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862634">
      <w:pPr>
        <w:keepNext w:val="0"/>
        <w:keepLines w:val="0"/>
        <w:pageBreakBefore w:val="0"/>
        <w:kinsoku/>
        <w:wordWrap/>
        <w:overflowPunct/>
        <w:topLinePunct w:val="0"/>
        <w:autoSpaceDE/>
        <w:autoSpaceDN/>
        <w:bidi w:val="0"/>
        <w:adjustRightInd/>
        <w:snapToGrid/>
        <w:spacing w:beforeAutospacing="0" w:line="560" w:lineRule="exact"/>
        <w:ind w:firstLine="883" w:firstLineChars="200"/>
        <w:jc w:val="center"/>
        <w:textAlignment w:val="auto"/>
        <w:rPr>
          <w:rFonts w:hint="eastAsia" w:ascii="宋体" w:hAnsi="宋体" w:eastAsia="宋体" w:cs="宋体"/>
          <w:b/>
          <w:bCs/>
          <w:sz w:val="44"/>
          <w:szCs w:val="44"/>
        </w:rPr>
      </w:pPr>
      <w:r>
        <w:rPr>
          <w:rFonts w:hint="eastAsia" w:ascii="宋体" w:hAnsi="宋体" w:eastAsia="宋体" w:cs="宋体"/>
          <w:b/>
          <w:bCs/>
          <w:sz w:val="44"/>
          <w:szCs w:val="44"/>
        </w:rPr>
        <w:t>高安市教育体育局202</w:t>
      </w:r>
      <w:r>
        <w:rPr>
          <w:rFonts w:hint="eastAsia" w:ascii="宋体" w:hAnsi="宋体" w:eastAsia="宋体" w:cs="宋体"/>
          <w:b/>
          <w:bCs/>
          <w:sz w:val="44"/>
          <w:szCs w:val="44"/>
          <w:lang w:val="en-US" w:eastAsia="zh-CN"/>
        </w:rPr>
        <w:t>5</w:t>
      </w:r>
      <w:r>
        <w:rPr>
          <w:rFonts w:hint="eastAsia" w:ascii="宋体" w:hAnsi="宋体" w:eastAsia="宋体" w:cs="宋体"/>
          <w:b/>
          <w:bCs/>
          <w:sz w:val="44"/>
          <w:szCs w:val="44"/>
        </w:rPr>
        <w:t>年政府信息公开工作年度报告</w:t>
      </w:r>
    </w:p>
    <w:p w14:paraId="5B541FA2">
      <w:pPr>
        <w:keepNext w:val="0"/>
        <w:keepLines w:val="0"/>
        <w:pageBreakBefore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eastAsia" w:ascii="仿宋" w:hAnsi="仿宋" w:eastAsia="仿宋" w:cs="仿宋"/>
          <w:b w:val="0"/>
          <w:bCs w:val="0"/>
          <w:sz w:val="32"/>
          <w:szCs w:val="32"/>
          <w:lang w:eastAsia="zh-CN"/>
        </w:rPr>
      </w:pPr>
      <w:r>
        <w:rPr>
          <w:rFonts w:hint="eastAsia" w:ascii="仿宋" w:hAnsi="仿宋" w:eastAsia="仿宋" w:cs="仿宋"/>
          <w:b w:val="0"/>
          <w:bCs w:val="0"/>
          <w:sz w:val="32"/>
          <w:szCs w:val="32"/>
          <w:lang w:eastAsia="zh-CN"/>
        </w:rPr>
        <w:t>本报告依据《中华人民共和国政府信息公开条例》（国务院令第711号，以下简称《条例》）及《国务院办公厅政府信息与政务公开办公室关于政府信息公开工作年度报告有关事项的通知》（国办公开办函〔2019〕60号）要求，结合我局工作实际及相关统计数据编制而成。报告中所列数据统计期限为2025年1月1日至2025年12月31日，全文涵盖总体情况、主动公开政府信息情况、收到和处理政府信息公开申请情况、政府信息公开行政复议及行政诉讼情况、存在的主要问题及改进情况、其他需要报告的事项六个部分。如对本报告有疑问，可与高安市教育体育局办公室联系（电话：0795-5294599，邮编：330800）。</w:t>
      </w:r>
    </w:p>
    <w:p w14:paraId="1CD5D193">
      <w:pPr>
        <w:keepNext w:val="0"/>
        <w:keepLines w:val="0"/>
        <w:pageBreakBefore w:val="0"/>
        <w:numPr>
          <w:ilvl w:val="0"/>
          <w:numId w:val="1"/>
        </w:numPr>
        <w:kinsoku/>
        <w:wordWrap/>
        <w:overflowPunct/>
        <w:topLinePunct w:val="0"/>
        <w:autoSpaceDE/>
        <w:autoSpaceDN/>
        <w:bidi w:val="0"/>
        <w:adjustRightInd/>
        <w:snapToGrid/>
        <w:spacing w:beforeAutospacing="0"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 xml:space="preserve"> 总体情况</w:t>
      </w:r>
    </w:p>
    <w:p w14:paraId="62D1E683">
      <w:pPr>
        <w:keepNext w:val="0"/>
        <w:keepLines w:val="0"/>
        <w:pageBreakBefore w:val="0"/>
        <w:numPr>
          <w:ilvl w:val="0"/>
          <w:numId w:val="2"/>
        </w:numPr>
        <w:kinsoku/>
        <w:wordWrap/>
        <w:overflowPunct/>
        <w:topLinePunct w:val="0"/>
        <w:autoSpaceDE/>
        <w:autoSpaceDN/>
        <w:bidi w:val="0"/>
        <w:adjustRightInd/>
        <w:snapToGrid/>
        <w:spacing w:beforeAutospacing="0" w:line="560" w:lineRule="exact"/>
        <w:ind w:firstLine="640" w:firstLineChars="200"/>
        <w:jc w:val="both"/>
        <w:textAlignment w:val="auto"/>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主动公开</w:t>
      </w:r>
    </w:p>
    <w:p w14:paraId="7F4CC70F">
      <w:pPr>
        <w:keepNext w:val="0"/>
        <w:keepLines w:val="0"/>
        <w:pageBreakBefore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eastAsia" w:ascii="仿宋" w:hAnsi="仿宋" w:eastAsia="仿宋" w:cs="仿宋"/>
          <w:b w:val="0"/>
          <w:bCs w:val="0"/>
          <w:sz w:val="32"/>
          <w:szCs w:val="32"/>
          <w:lang w:eastAsia="zh-CN"/>
        </w:rPr>
      </w:pPr>
      <w:r>
        <w:rPr>
          <w:rFonts w:hint="eastAsia" w:ascii="楷体" w:hAnsi="楷体" w:eastAsia="楷体" w:cs="楷体"/>
          <w:b w:val="0"/>
          <w:bCs w:val="0"/>
          <w:sz w:val="32"/>
          <w:szCs w:val="32"/>
          <w:lang w:eastAsia="zh-CN"/>
        </w:rPr>
        <w:t xml:space="preserve"> </w:t>
      </w:r>
      <w:r>
        <w:rPr>
          <w:rFonts w:hint="eastAsia" w:ascii="仿宋" w:hAnsi="仿宋" w:eastAsia="仿宋" w:cs="仿宋"/>
          <w:b w:val="0"/>
          <w:bCs w:val="0"/>
          <w:sz w:val="32"/>
          <w:szCs w:val="32"/>
          <w:lang w:eastAsia="zh-CN"/>
        </w:rPr>
        <w:t>2025年，我局累计发布政务公开信息</w:t>
      </w:r>
      <w:r>
        <w:rPr>
          <w:rFonts w:hint="eastAsia" w:ascii="仿宋" w:hAnsi="仿宋" w:eastAsia="仿宋" w:cs="仿宋"/>
          <w:b w:val="0"/>
          <w:bCs w:val="0"/>
          <w:sz w:val="32"/>
          <w:szCs w:val="32"/>
          <w:lang w:val="en-US" w:eastAsia="zh-CN"/>
        </w:rPr>
        <w:t>157</w:t>
      </w:r>
      <w:r>
        <w:rPr>
          <w:rFonts w:hint="eastAsia" w:ascii="仿宋" w:hAnsi="仿宋" w:eastAsia="仿宋" w:cs="仿宋"/>
          <w:b w:val="0"/>
          <w:bCs w:val="0"/>
          <w:sz w:val="32"/>
          <w:szCs w:val="32"/>
          <w:lang w:eastAsia="zh-CN"/>
        </w:rPr>
        <w:t>条，其中</w:t>
      </w:r>
      <w:r>
        <w:rPr>
          <w:rFonts w:hint="eastAsia" w:ascii="仿宋" w:hAnsi="仿宋" w:eastAsia="仿宋" w:cs="仿宋"/>
          <w:b w:val="0"/>
          <w:bCs w:val="0"/>
          <w:sz w:val="32"/>
          <w:szCs w:val="32"/>
          <w:lang w:val="en-US" w:eastAsia="zh-CN"/>
        </w:rPr>
        <w:t>信息公开指南1条、</w:t>
      </w:r>
      <w:r>
        <w:rPr>
          <w:rFonts w:hint="eastAsia" w:ascii="仿宋" w:hAnsi="仿宋" w:eastAsia="仿宋" w:cs="仿宋"/>
          <w:b w:val="0"/>
          <w:bCs w:val="0"/>
          <w:sz w:val="32"/>
          <w:szCs w:val="32"/>
          <w:lang w:eastAsia="zh-CN"/>
        </w:rPr>
        <w:t>政策公开5条、监管公开6条、综合公开</w:t>
      </w:r>
      <w:r>
        <w:rPr>
          <w:rFonts w:hint="eastAsia" w:ascii="仿宋" w:hAnsi="仿宋" w:eastAsia="仿宋" w:cs="仿宋"/>
          <w:b w:val="0"/>
          <w:bCs w:val="0"/>
          <w:sz w:val="32"/>
          <w:szCs w:val="32"/>
          <w:lang w:val="en-US" w:eastAsia="zh-CN"/>
        </w:rPr>
        <w:t>102</w:t>
      </w:r>
      <w:r>
        <w:rPr>
          <w:rFonts w:hint="eastAsia" w:ascii="仿宋" w:hAnsi="仿宋" w:eastAsia="仿宋" w:cs="仿宋"/>
          <w:b w:val="0"/>
          <w:bCs w:val="0"/>
          <w:sz w:val="32"/>
          <w:szCs w:val="32"/>
          <w:lang w:eastAsia="zh-CN"/>
        </w:rPr>
        <w:t>条、服务公开</w:t>
      </w:r>
      <w:r>
        <w:rPr>
          <w:rFonts w:hint="eastAsia" w:ascii="仿宋" w:hAnsi="仿宋" w:eastAsia="仿宋" w:cs="仿宋"/>
          <w:b w:val="0"/>
          <w:bCs w:val="0"/>
          <w:sz w:val="32"/>
          <w:szCs w:val="32"/>
          <w:lang w:val="en-US" w:eastAsia="zh-CN"/>
        </w:rPr>
        <w:t>31</w:t>
      </w:r>
      <w:r>
        <w:rPr>
          <w:rFonts w:hint="eastAsia" w:ascii="仿宋" w:hAnsi="仿宋" w:eastAsia="仿宋" w:cs="仿宋"/>
          <w:b w:val="0"/>
          <w:bCs w:val="0"/>
          <w:sz w:val="32"/>
          <w:szCs w:val="32"/>
          <w:lang w:eastAsia="zh-CN"/>
        </w:rPr>
        <w:t>条、</w:t>
      </w:r>
      <w:r>
        <w:rPr>
          <w:rFonts w:hint="eastAsia" w:ascii="仿宋" w:hAnsi="仿宋" w:eastAsia="仿宋" w:cs="仿宋"/>
          <w:b w:val="0"/>
          <w:bCs w:val="0"/>
          <w:sz w:val="32"/>
          <w:szCs w:val="32"/>
          <w:lang w:val="en-US" w:eastAsia="zh-CN"/>
        </w:rPr>
        <w:t>专题专栏公开12条</w:t>
      </w:r>
      <w:r>
        <w:rPr>
          <w:rFonts w:hint="eastAsia" w:ascii="仿宋" w:hAnsi="仿宋" w:eastAsia="仿宋" w:cs="仿宋"/>
          <w:b w:val="0"/>
          <w:bCs w:val="0"/>
          <w:sz w:val="32"/>
          <w:szCs w:val="32"/>
          <w:lang w:eastAsia="zh-CN"/>
        </w:rPr>
        <w:t>，全面覆盖教育体育领域重点工作，主动回应社会关切。</w:t>
      </w:r>
    </w:p>
    <w:p w14:paraId="1A74A656">
      <w:pPr>
        <w:keepNext w:val="0"/>
        <w:keepLines w:val="0"/>
        <w:pageBreakBefore w:val="0"/>
        <w:numPr>
          <w:ilvl w:val="0"/>
          <w:numId w:val="2"/>
        </w:numPr>
        <w:kinsoku/>
        <w:wordWrap/>
        <w:overflowPunct/>
        <w:topLinePunct w:val="0"/>
        <w:autoSpaceDE/>
        <w:autoSpaceDN/>
        <w:bidi w:val="0"/>
        <w:adjustRightInd/>
        <w:snapToGrid/>
        <w:spacing w:beforeAutospacing="0" w:line="560" w:lineRule="exact"/>
        <w:ind w:firstLine="640" w:firstLineChars="200"/>
        <w:jc w:val="both"/>
        <w:textAlignment w:val="auto"/>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依申请公开</w:t>
      </w:r>
    </w:p>
    <w:p w14:paraId="7D98A5A9">
      <w:pPr>
        <w:keepNext w:val="0"/>
        <w:keepLines w:val="0"/>
        <w:pageBreakBefore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严格遵循《条例》及我市依申请公开相关制度规定，公开申请指南及办理渠道，保障服务咨询电话畅通高效，确保申请受理“不缺位”、办理“不拖延”。2025年共收到政府信息公开申请0件。</w:t>
      </w:r>
    </w:p>
    <w:p w14:paraId="53FD1589">
      <w:pPr>
        <w:keepNext w:val="0"/>
        <w:keepLines w:val="0"/>
        <w:pageBreakBefore w:val="0"/>
        <w:numPr>
          <w:ilvl w:val="0"/>
          <w:numId w:val="2"/>
        </w:numPr>
        <w:kinsoku/>
        <w:wordWrap/>
        <w:overflowPunct/>
        <w:topLinePunct w:val="0"/>
        <w:autoSpaceDE/>
        <w:autoSpaceDN/>
        <w:bidi w:val="0"/>
        <w:adjustRightInd/>
        <w:snapToGrid/>
        <w:spacing w:beforeAutospacing="0" w:line="560" w:lineRule="exact"/>
        <w:ind w:firstLine="640" w:firstLineChars="200"/>
        <w:jc w:val="both"/>
        <w:textAlignment w:val="auto"/>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政府信息管理</w:t>
      </w:r>
    </w:p>
    <w:p w14:paraId="1428A0BC">
      <w:pPr>
        <w:keepNext w:val="0"/>
        <w:keepLines w:val="0"/>
        <w:pageBreakBefore w:val="0"/>
        <w:numPr>
          <w:ilvl w:val="0"/>
          <w:numId w:val="0"/>
        </w:numPr>
        <w:kinsoku/>
        <w:wordWrap/>
        <w:overflowPunct/>
        <w:topLinePunct w:val="0"/>
        <w:autoSpaceDE/>
        <w:autoSpaceDN/>
        <w:bidi w:val="0"/>
        <w:adjustRightInd/>
        <w:snapToGrid/>
        <w:spacing w:beforeAutospacing="0" w:line="560" w:lineRule="exact"/>
        <w:ind w:firstLine="640" w:firstLineChars="200"/>
        <w:jc w:val="both"/>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 xml:space="preserve"> 坚持“公开为常态、不公开为例外”，妥善平衡公开与保密关系，科学界定公开范围，做到积极稳妥、及时准确、公开公正、便民高效。按照《条例》要求及基层政务公开标准化规范化建设部署，逐项梳理公开内容，明确办理流程、方式及时限等核心要素，定期更新相关栏目信息，确保公示内容真实有效、政务公开工作落地见效。</w:t>
      </w:r>
    </w:p>
    <w:p w14:paraId="05A4B355">
      <w:pPr>
        <w:keepNext w:val="0"/>
        <w:keepLines w:val="0"/>
        <w:pageBreakBefore w:val="0"/>
        <w:numPr>
          <w:ilvl w:val="0"/>
          <w:numId w:val="2"/>
        </w:numPr>
        <w:kinsoku/>
        <w:wordWrap/>
        <w:overflowPunct/>
        <w:topLinePunct w:val="0"/>
        <w:autoSpaceDE/>
        <w:autoSpaceDN/>
        <w:bidi w:val="0"/>
        <w:adjustRightInd/>
        <w:snapToGrid/>
        <w:spacing w:beforeAutospacing="0" w:line="560" w:lineRule="exact"/>
        <w:ind w:firstLine="640" w:firstLineChars="200"/>
        <w:jc w:val="both"/>
        <w:textAlignment w:val="auto"/>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政府信息公开平台建设</w:t>
      </w:r>
    </w:p>
    <w:p w14:paraId="67D191F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560" w:lineRule="exact"/>
        <w:ind w:lef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 w:hAnsi="仿宋" w:eastAsia="仿宋" w:cs="仿宋"/>
          <w:b w:val="0"/>
          <w:bCs w:val="0"/>
          <w:kern w:val="2"/>
          <w:sz w:val="32"/>
          <w:szCs w:val="32"/>
          <w:lang w:val="en-US" w:eastAsia="zh-CN" w:bidi="ar-SA"/>
        </w:rPr>
        <w:t>高度重视公开平台规范化建设，持续完善政务公开指南、目录及网上栏目设置，及时更新公开内容，保障信息发布的权威性、准确性和时效性。优化平台检索、查阅功能，畅通信息获取渠道，让群众便捷快速获取教育体育领域政府信息。</w:t>
      </w:r>
    </w:p>
    <w:p w14:paraId="60247444">
      <w:pPr>
        <w:keepNext w:val="0"/>
        <w:keepLines w:val="0"/>
        <w:pageBreakBefore w:val="0"/>
        <w:numPr>
          <w:ilvl w:val="0"/>
          <w:numId w:val="2"/>
        </w:numPr>
        <w:kinsoku/>
        <w:wordWrap/>
        <w:overflowPunct/>
        <w:topLinePunct w:val="0"/>
        <w:autoSpaceDE/>
        <w:autoSpaceDN/>
        <w:bidi w:val="0"/>
        <w:adjustRightInd/>
        <w:snapToGrid/>
        <w:spacing w:beforeAutospacing="0" w:line="560" w:lineRule="exact"/>
        <w:ind w:firstLine="640" w:firstLineChars="200"/>
        <w:jc w:val="both"/>
        <w:textAlignment w:val="auto"/>
        <w:rPr>
          <w:rFonts w:hint="eastAsia" w:ascii="楷体" w:hAnsi="楷体" w:eastAsia="楷体" w:cs="楷体"/>
          <w:b w:val="0"/>
          <w:bCs w:val="0"/>
          <w:sz w:val="32"/>
          <w:szCs w:val="32"/>
          <w:lang w:eastAsia="zh-CN"/>
        </w:rPr>
      </w:pPr>
      <w:r>
        <w:rPr>
          <w:rFonts w:hint="eastAsia" w:ascii="楷体" w:hAnsi="楷体" w:eastAsia="楷体" w:cs="楷体"/>
          <w:b w:val="0"/>
          <w:bCs w:val="0"/>
          <w:sz w:val="32"/>
          <w:szCs w:val="32"/>
          <w:lang w:eastAsia="zh-CN"/>
        </w:rPr>
        <w:t>监督保障</w:t>
      </w:r>
    </w:p>
    <w:p w14:paraId="03246DD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560" w:lineRule="exact"/>
        <w:ind w:left="0" w:firstLine="42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 健全完善政府信息公开工作考核与责任追究制度，将工作责任层层压实到各股室，严格按照《高安市政府信息发布、协调工作制度》，落实“拟稿人、发布人负责一级自查自校，部门政务公开分管负责人负责二级审核校对，部门主要负责人负责三级审核校对”，做到三重把关机制。加强日常监管与专项检查，对工作落实不力、敷衍塞责、不严谨规范的行为，及时督促整改或通报批评，确保政务公开及时准确。同时，广泛接受干部群众监督，凝聚工作合力，推动政务公开工作扎实有序开展。</w:t>
      </w:r>
    </w:p>
    <w:p w14:paraId="03CD2F6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560" w:lineRule="exact"/>
        <w:ind w:left="0" w:firstLine="420"/>
        <w:jc w:val="both"/>
        <w:textAlignment w:val="auto"/>
        <w:rPr>
          <w:rFonts w:hint="eastAsia" w:ascii="仿宋" w:hAnsi="仿宋" w:eastAsia="仿宋" w:cs="仿宋"/>
          <w:b w:val="0"/>
          <w:bCs w:val="0"/>
          <w:kern w:val="2"/>
          <w:sz w:val="32"/>
          <w:szCs w:val="32"/>
          <w:lang w:val="en-US" w:eastAsia="zh-CN" w:bidi="ar-SA"/>
        </w:rPr>
      </w:pPr>
    </w:p>
    <w:p w14:paraId="6CC7802C">
      <w:pPr>
        <w:keepNext w:val="0"/>
        <w:keepLines w:val="0"/>
        <w:pageBreakBefore w:val="0"/>
        <w:numPr>
          <w:ilvl w:val="0"/>
          <w:numId w:val="1"/>
        </w:numPr>
        <w:kinsoku/>
        <w:wordWrap/>
        <w:overflowPunct/>
        <w:topLinePunct w:val="0"/>
        <w:autoSpaceDE/>
        <w:autoSpaceDN/>
        <w:bidi w:val="0"/>
        <w:adjustRightInd/>
        <w:snapToGrid/>
        <w:spacing w:beforeAutospacing="0"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2455"/>
        <w:gridCol w:w="2455"/>
        <w:gridCol w:w="2455"/>
        <w:gridCol w:w="2455"/>
      </w:tblGrid>
      <w:tr w14:paraId="39D17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left w:w="57" w:type="dxa"/>
              <w:right w:w="57" w:type="dxa"/>
            </w:tcMar>
            <w:vAlign w:val="center"/>
          </w:tcPr>
          <w:p w14:paraId="6C7287F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第二十条第（一）项</w:t>
            </w:r>
          </w:p>
        </w:tc>
      </w:tr>
      <w:tr w14:paraId="17AE4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1A7FCC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信息内容</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7B7C8E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本年</w:t>
            </w:r>
            <w:r>
              <w:rPr>
                <w:rFonts w:hint="eastAsia" w:ascii="仿宋_GB2312" w:hAnsi="仿宋_GB2312" w:eastAsia="仿宋_GB2312" w:cs="仿宋_GB2312"/>
                <w:b/>
                <w:bCs/>
                <w:sz w:val="32"/>
                <w:szCs w:val="32"/>
              </w:rPr>
              <w:t>制发件数</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293C217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本年废止件数</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3215AF3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现行有效件</w:t>
            </w:r>
            <w:r>
              <w:rPr>
                <w:rFonts w:hint="eastAsia" w:ascii="仿宋_GB2312" w:hAnsi="仿宋_GB2312" w:eastAsia="仿宋_GB2312" w:cs="仿宋_GB2312"/>
                <w:b/>
                <w:bCs/>
                <w:sz w:val="32"/>
                <w:szCs w:val="32"/>
              </w:rPr>
              <w:t>数</w:t>
            </w:r>
          </w:p>
        </w:tc>
      </w:tr>
      <w:tr w14:paraId="2CEDE0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58FB70E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规   章</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65E38E2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5F4A4A0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6B683E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175AC9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45DC2A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行政规范性文件</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19C0497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52F897F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000000"/>
                <w:sz w:val="32"/>
                <w:szCs w:val="32"/>
                <w:lang w:val="en-US" w:eastAsia="zh-CN"/>
              </w:rPr>
              <w:t>0</w:t>
            </w:r>
          </w:p>
        </w:tc>
        <w:tc>
          <w:tcPr>
            <w:tcW w:w="2455" w:type="dxa"/>
            <w:tcBorders>
              <w:top w:val="nil"/>
              <w:left w:val="nil"/>
              <w:bottom w:val="single" w:color="auto" w:sz="8" w:space="0"/>
              <w:right w:val="single" w:color="auto" w:sz="8" w:space="0"/>
            </w:tcBorders>
            <w:shd w:val="clear" w:color="auto" w:fill="auto"/>
            <w:tcMar>
              <w:left w:w="57" w:type="dxa"/>
              <w:right w:w="57" w:type="dxa"/>
            </w:tcMar>
            <w:vAlign w:val="center"/>
          </w:tcPr>
          <w:p w14:paraId="7E95A9B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8</w:t>
            </w:r>
            <w:bookmarkStart w:id="0" w:name="_GoBack"/>
            <w:bookmarkEnd w:id="0"/>
          </w:p>
        </w:tc>
      </w:tr>
      <w:tr w14:paraId="6BC23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14:paraId="7802DB7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第二十条第（五）项</w:t>
            </w:r>
          </w:p>
        </w:tc>
      </w:tr>
      <w:tr w14:paraId="659D5D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ECF857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08409F2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本年处理决定数量</w:t>
            </w:r>
          </w:p>
        </w:tc>
      </w:tr>
      <w:tr w14:paraId="2158D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E319D7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行政许可</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70F5444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r>
      <w:tr w14:paraId="6ADE2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14:paraId="0400C9B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第二十条第（六）项</w:t>
            </w:r>
          </w:p>
        </w:tc>
      </w:tr>
      <w:tr w14:paraId="02142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77D0B29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信息内容</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192E6B6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本年处理决定数量</w:t>
            </w:r>
          </w:p>
        </w:tc>
      </w:tr>
      <w:tr w14:paraId="104FC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4E011D0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行政处罚</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397E79F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w:t>
            </w:r>
          </w:p>
        </w:tc>
      </w:tr>
      <w:tr w14:paraId="531FD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2F99599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行政强制</w:t>
            </w:r>
          </w:p>
        </w:tc>
        <w:tc>
          <w:tcPr>
            <w:tcW w:w="7365" w:type="dxa"/>
            <w:gridSpan w:val="3"/>
            <w:tcBorders>
              <w:top w:val="nil"/>
              <w:left w:val="nil"/>
              <w:bottom w:val="single" w:color="auto" w:sz="8" w:space="0"/>
              <w:right w:val="single" w:color="auto" w:sz="8" w:space="0"/>
            </w:tcBorders>
            <w:shd w:val="clear" w:color="auto" w:fill="auto"/>
            <w:tcMar>
              <w:left w:w="57" w:type="dxa"/>
              <w:right w:w="57" w:type="dxa"/>
            </w:tcMar>
            <w:vAlign w:val="center"/>
          </w:tcPr>
          <w:p w14:paraId="0E68DEF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sz w:val="32"/>
                <w:szCs w:val="32"/>
              </w:rPr>
              <w:t>0</w:t>
            </w:r>
          </w:p>
        </w:tc>
      </w:tr>
      <w:tr w14:paraId="60752E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left w:w="57" w:type="dxa"/>
              <w:right w:w="57" w:type="dxa"/>
            </w:tcMar>
            <w:vAlign w:val="center"/>
          </w:tcPr>
          <w:p w14:paraId="49EE02B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第二十条第（八）项</w:t>
            </w:r>
          </w:p>
        </w:tc>
      </w:tr>
      <w:tr w14:paraId="4AF96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A137E8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信息内容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45CB0AC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本年收费金额（单位：万元）</w:t>
            </w:r>
          </w:p>
        </w:tc>
      </w:tr>
      <w:tr w14:paraId="3465ED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3749D0C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行政事业性收费</w:t>
            </w:r>
          </w:p>
        </w:tc>
        <w:tc>
          <w:tcPr>
            <w:tcW w:w="7365" w:type="dxa"/>
            <w:gridSpan w:val="3"/>
            <w:tcBorders>
              <w:top w:val="nil"/>
              <w:left w:val="nil"/>
              <w:bottom w:val="single" w:color="auto" w:sz="8" w:space="0"/>
              <w:right w:val="single" w:color="000000" w:sz="8" w:space="0"/>
            </w:tcBorders>
            <w:shd w:val="clear" w:color="auto" w:fill="auto"/>
            <w:tcMar>
              <w:left w:w="57" w:type="dxa"/>
              <w:right w:w="57" w:type="dxa"/>
            </w:tcMar>
            <w:vAlign w:val="center"/>
          </w:tcPr>
          <w:p w14:paraId="4A61D12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bl>
    <w:p w14:paraId="1EAE6BE3">
      <w:pPr>
        <w:keepNext w:val="0"/>
        <w:keepLines w:val="0"/>
        <w:pageBreakBefore w:val="0"/>
        <w:numPr>
          <w:ilvl w:val="0"/>
          <w:numId w:val="1"/>
        </w:numPr>
        <w:kinsoku/>
        <w:wordWrap/>
        <w:overflowPunct/>
        <w:topLinePunct w:val="0"/>
        <w:autoSpaceDE/>
        <w:autoSpaceDN/>
        <w:bidi w:val="0"/>
        <w:adjustRightInd/>
        <w:snapToGrid/>
        <w:spacing w:beforeAutospacing="0"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收到和处理政府信息公开申请情况</w:t>
      </w:r>
    </w:p>
    <w:tbl>
      <w:tblPr>
        <w:tblStyle w:val="5"/>
        <w:tblW w:w="9690"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76"/>
        <w:gridCol w:w="1078"/>
        <w:gridCol w:w="4352"/>
        <w:gridCol w:w="511"/>
        <w:gridCol w:w="480"/>
        <w:gridCol w:w="375"/>
        <w:gridCol w:w="513"/>
        <w:gridCol w:w="480"/>
        <w:gridCol w:w="541"/>
        <w:gridCol w:w="584"/>
      </w:tblGrid>
      <w:tr w14:paraId="1B37127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206" w:type="dxa"/>
            <w:gridSpan w:val="3"/>
            <w:vMerge w:val="restart"/>
            <w:tcBorders>
              <w:top w:val="single" w:color="auto" w:sz="8" w:space="0"/>
              <w:left w:val="single" w:color="auto" w:sz="8" w:space="0"/>
              <w:bottom w:val="inset" w:color="auto" w:sz="8" w:space="0"/>
              <w:right w:val="single" w:color="auto" w:sz="8" w:space="0"/>
            </w:tcBorders>
            <w:shd w:val="clear" w:color="auto" w:fill="auto"/>
            <w:tcMar>
              <w:left w:w="108" w:type="dxa"/>
              <w:right w:w="108" w:type="dxa"/>
            </w:tcMar>
            <w:vAlign w:val="center"/>
          </w:tcPr>
          <w:p w14:paraId="5C0724A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（本列数据的勾稽关系为：第一项加第二项之和，等于第三项加第四项之和）</w:t>
            </w:r>
          </w:p>
        </w:tc>
        <w:tc>
          <w:tcPr>
            <w:tcW w:w="3484" w:type="dxa"/>
            <w:gridSpan w:val="7"/>
            <w:tcBorders>
              <w:top w:val="single" w:color="auto" w:sz="8" w:space="0"/>
              <w:left w:val="nil"/>
              <w:bottom w:val="single" w:color="auto" w:sz="8" w:space="0"/>
              <w:right w:val="single" w:color="auto" w:sz="8" w:space="0"/>
            </w:tcBorders>
            <w:shd w:val="clear" w:color="auto" w:fill="auto"/>
            <w:tcMar>
              <w:left w:w="57" w:type="dxa"/>
              <w:right w:w="57" w:type="dxa"/>
            </w:tcMar>
            <w:vAlign w:val="center"/>
          </w:tcPr>
          <w:p w14:paraId="4F3DF6F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申请人情况</w:t>
            </w:r>
          </w:p>
        </w:tc>
      </w:tr>
      <w:tr w14:paraId="43D81E8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206" w:type="dxa"/>
            <w:gridSpan w:val="3"/>
            <w:vMerge w:val="continue"/>
            <w:tcBorders>
              <w:top w:val="single" w:color="auto" w:sz="8" w:space="0"/>
              <w:left w:val="single" w:color="auto" w:sz="8" w:space="0"/>
              <w:bottom w:val="inset" w:color="auto" w:sz="8" w:space="0"/>
              <w:right w:val="single" w:color="auto" w:sz="8" w:space="0"/>
            </w:tcBorders>
            <w:shd w:val="clear" w:color="auto" w:fill="auto"/>
            <w:tcMar>
              <w:left w:w="108" w:type="dxa"/>
              <w:right w:w="108" w:type="dxa"/>
            </w:tcMar>
            <w:vAlign w:val="center"/>
          </w:tcPr>
          <w:p w14:paraId="129C23C6">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511"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297B1E5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自</w:t>
            </w:r>
          </w:p>
          <w:p w14:paraId="07AE4A6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w:t>
            </w:r>
          </w:p>
          <w:p w14:paraId="3622377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然</w:t>
            </w:r>
          </w:p>
          <w:p w14:paraId="3B9ADB4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w:t>
            </w:r>
          </w:p>
          <w:p w14:paraId="0D823AA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人</w:t>
            </w:r>
          </w:p>
        </w:tc>
        <w:tc>
          <w:tcPr>
            <w:tcW w:w="2389" w:type="dxa"/>
            <w:gridSpan w:val="5"/>
            <w:tcBorders>
              <w:top w:val="nil"/>
              <w:left w:val="nil"/>
              <w:bottom w:val="single" w:color="auto" w:sz="8" w:space="0"/>
              <w:right w:val="single" w:color="auto" w:sz="8" w:space="0"/>
            </w:tcBorders>
            <w:shd w:val="clear" w:color="auto" w:fill="auto"/>
            <w:tcMar>
              <w:left w:w="57" w:type="dxa"/>
              <w:right w:w="57" w:type="dxa"/>
            </w:tcMar>
            <w:vAlign w:val="center"/>
          </w:tcPr>
          <w:p w14:paraId="485CF01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法人或其他组织</w:t>
            </w:r>
          </w:p>
        </w:tc>
        <w:tc>
          <w:tcPr>
            <w:tcW w:w="584" w:type="dxa"/>
            <w:vMerge w:val="restart"/>
            <w:tcBorders>
              <w:top w:val="nil"/>
              <w:left w:val="nil"/>
              <w:bottom w:val="inset" w:color="auto" w:sz="8" w:space="0"/>
              <w:right w:val="single" w:color="auto" w:sz="8" w:space="0"/>
            </w:tcBorders>
            <w:shd w:val="clear" w:color="auto" w:fill="auto"/>
            <w:tcMar>
              <w:left w:w="57" w:type="dxa"/>
              <w:right w:w="57" w:type="dxa"/>
            </w:tcMar>
            <w:vAlign w:val="center"/>
          </w:tcPr>
          <w:p w14:paraId="4E2EAA9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总计</w:t>
            </w:r>
          </w:p>
        </w:tc>
      </w:tr>
      <w:tr w14:paraId="3FD644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3356" w:hRule="atLeast"/>
          <w:jc w:val="center"/>
        </w:trPr>
        <w:tc>
          <w:tcPr>
            <w:tcW w:w="6206" w:type="dxa"/>
            <w:gridSpan w:val="3"/>
            <w:vMerge w:val="continue"/>
            <w:tcBorders>
              <w:top w:val="single" w:color="auto" w:sz="8" w:space="0"/>
              <w:left w:val="single" w:color="auto" w:sz="8" w:space="0"/>
              <w:bottom w:val="inset" w:color="auto" w:sz="8" w:space="0"/>
              <w:right w:val="single" w:color="auto" w:sz="8" w:space="0"/>
            </w:tcBorders>
            <w:shd w:val="clear" w:color="auto" w:fill="auto"/>
            <w:tcMar>
              <w:left w:w="108" w:type="dxa"/>
              <w:right w:w="108" w:type="dxa"/>
            </w:tcMar>
            <w:vAlign w:val="center"/>
          </w:tcPr>
          <w:p w14:paraId="1700F748">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511"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77862E80">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6518DFC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商业</w:t>
            </w:r>
          </w:p>
          <w:p w14:paraId="14B6804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企业</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746F12C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科研</w:t>
            </w:r>
          </w:p>
          <w:p w14:paraId="400A52B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机构</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7EC0795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社会公益组织</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59352ED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法律服务机构</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15D125A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其他</w:t>
            </w:r>
          </w:p>
        </w:tc>
        <w:tc>
          <w:tcPr>
            <w:tcW w:w="584"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14:paraId="74FE98B6">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r>
      <w:tr w14:paraId="7F21EDD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206"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647788B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一、本年新收政府信息公开申请数量</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001B55C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0D820D4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541504C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5D42F0A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50CC2D8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03DC3B2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0F10114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15DEB14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206"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097D977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二、上年结转政府信息公开申请数量</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4C14967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15FB55C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6C563E6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4B10AAF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5A42EEC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6A45294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07AF9B4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2F74D55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76" w:type="dxa"/>
            <w:vMerge w:val="restart"/>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59F33F2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三、本年度办理结果</w:t>
            </w:r>
          </w:p>
        </w:tc>
        <w:tc>
          <w:tcPr>
            <w:tcW w:w="543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0760453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（一）予以公开</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6787572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7C587A8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784AFBA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7665F19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52A821A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4E00167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3F121ED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0016483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6B053C82">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543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651A00E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（二）部分公开（区分处理的，只计这一情形，不计其他情形）</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4FAF6BB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2B4DE87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1336E02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6672D92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2F32D0F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090F81A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16FA235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76641CA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314E2C1D">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restart"/>
            <w:tcBorders>
              <w:top w:val="nil"/>
              <w:left w:val="nil"/>
              <w:bottom w:val="inset" w:color="auto" w:sz="8" w:space="0"/>
              <w:right w:val="single" w:color="auto" w:sz="8" w:space="0"/>
            </w:tcBorders>
            <w:shd w:val="clear" w:color="auto" w:fill="auto"/>
            <w:tcMar>
              <w:left w:w="57" w:type="dxa"/>
              <w:right w:w="57" w:type="dxa"/>
            </w:tcMar>
            <w:vAlign w:val="center"/>
          </w:tcPr>
          <w:p w14:paraId="7E185A7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（三）不予公开</w:t>
            </w:r>
          </w:p>
        </w:tc>
        <w:tc>
          <w:tcPr>
            <w:tcW w:w="4352" w:type="dxa"/>
            <w:tcBorders>
              <w:top w:val="nil"/>
              <w:left w:val="nil"/>
              <w:bottom w:val="single" w:color="auto" w:sz="8" w:space="0"/>
              <w:right w:val="single" w:color="auto" w:sz="8" w:space="0"/>
            </w:tcBorders>
            <w:shd w:val="clear" w:color="auto" w:fill="auto"/>
            <w:tcMar>
              <w:left w:w="57" w:type="dxa"/>
              <w:right w:w="57" w:type="dxa"/>
            </w:tcMar>
            <w:vAlign w:val="top"/>
          </w:tcPr>
          <w:p w14:paraId="29A36BB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1.属于国家秘密</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46E2338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159EC66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64981AD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6533B27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2A6428B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0BE9C75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516451D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76C1DB9D">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2A336182">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14:paraId="57749C45">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352" w:type="dxa"/>
            <w:tcBorders>
              <w:top w:val="nil"/>
              <w:left w:val="nil"/>
              <w:bottom w:val="single" w:color="auto" w:sz="8" w:space="0"/>
              <w:right w:val="single" w:color="auto" w:sz="8" w:space="0"/>
            </w:tcBorders>
            <w:shd w:val="clear" w:color="auto" w:fill="auto"/>
            <w:tcMar>
              <w:left w:w="57" w:type="dxa"/>
              <w:right w:w="57" w:type="dxa"/>
            </w:tcMar>
            <w:vAlign w:val="top"/>
          </w:tcPr>
          <w:p w14:paraId="3ECB987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2.其他法律行政法规禁止公开</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29B34DF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48A3E65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48A0A73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728CE6E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519FE92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6AB1B0E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7F783DA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53EA06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57E3F232">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14:paraId="582B6F23">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352" w:type="dxa"/>
            <w:tcBorders>
              <w:top w:val="nil"/>
              <w:left w:val="nil"/>
              <w:bottom w:val="single" w:color="auto" w:sz="8" w:space="0"/>
              <w:right w:val="single" w:color="auto" w:sz="8" w:space="0"/>
            </w:tcBorders>
            <w:shd w:val="clear" w:color="auto" w:fill="auto"/>
            <w:tcMar>
              <w:left w:w="57" w:type="dxa"/>
              <w:right w:w="57" w:type="dxa"/>
            </w:tcMar>
            <w:vAlign w:val="top"/>
          </w:tcPr>
          <w:p w14:paraId="1CF055A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3.危及“三安全一稳定”</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2B5BB88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7E332DD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796C732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354D957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2711EA9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25B2FCB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731E90A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4AC4E0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3DA172E0">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14:paraId="0A4E03F8">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352" w:type="dxa"/>
            <w:tcBorders>
              <w:top w:val="nil"/>
              <w:left w:val="nil"/>
              <w:bottom w:val="single" w:color="auto" w:sz="8" w:space="0"/>
              <w:right w:val="single" w:color="auto" w:sz="8" w:space="0"/>
            </w:tcBorders>
            <w:shd w:val="clear" w:color="auto" w:fill="auto"/>
            <w:tcMar>
              <w:left w:w="57" w:type="dxa"/>
              <w:right w:w="57" w:type="dxa"/>
            </w:tcMar>
            <w:vAlign w:val="top"/>
          </w:tcPr>
          <w:p w14:paraId="6F897DB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4.保护第三方合法权益</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5564EA7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1A8B52D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6DE894F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5002E59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416FF18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746A483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71B8F6A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2020226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2C90901E">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14:paraId="13FC7C9B">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352" w:type="dxa"/>
            <w:tcBorders>
              <w:top w:val="nil"/>
              <w:left w:val="nil"/>
              <w:bottom w:val="single" w:color="auto" w:sz="8" w:space="0"/>
              <w:right w:val="single" w:color="auto" w:sz="8" w:space="0"/>
            </w:tcBorders>
            <w:shd w:val="clear" w:color="auto" w:fill="auto"/>
            <w:tcMar>
              <w:left w:w="57" w:type="dxa"/>
              <w:right w:w="57" w:type="dxa"/>
            </w:tcMar>
            <w:vAlign w:val="top"/>
          </w:tcPr>
          <w:p w14:paraId="43C7BF1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5.属于三类内部事务信息</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1064E8F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2AB9B3F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543597C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47DFB1D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13340FE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2486FF3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1B6407D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41CF400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2FA4A106">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14:paraId="6D071BDE">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352" w:type="dxa"/>
            <w:tcBorders>
              <w:top w:val="nil"/>
              <w:left w:val="nil"/>
              <w:bottom w:val="single" w:color="auto" w:sz="8" w:space="0"/>
              <w:right w:val="single" w:color="auto" w:sz="8" w:space="0"/>
            </w:tcBorders>
            <w:shd w:val="clear" w:color="auto" w:fill="auto"/>
            <w:tcMar>
              <w:left w:w="57" w:type="dxa"/>
              <w:right w:w="57" w:type="dxa"/>
            </w:tcMar>
            <w:vAlign w:val="top"/>
          </w:tcPr>
          <w:p w14:paraId="09DC071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6.属于四类过程性信息</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71B6CF6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0FF7764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5798307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493068C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0D39E01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17C7F64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630238A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298675A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0B88F456">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14:paraId="3FF5AEDB">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352" w:type="dxa"/>
            <w:tcBorders>
              <w:top w:val="nil"/>
              <w:left w:val="nil"/>
              <w:bottom w:val="single" w:color="auto" w:sz="8" w:space="0"/>
              <w:right w:val="single" w:color="auto" w:sz="8" w:space="0"/>
            </w:tcBorders>
            <w:shd w:val="clear" w:color="auto" w:fill="auto"/>
            <w:tcMar>
              <w:left w:w="57" w:type="dxa"/>
              <w:right w:w="57" w:type="dxa"/>
            </w:tcMar>
            <w:vAlign w:val="top"/>
          </w:tcPr>
          <w:p w14:paraId="11B0A1C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7.属于行政执法案卷</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0A48EE8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0C6D66D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4A688AD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01972F1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1241690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3063EEF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5DCE02B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3975E486">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0B868F21">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14:paraId="2301B8C2">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352" w:type="dxa"/>
            <w:tcBorders>
              <w:top w:val="nil"/>
              <w:left w:val="nil"/>
              <w:bottom w:val="single" w:color="auto" w:sz="8" w:space="0"/>
              <w:right w:val="single" w:color="auto" w:sz="8" w:space="0"/>
            </w:tcBorders>
            <w:shd w:val="clear" w:color="auto" w:fill="auto"/>
            <w:tcMar>
              <w:left w:w="57" w:type="dxa"/>
              <w:right w:w="57" w:type="dxa"/>
            </w:tcMar>
            <w:vAlign w:val="top"/>
          </w:tcPr>
          <w:p w14:paraId="4E1C4F7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8.属于行政查询事项</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02E7C99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6F7C0A4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6E68CCC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37D3B55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40A6F4E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317A13F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02ECAA5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4F1AD8B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7F09C1E0">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restart"/>
            <w:tcBorders>
              <w:top w:val="nil"/>
              <w:left w:val="nil"/>
              <w:bottom w:val="inset" w:color="auto" w:sz="8" w:space="0"/>
              <w:right w:val="single" w:color="auto" w:sz="8" w:space="0"/>
            </w:tcBorders>
            <w:shd w:val="clear" w:color="auto" w:fill="auto"/>
            <w:tcMar>
              <w:left w:w="57" w:type="dxa"/>
              <w:right w:w="57" w:type="dxa"/>
            </w:tcMar>
            <w:vAlign w:val="center"/>
          </w:tcPr>
          <w:p w14:paraId="5A7F2D4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（四）无法提供</w:t>
            </w:r>
          </w:p>
        </w:tc>
        <w:tc>
          <w:tcPr>
            <w:tcW w:w="4352" w:type="dxa"/>
            <w:tcBorders>
              <w:top w:val="nil"/>
              <w:left w:val="nil"/>
              <w:bottom w:val="single" w:color="auto" w:sz="8" w:space="0"/>
              <w:right w:val="single" w:color="auto" w:sz="8" w:space="0"/>
            </w:tcBorders>
            <w:shd w:val="clear" w:color="auto" w:fill="auto"/>
            <w:tcMar>
              <w:left w:w="57" w:type="dxa"/>
              <w:right w:w="57" w:type="dxa"/>
            </w:tcMar>
            <w:vAlign w:val="top"/>
          </w:tcPr>
          <w:p w14:paraId="7A2B6CF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1.本机关不掌握相关政府信息</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466E447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3B78185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38A29C2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1178B57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4C66A9A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1BFB50C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0B72CCF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0C17542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468" w:hRule="atLeast"/>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61FFEA14">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14:paraId="1195C4CA">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352" w:type="dxa"/>
            <w:tcBorders>
              <w:top w:val="nil"/>
              <w:left w:val="nil"/>
              <w:bottom w:val="single" w:color="auto" w:sz="8" w:space="0"/>
              <w:right w:val="single" w:color="auto" w:sz="8" w:space="0"/>
            </w:tcBorders>
            <w:shd w:val="clear" w:color="auto" w:fill="auto"/>
            <w:tcMar>
              <w:left w:w="57" w:type="dxa"/>
              <w:right w:w="57" w:type="dxa"/>
            </w:tcMar>
            <w:vAlign w:val="top"/>
          </w:tcPr>
          <w:p w14:paraId="5652D48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2.没有现成信息需要另行制作</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1168832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3A4DCF8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401FF39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7DC4B44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15A8A2D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02E535A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2119457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1C08B8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0" w:hRule="atLeast"/>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57CA0815">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continue"/>
            <w:tcBorders>
              <w:top w:val="nil"/>
              <w:left w:val="nil"/>
              <w:bottom w:val="inset" w:color="auto" w:sz="8" w:space="0"/>
              <w:right w:val="single" w:color="auto" w:sz="8" w:space="0"/>
            </w:tcBorders>
            <w:shd w:val="clear" w:color="auto" w:fill="auto"/>
            <w:tcMar>
              <w:left w:w="57" w:type="dxa"/>
              <w:right w:w="57" w:type="dxa"/>
            </w:tcMar>
            <w:vAlign w:val="center"/>
          </w:tcPr>
          <w:p w14:paraId="14C7C756">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352" w:type="dxa"/>
            <w:tcBorders>
              <w:top w:val="nil"/>
              <w:left w:val="nil"/>
              <w:bottom w:val="single" w:color="auto" w:sz="8" w:space="0"/>
              <w:right w:val="single" w:color="auto" w:sz="8" w:space="0"/>
            </w:tcBorders>
            <w:shd w:val="clear" w:color="auto" w:fill="auto"/>
            <w:tcMar>
              <w:left w:w="57" w:type="dxa"/>
              <w:right w:w="57" w:type="dxa"/>
            </w:tcMar>
            <w:vAlign w:val="top"/>
          </w:tcPr>
          <w:p w14:paraId="09EFDC4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3.补正后申请内容仍不明确</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391B712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5C66780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39B3FB0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4C433E2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69085D4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0A9F609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2F394B6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4F0AE24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398BEEBA">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2683DD1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（五）不予处理</w:t>
            </w:r>
          </w:p>
        </w:tc>
        <w:tc>
          <w:tcPr>
            <w:tcW w:w="4352" w:type="dxa"/>
            <w:tcBorders>
              <w:top w:val="nil"/>
              <w:left w:val="nil"/>
              <w:bottom w:val="single" w:color="auto" w:sz="8" w:space="0"/>
              <w:right w:val="single" w:color="auto" w:sz="8" w:space="0"/>
            </w:tcBorders>
            <w:shd w:val="clear" w:color="auto" w:fill="auto"/>
            <w:tcMar>
              <w:left w:w="57" w:type="dxa"/>
              <w:right w:w="57" w:type="dxa"/>
            </w:tcMar>
            <w:vAlign w:val="top"/>
          </w:tcPr>
          <w:p w14:paraId="6E64E1D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1.信访举报投诉类申请</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3318BBF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1A9AE84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2C71EE6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37D34C5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286D8A9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2D8BB64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5B42374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3811366A">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19FEA913">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41429478">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352" w:type="dxa"/>
            <w:tcBorders>
              <w:top w:val="nil"/>
              <w:left w:val="nil"/>
              <w:bottom w:val="single" w:color="auto" w:sz="8" w:space="0"/>
              <w:right w:val="single" w:color="auto" w:sz="8" w:space="0"/>
            </w:tcBorders>
            <w:shd w:val="clear" w:color="auto" w:fill="auto"/>
            <w:tcMar>
              <w:left w:w="57" w:type="dxa"/>
              <w:right w:w="57" w:type="dxa"/>
            </w:tcMar>
            <w:vAlign w:val="top"/>
          </w:tcPr>
          <w:p w14:paraId="64AFFD8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2.重复申请</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2C2C4A4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725B8E9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7EBA7C4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0757286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5D24F36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6428CBE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7831B14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5298781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05DC9839">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02BECA41">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352" w:type="dxa"/>
            <w:tcBorders>
              <w:top w:val="nil"/>
              <w:left w:val="nil"/>
              <w:bottom w:val="single" w:color="auto" w:sz="8" w:space="0"/>
              <w:right w:val="single" w:color="auto" w:sz="8" w:space="0"/>
            </w:tcBorders>
            <w:shd w:val="clear" w:color="auto" w:fill="auto"/>
            <w:tcMar>
              <w:left w:w="57" w:type="dxa"/>
              <w:right w:w="57" w:type="dxa"/>
            </w:tcMar>
            <w:vAlign w:val="top"/>
          </w:tcPr>
          <w:p w14:paraId="148FAD6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3.要求提供公开出版物</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5D3A69B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172F5E3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1BC847E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288EFF2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7BBD4ED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0C471E8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45F6612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2ED8F53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439" w:hRule="atLeast"/>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05829879">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06EC1E8C">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352" w:type="dxa"/>
            <w:tcBorders>
              <w:top w:val="nil"/>
              <w:left w:val="nil"/>
              <w:bottom w:val="single" w:color="auto" w:sz="8" w:space="0"/>
              <w:right w:val="single" w:color="auto" w:sz="8" w:space="0"/>
            </w:tcBorders>
            <w:shd w:val="clear" w:color="auto" w:fill="auto"/>
            <w:tcMar>
              <w:left w:w="57" w:type="dxa"/>
              <w:right w:w="57" w:type="dxa"/>
            </w:tcMar>
            <w:vAlign w:val="top"/>
          </w:tcPr>
          <w:p w14:paraId="4528AC7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4.无正当理由大量反复申请</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729AF07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517099B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23AC3CF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1F2665C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72DA5C3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1F37DAD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0E36F6C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2B7AC1A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779" w:hRule="atLeast"/>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0BAF0CB8">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2E67C0A5">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352" w:type="dxa"/>
            <w:tcBorders>
              <w:top w:val="nil"/>
              <w:left w:val="nil"/>
              <w:bottom w:val="single" w:color="auto" w:sz="8" w:space="0"/>
              <w:right w:val="single" w:color="auto" w:sz="8" w:space="0"/>
            </w:tcBorders>
            <w:shd w:val="clear" w:color="auto" w:fill="auto"/>
            <w:tcMar>
              <w:left w:w="57" w:type="dxa"/>
              <w:right w:w="57" w:type="dxa"/>
            </w:tcMar>
            <w:vAlign w:val="center"/>
          </w:tcPr>
          <w:p w14:paraId="76C9F6E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5.要求行政机关确认或重新出具已获取信息</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45D4F6A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72761A9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78CDA4D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0CE0EFC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31A8236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51CE9AD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485563E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71EF88E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2166" w:hRule="atLeast"/>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31840CE5">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restart"/>
            <w:tcBorders>
              <w:top w:val="nil"/>
              <w:left w:val="nil"/>
              <w:bottom w:val="single" w:color="auto" w:sz="8" w:space="0"/>
              <w:right w:val="single" w:color="auto" w:sz="8" w:space="0"/>
            </w:tcBorders>
            <w:shd w:val="clear" w:color="auto" w:fill="auto"/>
            <w:tcMar>
              <w:left w:w="57" w:type="dxa"/>
              <w:right w:w="57" w:type="dxa"/>
            </w:tcMar>
            <w:vAlign w:val="center"/>
          </w:tcPr>
          <w:p w14:paraId="6C2F084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（六）其他处理</w:t>
            </w:r>
          </w:p>
        </w:tc>
        <w:tc>
          <w:tcPr>
            <w:tcW w:w="4352" w:type="dxa"/>
            <w:tcBorders>
              <w:top w:val="nil"/>
              <w:left w:val="nil"/>
              <w:bottom w:val="single" w:color="auto" w:sz="8" w:space="0"/>
              <w:right w:val="single" w:color="auto" w:sz="8" w:space="0"/>
            </w:tcBorders>
            <w:shd w:val="clear" w:color="auto" w:fill="auto"/>
            <w:tcMar>
              <w:left w:w="57" w:type="dxa"/>
              <w:right w:w="57" w:type="dxa"/>
            </w:tcMar>
            <w:vAlign w:val="center"/>
          </w:tcPr>
          <w:p w14:paraId="63F8527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1.申请人无正当理由逾期不补正、行政机关不再处理其政府信息公开申请</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68597C7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63EAC41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4195C05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3CC9D5D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36222AE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598F34F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1E25E84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14:paraId="35A76AB6">
            <w:pPr>
              <w:pStyle w:val="3"/>
              <w:keepNext w:val="0"/>
              <w:keepLines w:val="0"/>
              <w:pageBreakBefore w:val="0"/>
              <w:widowControl/>
              <w:suppressLineNumbers w:val="0"/>
              <w:kinsoku/>
              <w:wordWrap/>
              <w:overflowPunct/>
              <w:topLinePunct w:val="0"/>
              <w:autoSpaceDE/>
              <w:autoSpaceDN/>
              <w:bidi w:val="0"/>
              <w:adjustRightInd/>
              <w:snapToGrid/>
              <w:spacing w:beforeAutospacing="0" w:line="560" w:lineRule="exact"/>
              <w:ind w:left="0" w:firstLine="643"/>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14:paraId="3E1957E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3198D2E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37AE4EBA">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22B07276">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352" w:type="dxa"/>
            <w:tcBorders>
              <w:top w:val="nil"/>
              <w:left w:val="nil"/>
              <w:bottom w:val="single" w:color="auto" w:sz="8" w:space="0"/>
              <w:right w:val="single" w:color="auto" w:sz="8" w:space="0"/>
            </w:tcBorders>
            <w:shd w:val="clear" w:color="auto" w:fill="auto"/>
            <w:tcMar>
              <w:left w:w="57" w:type="dxa"/>
              <w:right w:w="57" w:type="dxa"/>
            </w:tcMar>
            <w:vAlign w:val="center"/>
          </w:tcPr>
          <w:p w14:paraId="19B923C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2.申请人逾期未按收费通知要求缴纳费用、行政机关不再处理其政府信息公开申请</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310B73D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44B8DAB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27A6E3D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160E35C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1723883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59B3ABD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5E5A754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14:paraId="10E6C24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6FC03DE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17FF2D24">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1078" w:type="dxa"/>
            <w:vMerge w:val="continue"/>
            <w:tcBorders>
              <w:top w:val="nil"/>
              <w:left w:val="nil"/>
              <w:bottom w:val="single" w:color="auto" w:sz="8" w:space="0"/>
              <w:right w:val="single" w:color="auto" w:sz="8" w:space="0"/>
            </w:tcBorders>
            <w:shd w:val="clear" w:color="auto" w:fill="auto"/>
            <w:tcMar>
              <w:left w:w="57" w:type="dxa"/>
              <w:right w:w="57" w:type="dxa"/>
            </w:tcMar>
            <w:vAlign w:val="center"/>
          </w:tcPr>
          <w:p w14:paraId="5CAFEAE9">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4352" w:type="dxa"/>
            <w:tcBorders>
              <w:top w:val="nil"/>
              <w:left w:val="nil"/>
              <w:bottom w:val="single" w:color="auto" w:sz="8" w:space="0"/>
              <w:right w:val="single" w:color="auto" w:sz="8" w:space="0"/>
            </w:tcBorders>
            <w:shd w:val="clear" w:color="auto" w:fill="auto"/>
            <w:tcMar>
              <w:left w:w="57" w:type="dxa"/>
              <w:right w:w="57" w:type="dxa"/>
            </w:tcMar>
            <w:vAlign w:val="center"/>
          </w:tcPr>
          <w:p w14:paraId="4F62B17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3.其他</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22797AA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08DCF19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1736875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7519C1C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05069A4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1C7B62F5">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top"/>
          </w:tcPr>
          <w:p w14:paraId="4444A06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5FDE12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776" w:type="dxa"/>
            <w:vMerge w:val="continue"/>
            <w:tcBorders>
              <w:top w:val="nil"/>
              <w:left w:val="single" w:color="auto" w:sz="8" w:space="0"/>
              <w:bottom w:val="inset" w:color="auto" w:sz="8" w:space="0"/>
              <w:right w:val="single" w:color="auto" w:sz="8" w:space="0"/>
            </w:tcBorders>
            <w:shd w:val="clear" w:color="auto" w:fill="auto"/>
            <w:tcMar>
              <w:left w:w="57" w:type="dxa"/>
              <w:right w:w="57" w:type="dxa"/>
            </w:tcMar>
            <w:vAlign w:val="center"/>
          </w:tcPr>
          <w:p w14:paraId="681D25EA">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5430" w:type="dxa"/>
            <w:gridSpan w:val="2"/>
            <w:tcBorders>
              <w:top w:val="nil"/>
              <w:left w:val="nil"/>
              <w:bottom w:val="single" w:color="auto" w:sz="8" w:space="0"/>
              <w:right w:val="single" w:color="auto" w:sz="8" w:space="0"/>
            </w:tcBorders>
            <w:shd w:val="clear" w:color="auto" w:fill="auto"/>
            <w:tcMar>
              <w:left w:w="57" w:type="dxa"/>
              <w:right w:w="57" w:type="dxa"/>
            </w:tcMar>
            <w:vAlign w:val="center"/>
          </w:tcPr>
          <w:p w14:paraId="036B7CF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（七）总计</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6130DB0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67BDD36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2214B53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4F81F4D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1398299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4C0BA45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center"/>
          </w:tcPr>
          <w:p w14:paraId="5AF9B4A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026B19A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206" w:type="dxa"/>
            <w:gridSpan w:val="3"/>
            <w:tcBorders>
              <w:top w:val="nil"/>
              <w:left w:val="single" w:color="auto" w:sz="8" w:space="0"/>
              <w:bottom w:val="single" w:color="auto" w:sz="8" w:space="0"/>
              <w:right w:val="single" w:color="auto" w:sz="8" w:space="0"/>
            </w:tcBorders>
            <w:shd w:val="clear" w:color="auto" w:fill="auto"/>
            <w:tcMar>
              <w:left w:w="57" w:type="dxa"/>
              <w:right w:w="57" w:type="dxa"/>
            </w:tcMar>
            <w:vAlign w:val="center"/>
          </w:tcPr>
          <w:p w14:paraId="101A6DC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四、结转下年度继续办理</w:t>
            </w:r>
          </w:p>
        </w:tc>
        <w:tc>
          <w:tcPr>
            <w:tcW w:w="511" w:type="dxa"/>
            <w:tcBorders>
              <w:top w:val="nil"/>
              <w:left w:val="nil"/>
              <w:bottom w:val="single" w:color="auto" w:sz="8" w:space="0"/>
              <w:right w:val="single" w:color="auto" w:sz="8" w:space="0"/>
            </w:tcBorders>
            <w:shd w:val="clear" w:color="auto" w:fill="auto"/>
            <w:tcMar>
              <w:left w:w="57" w:type="dxa"/>
              <w:right w:w="57" w:type="dxa"/>
            </w:tcMar>
            <w:vAlign w:val="center"/>
          </w:tcPr>
          <w:p w14:paraId="6B07828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2F7AD0D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375" w:type="dxa"/>
            <w:tcBorders>
              <w:top w:val="nil"/>
              <w:left w:val="nil"/>
              <w:bottom w:val="single" w:color="auto" w:sz="8" w:space="0"/>
              <w:right w:val="single" w:color="auto" w:sz="8" w:space="0"/>
            </w:tcBorders>
            <w:shd w:val="clear" w:color="auto" w:fill="auto"/>
            <w:tcMar>
              <w:left w:w="57" w:type="dxa"/>
              <w:right w:w="57" w:type="dxa"/>
            </w:tcMar>
            <w:vAlign w:val="center"/>
          </w:tcPr>
          <w:p w14:paraId="05A01A7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13" w:type="dxa"/>
            <w:tcBorders>
              <w:top w:val="nil"/>
              <w:left w:val="nil"/>
              <w:bottom w:val="single" w:color="auto" w:sz="8" w:space="0"/>
              <w:right w:val="single" w:color="auto" w:sz="8" w:space="0"/>
            </w:tcBorders>
            <w:shd w:val="clear" w:color="auto" w:fill="auto"/>
            <w:tcMar>
              <w:left w:w="57" w:type="dxa"/>
              <w:right w:w="57" w:type="dxa"/>
            </w:tcMar>
            <w:vAlign w:val="center"/>
          </w:tcPr>
          <w:p w14:paraId="04854A5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480" w:type="dxa"/>
            <w:tcBorders>
              <w:top w:val="nil"/>
              <w:left w:val="nil"/>
              <w:bottom w:val="single" w:color="auto" w:sz="8" w:space="0"/>
              <w:right w:val="single" w:color="auto" w:sz="8" w:space="0"/>
            </w:tcBorders>
            <w:shd w:val="clear" w:color="auto" w:fill="auto"/>
            <w:tcMar>
              <w:left w:w="57" w:type="dxa"/>
              <w:right w:w="57" w:type="dxa"/>
            </w:tcMar>
            <w:vAlign w:val="center"/>
          </w:tcPr>
          <w:p w14:paraId="77F311A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41" w:type="dxa"/>
            <w:tcBorders>
              <w:top w:val="nil"/>
              <w:left w:val="nil"/>
              <w:bottom w:val="single" w:color="auto" w:sz="8" w:space="0"/>
              <w:right w:val="single" w:color="auto" w:sz="8" w:space="0"/>
            </w:tcBorders>
            <w:shd w:val="clear" w:color="auto" w:fill="auto"/>
            <w:tcMar>
              <w:left w:w="57" w:type="dxa"/>
              <w:right w:w="57" w:type="dxa"/>
            </w:tcMar>
            <w:vAlign w:val="center"/>
          </w:tcPr>
          <w:p w14:paraId="76479E2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584" w:type="dxa"/>
            <w:tcBorders>
              <w:top w:val="nil"/>
              <w:left w:val="nil"/>
              <w:bottom w:val="single" w:color="auto" w:sz="8" w:space="0"/>
              <w:right w:val="single" w:color="auto" w:sz="8" w:space="0"/>
            </w:tcBorders>
            <w:shd w:val="clear" w:color="auto" w:fill="auto"/>
            <w:tcMar>
              <w:left w:w="57" w:type="dxa"/>
              <w:right w:w="57" w:type="dxa"/>
            </w:tcMar>
            <w:vAlign w:val="center"/>
          </w:tcPr>
          <w:p w14:paraId="66E718E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bl>
    <w:p w14:paraId="6969EC73">
      <w:pPr>
        <w:keepNext w:val="0"/>
        <w:keepLines w:val="0"/>
        <w:pageBreakBefore w:val="0"/>
        <w:numPr>
          <w:ilvl w:val="0"/>
          <w:numId w:val="1"/>
        </w:numPr>
        <w:kinsoku/>
        <w:wordWrap/>
        <w:overflowPunct/>
        <w:topLinePunct w:val="0"/>
        <w:autoSpaceDE/>
        <w:autoSpaceDN/>
        <w:bidi w:val="0"/>
        <w:adjustRightInd/>
        <w:snapToGrid/>
        <w:spacing w:beforeAutospacing="0"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18F2E7E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14:paraId="45BC318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行政复议</w:t>
            </w:r>
          </w:p>
        </w:tc>
        <w:tc>
          <w:tcPr>
            <w:tcW w:w="6503"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14:paraId="7A49320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行政诉讼</w:t>
            </w:r>
          </w:p>
        </w:tc>
      </w:tr>
      <w:tr w14:paraId="78BDA5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2314A79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结果维持</w:t>
            </w:r>
          </w:p>
        </w:tc>
        <w:tc>
          <w:tcPr>
            <w:tcW w:w="649"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14:paraId="2A07FB7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结果</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b/>
                <w:bCs/>
                <w:sz w:val="32"/>
                <w:szCs w:val="32"/>
              </w:rPr>
              <w:t>纠正</w:t>
            </w:r>
          </w:p>
        </w:tc>
        <w:tc>
          <w:tcPr>
            <w:tcW w:w="649"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14:paraId="2B0CECF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其他</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b/>
                <w:bCs/>
                <w:sz w:val="32"/>
                <w:szCs w:val="32"/>
              </w:rPr>
              <w:t>结果</w:t>
            </w:r>
          </w:p>
        </w:tc>
        <w:tc>
          <w:tcPr>
            <w:tcW w:w="649"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14:paraId="21013E4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尚未</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b/>
                <w:bCs/>
                <w:sz w:val="32"/>
                <w:szCs w:val="32"/>
              </w:rPr>
              <w:t>审结</w:t>
            </w:r>
          </w:p>
        </w:tc>
        <w:tc>
          <w:tcPr>
            <w:tcW w:w="649"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14:paraId="2473C3D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总计</w:t>
            </w:r>
          </w:p>
        </w:tc>
        <w:tc>
          <w:tcPr>
            <w:tcW w:w="3248"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14:paraId="2E84C713">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未经复议直接起诉</w:t>
            </w:r>
          </w:p>
        </w:tc>
        <w:tc>
          <w:tcPr>
            <w:tcW w:w="3255" w:type="dxa"/>
            <w:gridSpan w:val="5"/>
            <w:tcBorders>
              <w:top w:val="nil"/>
              <w:left w:val="nil"/>
              <w:bottom w:val="single" w:color="auto" w:sz="8" w:space="0"/>
              <w:right w:val="single" w:color="auto" w:sz="8" w:space="0"/>
            </w:tcBorders>
            <w:shd w:val="clear" w:color="auto" w:fill="auto"/>
            <w:tcMar>
              <w:left w:w="108" w:type="dxa"/>
              <w:right w:w="108" w:type="dxa"/>
            </w:tcMar>
            <w:vAlign w:val="center"/>
          </w:tcPr>
          <w:p w14:paraId="253FE05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复议后起诉</w:t>
            </w:r>
          </w:p>
        </w:tc>
      </w:tr>
      <w:tr w14:paraId="572F397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jc w:val="center"/>
        </w:trPr>
        <w:tc>
          <w:tcPr>
            <w:tcW w:w="649"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3B6B9055">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649"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14:paraId="7A377026">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649"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14:paraId="33AADA47">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649"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14:paraId="77D246BE">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649"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14:paraId="222828DB">
            <w:pPr>
              <w:keepNext w:val="0"/>
              <w:keepLines w:val="0"/>
              <w:pageBreakBefore w:val="0"/>
              <w:kinsoku/>
              <w:wordWrap/>
              <w:overflowPunct/>
              <w:topLinePunct w:val="0"/>
              <w:autoSpaceDE/>
              <w:autoSpaceDN/>
              <w:bidi w:val="0"/>
              <w:adjustRightInd/>
              <w:snapToGrid/>
              <w:spacing w:beforeAutospacing="0" w:line="560" w:lineRule="exact"/>
              <w:textAlignment w:val="auto"/>
              <w:rPr>
                <w:rFonts w:hint="eastAsia" w:ascii="仿宋_GB2312" w:hAnsi="仿宋_GB2312" w:eastAsia="仿宋_GB2312" w:cs="仿宋_GB2312"/>
                <w:sz w:val="32"/>
                <w:szCs w:val="32"/>
              </w:rPr>
            </w:pP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14:paraId="497B039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结果</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b/>
                <w:bCs/>
                <w:sz w:val="32"/>
                <w:szCs w:val="32"/>
              </w:rPr>
              <w:t>维持</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14:paraId="0129132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结果</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b/>
                <w:bCs/>
                <w:sz w:val="32"/>
                <w:szCs w:val="32"/>
              </w:rPr>
              <w:t>纠正</w:t>
            </w: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14:paraId="00C87A10">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其他</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b/>
                <w:bCs/>
                <w:sz w:val="32"/>
                <w:szCs w:val="32"/>
              </w:rPr>
              <w:t>结果</w:t>
            </w: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14:paraId="69C5E64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尚未</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b/>
                <w:bCs/>
                <w:sz w:val="32"/>
                <w:szCs w:val="32"/>
              </w:rPr>
              <w:t>审结</w:t>
            </w: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14:paraId="01BD065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总计</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14:paraId="2FAE19D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结果</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b/>
                <w:bCs/>
                <w:sz w:val="32"/>
                <w:szCs w:val="32"/>
              </w:rPr>
              <w:t>维持</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14:paraId="07B2610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结果</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b/>
                <w:bCs/>
                <w:sz w:val="32"/>
                <w:szCs w:val="32"/>
              </w:rPr>
              <w:t>纠正</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14:paraId="14BF3F9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其他</w:t>
            </w:r>
            <w:r>
              <w:rPr>
                <w:rFonts w:hint="eastAsia" w:ascii="仿宋_GB2312" w:hAnsi="仿宋_GB2312" w:eastAsia="仿宋_GB2312" w:cs="仿宋_GB2312"/>
                <w:b/>
                <w:bCs/>
                <w:color w:val="000000"/>
                <w:sz w:val="32"/>
                <w:szCs w:val="32"/>
              </w:rPr>
              <w:br w:type="textWrapping"/>
            </w:r>
            <w:r>
              <w:rPr>
                <w:rFonts w:hint="eastAsia" w:ascii="仿宋_GB2312" w:hAnsi="仿宋_GB2312" w:eastAsia="仿宋_GB2312" w:cs="仿宋_GB2312"/>
                <w:b/>
                <w:bCs/>
                <w:color w:val="000000"/>
                <w:sz w:val="32"/>
                <w:szCs w:val="32"/>
              </w:rPr>
              <w:t>结果</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14:paraId="1BD2247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尚未</w:t>
            </w:r>
            <w:r>
              <w:rPr>
                <w:rFonts w:hint="eastAsia" w:ascii="仿宋_GB2312" w:hAnsi="仿宋_GB2312" w:eastAsia="仿宋_GB2312" w:cs="仿宋_GB2312"/>
                <w:b/>
                <w:bCs/>
                <w:sz w:val="32"/>
                <w:szCs w:val="32"/>
              </w:rPr>
              <w:br w:type="textWrapping"/>
            </w:r>
            <w:r>
              <w:rPr>
                <w:rFonts w:hint="eastAsia" w:ascii="仿宋_GB2312" w:hAnsi="仿宋_GB2312" w:eastAsia="仿宋_GB2312" w:cs="仿宋_GB2312"/>
                <w:b/>
                <w:bCs/>
                <w:sz w:val="32"/>
                <w:szCs w:val="32"/>
              </w:rPr>
              <w:t>审结</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14:paraId="7831086F">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color w:val="000000"/>
                <w:sz w:val="32"/>
                <w:szCs w:val="32"/>
              </w:rPr>
              <w:t>总计</w:t>
            </w:r>
          </w:p>
        </w:tc>
      </w:tr>
      <w:tr w14:paraId="12130AA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672" w:hRule="atLeast"/>
          <w:jc w:val="center"/>
        </w:trPr>
        <w:tc>
          <w:tcPr>
            <w:tcW w:w="649"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14:paraId="75D05BB7">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14:paraId="1B6FAFF8">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14:paraId="5297BCF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14:paraId="2F3E396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14:paraId="2727C47C">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14:paraId="3CD9703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9" w:type="dxa"/>
            <w:tcBorders>
              <w:top w:val="nil"/>
              <w:left w:val="nil"/>
              <w:bottom w:val="single" w:color="auto" w:sz="8" w:space="0"/>
              <w:right w:val="single" w:color="auto" w:sz="8" w:space="0"/>
            </w:tcBorders>
            <w:shd w:val="clear" w:color="auto" w:fill="auto"/>
            <w:tcMar>
              <w:left w:w="108" w:type="dxa"/>
              <w:right w:w="108" w:type="dxa"/>
            </w:tcMar>
            <w:vAlign w:val="center"/>
          </w:tcPr>
          <w:p w14:paraId="2FEE886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14:paraId="26DB32C9">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14:paraId="06FBE0BE">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50" w:type="dxa"/>
            <w:tcBorders>
              <w:top w:val="nil"/>
              <w:left w:val="nil"/>
              <w:bottom w:val="single" w:color="auto" w:sz="8" w:space="0"/>
              <w:right w:val="single" w:color="auto" w:sz="8" w:space="0"/>
            </w:tcBorders>
            <w:shd w:val="clear" w:color="auto" w:fill="auto"/>
            <w:tcMar>
              <w:left w:w="108" w:type="dxa"/>
              <w:right w:w="108" w:type="dxa"/>
            </w:tcMar>
            <w:vAlign w:val="center"/>
          </w:tcPr>
          <w:p w14:paraId="091E797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14:paraId="2E23138D">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14:paraId="0BDFEB66">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14:paraId="1707528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14:paraId="3357F812">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51" w:type="dxa"/>
            <w:tcBorders>
              <w:top w:val="nil"/>
              <w:left w:val="nil"/>
              <w:bottom w:val="single" w:color="auto" w:sz="8" w:space="0"/>
              <w:right w:val="single" w:color="auto" w:sz="8" w:space="0"/>
            </w:tcBorders>
            <w:shd w:val="clear" w:color="auto" w:fill="auto"/>
            <w:tcMar>
              <w:left w:w="108" w:type="dxa"/>
              <w:right w:w="108" w:type="dxa"/>
            </w:tcMar>
            <w:vAlign w:val="center"/>
          </w:tcPr>
          <w:p w14:paraId="6958D0E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bl>
    <w:p w14:paraId="0C8E6FAE">
      <w:pPr>
        <w:keepNext w:val="0"/>
        <w:keepLines w:val="0"/>
        <w:pageBreakBefore w:val="0"/>
        <w:numPr>
          <w:ilvl w:val="0"/>
          <w:numId w:val="1"/>
        </w:numPr>
        <w:kinsoku/>
        <w:wordWrap/>
        <w:overflowPunct/>
        <w:topLinePunct w:val="0"/>
        <w:autoSpaceDE/>
        <w:autoSpaceDN/>
        <w:bidi w:val="0"/>
        <w:adjustRightInd/>
        <w:snapToGrid/>
        <w:spacing w:beforeAutospacing="0" w:line="560" w:lineRule="exact"/>
        <w:ind w:firstLine="640" w:firstLineChars="200"/>
        <w:jc w:val="both"/>
        <w:textAlignment w:val="auto"/>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存在</w:t>
      </w:r>
      <w:r>
        <w:rPr>
          <w:rFonts w:hint="eastAsia" w:ascii="黑体" w:hAnsi="黑体" w:eastAsia="黑体" w:cs="黑体"/>
          <w:b w:val="0"/>
          <w:bCs w:val="0"/>
          <w:sz w:val="32"/>
          <w:szCs w:val="32"/>
          <w:lang w:val="en-US" w:eastAsia="zh-CN"/>
        </w:rPr>
        <w:t>的主要</w:t>
      </w:r>
      <w:r>
        <w:rPr>
          <w:rFonts w:hint="eastAsia" w:ascii="黑体" w:hAnsi="黑体" w:eastAsia="黑体" w:cs="黑体"/>
          <w:b w:val="0"/>
          <w:bCs w:val="0"/>
          <w:sz w:val="32"/>
          <w:szCs w:val="32"/>
          <w:lang w:eastAsia="zh-CN"/>
        </w:rPr>
        <w:t>问题及</w:t>
      </w:r>
      <w:r>
        <w:rPr>
          <w:rFonts w:hint="eastAsia" w:ascii="黑体" w:hAnsi="黑体" w:eastAsia="黑体" w:cs="黑体"/>
          <w:b w:val="0"/>
          <w:bCs w:val="0"/>
          <w:sz w:val="32"/>
          <w:szCs w:val="32"/>
          <w:lang w:val="en-US" w:eastAsia="zh-CN"/>
        </w:rPr>
        <w:t>改进情况</w:t>
      </w:r>
    </w:p>
    <w:p w14:paraId="0A0552E1">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560" w:lineRule="exact"/>
        <w:ind w:left="0" w:firstLine="420"/>
        <w:jc w:val="both"/>
        <w:textAlignment w:val="auto"/>
        <w:rPr>
          <w:rFonts w:hint="eastAsia" w:ascii="仿宋" w:hAnsi="仿宋" w:eastAsia="仿宋" w:cs="仿宋"/>
          <w:b w:val="0"/>
          <w:bCs w:val="0"/>
          <w:kern w:val="2"/>
          <w:sz w:val="32"/>
          <w:szCs w:val="32"/>
          <w:lang w:val="en-US" w:eastAsia="zh-CN" w:bidi="ar-SA"/>
        </w:rPr>
      </w:pPr>
      <w:r>
        <w:rPr>
          <w:rFonts w:hint="eastAsia" w:ascii="仿宋_GB2312" w:hAnsi="仿宋_GB2312" w:eastAsia="仿宋_GB2312" w:cs="仿宋_GB2312"/>
          <w:sz w:val="32"/>
          <w:szCs w:val="32"/>
        </w:rPr>
        <w:t xml:space="preserve"> </w:t>
      </w:r>
      <w:r>
        <w:rPr>
          <w:rFonts w:hint="eastAsia" w:ascii="仿宋" w:hAnsi="仿宋" w:eastAsia="仿宋" w:cs="仿宋"/>
          <w:b w:val="0"/>
          <w:bCs w:val="0"/>
          <w:kern w:val="2"/>
          <w:sz w:val="32"/>
          <w:szCs w:val="32"/>
          <w:lang w:val="en-US" w:eastAsia="zh-CN" w:bidi="ar-SA"/>
        </w:rPr>
        <w:t>2025年，我局严格落实修订后的《中华人民共和国政府信息公开条例》，信息公开工作取得积极成效，社会公众知晓度和工作透明度显著提升。但仍存在两方面不足：一是部分信息发布不够及时；二是保障机制不够完善，涉密审查、发布审核、日常检查等制度有待健全。</w:t>
      </w:r>
    </w:p>
    <w:p w14:paraId="053DBC34">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560" w:lineRule="exact"/>
        <w:ind w:left="0" w:firstLine="42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 w:hAnsi="仿宋" w:eastAsia="仿宋" w:cs="仿宋"/>
          <w:b w:val="0"/>
          <w:bCs w:val="0"/>
          <w:kern w:val="2"/>
          <w:sz w:val="32"/>
          <w:szCs w:val="32"/>
          <w:lang w:val="en-US" w:eastAsia="zh-CN" w:bidi="ar-SA"/>
        </w:rPr>
        <w:t>下一步，我局将强化责任落实，确保信息及时发布、定期更新、动态维护；健全工作机制，完善涉密审查、审核和监督考核制度； 采取有力措施，推动信息公开工作提质增效、深入开展。</w:t>
      </w:r>
    </w:p>
    <w:p w14:paraId="7D76B16A">
      <w:pPr>
        <w:keepNext w:val="0"/>
        <w:keepLines w:val="0"/>
        <w:pageBreakBefore w:val="0"/>
        <w:numPr>
          <w:ilvl w:val="0"/>
          <w:numId w:val="1"/>
        </w:numPr>
        <w:kinsoku/>
        <w:wordWrap/>
        <w:overflowPunct/>
        <w:topLinePunct w:val="0"/>
        <w:autoSpaceDE/>
        <w:autoSpaceDN/>
        <w:bidi w:val="0"/>
        <w:adjustRightInd/>
        <w:snapToGrid/>
        <w:spacing w:beforeAutospacing="0"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其他需要报告的事项</w:t>
      </w:r>
    </w:p>
    <w:p w14:paraId="1928825A">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560" w:lineRule="exact"/>
        <w:ind w:left="0" w:firstLine="420"/>
        <w:jc w:val="both"/>
        <w:textAlignment w:val="auto"/>
        <w:rPr>
          <w:rFonts w:hint="eastAsia" w:ascii="仿宋" w:hAnsi="仿宋" w:eastAsia="仿宋" w:cs="仿宋"/>
          <w:b w:val="0"/>
          <w:bCs w:val="0"/>
          <w:kern w:val="2"/>
          <w:sz w:val="32"/>
          <w:szCs w:val="32"/>
          <w:lang w:val="en-US" w:eastAsia="zh-CN" w:bidi="ar-SA"/>
        </w:rPr>
      </w:pPr>
      <w:r>
        <w:rPr>
          <w:rFonts w:hint="eastAsia" w:ascii="仿宋" w:hAnsi="仿宋" w:eastAsia="仿宋" w:cs="仿宋"/>
          <w:b w:val="0"/>
          <w:bCs w:val="0"/>
          <w:kern w:val="2"/>
          <w:sz w:val="32"/>
          <w:szCs w:val="32"/>
          <w:lang w:val="en-US" w:eastAsia="zh-CN" w:bidi="ar-SA"/>
        </w:rPr>
        <w:t xml:space="preserve"> 2025年度，我局未收取任何信息处理费。</w:t>
      </w:r>
    </w:p>
    <w:p w14:paraId="2A869AEB">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105" w:afterAutospacing="0" w:line="560" w:lineRule="exact"/>
        <w:ind w:left="0" w:firstLine="420"/>
        <w:jc w:val="both"/>
        <w:textAlignment w:val="auto"/>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BC3FB2"/>
    <w:multiLevelType w:val="singleLevel"/>
    <w:tmpl w:val="8CBC3FB2"/>
    <w:lvl w:ilvl="0" w:tentative="0">
      <w:start w:val="1"/>
      <w:numFmt w:val="chineseCounting"/>
      <w:suff w:val="nothing"/>
      <w:lvlText w:val="（%1）"/>
      <w:lvlJc w:val="left"/>
      <w:rPr>
        <w:rFonts w:hint="eastAsia"/>
      </w:rPr>
    </w:lvl>
  </w:abstractNum>
  <w:abstractNum w:abstractNumId="1">
    <w:nsid w:val="668C6C59"/>
    <w:multiLevelType w:val="singleLevel"/>
    <w:tmpl w:val="668C6C59"/>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A1A7C9C"/>
    <w:rsid w:val="01C8006A"/>
    <w:rsid w:val="28EF40E2"/>
    <w:rsid w:val="36A165F4"/>
    <w:rsid w:val="4C3E28CA"/>
    <w:rsid w:val="5C0112B7"/>
    <w:rsid w:val="712B2B5A"/>
    <w:rsid w:val="79875A28"/>
    <w:rsid w:val="7B595F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2083</Words>
  <Characters>2154</Characters>
  <Lines>0</Lines>
  <Paragraphs>0</Paragraphs>
  <TotalTime>282</TotalTime>
  <ScaleCrop>false</ScaleCrop>
  <LinksUpToDate>false</LinksUpToDate>
  <CharactersWithSpaces>2164</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2025-12-03T02:04:00Z</dcterms:created>
  <dc:creator>梅子姑娘</dc:creator>
  <cp:lastModifiedBy>梅子姑娘</cp:lastModifiedBy>
  <cp:lastPrinted>2025-12-12T09:03:00Z</cp:lastPrinted>
  <dcterms:modified xsi:type="dcterms:W3CDTF">2026-01-26T07:51:34Z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B8C88C8F9A044187AD4A88FEBBF71EF4_11</vt:lpwstr>
  </property>
  <property fmtid="{D5CDD505-2E9C-101B-9397-08002B2CF9AE}" pid="4" name="KSOTemplateDocerSaveRecord">
    <vt:lpwstr>eyJoZGlkIjoiNGI2MTM3YjgxMzc1NGMyYjhlMDgyMWFjMGE0ZTU3YzQiLCJ1c2VySWQiOiIzMTgwMzE3NzEifQ==</vt:lpwstr>
  </property>
</Properties>
</file>