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84A5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pPr>
      <w:r>
        <w:rPr>
          <w:rFonts w:ascii="方正公文小标宋" w:hAnsi="方正公文小标宋" w:eastAsia="方正公文小标宋" w:cs="方正公文小标宋"/>
          <w:b w:val="0"/>
          <w:bCs w:val="0"/>
          <w:i w:val="0"/>
          <w:iCs w:val="0"/>
          <w:caps w:val="0"/>
          <w:color w:val="000000"/>
          <w:spacing w:val="0"/>
          <w:kern w:val="0"/>
          <w:sz w:val="36"/>
          <w:szCs w:val="36"/>
          <w:shd w:val="clear" w:fill="FFFFFF"/>
        </w:rPr>
        <w:t>高安市上湖乡</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eastAsia="zh-CN"/>
        </w:rPr>
        <w:t>2025</w:t>
      </w: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rPr>
        <w:t>年政府信息公开工作年度报告</w:t>
      </w:r>
    </w:p>
    <w:p w14:paraId="506674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ascii="方正仿宋_GB2312" w:hAnsi="方正仿宋_GB2312" w:eastAsia="方正仿宋_GB2312" w:cs="方正仿宋_GB2312"/>
          <w:i w:val="0"/>
          <w:iCs w:val="0"/>
          <w:caps w:val="0"/>
          <w:color w:val="000000"/>
          <w:spacing w:val="0"/>
          <w:kern w:val="0"/>
          <w:sz w:val="28"/>
          <w:szCs w:val="28"/>
          <w:shd w:val="clear" w:fill="FFFFFF"/>
        </w:rPr>
        <w:t> </w:t>
      </w:r>
    </w:p>
    <w:p w14:paraId="180ED4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一、总体情况</w:t>
      </w:r>
    </w:p>
    <w:p w14:paraId="0C75FB89">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2025年，上湖乡人民政府坚持以习近平新时代中国特色社会主义思想为指导，深入贯彻党的二十大及历次全会精神，严格落实《中华人民共和国政府信息公开条例》（国务院令第711号）和《国务院办公厅政府信息与政务公开办公室关于印发中华人民共和国政府信息公开工作年度报告格式的通知》（国办公开办函〔2021〕30号）等文件通知要求，牢固树立“以公开为常态、不公开为例外”的工作理念，以打造透明化、服务型政府为目标，扎实推进政府信息公开各项工作。</w:t>
      </w:r>
    </w:p>
    <w:p w14:paraId="43C3866C">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全年工作中，我乡精准锚定目标任务，紧紧围绕省委、省政府中心工作部署，聚焦社会群众关注关切的重点领域，将信息公开与乡域经济发展、民生保障、乡村振兴、安全生产等核心工作深度融合。在提升公开质量方面，推行“清单管理”模式，梳理编制政府信息主动公开目录，明确公开主体、内容、标准和时限，严格执行“三审三校”审核程序，确保公开信息的合法性、准确性和完整性；针对群众关心的惠民政策、财政预决算、重大项目建设等内容，通过数字化、图表化等方式优化呈现形式，让政策解读更通俗易懂，切实提升信息公开的针对性和可读性。</w:t>
      </w:r>
    </w:p>
    <w:p w14:paraId="28F54DA8">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在拓宽公开渠道方面，构建“线上+线下”多元化传播体系。线上升级乡人民政府门户网站信息公开专栏，优化导航检索功能；线下依托便民服务中心政务公开体验点等阵地，设置信息公开查阅点，摆放宣传手册、公示栏，为群众提供便捷的信息获取途径。同时，健全舆情收集与回应机制，密切关注政务相关舆情，对公众关切的热点问题快速反应、及时发声，确保信息发布及时、准确、全面。</w:t>
      </w:r>
    </w:p>
    <w:p w14:paraId="42A4DE77">
      <w:pPr>
        <w:keepNext w:val="0"/>
        <w:keepLines w:val="0"/>
        <w:widowControl/>
        <w:suppressLineNumbers w:val="0"/>
        <w:ind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通过一系列举措，上湖乡人民政府信息公开工作实效持续增强，政府公信力和执行力显著提升，有效保障了群众的知情权、参与权、表达权和监督权，为乡域经济社会高质量发展营造了公开透明、规范有序的良好环境</w:t>
      </w:r>
    </w:p>
    <w:p w14:paraId="0B767AA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（一）主动公开情况</w:t>
      </w:r>
    </w:p>
    <w:p w14:paraId="434F932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2312" w:hAnsi="方正仿宋_GB2312" w:eastAsia="方正仿宋_GB2312" w:cs="方正仿宋_GB2312"/>
          <w:i w:val="0"/>
          <w:iCs w:val="0"/>
          <w:caps w:val="0"/>
          <w:color w:val="000000"/>
          <w:spacing w:val="0"/>
          <w:kern w:val="0"/>
          <w:sz w:val="28"/>
          <w:szCs w:val="28"/>
          <w:shd w:val="clear" w:fill="FFFFFF"/>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年，我乡重新梳理了主动公开服务事项，公开信息总数为</w:t>
      </w: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rPr>
        <w:t>588</w:t>
      </w:r>
      <w:r>
        <w:rPr>
          <w:rFonts w:hint="eastAsia" w:ascii="方正仿宋_GB2312" w:hAnsi="方正仿宋_GB2312" w:eastAsia="方正仿宋_GB2312" w:cs="方正仿宋_GB2312"/>
          <w:i w:val="0"/>
          <w:iCs w:val="0"/>
          <w:caps w:val="0"/>
          <w:color w:val="000000"/>
          <w:spacing w:val="0"/>
          <w:kern w:val="0"/>
          <w:sz w:val="28"/>
          <w:szCs w:val="28"/>
          <w:shd w:val="clear" w:fill="FFFFFF"/>
        </w:rPr>
        <w:t>条。主要是机构简介、机构职能、发展规划、政务动态、公示公告、财政预决算、年度报告等内容。</w:t>
      </w:r>
    </w:p>
    <w:p w14:paraId="734FE6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（二）依申请公开情况</w:t>
      </w:r>
    </w:p>
    <w:p w14:paraId="0FA7FA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无</w:t>
      </w:r>
    </w:p>
    <w:p w14:paraId="6EF69E10">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2312" w:hAnsi="方正仿宋_GB2312" w:eastAsia="方正仿宋_GB2312" w:cs="方正仿宋_GB2312"/>
          <w:i w:val="0"/>
          <w:iCs w:val="0"/>
          <w:caps w:val="0"/>
          <w:color w:val="000000"/>
          <w:spacing w:val="0"/>
          <w:kern w:val="0"/>
          <w:sz w:val="28"/>
          <w:szCs w:val="28"/>
          <w:shd w:val="clear" w:fill="FFFFFF"/>
        </w:rPr>
      </w:pPr>
      <w:r>
        <w:rPr>
          <w:rFonts w:hint="eastAsia" w:ascii="方正仿宋_GB2312" w:hAnsi="方正仿宋_GB2312" w:eastAsia="方正仿宋_GB2312" w:cs="方正仿宋_GB2312"/>
          <w:i w:val="0"/>
          <w:iCs w:val="0"/>
          <w:caps w:val="0"/>
          <w:color w:val="000000"/>
          <w:spacing w:val="0"/>
          <w:kern w:val="0"/>
          <w:sz w:val="28"/>
          <w:szCs w:val="28"/>
          <w:shd w:val="clear" w:fill="FFFFFF"/>
        </w:rPr>
        <w:t>政府信息管理情况</w:t>
      </w:r>
    </w:p>
    <w:p w14:paraId="3244A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1、夯实组织基础。为切实提升政府信息公开工作质效，建立乡主要领导负总责、分管领导具体抓、党政办牵头落实、各相关科室联动配合的责任体系，明确专人专班负责信息发布、系统维护及内容更新，确保各项工作有序推进。</w:t>
      </w:r>
    </w:p>
    <w:p w14:paraId="040A54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2、完善制度规范。聚焦信息公开保密管理关键环节，严格落实 “谁公开、谁审查、谁负责” 工作要求，健全事前审查、事中复核、事后追溯的全流程保密审查机制，坚决守住涉密信息不公开、公开信息不含密的底线。</w:t>
      </w:r>
    </w:p>
    <w:p w14:paraId="68D7056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（四）政府信息公开平台建设</w:t>
      </w:r>
    </w:p>
    <w:p w14:paraId="4D9C29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2025年，我乡对标工作要求，对政务公开栏目进行全面梳理整合，严格落实长期公开、定期公开、随时公开三类公开时限要求，确保公开内容规范有序。创新打造政务公开体验区，为群众提供沉浸式查阅、互动体验服务，让群众能够直观了解我乡工作动态，切实提升政务公开的实效性与便民度。</w:t>
      </w:r>
    </w:p>
    <w:p w14:paraId="24D0BA0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rPr>
        <w:t>（五）监督保障工作情况</w:t>
      </w:r>
    </w:p>
    <w:p w14:paraId="492447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1、筑牢制度防线。严格落细落实政府信息公开保密审查制度，从源头把控信息发布质量，确保公开内容真实准确、发布及时高效、管理安全规范。</w:t>
      </w:r>
    </w:p>
    <w:p w14:paraId="1BDF4E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60" w:firstLineChars="200"/>
        <w:jc w:val="left"/>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2、抓实问题整改。针对市政府信息公开反馈的问题，第一时间制定整改方案、细化整改举措，做到立行立改、真改实改，确保整改工作全面到位、取得实效。</w:t>
      </w:r>
    </w:p>
    <w:p w14:paraId="4451177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二、主动公开政府信息情况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2066"/>
        <w:gridCol w:w="2066"/>
        <w:gridCol w:w="2066"/>
        <w:gridCol w:w="2090"/>
      </w:tblGrid>
      <w:tr w14:paraId="77A250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1BC248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第二十条第（一）项</w:t>
            </w:r>
          </w:p>
        </w:tc>
      </w:tr>
      <w:tr w14:paraId="7D12FA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AB7B37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2445" w:type="dxa"/>
            <w:tcBorders>
              <w:top w:val="outset" w:color="auto" w:sz="6" w:space="0"/>
              <w:left w:val="nil"/>
              <w:bottom w:val="outset" w:color="auto" w:sz="6" w:space="0"/>
              <w:right w:val="outset" w:color="auto" w:sz="6" w:space="0"/>
            </w:tcBorders>
            <w:shd w:val="clear" w:color="auto" w:fill="auto"/>
            <w:vAlign w:val="center"/>
          </w:tcPr>
          <w:p w14:paraId="6119A4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本年制发件数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5DB4100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本年废止件数</w:t>
            </w:r>
          </w:p>
        </w:tc>
        <w:tc>
          <w:tcPr>
            <w:tcW w:w="2445" w:type="dxa"/>
            <w:tcBorders>
              <w:top w:val="outset" w:color="auto" w:sz="6" w:space="0"/>
              <w:left w:val="nil"/>
              <w:bottom w:val="outset" w:color="auto" w:sz="6" w:space="0"/>
              <w:right w:val="outset" w:color="auto" w:sz="6" w:space="0"/>
            </w:tcBorders>
            <w:shd w:val="clear" w:color="auto" w:fill="auto"/>
            <w:vAlign w:val="center"/>
          </w:tcPr>
          <w:p w14:paraId="266F9E3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现行有效件数</w:t>
            </w:r>
          </w:p>
        </w:tc>
      </w:tr>
      <w:tr w14:paraId="0AAF32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A539B3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规   章</w:t>
            </w:r>
          </w:p>
        </w:tc>
        <w:tc>
          <w:tcPr>
            <w:tcW w:w="2445" w:type="dxa"/>
            <w:tcBorders>
              <w:top w:val="outset" w:color="auto" w:sz="6" w:space="0"/>
              <w:left w:val="nil"/>
              <w:bottom w:val="outset" w:color="auto" w:sz="6" w:space="0"/>
              <w:right w:val="outset" w:color="auto" w:sz="6" w:space="0"/>
            </w:tcBorders>
            <w:shd w:val="clear" w:color="auto" w:fill="auto"/>
            <w:vAlign w:val="center"/>
          </w:tcPr>
          <w:p w14:paraId="2F15882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746F3A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2D52D2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657F0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388DA58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行政规范性文件</w:t>
            </w:r>
          </w:p>
        </w:tc>
        <w:tc>
          <w:tcPr>
            <w:tcW w:w="2445" w:type="dxa"/>
            <w:tcBorders>
              <w:top w:val="outset" w:color="auto" w:sz="6" w:space="0"/>
              <w:left w:val="nil"/>
              <w:bottom w:val="outset" w:color="auto" w:sz="6" w:space="0"/>
              <w:right w:val="outset" w:color="auto" w:sz="6" w:space="0"/>
            </w:tcBorders>
            <w:shd w:val="clear" w:color="auto" w:fill="auto"/>
            <w:vAlign w:val="center"/>
          </w:tcPr>
          <w:p w14:paraId="072C6B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571A4D8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2445" w:type="dxa"/>
            <w:tcBorders>
              <w:top w:val="outset" w:color="auto" w:sz="6" w:space="0"/>
              <w:left w:val="nil"/>
              <w:bottom w:val="outset" w:color="auto" w:sz="6" w:space="0"/>
              <w:right w:val="outset" w:color="auto" w:sz="6" w:space="0"/>
            </w:tcBorders>
            <w:shd w:val="clear" w:color="auto" w:fill="auto"/>
            <w:vAlign w:val="center"/>
          </w:tcPr>
          <w:p w14:paraId="64B3BD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left"/>
              <w:textAlignment w:val="auto"/>
            </w:pPr>
            <w:r>
              <w:rPr>
                <w:rFonts w:hint="eastAsia" w:ascii="方正仿宋_GB2312" w:hAnsi="方正仿宋_GB2312" w:eastAsia="方正仿宋_GB2312" w:cs="方正仿宋_GB2312"/>
                <w:kern w:val="0"/>
                <w:sz w:val="28"/>
                <w:szCs w:val="28"/>
                <w:lang w:val="en-US" w:eastAsia="zh-CN" w:bidi="ar"/>
              </w:rPr>
              <w:t>0</w:t>
            </w:r>
          </w:p>
        </w:tc>
      </w:tr>
      <w:tr w14:paraId="432D5E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796354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第二十条第（五）项</w:t>
            </w:r>
          </w:p>
        </w:tc>
      </w:tr>
      <w:tr w14:paraId="67797DE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48F5CD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3CCA5AF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43B496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205C08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行政许可</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B21C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55EED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00DAD0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第二十条第（六）项</w:t>
            </w:r>
          </w:p>
        </w:tc>
      </w:tr>
      <w:tr w14:paraId="0C3EC2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7A730A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6C8099F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本年处理决定数量</w:t>
            </w:r>
          </w:p>
        </w:tc>
      </w:tr>
      <w:tr w14:paraId="6F815E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2A5A4E8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行政处罚</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0F70784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943BA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64D5738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行政强制</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2EB53E1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B373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14:paraId="3C2BAE4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第二十条第（八）项</w:t>
            </w:r>
          </w:p>
        </w:tc>
      </w:tr>
      <w:tr w14:paraId="390B3F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76CEF48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信息内容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726A01A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本年收费金额（单位：万元）</w:t>
            </w:r>
          </w:p>
        </w:tc>
      </w:tr>
      <w:tr w14:paraId="4D0B8C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14:paraId="1FFCE3B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行政事业性收费</w:t>
            </w:r>
          </w:p>
        </w:tc>
        <w:tc>
          <w:tcPr>
            <w:tcW w:w="7365" w:type="dxa"/>
            <w:gridSpan w:val="3"/>
            <w:tcBorders>
              <w:top w:val="outset" w:color="auto" w:sz="6" w:space="0"/>
              <w:left w:val="nil"/>
              <w:bottom w:val="outset" w:color="auto" w:sz="6" w:space="0"/>
              <w:right w:val="outset" w:color="auto" w:sz="6" w:space="0"/>
            </w:tcBorders>
            <w:shd w:val="clear" w:color="auto" w:fill="auto"/>
            <w:vAlign w:val="center"/>
          </w:tcPr>
          <w:p w14:paraId="582E08B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139B1D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三、收到和处理政府信息公开申请情况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735"/>
        <w:gridCol w:w="965"/>
        <w:gridCol w:w="3653"/>
        <w:gridCol w:w="408"/>
        <w:gridCol w:w="430"/>
        <w:gridCol w:w="365"/>
        <w:gridCol w:w="452"/>
        <w:gridCol w:w="408"/>
        <w:gridCol w:w="430"/>
        <w:gridCol w:w="442"/>
      </w:tblGrid>
      <w:tr w14:paraId="68DCE3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color="auto" w:fill="auto"/>
            <w:vAlign w:val="center"/>
          </w:tcPr>
          <w:p w14:paraId="0F3E6D2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（本列数据的勾稽关系为：第一项加第二项之和，等于第三项加第四项之和）</w:t>
            </w:r>
          </w:p>
        </w:tc>
        <w:tc>
          <w:tcPr>
            <w:tcW w:w="3135" w:type="dxa"/>
            <w:gridSpan w:val="7"/>
            <w:tcBorders>
              <w:top w:val="outset" w:color="auto" w:sz="6" w:space="0"/>
              <w:left w:val="nil"/>
              <w:bottom w:val="outset" w:color="auto" w:sz="6" w:space="0"/>
              <w:right w:val="outset" w:color="auto" w:sz="6" w:space="0"/>
            </w:tcBorders>
            <w:shd w:val="clear" w:color="auto" w:fill="auto"/>
            <w:vAlign w:val="center"/>
          </w:tcPr>
          <w:p w14:paraId="55236E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申请人情况</w:t>
            </w:r>
          </w:p>
        </w:tc>
      </w:tr>
      <w:tr w14:paraId="567A21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3536924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restart"/>
            <w:tcBorders>
              <w:top w:val="nil"/>
              <w:left w:val="nil"/>
              <w:bottom w:val="outset" w:color="auto" w:sz="6" w:space="0"/>
              <w:right w:val="outset" w:color="auto" w:sz="6" w:space="0"/>
            </w:tcBorders>
            <w:shd w:val="clear" w:color="auto" w:fill="auto"/>
            <w:vAlign w:val="center"/>
          </w:tcPr>
          <w:p w14:paraId="48E1B58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自</w:t>
            </w:r>
          </w:p>
          <w:p w14:paraId="7CCFB9E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然</w:t>
            </w:r>
          </w:p>
          <w:p w14:paraId="466E11B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人</w:t>
            </w:r>
          </w:p>
        </w:tc>
        <w:tc>
          <w:tcPr>
            <w:tcW w:w="2235" w:type="dxa"/>
            <w:gridSpan w:val="5"/>
            <w:tcBorders>
              <w:top w:val="outset" w:color="auto" w:sz="6" w:space="0"/>
              <w:left w:val="nil"/>
              <w:bottom w:val="outset" w:color="auto" w:sz="6" w:space="0"/>
              <w:right w:val="outset" w:color="auto" w:sz="6" w:space="0"/>
            </w:tcBorders>
            <w:shd w:val="clear" w:color="auto" w:fill="auto"/>
            <w:vAlign w:val="center"/>
          </w:tcPr>
          <w:p w14:paraId="410F27E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法人或其他组织</w:t>
            </w:r>
          </w:p>
        </w:tc>
        <w:tc>
          <w:tcPr>
            <w:tcW w:w="465" w:type="dxa"/>
            <w:vMerge w:val="restart"/>
            <w:tcBorders>
              <w:top w:val="outset" w:color="auto" w:sz="6" w:space="0"/>
              <w:left w:val="nil"/>
              <w:bottom w:val="outset" w:color="auto" w:sz="6" w:space="0"/>
              <w:right w:val="outset" w:color="auto" w:sz="6" w:space="0"/>
            </w:tcBorders>
            <w:shd w:val="clear" w:color="auto" w:fill="auto"/>
            <w:vAlign w:val="center"/>
          </w:tcPr>
          <w:p w14:paraId="0C6180F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0E8855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14:paraId="49C906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35" w:type="dxa"/>
            <w:vMerge w:val="continue"/>
            <w:tcBorders>
              <w:top w:val="nil"/>
              <w:left w:val="nil"/>
              <w:bottom w:val="outset" w:color="auto" w:sz="6" w:space="0"/>
              <w:right w:val="outset" w:color="auto" w:sz="6" w:space="0"/>
            </w:tcBorders>
            <w:shd w:val="clear" w:color="auto" w:fill="auto"/>
            <w:vAlign w:val="center"/>
          </w:tcPr>
          <w:p w14:paraId="4379060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65" w:type="dxa"/>
            <w:tcBorders>
              <w:top w:val="outset" w:color="auto" w:sz="6" w:space="0"/>
              <w:left w:val="nil"/>
              <w:bottom w:val="outset" w:color="auto" w:sz="6" w:space="0"/>
              <w:right w:val="outset" w:color="auto" w:sz="6" w:space="0"/>
            </w:tcBorders>
            <w:shd w:val="clear" w:color="auto" w:fill="auto"/>
            <w:vAlign w:val="center"/>
          </w:tcPr>
          <w:p w14:paraId="4E95B92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商业</w:t>
            </w:r>
          </w:p>
          <w:p w14:paraId="72E2DA6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企业</w:t>
            </w:r>
          </w:p>
        </w:tc>
        <w:tc>
          <w:tcPr>
            <w:tcW w:w="375" w:type="dxa"/>
            <w:tcBorders>
              <w:top w:val="outset" w:color="auto" w:sz="6" w:space="0"/>
              <w:left w:val="nil"/>
              <w:bottom w:val="outset" w:color="auto" w:sz="6" w:space="0"/>
              <w:right w:val="outset" w:color="auto" w:sz="6" w:space="0"/>
            </w:tcBorders>
            <w:shd w:val="clear" w:color="auto" w:fill="auto"/>
            <w:vAlign w:val="center"/>
          </w:tcPr>
          <w:p w14:paraId="1C7175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科研</w:t>
            </w:r>
          </w:p>
          <w:p w14:paraId="2E350B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机构</w:t>
            </w:r>
          </w:p>
        </w:tc>
        <w:tc>
          <w:tcPr>
            <w:tcW w:w="495" w:type="dxa"/>
            <w:tcBorders>
              <w:top w:val="outset" w:color="auto" w:sz="6" w:space="0"/>
              <w:left w:val="nil"/>
              <w:bottom w:val="outset" w:color="auto" w:sz="6" w:space="0"/>
              <w:right w:val="outset" w:color="auto" w:sz="6" w:space="0"/>
            </w:tcBorders>
            <w:shd w:val="clear" w:color="auto" w:fill="auto"/>
            <w:vAlign w:val="center"/>
          </w:tcPr>
          <w:p w14:paraId="401720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社会公益组织</w:t>
            </w:r>
          </w:p>
        </w:tc>
        <w:tc>
          <w:tcPr>
            <w:tcW w:w="435" w:type="dxa"/>
            <w:tcBorders>
              <w:top w:val="outset" w:color="auto" w:sz="6" w:space="0"/>
              <w:left w:val="nil"/>
              <w:bottom w:val="outset" w:color="auto" w:sz="6" w:space="0"/>
              <w:right w:val="outset" w:color="auto" w:sz="6" w:space="0"/>
            </w:tcBorders>
            <w:shd w:val="clear" w:color="auto" w:fill="auto"/>
            <w:vAlign w:val="center"/>
          </w:tcPr>
          <w:p w14:paraId="029C0B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法律服务机构</w:t>
            </w:r>
          </w:p>
        </w:tc>
        <w:tc>
          <w:tcPr>
            <w:tcW w:w="450" w:type="dxa"/>
            <w:tcBorders>
              <w:top w:val="outset" w:color="auto" w:sz="6" w:space="0"/>
              <w:left w:val="nil"/>
              <w:bottom w:val="outset" w:color="auto" w:sz="6" w:space="0"/>
              <w:right w:val="outset" w:color="auto" w:sz="6" w:space="0"/>
            </w:tcBorders>
            <w:shd w:val="clear" w:color="auto" w:fill="auto"/>
            <w:vAlign w:val="center"/>
          </w:tcPr>
          <w:p w14:paraId="402E86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tc>
        <w:tc>
          <w:tcPr>
            <w:tcW w:w="465" w:type="dxa"/>
            <w:vMerge w:val="continue"/>
            <w:tcBorders>
              <w:top w:val="outset" w:color="auto" w:sz="6" w:space="0"/>
              <w:left w:val="nil"/>
              <w:bottom w:val="outset" w:color="auto" w:sz="6" w:space="0"/>
              <w:right w:val="outset" w:color="auto" w:sz="6" w:space="0"/>
            </w:tcBorders>
            <w:shd w:val="clear" w:color="auto" w:fill="auto"/>
            <w:vAlign w:val="center"/>
          </w:tcPr>
          <w:p w14:paraId="4A7071B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r>
      <w:tr w14:paraId="43A6A7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606E172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一、本年新收政府信息公开申请数量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77A0CAC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A27EA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2CAB232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DAF9E0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8AD6A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24D7A4F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7D8521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336B7B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120CB83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二、上年结转政府信息公开申请数量</w:t>
            </w:r>
          </w:p>
        </w:tc>
        <w:tc>
          <w:tcPr>
            <w:tcW w:w="435" w:type="dxa"/>
            <w:tcBorders>
              <w:top w:val="outset" w:color="auto" w:sz="6" w:space="0"/>
              <w:left w:val="nil"/>
              <w:bottom w:val="outset" w:color="auto" w:sz="6" w:space="0"/>
              <w:right w:val="outset" w:color="auto" w:sz="6" w:space="0"/>
            </w:tcBorders>
            <w:shd w:val="clear" w:color="auto" w:fill="auto"/>
            <w:vAlign w:val="center"/>
          </w:tcPr>
          <w:p w14:paraId="34D08C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904B64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E395A0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F59D27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7DD2FD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C1F8FB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3AD9B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4BB1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restart"/>
            <w:tcBorders>
              <w:top w:val="nil"/>
              <w:left w:val="outset" w:color="auto" w:sz="6" w:space="0"/>
              <w:bottom w:val="outset" w:color="auto" w:sz="6" w:space="0"/>
              <w:right w:val="outset" w:color="auto" w:sz="6" w:space="0"/>
            </w:tcBorders>
            <w:shd w:val="clear" w:color="auto" w:fill="auto"/>
            <w:vAlign w:val="center"/>
          </w:tcPr>
          <w:p w14:paraId="65A6C45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三、本年度办理结果</w:t>
            </w: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0989097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（一）予以公开</w:t>
            </w:r>
          </w:p>
        </w:tc>
        <w:tc>
          <w:tcPr>
            <w:tcW w:w="435" w:type="dxa"/>
            <w:tcBorders>
              <w:top w:val="outset" w:color="auto" w:sz="6" w:space="0"/>
              <w:left w:val="nil"/>
              <w:bottom w:val="outset" w:color="auto" w:sz="6" w:space="0"/>
              <w:right w:val="outset" w:color="auto" w:sz="6" w:space="0"/>
            </w:tcBorders>
            <w:shd w:val="clear" w:color="auto" w:fill="auto"/>
            <w:vAlign w:val="center"/>
          </w:tcPr>
          <w:p w14:paraId="530B37E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5346A6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1659BDC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1DEBD5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C00C5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017048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DCF416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8822F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DD8C9A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55A03D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（二）部分公开（区分处理的，只计这一情形，不计其他情形）</w:t>
            </w:r>
          </w:p>
        </w:tc>
        <w:tc>
          <w:tcPr>
            <w:tcW w:w="435" w:type="dxa"/>
            <w:tcBorders>
              <w:top w:val="outset" w:color="auto" w:sz="6" w:space="0"/>
              <w:left w:val="nil"/>
              <w:bottom w:val="outset" w:color="auto" w:sz="6" w:space="0"/>
              <w:right w:val="outset" w:color="auto" w:sz="6" w:space="0"/>
            </w:tcBorders>
            <w:shd w:val="clear" w:color="auto" w:fill="auto"/>
            <w:vAlign w:val="center"/>
          </w:tcPr>
          <w:p w14:paraId="610D2A1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C8112F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100DE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332C25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278F30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6B252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EAAAC6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076E5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222221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27283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（三）不予公开</w:t>
            </w:r>
          </w:p>
        </w:tc>
        <w:tc>
          <w:tcPr>
            <w:tcW w:w="4815" w:type="dxa"/>
            <w:tcBorders>
              <w:top w:val="outset" w:color="auto" w:sz="6" w:space="0"/>
              <w:left w:val="nil"/>
              <w:bottom w:val="outset" w:color="auto" w:sz="6" w:space="0"/>
              <w:right w:val="outset" w:color="auto" w:sz="6" w:space="0"/>
            </w:tcBorders>
            <w:shd w:val="clear" w:color="auto" w:fill="auto"/>
            <w:vAlign w:val="top"/>
          </w:tcPr>
          <w:p w14:paraId="2755F8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1.属于国家秘密</w:t>
            </w:r>
          </w:p>
        </w:tc>
        <w:tc>
          <w:tcPr>
            <w:tcW w:w="435" w:type="dxa"/>
            <w:tcBorders>
              <w:top w:val="outset" w:color="auto" w:sz="6" w:space="0"/>
              <w:left w:val="nil"/>
              <w:bottom w:val="outset" w:color="auto" w:sz="6" w:space="0"/>
              <w:right w:val="outset" w:color="auto" w:sz="6" w:space="0"/>
            </w:tcBorders>
            <w:shd w:val="clear" w:color="auto" w:fill="auto"/>
            <w:vAlign w:val="top"/>
          </w:tcPr>
          <w:p w14:paraId="2EF3839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957812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A1BEC2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D2408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A7CC9F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D97A2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4E0A5B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0466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A0F930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2C1C675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657462E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2.其他法律行政法规禁止公开</w:t>
            </w:r>
          </w:p>
        </w:tc>
        <w:tc>
          <w:tcPr>
            <w:tcW w:w="435" w:type="dxa"/>
            <w:tcBorders>
              <w:top w:val="outset" w:color="auto" w:sz="6" w:space="0"/>
              <w:left w:val="nil"/>
              <w:bottom w:val="outset" w:color="auto" w:sz="6" w:space="0"/>
              <w:right w:val="outset" w:color="auto" w:sz="6" w:space="0"/>
            </w:tcBorders>
            <w:shd w:val="clear" w:color="auto" w:fill="auto"/>
            <w:vAlign w:val="top"/>
          </w:tcPr>
          <w:p w14:paraId="5C45059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756CC4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BBA36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A09440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275F4B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3BCA0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E7CD2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39AC7D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D290D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27D15C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20DE18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3.危及“三安全一稳定”</w:t>
            </w:r>
          </w:p>
        </w:tc>
        <w:tc>
          <w:tcPr>
            <w:tcW w:w="435" w:type="dxa"/>
            <w:tcBorders>
              <w:top w:val="outset" w:color="auto" w:sz="6" w:space="0"/>
              <w:left w:val="nil"/>
              <w:bottom w:val="outset" w:color="auto" w:sz="6" w:space="0"/>
              <w:right w:val="outset" w:color="auto" w:sz="6" w:space="0"/>
            </w:tcBorders>
            <w:shd w:val="clear" w:color="auto" w:fill="auto"/>
            <w:vAlign w:val="top"/>
          </w:tcPr>
          <w:p w14:paraId="0F2ABE4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15B7FE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2D6192E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38117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BE0451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E8A3B0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8BA470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AB6E3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4C58B5B">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49231FC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56FEAC1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4.保护第三方合法权益</w:t>
            </w:r>
          </w:p>
        </w:tc>
        <w:tc>
          <w:tcPr>
            <w:tcW w:w="435" w:type="dxa"/>
            <w:tcBorders>
              <w:top w:val="outset" w:color="auto" w:sz="6" w:space="0"/>
              <w:left w:val="nil"/>
              <w:bottom w:val="outset" w:color="auto" w:sz="6" w:space="0"/>
              <w:right w:val="outset" w:color="auto" w:sz="6" w:space="0"/>
            </w:tcBorders>
            <w:shd w:val="clear" w:color="auto" w:fill="auto"/>
            <w:vAlign w:val="top"/>
          </w:tcPr>
          <w:p w14:paraId="636DB23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04BD7B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D1A09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F4CDD6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6581B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36627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47739F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1361B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524669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342227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F47D9C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5.属于三类内部事务信息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2793B6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CC341A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31216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518065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BFE91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B6975D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D736B1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6333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294F26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18F39B17">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EC4655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6.属于四类过程性信息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6ABCD1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AFC25D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40D43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B9B95D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72664F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AB1A31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D8872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4D0DCD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1B1963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FF0BFC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14A6F1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7.属于行政执法案卷</w:t>
            </w:r>
          </w:p>
        </w:tc>
        <w:tc>
          <w:tcPr>
            <w:tcW w:w="435" w:type="dxa"/>
            <w:tcBorders>
              <w:top w:val="outset" w:color="auto" w:sz="6" w:space="0"/>
              <w:left w:val="nil"/>
              <w:bottom w:val="outset" w:color="auto" w:sz="6" w:space="0"/>
              <w:right w:val="outset" w:color="auto" w:sz="6" w:space="0"/>
            </w:tcBorders>
            <w:shd w:val="clear" w:color="auto" w:fill="auto"/>
            <w:vAlign w:val="top"/>
          </w:tcPr>
          <w:p w14:paraId="52ABDD4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6A213E2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6D4A8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10678E6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269BD32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274D2F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D6B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9FAC3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6F6F5D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81D2BF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78C2D0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8.属于行政查询事项</w:t>
            </w:r>
          </w:p>
        </w:tc>
        <w:tc>
          <w:tcPr>
            <w:tcW w:w="435" w:type="dxa"/>
            <w:tcBorders>
              <w:top w:val="outset" w:color="auto" w:sz="6" w:space="0"/>
              <w:left w:val="nil"/>
              <w:bottom w:val="outset" w:color="auto" w:sz="6" w:space="0"/>
              <w:right w:val="outset" w:color="auto" w:sz="6" w:space="0"/>
            </w:tcBorders>
            <w:shd w:val="clear" w:color="auto" w:fill="auto"/>
            <w:vAlign w:val="top"/>
          </w:tcPr>
          <w:p w14:paraId="22E551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93AF8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2AB1A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8FCD71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1062F9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37EC4A2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3CF411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501160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675E88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045229B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（四）无法提供</w:t>
            </w:r>
          </w:p>
        </w:tc>
        <w:tc>
          <w:tcPr>
            <w:tcW w:w="4815" w:type="dxa"/>
            <w:tcBorders>
              <w:top w:val="outset" w:color="auto" w:sz="6" w:space="0"/>
              <w:left w:val="nil"/>
              <w:bottom w:val="outset" w:color="auto" w:sz="6" w:space="0"/>
              <w:right w:val="outset" w:color="auto" w:sz="6" w:space="0"/>
            </w:tcBorders>
            <w:shd w:val="clear" w:color="auto" w:fill="auto"/>
            <w:vAlign w:val="top"/>
          </w:tcPr>
          <w:p w14:paraId="5C8CCFC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1.本机关不掌握相关政府信息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7278B7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5E01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77328AC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7E82BA1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C54E66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2CA55EF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69A657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2A974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35273D0E">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6E625F0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1C29457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2.没有现成信息需要另行制作</w:t>
            </w:r>
          </w:p>
        </w:tc>
        <w:tc>
          <w:tcPr>
            <w:tcW w:w="435" w:type="dxa"/>
            <w:tcBorders>
              <w:top w:val="outset" w:color="auto" w:sz="6" w:space="0"/>
              <w:left w:val="nil"/>
              <w:bottom w:val="outset" w:color="auto" w:sz="6" w:space="0"/>
              <w:right w:val="outset" w:color="auto" w:sz="6" w:space="0"/>
            </w:tcBorders>
            <w:shd w:val="clear" w:color="auto" w:fill="auto"/>
            <w:vAlign w:val="top"/>
          </w:tcPr>
          <w:p w14:paraId="0A07293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211C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08B35D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02D7C1A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1242A7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123E5B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5CAA3B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F645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44409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611DE02">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3C533B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3.补正后申请内容仍不明确</w:t>
            </w:r>
          </w:p>
        </w:tc>
        <w:tc>
          <w:tcPr>
            <w:tcW w:w="435" w:type="dxa"/>
            <w:tcBorders>
              <w:top w:val="outset" w:color="auto" w:sz="6" w:space="0"/>
              <w:left w:val="nil"/>
              <w:bottom w:val="outset" w:color="auto" w:sz="6" w:space="0"/>
              <w:right w:val="outset" w:color="auto" w:sz="6" w:space="0"/>
            </w:tcBorders>
            <w:shd w:val="clear" w:color="auto" w:fill="auto"/>
            <w:vAlign w:val="top"/>
          </w:tcPr>
          <w:p w14:paraId="2B46D3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10D02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25D4BA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32FB98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6416F5A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7E4BA7A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222744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C3ED1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83E2160">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7D00CFB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（五）不予处理</w:t>
            </w:r>
          </w:p>
        </w:tc>
        <w:tc>
          <w:tcPr>
            <w:tcW w:w="4815" w:type="dxa"/>
            <w:tcBorders>
              <w:top w:val="outset" w:color="auto" w:sz="6" w:space="0"/>
              <w:left w:val="nil"/>
              <w:bottom w:val="outset" w:color="auto" w:sz="6" w:space="0"/>
              <w:right w:val="outset" w:color="auto" w:sz="6" w:space="0"/>
            </w:tcBorders>
            <w:shd w:val="clear" w:color="auto" w:fill="auto"/>
            <w:vAlign w:val="top"/>
          </w:tcPr>
          <w:p w14:paraId="4083209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1.信访举报投诉类申请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E24513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4F42E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088DAF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33B7B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5FCA9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68DD4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4DA891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51507F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4CFDB8C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50D877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646D5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717248E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0713E6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4597C68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4E1CE38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74C93D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5454ED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390BB7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B7CC7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72EE6C9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150A475">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0F6BFF9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3.要求提供公开出版物</w:t>
            </w:r>
          </w:p>
        </w:tc>
        <w:tc>
          <w:tcPr>
            <w:tcW w:w="435" w:type="dxa"/>
            <w:tcBorders>
              <w:top w:val="outset" w:color="auto" w:sz="6" w:space="0"/>
              <w:left w:val="nil"/>
              <w:bottom w:val="outset" w:color="auto" w:sz="6" w:space="0"/>
              <w:right w:val="outset" w:color="auto" w:sz="6" w:space="0"/>
            </w:tcBorders>
            <w:shd w:val="clear" w:color="auto" w:fill="auto"/>
            <w:vAlign w:val="top"/>
          </w:tcPr>
          <w:p w14:paraId="27D074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563C98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3B4659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E3EFC3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09E5038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7AF2FF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5C424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6E071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AEE611">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3616602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top"/>
          </w:tcPr>
          <w:p w14:paraId="3C932FB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4.无正当理由大量反复申请</w:t>
            </w:r>
          </w:p>
        </w:tc>
        <w:tc>
          <w:tcPr>
            <w:tcW w:w="435" w:type="dxa"/>
            <w:tcBorders>
              <w:top w:val="outset" w:color="auto" w:sz="6" w:space="0"/>
              <w:left w:val="nil"/>
              <w:bottom w:val="outset" w:color="auto" w:sz="6" w:space="0"/>
              <w:right w:val="outset" w:color="auto" w:sz="6" w:space="0"/>
            </w:tcBorders>
            <w:shd w:val="clear" w:color="auto" w:fill="auto"/>
            <w:vAlign w:val="top"/>
          </w:tcPr>
          <w:p w14:paraId="108E01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0386947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18567CA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5C9FE1C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3818B11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4A6B9F0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95084F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9F76B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0ED6DD53">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768D473D">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0D64EC2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5.要求行政机关确认或重新出具已获取信息</w:t>
            </w:r>
          </w:p>
        </w:tc>
        <w:tc>
          <w:tcPr>
            <w:tcW w:w="435" w:type="dxa"/>
            <w:tcBorders>
              <w:top w:val="outset" w:color="auto" w:sz="6" w:space="0"/>
              <w:left w:val="nil"/>
              <w:bottom w:val="outset" w:color="auto" w:sz="6" w:space="0"/>
              <w:right w:val="outset" w:color="auto" w:sz="6" w:space="0"/>
            </w:tcBorders>
            <w:shd w:val="clear" w:color="auto" w:fill="auto"/>
            <w:vAlign w:val="top"/>
          </w:tcPr>
          <w:p w14:paraId="5F4FA42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5FAE15A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top"/>
          </w:tcPr>
          <w:p w14:paraId="6899A70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top"/>
          </w:tcPr>
          <w:p w14:paraId="618141D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top"/>
          </w:tcPr>
          <w:p w14:paraId="506CBA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top"/>
          </w:tcPr>
          <w:p w14:paraId="09F9A2D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1D26E90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7ABB6A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2712008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color="auto" w:fill="auto"/>
            <w:vAlign w:val="center"/>
          </w:tcPr>
          <w:p w14:paraId="49CB304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（六）其他处理</w:t>
            </w:r>
          </w:p>
        </w:tc>
        <w:tc>
          <w:tcPr>
            <w:tcW w:w="4815" w:type="dxa"/>
            <w:tcBorders>
              <w:top w:val="outset" w:color="auto" w:sz="6" w:space="0"/>
              <w:left w:val="nil"/>
              <w:bottom w:val="outset" w:color="auto" w:sz="6" w:space="0"/>
              <w:right w:val="outset" w:color="auto" w:sz="6" w:space="0"/>
            </w:tcBorders>
            <w:shd w:val="clear" w:color="auto" w:fill="auto"/>
            <w:vAlign w:val="center"/>
          </w:tcPr>
          <w:p w14:paraId="4983C51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1.申请人无正当理由逾期不补正、行政机关不再处理其政府信息公开申请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020B306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3EFAFA7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4937DE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4F98A75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140829A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61D78E3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B858C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p>
          <w:p w14:paraId="4D30315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15899F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1C21413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3E35219">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7A758E9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2.申请人逾期未按收费通知要求缴纳费用、行政机关不再处理其政府信息公开申请</w:t>
            </w:r>
          </w:p>
        </w:tc>
        <w:tc>
          <w:tcPr>
            <w:tcW w:w="435" w:type="dxa"/>
            <w:tcBorders>
              <w:top w:val="outset" w:color="auto" w:sz="6" w:space="0"/>
              <w:left w:val="nil"/>
              <w:bottom w:val="outset" w:color="auto" w:sz="6" w:space="0"/>
              <w:right w:val="outset" w:color="auto" w:sz="6" w:space="0"/>
            </w:tcBorders>
            <w:shd w:val="clear" w:color="auto" w:fill="auto"/>
            <w:vAlign w:val="center"/>
          </w:tcPr>
          <w:p w14:paraId="216616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07806DC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3E951FC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5AA53D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270C96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40C24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6599FF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方正仿宋_GB2312" w:hAnsi="方正仿宋_GB2312" w:eastAsia="方正仿宋_GB2312" w:cs="方正仿宋_GB2312"/>
                <w:kern w:val="0"/>
                <w:sz w:val="28"/>
                <w:szCs w:val="28"/>
              </w:rPr>
            </w:pPr>
          </w:p>
          <w:p w14:paraId="0C0CC28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1B9B71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52B0077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color="auto" w:fill="auto"/>
            <w:vAlign w:val="center"/>
          </w:tcPr>
          <w:p w14:paraId="5094D446">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color="auto" w:fill="auto"/>
            <w:vAlign w:val="center"/>
          </w:tcPr>
          <w:p w14:paraId="4B7C097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3.其他</w:t>
            </w:r>
          </w:p>
        </w:tc>
        <w:tc>
          <w:tcPr>
            <w:tcW w:w="435" w:type="dxa"/>
            <w:tcBorders>
              <w:top w:val="outset" w:color="auto" w:sz="6" w:space="0"/>
              <w:left w:val="nil"/>
              <w:bottom w:val="outset" w:color="auto" w:sz="6" w:space="0"/>
              <w:right w:val="outset" w:color="auto" w:sz="6" w:space="0"/>
            </w:tcBorders>
            <w:shd w:val="clear" w:color="auto" w:fill="auto"/>
            <w:vAlign w:val="center"/>
          </w:tcPr>
          <w:p w14:paraId="604CF64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28A4F59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4E3C2FA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53155A4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5BE3ED7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3268CFA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2659C5D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06B691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color="auto" w:fill="auto"/>
            <w:vAlign w:val="center"/>
          </w:tcPr>
          <w:p w14:paraId="632BE864">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color="auto" w:fill="auto"/>
            <w:vAlign w:val="center"/>
          </w:tcPr>
          <w:p w14:paraId="79100F7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（七）总计</w:t>
            </w:r>
          </w:p>
        </w:tc>
        <w:tc>
          <w:tcPr>
            <w:tcW w:w="435" w:type="dxa"/>
            <w:tcBorders>
              <w:top w:val="outset" w:color="auto" w:sz="6" w:space="0"/>
              <w:left w:val="nil"/>
              <w:bottom w:val="outset" w:color="auto" w:sz="6" w:space="0"/>
              <w:right w:val="outset" w:color="auto" w:sz="6" w:space="0"/>
            </w:tcBorders>
            <w:shd w:val="clear" w:color="auto" w:fill="auto"/>
            <w:vAlign w:val="center"/>
          </w:tcPr>
          <w:p w14:paraId="675740C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517CEA3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707A26E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62A025F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461C26E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F1914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7A336A0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r w14:paraId="26B789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14:paraId="750783F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四、结转下年度继续办理</w:t>
            </w:r>
          </w:p>
        </w:tc>
        <w:tc>
          <w:tcPr>
            <w:tcW w:w="435" w:type="dxa"/>
            <w:tcBorders>
              <w:top w:val="outset" w:color="auto" w:sz="6" w:space="0"/>
              <w:left w:val="nil"/>
              <w:bottom w:val="outset" w:color="auto" w:sz="6" w:space="0"/>
              <w:right w:val="outset" w:color="auto" w:sz="6" w:space="0"/>
            </w:tcBorders>
            <w:shd w:val="clear" w:color="auto" w:fill="auto"/>
            <w:vAlign w:val="center"/>
          </w:tcPr>
          <w:p w14:paraId="7CDB65D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center"/>
          </w:tcPr>
          <w:p w14:paraId="7CE8344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375" w:type="dxa"/>
            <w:tcBorders>
              <w:top w:val="outset" w:color="auto" w:sz="6" w:space="0"/>
              <w:left w:val="nil"/>
              <w:bottom w:val="outset" w:color="auto" w:sz="6" w:space="0"/>
              <w:right w:val="outset" w:color="auto" w:sz="6" w:space="0"/>
            </w:tcBorders>
            <w:shd w:val="clear" w:color="auto" w:fill="auto"/>
            <w:vAlign w:val="center"/>
          </w:tcPr>
          <w:p w14:paraId="655909B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95" w:type="dxa"/>
            <w:tcBorders>
              <w:top w:val="outset" w:color="auto" w:sz="6" w:space="0"/>
              <w:left w:val="nil"/>
              <w:bottom w:val="outset" w:color="auto" w:sz="6" w:space="0"/>
              <w:right w:val="outset" w:color="auto" w:sz="6" w:space="0"/>
            </w:tcBorders>
            <w:shd w:val="clear" w:color="auto" w:fill="auto"/>
            <w:vAlign w:val="center"/>
          </w:tcPr>
          <w:p w14:paraId="2815E20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35" w:type="dxa"/>
            <w:tcBorders>
              <w:top w:val="outset" w:color="auto" w:sz="6" w:space="0"/>
              <w:left w:val="nil"/>
              <w:bottom w:val="outset" w:color="auto" w:sz="6" w:space="0"/>
              <w:right w:val="outset" w:color="auto" w:sz="6" w:space="0"/>
            </w:tcBorders>
            <w:shd w:val="clear" w:color="auto" w:fill="auto"/>
            <w:vAlign w:val="center"/>
          </w:tcPr>
          <w:p w14:paraId="3B36E80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50" w:type="dxa"/>
            <w:tcBorders>
              <w:top w:val="outset" w:color="auto" w:sz="6" w:space="0"/>
              <w:left w:val="nil"/>
              <w:bottom w:val="outset" w:color="auto" w:sz="6" w:space="0"/>
              <w:right w:val="outset" w:color="auto" w:sz="6" w:space="0"/>
            </w:tcBorders>
            <w:shd w:val="clear" w:color="auto" w:fill="auto"/>
            <w:vAlign w:val="center"/>
          </w:tcPr>
          <w:p w14:paraId="4A80433C">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465" w:type="dxa"/>
            <w:tcBorders>
              <w:top w:val="outset" w:color="auto" w:sz="6" w:space="0"/>
              <w:left w:val="nil"/>
              <w:bottom w:val="outset" w:color="auto" w:sz="6" w:space="0"/>
              <w:right w:val="outset" w:color="auto" w:sz="6" w:space="0"/>
            </w:tcBorders>
            <w:shd w:val="clear" w:color="auto" w:fill="auto"/>
            <w:vAlign w:val="top"/>
          </w:tcPr>
          <w:p w14:paraId="4FF155E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544C597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四、政府信息公开行政复议、行政诉讼情况</w:t>
      </w:r>
    </w:p>
    <w:tbl>
      <w:tblPr>
        <w:tblStyle w:val="5"/>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544"/>
        <w:gridCol w:w="544"/>
        <w:gridCol w:w="544"/>
        <w:gridCol w:w="544"/>
        <w:gridCol w:w="586"/>
        <w:gridCol w:w="544"/>
        <w:gridCol w:w="544"/>
        <w:gridCol w:w="544"/>
        <w:gridCol w:w="544"/>
        <w:gridCol w:w="586"/>
        <w:gridCol w:w="544"/>
        <w:gridCol w:w="544"/>
        <w:gridCol w:w="544"/>
        <w:gridCol w:w="545"/>
        <w:gridCol w:w="587"/>
      </w:tblGrid>
      <w:tr w14:paraId="6FF0F2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14:paraId="34D018C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行政复议</w:t>
            </w:r>
          </w:p>
        </w:tc>
        <w:tc>
          <w:tcPr>
            <w:tcW w:w="6420" w:type="dxa"/>
            <w:gridSpan w:val="10"/>
            <w:tcBorders>
              <w:top w:val="outset" w:color="auto" w:sz="6" w:space="0"/>
              <w:left w:val="nil"/>
              <w:bottom w:val="outset" w:color="auto" w:sz="6" w:space="0"/>
              <w:right w:val="outset" w:color="auto" w:sz="6" w:space="0"/>
            </w:tcBorders>
            <w:shd w:val="clear" w:color="auto" w:fill="auto"/>
            <w:vAlign w:val="center"/>
          </w:tcPr>
          <w:p w14:paraId="4769BBE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行政诉讼</w:t>
            </w:r>
          </w:p>
        </w:tc>
      </w:tr>
      <w:tr w14:paraId="3EDA1A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restart"/>
            <w:tcBorders>
              <w:top w:val="nil"/>
              <w:left w:val="outset" w:color="auto" w:sz="6" w:space="0"/>
              <w:bottom w:val="outset" w:color="auto" w:sz="6" w:space="0"/>
              <w:right w:val="outset" w:color="auto" w:sz="6" w:space="0"/>
            </w:tcBorders>
            <w:shd w:val="clear" w:color="auto" w:fill="auto"/>
            <w:vAlign w:val="center"/>
          </w:tcPr>
          <w:p w14:paraId="56E3BBE2">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结果维持</w:t>
            </w:r>
          </w:p>
        </w:tc>
        <w:tc>
          <w:tcPr>
            <w:tcW w:w="630" w:type="dxa"/>
            <w:vMerge w:val="restart"/>
            <w:tcBorders>
              <w:top w:val="nil"/>
              <w:left w:val="nil"/>
              <w:bottom w:val="outset" w:color="auto" w:sz="6" w:space="0"/>
              <w:right w:val="outset" w:color="auto" w:sz="6" w:space="0"/>
            </w:tcBorders>
            <w:shd w:val="clear" w:color="auto" w:fill="auto"/>
            <w:vAlign w:val="center"/>
          </w:tcPr>
          <w:p w14:paraId="7A9B81F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422E6AB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7C86FD5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278EA0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0D62822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2E41E7D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vMerge w:val="restart"/>
            <w:tcBorders>
              <w:top w:val="outset" w:color="auto" w:sz="6" w:space="0"/>
              <w:left w:val="nil"/>
              <w:bottom w:val="outset" w:color="auto" w:sz="6" w:space="0"/>
              <w:right w:val="outset" w:color="auto" w:sz="6" w:space="0"/>
            </w:tcBorders>
            <w:shd w:val="clear" w:color="auto" w:fill="auto"/>
            <w:vAlign w:val="center"/>
          </w:tcPr>
          <w:p w14:paraId="3BF0FF4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6D102DA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未经复议直接起诉</w:t>
            </w:r>
          </w:p>
        </w:tc>
        <w:tc>
          <w:tcPr>
            <w:tcW w:w="3210" w:type="dxa"/>
            <w:gridSpan w:val="5"/>
            <w:tcBorders>
              <w:top w:val="outset" w:color="auto" w:sz="6" w:space="0"/>
              <w:left w:val="nil"/>
              <w:bottom w:val="outset" w:color="auto" w:sz="6" w:space="0"/>
              <w:right w:val="outset" w:color="auto" w:sz="6" w:space="0"/>
            </w:tcBorders>
            <w:shd w:val="clear" w:color="auto" w:fill="auto"/>
            <w:vAlign w:val="center"/>
          </w:tcPr>
          <w:p w14:paraId="2C52B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复议后起诉</w:t>
            </w:r>
          </w:p>
        </w:tc>
      </w:tr>
      <w:tr w14:paraId="645F4E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continue"/>
            <w:tcBorders>
              <w:top w:val="nil"/>
              <w:left w:val="outset" w:color="auto" w:sz="6" w:space="0"/>
              <w:bottom w:val="outset" w:color="auto" w:sz="6" w:space="0"/>
              <w:right w:val="outset" w:color="auto" w:sz="6" w:space="0"/>
            </w:tcBorders>
            <w:shd w:val="clear" w:color="auto" w:fill="auto"/>
            <w:vAlign w:val="center"/>
          </w:tcPr>
          <w:p w14:paraId="4E8095A8">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nil"/>
              <w:left w:val="nil"/>
              <w:bottom w:val="outset" w:color="auto" w:sz="6" w:space="0"/>
              <w:right w:val="outset" w:color="auto" w:sz="6" w:space="0"/>
            </w:tcBorders>
            <w:shd w:val="clear" w:color="auto" w:fill="auto"/>
            <w:vAlign w:val="center"/>
          </w:tcPr>
          <w:p w14:paraId="65098F1C">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8789A1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CFD3ADA">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color="auto" w:fill="auto"/>
            <w:vAlign w:val="center"/>
          </w:tcPr>
          <w:p w14:paraId="1696BE2F">
            <w:pPr>
              <w:keepNext w:val="0"/>
              <w:keepLines w:val="0"/>
              <w:pageBreakBefore w:val="0"/>
              <w:kinsoku/>
              <w:overflowPunct/>
              <w:topLinePunct w:val="0"/>
              <w:autoSpaceDE/>
              <w:autoSpaceDN/>
              <w:bidi w:val="0"/>
              <w:adjustRightInd/>
              <w:snapToGrid/>
              <w:spacing w:beforeAutospacing="0" w:afterAutospacing="0" w:line="560" w:lineRule="exact"/>
              <w:textAlignment w:val="auto"/>
              <w:rPr>
                <w:rFonts w:hint="eastAsia" w:ascii="宋体"/>
                <w:sz w:val="24"/>
                <w:szCs w:val="24"/>
              </w:rPr>
            </w:pPr>
          </w:p>
        </w:tc>
        <w:tc>
          <w:tcPr>
            <w:tcW w:w="630" w:type="dxa"/>
            <w:tcBorders>
              <w:top w:val="outset" w:color="auto" w:sz="6" w:space="0"/>
              <w:left w:val="nil"/>
              <w:bottom w:val="outset" w:color="auto" w:sz="6" w:space="0"/>
              <w:right w:val="outset" w:color="auto" w:sz="6" w:space="0"/>
            </w:tcBorders>
            <w:shd w:val="clear" w:color="auto" w:fill="auto"/>
            <w:vAlign w:val="center"/>
          </w:tcPr>
          <w:p w14:paraId="4FAB5FE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3B8D919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56F0DEA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1309AB3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1D13F483">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4368F43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04AF006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7361079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70C59C0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c>
          <w:tcPr>
            <w:tcW w:w="630" w:type="dxa"/>
            <w:tcBorders>
              <w:top w:val="outset" w:color="auto" w:sz="6" w:space="0"/>
              <w:left w:val="nil"/>
              <w:bottom w:val="outset" w:color="auto" w:sz="6" w:space="0"/>
              <w:right w:val="outset" w:color="auto" w:sz="6" w:space="0"/>
            </w:tcBorders>
            <w:shd w:val="clear" w:color="auto" w:fill="auto"/>
            <w:vAlign w:val="center"/>
          </w:tcPr>
          <w:p w14:paraId="42557B6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72FC257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维持</w:t>
            </w:r>
          </w:p>
        </w:tc>
        <w:tc>
          <w:tcPr>
            <w:tcW w:w="630" w:type="dxa"/>
            <w:tcBorders>
              <w:top w:val="outset" w:color="auto" w:sz="6" w:space="0"/>
              <w:left w:val="nil"/>
              <w:bottom w:val="outset" w:color="auto" w:sz="6" w:space="0"/>
              <w:right w:val="outset" w:color="auto" w:sz="6" w:space="0"/>
            </w:tcBorders>
            <w:shd w:val="clear" w:color="auto" w:fill="auto"/>
            <w:vAlign w:val="center"/>
          </w:tcPr>
          <w:p w14:paraId="474E62F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p w14:paraId="2664B217">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纠正</w:t>
            </w:r>
          </w:p>
        </w:tc>
        <w:tc>
          <w:tcPr>
            <w:tcW w:w="630" w:type="dxa"/>
            <w:tcBorders>
              <w:top w:val="outset" w:color="auto" w:sz="6" w:space="0"/>
              <w:left w:val="nil"/>
              <w:bottom w:val="outset" w:color="auto" w:sz="6" w:space="0"/>
              <w:right w:val="outset" w:color="auto" w:sz="6" w:space="0"/>
            </w:tcBorders>
            <w:shd w:val="clear" w:color="auto" w:fill="auto"/>
            <w:vAlign w:val="center"/>
          </w:tcPr>
          <w:p w14:paraId="4795DF0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其他</w:t>
            </w:r>
          </w:p>
          <w:p w14:paraId="2569562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结果</w:t>
            </w:r>
          </w:p>
        </w:tc>
        <w:tc>
          <w:tcPr>
            <w:tcW w:w="630" w:type="dxa"/>
            <w:tcBorders>
              <w:top w:val="outset" w:color="auto" w:sz="6" w:space="0"/>
              <w:left w:val="nil"/>
              <w:bottom w:val="outset" w:color="auto" w:sz="6" w:space="0"/>
              <w:right w:val="outset" w:color="auto" w:sz="6" w:space="0"/>
            </w:tcBorders>
            <w:shd w:val="clear" w:color="auto" w:fill="auto"/>
            <w:vAlign w:val="center"/>
          </w:tcPr>
          <w:p w14:paraId="282C83A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尚未</w:t>
            </w:r>
          </w:p>
          <w:p w14:paraId="33A715CB">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审结</w:t>
            </w:r>
          </w:p>
        </w:tc>
        <w:tc>
          <w:tcPr>
            <w:tcW w:w="630" w:type="dxa"/>
            <w:tcBorders>
              <w:top w:val="outset" w:color="auto" w:sz="6" w:space="0"/>
              <w:left w:val="nil"/>
              <w:bottom w:val="outset" w:color="auto" w:sz="6" w:space="0"/>
              <w:right w:val="outset" w:color="auto" w:sz="6" w:space="0"/>
            </w:tcBorders>
            <w:shd w:val="clear" w:color="auto" w:fill="auto"/>
            <w:vAlign w:val="center"/>
          </w:tcPr>
          <w:p w14:paraId="51839E64">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总计</w:t>
            </w:r>
          </w:p>
        </w:tc>
      </w:tr>
      <w:tr w14:paraId="3217DB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14:paraId="1A9822C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FD5EE0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576708E">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2696AC5">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33B5A2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95254F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9BE3BAF">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CA8E8D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0C9DC651">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4A08D92A">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EA914AD">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631A6C08">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1F33E26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7E415B96">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c>
          <w:tcPr>
            <w:tcW w:w="630" w:type="dxa"/>
            <w:tcBorders>
              <w:top w:val="outset" w:color="auto" w:sz="6" w:space="0"/>
              <w:left w:val="nil"/>
              <w:bottom w:val="outset" w:color="auto" w:sz="6" w:space="0"/>
              <w:right w:val="outset" w:color="auto" w:sz="6" w:space="0"/>
            </w:tcBorders>
            <w:shd w:val="clear" w:color="auto" w:fill="auto"/>
            <w:vAlign w:val="center"/>
          </w:tcPr>
          <w:p w14:paraId="2BCB3749">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left="0" w:right="0"/>
              <w:jc w:val="both"/>
              <w:textAlignment w:val="auto"/>
            </w:pPr>
            <w:r>
              <w:rPr>
                <w:rFonts w:hint="eastAsia" w:ascii="方正仿宋_GB2312" w:hAnsi="方正仿宋_GB2312" w:eastAsia="方正仿宋_GB2312" w:cs="方正仿宋_GB2312"/>
                <w:kern w:val="0"/>
                <w:sz w:val="28"/>
                <w:szCs w:val="28"/>
              </w:rPr>
              <w:t>0</w:t>
            </w:r>
          </w:p>
        </w:tc>
      </w:tr>
    </w:tbl>
    <w:p w14:paraId="738527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五、存在的主要问题及改进情况</w:t>
      </w:r>
    </w:p>
    <w:p w14:paraId="5CB27014">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（一）存在主要问题</w:t>
      </w:r>
    </w:p>
    <w:p w14:paraId="2AD4154A">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2025年，我乡信息公开工作虽有成效，但仍存在不足：一是工作主动性不足，公开内容更新不及时；二是个别村对政务、村务公开重视不够；三是群众对公开信息关注度低，未收到反馈。</w:t>
      </w:r>
    </w:p>
    <w:p w14:paraId="6CC9BBF7">
      <w:pPr>
        <w:pStyle w:val="3"/>
        <w:keepNext w:val="0"/>
        <w:keepLines w:val="0"/>
        <w:widowControl/>
        <w:suppressLineNumbers w:val="0"/>
        <w:ind w:firstLine="560" w:firstLineChars="200"/>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（二）改进措施</w:t>
      </w:r>
    </w:p>
    <w:p w14:paraId="32D5D6AE">
      <w:pPr>
        <w:keepNext w:val="0"/>
        <w:keepLines w:val="0"/>
        <w:widowControl/>
        <w:suppressLineNumbers w:val="0"/>
        <w:ind w:firstLine="560" w:firstLineChars="200"/>
        <w:jc w:val="left"/>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pPr>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针对上述问题，下步将采取以下改进措施：一是强化公开意识，学习落实省市文件精神，明确公开要求，规范依申请公开程序及时限；二是加大督查力度，完善</w:t>
      </w:r>
      <w:bookmarkStart w:id="0" w:name="_GoBack"/>
      <w:bookmarkEnd w:id="0"/>
      <w:r>
        <w:rPr>
          <w:rFonts w:hint="eastAsia" w:ascii="方正仿宋_GB2312" w:hAnsi="方正仿宋_GB2312" w:eastAsia="方正仿宋_GB2312" w:cs="方正仿宋_GB2312"/>
          <w:b w:val="0"/>
          <w:bCs w:val="0"/>
          <w:i w:val="0"/>
          <w:iCs w:val="0"/>
          <w:caps w:val="0"/>
          <w:color w:val="000000"/>
          <w:spacing w:val="0"/>
          <w:kern w:val="0"/>
          <w:sz w:val="28"/>
          <w:szCs w:val="28"/>
          <w:shd w:val="clear" w:fill="FFFFFF"/>
          <w:lang w:val="en-US" w:eastAsia="zh-CN" w:bidi="ar"/>
        </w:rPr>
        <w:t>工作规范，提升公开质量，推动村务公开提质增效；三是充实公开内容、拓宽渠道，精准把握群众关切，动态调整公开信息。</w:t>
      </w:r>
    </w:p>
    <w:p w14:paraId="2F0BE2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b/>
          <w:bCs/>
          <w:i w:val="0"/>
          <w:iCs w:val="0"/>
          <w:caps w:val="0"/>
          <w:color w:val="000000"/>
          <w:spacing w:val="0"/>
          <w:kern w:val="0"/>
          <w:sz w:val="28"/>
          <w:szCs w:val="28"/>
          <w:shd w:val="clear" w:fill="FFFFFF"/>
        </w:rPr>
        <w:t>六、其他需要报告的事项</w:t>
      </w:r>
    </w:p>
    <w:p w14:paraId="43A338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420"/>
        <w:jc w:val="both"/>
        <w:textAlignment w:val="auto"/>
      </w:pPr>
      <w:r>
        <w:rPr>
          <w:rFonts w:hint="eastAsia" w:ascii="方正仿宋_GB2312" w:hAnsi="方正仿宋_GB2312" w:eastAsia="方正仿宋_GB2312" w:cs="方正仿宋_GB2312"/>
          <w:i w:val="0"/>
          <w:iCs w:val="0"/>
          <w:caps w:val="0"/>
          <w:color w:val="000000"/>
          <w:spacing w:val="0"/>
          <w:kern w:val="0"/>
          <w:sz w:val="28"/>
          <w:szCs w:val="28"/>
          <w:shd w:val="clear" w:fill="FFFFFF"/>
          <w:lang w:eastAsia="zh-CN"/>
        </w:rPr>
        <w:t>2025</w:t>
      </w:r>
      <w:r>
        <w:rPr>
          <w:rFonts w:hint="eastAsia" w:ascii="方正仿宋_GB2312" w:hAnsi="方正仿宋_GB2312" w:eastAsia="方正仿宋_GB2312" w:cs="方正仿宋_GB2312"/>
          <w:i w:val="0"/>
          <w:iCs w:val="0"/>
          <w:caps w:val="0"/>
          <w:color w:val="000000"/>
          <w:spacing w:val="0"/>
          <w:kern w:val="0"/>
          <w:sz w:val="28"/>
          <w:szCs w:val="28"/>
          <w:shd w:val="clear" w:fill="FFFFFF"/>
        </w:rPr>
        <w:t>年，我乡政府信息公开工作无其他需要报告的事项。</w:t>
      </w:r>
    </w:p>
    <w:p w14:paraId="133DCB5D">
      <w:pPr>
        <w:keepNext w:val="0"/>
        <w:keepLines w:val="0"/>
        <w:pageBreakBefore w:val="0"/>
        <w:kinsoku/>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1" w:fontKey="{02FD1E55-183A-476E-8860-516E15B0524D}"/>
  </w:font>
  <w:font w:name="方正仿宋_GB2312">
    <w:panose1 w:val="02000000000000000000"/>
    <w:charset w:val="86"/>
    <w:family w:val="auto"/>
    <w:pitch w:val="default"/>
    <w:sig w:usb0="A00002BF" w:usb1="184F6CFA" w:usb2="00000012" w:usb3="00000000" w:csb0="00040001" w:csb1="00000000"/>
    <w:embedRegular r:id="rId2" w:fontKey="{F7DC721F-DEFE-47CA-8BC8-9BD8FB5247F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D3ACBD"/>
    <w:multiLevelType w:val="singleLevel"/>
    <w:tmpl w:val="12D3ACB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A5E25"/>
    <w:rsid w:val="103F4475"/>
    <w:rsid w:val="1ED31A0C"/>
    <w:rsid w:val="47255D76"/>
    <w:rsid w:val="50C43527"/>
    <w:rsid w:val="55A81288"/>
    <w:rsid w:val="608A0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2055</Words>
  <Characters>2098</Characters>
  <Lines>0</Lines>
  <Paragraphs>0</Paragraphs>
  <TotalTime>11</TotalTime>
  <ScaleCrop>false</ScaleCrop>
  <LinksUpToDate>false</LinksUpToDate>
  <CharactersWithSpaces>2099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2025-01-07T00:53:00Z</dcterms:created>
  <dc:creator>Administrator</dc:creator>
  <cp:lastModifiedBy>萝卜卜卜卜卜</cp:lastModifiedBy>
  <dcterms:modified xsi:type="dcterms:W3CDTF">2026-01-23T08:33:16Z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eyJoZGlkIjoiYzA5NWVlYzNhNzgyMmQ3ZGE4N2VhZjI4MDM5YmFhMGEiLCJ1c2VySWQiOiIyNDk3MTg4OTgifQ==</vt:lpwstr>
  </property>
  <property fmtid="{D5CDD505-2E9C-101B-9397-08002B2CF9AE}" pid="4" name="ICV">
    <vt:lpwstr>AD5E8638435445BDA96F04F3777EAF07_12</vt:lpwstr>
  </property>
</Properties>
</file>