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rPr>
      </w:pPr>
      <w:bookmarkStart w:id="0" w:name="_GoBack"/>
      <w:bookmarkEnd w:id="0"/>
      <w:r>
        <w:rPr>
          <w:rFonts w:hint="eastAsia" w:ascii="宋体" w:hAnsi="宋体" w:eastAsia="宋体" w:cs="宋体"/>
          <w:b/>
          <w:bCs/>
          <w:sz w:val="44"/>
          <w:szCs w:val="44"/>
        </w:rPr>
        <w:t>高安市住建局安全生产权力和责任清单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0"/>
        <w:gridCol w:w="3105"/>
        <w:gridCol w:w="4230"/>
        <w:gridCol w:w="2550"/>
        <w:gridCol w:w="2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6" w:hRule="atLeast"/>
        </w:trPr>
        <w:tc>
          <w:tcPr>
            <w:tcW w:w="1530" w:type="dxa"/>
            <w:vAlign w:val="center"/>
          </w:tcPr>
          <w:p>
            <w:pPr>
              <w:pStyle w:val="2"/>
              <w:ind w:left="0" w:leftChars="0" w:firstLine="0" w:firstLineChars="0"/>
              <w:rPr>
                <w:rFonts w:hint="eastAsia" w:ascii="黑体" w:hAnsi="黑体" w:eastAsia="黑体" w:cs="黑体"/>
              </w:rPr>
            </w:pPr>
            <w:r>
              <w:rPr>
                <w:rFonts w:hint="eastAsia" w:ascii="黑体" w:hAnsi="黑体" w:eastAsia="黑体" w:cs="黑体"/>
              </w:rPr>
              <w:t>部门责任</w:t>
            </w:r>
          </w:p>
        </w:tc>
        <w:tc>
          <w:tcPr>
            <w:tcW w:w="3105" w:type="dxa"/>
            <w:vAlign w:val="center"/>
          </w:tcPr>
          <w:p>
            <w:pPr>
              <w:pStyle w:val="2"/>
              <w:ind w:left="0" w:leftChars="0" w:firstLine="960" w:firstLineChars="300"/>
              <w:rPr>
                <w:rFonts w:hint="eastAsia" w:ascii="黑体" w:hAnsi="黑体" w:eastAsia="黑体" w:cs="黑体"/>
              </w:rPr>
            </w:pPr>
            <w:r>
              <w:rPr>
                <w:rFonts w:hint="eastAsia" w:ascii="黑体" w:hAnsi="黑体" w:eastAsia="黑体" w:cs="黑体"/>
              </w:rPr>
              <w:t>依据</w:t>
            </w:r>
          </w:p>
        </w:tc>
        <w:tc>
          <w:tcPr>
            <w:tcW w:w="4230" w:type="dxa"/>
            <w:vAlign w:val="center"/>
          </w:tcPr>
          <w:p>
            <w:pPr>
              <w:pStyle w:val="2"/>
              <w:ind w:left="640" w:firstLine="640"/>
              <w:rPr>
                <w:rFonts w:hint="eastAsia" w:ascii="黑体" w:hAnsi="黑体" w:eastAsia="黑体" w:cs="黑体"/>
              </w:rPr>
            </w:pPr>
            <w:r>
              <w:rPr>
                <w:rFonts w:hint="eastAsia" w:ascii="黑体" w:hAnsi="黑体" w:eastAsia="黑体" w:cs="黑体"/>
              </w:rPr>
              <w:t>工作事项</w:t>
            </w:r>
          </w:p>
        </w:tc>
        <w:tc>
          <w:tcPr>
            <w:tcW w:w="2550" w:type="dxa"/>
            <w:vAlign w:val="center"/>
          </w:tcPr>
          <w:p>
            <w:pPr>
              <w:pStyle w:val="2"/>
              <w:ind w:left="0" w:leftChars="0" w:firstLine="0" w:firstLineChars="0"/>
              <w:rPr>
                <w:rFonts w:hint="eastAsia" w:ascii="黑体" w:hAnsi="黑体" w:eastAsia="黑体" w:cs="黑体"/>
              </w:rPr>
            </w:pPr>
            <w:r>
              <w:rPr>
                <w:rFonts w:hint="eastAsia" w:ascii="黑体" w:hAnsi="黑体" w:eastAsia="黑体" w:cs="黑体"/>
              </w:rPr>
              <w:t>与相关部门的</w:t>
            </w:r>
          </w:p>
          <w:p>
            <w:pPr>
              <w:pStyle w:val="2"/>
              <w:ind w:left="0" w:leftChars="0" w:firstLine="0" w:firstLineChars="0"/>
              <w:rPr>
                <w:rFonts w:hint="eastAsia" w:ascii="黑体" w:hAnsi="黑体" w:eastAsia="黑体" w:cs="黑体"/>
              </w:rPr>
            </w:pPr>
            <w:r>
              <w:rPr>
                <w:rFonts w:hint="eastAsia" w:ascii="黑体" w:hAnsi="黑体" w:eastAsia="黑体" w:cs="黑体"/>
              </w:rPr>
              <w:t>职责边界</w:t>
            </w:r>
          </w:p>
        </w:tc>
        <w:tc>
          <w:tcPr>
            <w:tcW w:w="2523" w:type="dxa"/>
            <w:vAlign w:val="center"/>
          </w:tcPr>
          <w:p>
            <w:pPr>
              <w:pStyle w:val="2"/>
              <w:ind w:left="0" w:leftChars="0" w:firstLine="0" w:firstLineChars="0"/>
              <w:rPr>
                <w:rFonts w:hint="eastAsia" w:ascii="黑体" w:hAnsi="黑体" w:eastAsia="黑体" w:cs="黑体"/>
              </w:rPr>
            </w:pPr>
            <w:r>
              <w:rPr>
                <w:rFonts w:hint="eastAsia" w:ascii="黑体" w:hAnsi="黑体" w:eastAsia="黑体" w:cs="黑体"/>
              </w:rPr>
              <w:t>不履职或不正确履职责任情形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0" w:hRule="atLeast"/>
        </w:trPr>
        <w:tc>
          <w:tcPr>
            <w:tcW w:w="1530" w:type="dxa"/>
            <w:vAlign w:val="center"/>
          </w:tcPr>
          <w:p>
            <w:pPr>
              <w:widowControl/>
              <w:jc w:val="left"/>
              <w:textAlignment w:val="center"/>
              <w:rPr>
                <w:rFonts w:ascii="宋体" w:hAnsi="宋体" w:eastAsia="宋体" w:cs="宋体"/>
                <w:sz w:val="18"/>
                <w:szCs w:val="18"/>
              </w:rPr>
            </w:pPr>
            <w:r>
              <w:rPr>
                <w:rFonts w:hint="eastAsia" w:ascii="宋体" w:hAnsi="宋体" w:eastAsia="宋体" w:cs="宋体"/>
                <w:kern w:val="0"/>
                <w:sz w:val="24"/>
                <w:szCs w:val="24"/>
              </w:rPr>
              <w:t>建筑施工安全生产监督管理</w:t>
            </w:r>
          </w:p>
        </w:tc>
        <w:tc>
          <w:tcPr>
            <w:tcW w:w="3105" w:type="dxa"/>
            <w:vAlign w:val="center"/>
          </w:tcPr>
          <w:p>
            <w:pPr>
              <w:pStyle w:val="2"/>
              <w:ind w:left="0" w:leftChars="0" w:firstLine="0" w:firstLineChars="0"/>
              <w:rPr>
                <w:rFonts w:ascii="宋体" w:hAnsi="宋体" w:eastAsia="宋体" w:cs="宋体"/>
                <w:kern w:val="0"/>
                <w:sz w:val="24"/>
                <w:szCs w:val="24"/>
              </w:rPr>
            </w:pPr>
            <w:r>
              <w:rPr>
                <w:rFonts w:ascii="宋体" w:hAnsi="宋体" w:eastAsia="宋体" w:cs="宋体"/>
                <w:kern w:val="0"/>
                <w:sz w:val="24"/>
                <w:szCs w:val="24"/>
              </w:rPr>
              <w:t>《中华人民共和国建筑法》</w:t>
            </w:r>
            <w:r>
              <w:rPr>
                <w:rFonts w:hint="eastAsia" w:ascii="宋体" w:hAnsi="宋体" w:eastAsia="宋体" w:cs="宋体"/>
                <w:kern w:val="0"/>
                <w:sz w:val="24"/>
                <w:szCs w:val="24"/>
              </w:rPr>
              <w:t>《建设工程安全生产管理条例》</w:t>
            </w:r>
            <w:r>
              <w:rPr>
                <w:rFonts w:ascii="宋体" w:hAnsi="宋体" w:eastAsia="宋体" w:cs="宋体"/>
                <w:kern w:val="0"/>
                <w:sz w:val="24"/>
                <w:szCs w:val="24"/>
              </w:rPr>
              <w:t>《建筑工程施工许可管理办法》</w:t>
            </w:r>
            <w:r>
              <w:rPr>
                <w:rFonts w:hint="eastAsia" w:ascii="宋体" w:hAnsi="宋体" w:eastAsia="宋体" w:cs="宋体"/>
                <w:kern w:val="0"/>
                <w:sz w:val="24"/>
                <w:szCs w:val="24"/>
              </w:rPr>
              <w:t>《房屋建筑工程和市政基础设施工程质量监督管理规定》等</w:t>
            </w:r>
          </w:p>
        </w:tc>
        <w:tc>
          <w:tcPr>
            <w:tcW w:w="4230" w:type="dxa"/>
            <w:vAlign w:val="center"/>
          </w:tcPr>
          <w:p>
            <w:pPr>
              <w:adjustRightInd w:val="0"/>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1.贯彻执行国家、省、市有关建设工程安全监督管理的法律、法规和工程建设强制性标准，拟订全市有关建设工程安全管理的政策性文件并组织实施。</w:t>
            </w:r>
          </w:p>
          <w:p>
            <w:pPr>
              <w:adjustRightInd w:val="0"/>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2.负责对管理范围内（房屋建筑和市政基础设施）建设工程开工安全条件审查。</w:t>
            </w:r>
          </w:p>
          <w:p>
            <w:pPr>
              <w:adjustRightInd w:val="0"/>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3.负责对管理范围内（房屋建筑和市政基础设施）工程实体安全和各方责任主体（</w:t>
            </w:r>
            <w:r>
              <w:rPr>
                <w:rFonts w:hint="eastAsia" w:ascii="宋体" w:hAnsi="宋体" w:eastAsia="宋体" w:cs="宋体"/>
                <w:kern w:val="0"/>
                <w:sz w:val="24"/>
                <w:szCs w:val="24"/>
              </w:rPr>
              <w:t>建设单位、勘查和设计单位、施工单位、监理单位</w:t>
            </w:r>
            <w:r>
              <w:rPr>
                <w:rFonts w:hint="eastAsia" w:ascii="宋体" w:hAnsi="宋体" w:eastAsia="宋体" w:cs="宋体"/>
                <w:color w:val="000000"/>
                <w:sz w:val="24"/>
                <w:szCs w:val="24"/>
              </w:rPr>
              <w:t>）的工</w:t>
            </w:r>
            <w:r>
              <w:rPr>
                <w:rFonts w:hint="eastAsia" w:ascii="宋体" w:hAnsi="宋体" w:eastAsia="宋体" w:cs="宋体"/>
                <w:kern w:val="0"/>
                <w:sz w:val="24"/>
                <w:szCs w:val="24"/>
              </w:rPr>
              <w:t>安全质量相关法律、法规以及强制性标准执行情况实施监督执法检查。</w:t>
            </w:r>
          </w:p>
          <w:p>
            <w:pPr>
              <w:adjustRightInd w:val="0"/>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4.参与建设工程安全事故的调查处理。</w:t>
            </w:r>
          </w:p>
          <w:p>
            <w:pPr>
              <w:adjustRightInd w:val="0"/>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5.组织本地区建设工程安全大检查及专项检查，定期对本地区工程安全状况进行统计分析。</w:t>
            </w:r>
          </w:p>
          <w:p>
            <w:pPr>
              <w:adjustRightInd w:val="0"/>
              <w:ind w:firstLine="480" w:firstLineChars="200"/>
              <w:rPr>
                <w:rFonts w:ascii="宋体" w:hAnsi="宋体" w:eastAsia="宋体" w:cs="宋体"/>
                <w:kern w:val="0"/>
                <w:sz w:val="24"/>
                <w:szCs w:val="24"/>
              </w:rPr>
            </w:pPr>
          </w:p>
        </w:tc>
        <w:tc>
          <w:tcPr>
            <w:tcW w:w="2550" w:type="dxa"/>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铁路、交通、水利、电力等部门，按照规定的职责分工，负责有关专业建设工程安全生产的管理；住建部门负责房屋市政工程安全监管</w:t>
            </w:r>
          </w:p>
        </w:tc>
        <w:tc>
          <w:tcPr>
            <w:tcW w:w="2523" w:type="dxa"/>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1.</w:t>
            </w:r>
            <w:r>
              <w:rPr>
                <w:rFonts w:ascii="宋体" w:hAnsi="宋体" w:eastAsia="宋体" w:cs="宋体"/>
                <w:kern w:val="0"/>
                <w:sz w:val="24"/>
                <w:szCs w:val="24"/>
              </w:rPr>
              <w:t xml:space="preserve"> 发现违法行为不及时查处，或者包庇、纵容违法行为，造成后果的</w:t>
            </w:r>
            <w:r>
              <w:rPr>
                <w:rFonts w:hint="eastAsia" w:ascii="宋体" w:hAnsi="宋体" w:eastAsia="宋体" w:cs="宋体"/>
                <w:kern w:val="0"/>
                <w:sz w:val="24"/>
                <w:szCs w:val="24"/>
              </w:rPr>
              <w:t>。</w:t>
            </w:r>
          </w:p>
          <w:p>
            <w:pPr>
              <w:pStyle w:val="2"/>
              <w:ind w:left="0" w:leftChars="0" w:firstLine="0" w:firstLineChars="0"/>
            </w:pPr>
            <w:r>
              <w:rPr>
                <w:rFonts w:hint="eastAsia" w:ascii="宋体" w:hAnsi="宋体" w:eastAsia="宋体" w:cs="宋体"/>
                <w:kern w:val="0"/>
                <w:sz w:val="24"/>
                <w:szCs w:val="24"/>
              </w:rPr>
              <w:t>2. 对建设工程未开展监督检查，或监</w:t>
            </w:r>
            <w:r>
              <w:rPr>
                <w:rFonts w:ascii="宋体" w:hAnsi="宋体" w:eastAsia="宋体" w:cs="宋体"/>
                <w:kern w:val="0"/>
                <w:sz w:val="24"/>
                <w:szCs w:val="24"/>
              </w:rPr>
              <w:t>督检查不力</w:t>
            </w:r>
            <w:r>
              <w:rPr>
                <w:rFonts w:hint="eastAsia" w:ascii="宋体" w:hAnsi="宋体" w:eastAsia="宋体"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trPr>
        <w:tc>
          <w:tcPr>
            <w:tcW w:w="1530" w:type="dxa"/>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城市公共设施安全生产监督管理</w:t>
            </w:r>
          </w:p>
        </w:tc>
        <w:tc>
          <w:tcPr>
            <w:tcW w:w="3105" w:type="dxa"/>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《房屋建筑工程和市政基础设施工程质量监督管理规定》等</w:t>
            </w:r>
          </w:p>
        </w:tc>
        <w:tc>
          <w:tcPr>
            <w:tcW w:w="4230" w:type="dxa"/>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对</w:t>
            </w:r>
            <w:r>
              <w:rPr>
                <w:rFonts w:ascii="宋体" w:hAnsi="宋体" w:eastAsia="宋体" w:cs="宋体"/>
                <w:kern w:val="0"/>
                <w:sz w:val="24"/>
                <w:szCs w:val="24"/>
              </w:rPr>
              <w:t>排水设施工程质量全过程监管</w:t>
            </w:r>
            <w:r>
              <w:rPr>
                <w:rFonts w:hint="eastAsia" w:ascii="宋体" w:hAnsi="宋体" w:eastAsia="宋体" w:cs="宋体"/>
                <w:kern w:val="0"/>
                <w:sz w:val="24"/>
                <w:szCs w:val="24"/>
              </w:rPr>
              <w:t>。</w:t>
            </w:r>
          </w:p>
        </w:tc>
        <w:tc>
          <w:tcPr>
            <w:tcW w:w="2550" w:type="dxa"/>
            <w:vAlign w:val="center"/>
          </w:tcPr>
          <w:p>
            <w:pPr>
              <w:widowControl/>
              <w:jc w:val="left"/>
              <w:rPr>
                <w:rFonts w:ascii="宋体" w:hAnsi="宋体" w:eastAsia="宋体" w:cs="宋体"/>
                <w:kern w:val="0"/>
                <w:sz w:val="24"/>
                <w:szCs w:val="24"/>
              </w:rPr>
            </w:pPr>
          </w:p>
        </w:tc>
        <w:tc>
          <w:tcPr>
            <w:tcW w:w="2523" w:type="dxa"/>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发现违法非法行为不予查处的。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530" w:type="dxa"/>
            <w:vAlign w:val="center"/>
          </w:tcPr>
          <w:p>
            <w:pPr>
              <w:pStyle w:val="2"/>
              <w:ind w:left="0" w:leftChars="0" w:firstLine="0" w:firstLineChars="0"/>
            </w:pPr>
            <w:r>
              <w:rPr>
                <w:rFonts w:hint="eastAsia" w:ascii="宋体" w:hAnsi="宋体" w:eastAsia="宋体" w:cs="宋体"/>
                <w:kern w:val="0"/>
                <w:sz w:val="24"/>
                <w:szCs w:val="24"/>
              </w:rPr>
              <w:t>建设工程消防设计审查验收</w:t>
            </w:r>
          </w:p>
        </w:tc>
        <w:tc>
          <w:tcPr>
            <w:tcW w:w="3105" w:type="dxa"/>
            <w:vAlign w:val="center"/>
          </w:tcPr>
          <w:p>
            <w:pPr>
              <w:pStyle w:val="2"/>
              <w:ind w:left="0" w:leftChars="0" w:firstLine="0" w:firstLineChars="0"/>
            </w:pPr>
            <w:r>
              <w:rPr>
                <w:rFonts w:hint="eastAsia" w:ascii="宋体" w:hAnsi="宋体" w:eastAsia="宋体" w:cs="宋体"/>
                <w:kern w:val="0"/>
                <w:sz w:val="24"/>
                <w:szCs w:val="24"/>
              </w:rPr>
              <w:t>《中华人民共和国消防法》《建设工程消防设计审查验收管理暂行规定》</w:t>
            </w:r>
          </w:p>
        </w:tc>
        <w:tc>
          <w:tcPr>
            <w:tcW w:w="4230" w:type="dxa"/>
            <w:vAlign w:val="center"/>
          </w:tcPr>
          <w:p>
            <w:pPr>
              <w:pStyle w:val="2"/>
              <w:ind w:left="0" w:leftChars="0" w:firstLine="0" w:firstLineChars="0"/>
            </w:pPr>
            <w:r>
              <w:rPr>
                <w:rFonts w:hint="eastAsia" w:ascii="宋体" w:hAnsi="宋体" w:eastAsia="宋体" w:cs="宋体"/>
                <w:kern w:val="0"/>
                <w:sz w:val="24"/>
                <w:szCs w:val="24"/>
              </w:rPr>
              <w:t>对</w:t>
            </w:r>
            <w:r>
              <w:rPr>
                <w:rFonts w:ascii="宋体" w:hAnsi="宋体" w:eastAsia="宋体" w:cs="宋体"/>
                <w:kern w:val="0"/>
                <w:sz w:val="24"/>
                <w:szCs w:val="24"/>
              </w:rPr>
              <w:t>建设工程消防设计审查</w:t>
            </w:r>
            <w:r>
              <w:rPr>
                <w:rFonts w:hint="eastAsia" w:ascii="宋体" w:hAnsi="宋体" w:eastAsia="宋体" w:cs="宋体"/>
                <w:kern w:val="0"/>
                <w:sz w:val="24"/>
                <w:szCs w:val="24"/>
              </w:rPr>
              <w:t>，</w:t>
            </w:r>
            <w:r>
              <w:rPr>
                <w:rFonts w:ascii="宋体" w:hAnsi="宋体" w:eastAsia="宋体" w:cs="宋体"/>
                <w:kern w:val="0"/>
                <w:sz w:val="24"/>
                <w:szCs w:val="24"/>
              </w:rPr>
              <w:t>消防验收</w:t>
            </w:r>
            <w:r>
              <w:rPr>
                <w:rFonts w:hint="eastAsia" w:ascii="宋体" w:hAnsi="宋体" w:eastAsia="宋体" w:cs="宋体"/>
                <w:kern w:val="0"/>
                <w:sz w:val="24"/>
                <w:szCs w:val="24"/>
              </w:rPr>
              <w:t>和</w:t>
            </w:r>
            <w:r>
              <w:rPr>
                <w:rFonts w:ascii="宋体" w:hAnsi="宋体" w:eastAsia="宋体" w:cs="宋体"/>
                <w:kern w:val="0"/>
                <w:sz w:val="24"/>
                <w:szCs w:val="24"/>
              </w:rPr>
              <w:t>备案。</w:t>
            </w:r>
          </w:p>
        </w:tc>
        <w:tc>
          <w:tcPr>
            <w:tcW w:w="2550" w:type="dxa"/>
            <w:vAlign w:val="center"/>
          </w:tcPr>
          <w:p>
            <w:pPr>
              <w:pStyle w:val="2"/>
              <w:ind w:left="0" w:leftChars="0" w:firstLine="0" w:firstLineChars="0"/>
            </w:pPr>
          </w:p>
        </w:tc>
        <w:tc>
          <w:tcPr>
            <w:tcW w:w="2523" w:type="dxa"/>
            <w:vAlign w:val="center"/>
          </w:tcPr>
          <w:p>
            <w:pPr>
              <w:pStyle w:val="2"/>
              <w:ind w:left="0" w:leftChars="0" w:firstLine="0" w:firstLineChars="0"/>
            </w:pPr>
            <w:r>
              <w:rPr>
                <w:rFonts w:ascii="宋体" w:hAnsi="宋体" w:eastAsia="宋体" w:cs="宋体"/>
                <w:kern w:val="0"/>
                <w:sz w:val="24"/>
                <w:szCs w:val="24"/>
              </w:rPr>
              <w:t>建设工程消防设计审查、消防验收、备案和抽查工作</w:t>
            </w:r>
            <w:r>
              <w:rPr>
                <w:rFonts w:hint="eastAsia" w:ascii="宋体" w:hAnsi="宋体" w:eastAsia="宋体" w:cs="宋体"/>
                <w:kern w:val="0"/>
                <w:sz w:val="24"/>
                <w:szCs w:val="24"/>
              </w:rPr>
              <w:t>未开展监督检查，或监</w:t>
            </w:r>
            <w:r>
              <w:rPr>
                <w:rFonts w:ascii="宋体" w:hAnsi="宋体" w:eastAsia="宋体" w:cs="宋体"/>
                <w:kern w:val="0"/>
                <w:sz w:val="24"/>
                <w:szCs w:val="24"/>
              </w:rPr>
              <w:t>督检查不力</w:t>
            </w:r>
            <w:r>
              <w:rPr>
                <w:rFonts w:hint="eastAsia" w:ascii="宋体" w:hAnsi="宋体" w:eastAsia="宋体"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1530" w:type="dxa"/>
            <w:vAlign w:val="center"/>
          </w:tcPr>
          <w:p>
            <w:pPr>
              <w:pStyle w:val="2"/>
              <w:ind w:left="0" w:leftChars="0" w:firstLine="0" w:firstLineChars="0"/>
            </w:pPr>
            <w:r>
              <w:rPr>
                <w:rFonts w:hint="eastAsia" w:ascii="宋体" w:hAnsi="宋体" w:eastAsia="宋体" w:cs="宋体"/>
                <w:kern w:val="0"/>
                <w:sz w:val="24"/>
                <w:szCs w:val="24"/>
              </w:rPr>
              <w:t>物业行业管理</w:t>
            </w:r>
          </w:p>
        </w:tc>
        <w:tc>
          <w:tcPr>
            <w:tcW w:w="3105" w:type="dxa"/>
            <w:vAlign w:val="center"/>
          </w:tcPr>
          <w:p>
            <w:pPr>
              <w:pStyle w:val="2"/>
              <w:ind w:left="0" w:leftChars="0" w:firstLine="0" w:firstLineChars="0"/>
            </w:pPr>
            <w:r>
              <w:rPr>
                <w:rFonts w:ascii="宋体" w:hAnsi="宋体" w:eastAsia="宋体" w:cs="宋体"/>
                <w:kern w:val="0"/>
                <w:sz w:val="24"/>
                <w:szCs w:val="24"/>
              </w:rPr>
              <w:t>《</w:t>
            </w:r>
            <w:r>
              <w:rPr>
                <w:rFonts w:hint="eastAsia" w:ascii="宋体" w:hAnsi="宋体" w:eastAsia="宋体" w:cs="宋体"/>
                <w:kern w:val="0"/>
                <w:sz w:val="24"/>
                <w:szCs w:val="24"/>
              </w:rPr>
              <w:t>国务院</w:t>
            </w:r>
            <w:r>
              <w:rPr>
                <w:rFonts w:ascii="宋体" w:hAnsi="宋体" w:eastAsia="宋体" w:cs="宋体"/>
                <w:kern w:val="0"/>
                <w:sz w:val="24"/>
                <w:szCs w:val="24"/>
              </w:rPr>
              <w:t>物业管理条例》</w:t>
            </w:r>
            <w:r>
              <w:rPr>
                <w:rFonts w:hint="eastAsia" w:ascii="宋体" w:hAnsi="宋体" w:eastAsia="宋体" w:cs="宋体"/>
                <w:kern w:val="0"/>
                <w:sz w:val="24"/>
                <w:szCs w:val="24"/>
              </w:rPr>
              <w:t xml:space="preserve"> 《江西省物业管理条例》</w:t>
            </w:r>
          </w:p>
        </w:tc>
        <w:tc>
          <w:tcPr>
            <w:tcW w:w="4230" w:type="dxa"/>
            <w:vAlign w:val="center"/>
          </w:tcPr>
          <w:p>
            <w:pPr>
              <w:pStyle w:val="2"/>
              <w:numPr>
                <w:ilvl w:val="0"/>
                <w:numId w:val="1"/>
              </w:numPr>
              <w:ind w:left="0" w:leftChars="0" w:firstLine="0" w:firstLineChars="0"/>
              <w:rPr>
                <w:rFonts w:hint="eastAsia" w:ascii="宋体" w:hAnsi="宋体" w:eastAsia="宋体" w:cs="宋体"/>
                <w:kern w:val="0"/>
                <w:sz w:val="24"/>
                <w:szCs w:val="24"/>
              </w:rPr>
            </w:pPr>
            <w:r>
              <w:rPr>
                <w:rFonts w:hint="eastAsia" w:ascii="宋体" w:hAnsi="宋体" w:eastAsia="宋体" w:cs="宋体"/>
                <w:kern w:val="0"/>
                <w:sz w:val="24"/>
                <w:szCs w:val="24"/>
              </w:rPr>
              <w:t>指导督促物业服务企业按照物业服务合同约定以及国家有关物业服务的规范和标准提供服务，加强物业共用部位、共用设施设备运行状况的日常检查。</w:t>
            </w:r>
          </w:p>
          <w:p>
            <w:pPr>
              <w:pStyle w:val="2"/>
              <w:numPr>
                <w:ilvl w:val="0"/>
                <w:numId w:val="1"/>
              </w:numPr>
              <w:ind w:left="0" w:leftChars="0" w:firstLine="0" w:firstLineChars="0"/>
              <w:rPr>
                <w:rFonts w:ascii="宋体" w:hAnsi="宋体" w:eastAsia="宋体" w:cs="宋体"/>
                <w:kern w:val="0"/>
                <w:sz w:val="24"/>
                <w:szCs w:val="24"/>
              </w:rPr>
            </w:pPr>
            <w:r>
              <w:rPr>
                <w:rFonts w:hint="eastAsia" w:ascii="宋体" w:hAnsi="宋体" w:eastAsia="宋体" w:cs="宋体"/>
                <w:kern w:val="0"/>
                <w:sz w:val="24"/>
                <w:szCs w:val="24"/>
              </w:rPr>
              <w:t>指导督促物业服务企业劝阻、制止业主或者物业使用人在物业装饰装修、使用过程中有关违法违规行为，劝阻、制止无效的，及时向有关部门报告。</w:t>
            </w:r>
          </w:p>
          <w:p>
            <w:pPr>
              <w:pStyle w:val="2"/>
              <w:numPr>
                <w:ilvl w:val="0"/>
                <w:numId w:val="1"/>
              </w:numPr>
              <w:ind w:left="0" w:leftChars="0" w:firstLine="0" w:firstLineChars="0"/>
              <w:rPr>
                <w:rFonts w:ascii="宋体" w:hAnsi="宋体" w:eastAsia="宋体" w:cs="宋体"/>
                <w:kern w:val="0"/>
                <w:sz w:val="24"/>
                <w:szCs w:val="24"/>
              </w:rPr>
            </w:pPr>
            <w:r>
              <w:rPr>
                <w:rFonts w:hint="eastAsia" w:ascii="宋体" w:hAnsi="宋体" w:eastAsia="宋体" w:cs="宋体"/>
                <w:kern w:val="0"/>
                <w:sz w:val="24"/>
                <w:szCs w:val="24"/>
              </w:rPr>
              <w:t>指导督促物业服务企业在出现紧急情况时，采取应急防范措施。</w:t>
            </w:r>
          </w:p>
        </w:tc>
        <w:tc>
          <w:tcPr>
            <w:tcW w:w="2550" w:type="dxa"/>
            <w:vAlign w:val="center"/>
          </w:tcPr>
          <w:p>
            <w:pPr>
              <w:pStyle w:val="2"/>
              <w:ind w:left="0" w:leftChars="0" w:firstLine="0" w:firstLineChars="0"/>
              <w:rPr>
                <w:rFonts w:ascii="宋体" w:hAnsi="宋体" w:eastAsia="宋体" w:cs="宋体"/>
                <w:kern w:val="0"/>
                <w:sz w:val="24"/>
                <w:szCs w:val="24"/>
              </w:rPr>
            </w:pPr>
          </w:p>
        </w:tc>
        <w:tc>
          <w:tcPr>
            <w:tcW w:w="2523" w:type="dxa"/>
            <w:vAlign w:val="center"/>
          </w:tcPr>
          <w:p>
            <w:pPr>
              <w:pStyle w:val="2"/>
              <w:numPr>
                <w:ilvl w:val="0"/>
                <w:numId w:val="2"/>
              </w:numPr>
              <w:ind w:left="0" w:leftChars="0" w:firstLine="0" w:firstLineChars="0"/>
              <w:rPr>
                <w:rFonts w:hint="eastAsia" w:ascii="宋体" w:hAnsi="宋体" w:eastAsia="宋体" w:cs="宋体"/>
                <w:kern w:val="0"/>
                <w:sz w:val="24"/>
                <w:szCs w:val="24"/>
              </w:rPr>
            </w:pPr>
            <w:r>
              <w:rPr>
                <w:rFonts w:ascii="宋体" w:hAnsi="宋体" w:eastAsia="宋体" w:cs="宋体"/>
                <w:kern w:val="0"/>
                <w:sz w:val="24"/>
                <w:szCs w:val="24"/>
              </w:rPr>
              <w:t>发现违法行为不及时查处，或者包庇、纵容违法行为，造成后果的</w:t>
            </w:r>
            <w:r>
              <w:rPr>
                <w:rFonts w:hint="eastAsia" w:ascii="宋体" w:hAnsi="宋体" w:eastAsia="宋体" w:cs="宋体"/>
                <w:kern w:val="0"/>
                <w:sz w:val="24"/>
                <w:szCs w:val="24"/>
              </w:rPr>
              <w:t>。</w:t>
            </w:r>
          </w:p>
          <w:p>
            <w:pPr>
              <w:pStyle w:val="2"/>
              <w:ind w:left="0" w:leftChars="0" w:firstLine="0" w:firstLineChars="0"/>
              <w:rPr>
                <w:rFonts w:ascii="宋体" w:hAnsi="宋体" w:eastAsia="宋体" w:cs="宋体"/>
                <w:kern w:val="0"/>
                <w:sz w:val="24"/>
                <w:szCs w:val="24"/>
              </w:rPr>
            </w:pPr>
            <w:r>
              <w:rPr>
                <w:rFonts w:ascii="宋体" w:hAnsi="宋体" w:eastAsia="宋体" w:cs="宋体"/>
                <w:kern w:val="0"/>
                <w:sz w:val="24"/>
                <w:szCs w:val="24"/>
              </w:rPr>
              <w:t>2.玩怱职守、滥用职权、徇私舞弊的</w:t>
            </w:r>
            <w:r>
              <w:rPr>
                <w:rFonts w:hint="eastAsia" w:ascii="宋体" w:hAnsi="宋体" w:eastAsia="宋体" w:cs="宋体"/>
                <w:kern w:val="0"/>
                <w:sz w:val="24"/>
                <w:szCs w:val="24"/>
              </w:rPr>
              <w:t>。</w:t>
            </w:r>
          </w:p>
        </w:tc>
      </w:tr>
    </w:tbl>
    <w:p>
      <w:pPr>
        <w:rPr>
          <w:rFonts w:ascii="宋体" w:hAnsi="宋体" w:eastAsia="宋体" w:cs="宋体"/>
          <w:kern w:val="0"/>
          <w:sz w:val="24"/>
          <w:szCs w:val="24"/>
        </w:rPr>
      </w:pPr>
      <w:r>
        <w:rPr>
          <w:rFonts w:hint="eastAsia" w:ascii="宋体" w:hAnsi="宋体" w:eastAsia="宋体" w:cs="宋体"/>
          <w:kern w:val="0"/>
          <w:sz w:val="24"/>
          <w:szCs w:val="24"/>
        </w:rPr>
        <w:t xml:space="preserve">      </w:t>
      </w:r>
    </w:p>
    <w:sectPr>
      <w:footerReference r:id="rId3"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rPr>
                    <w:lang w:val="en-US" w:eastAsia="zh-CN"/>
                  </w:rP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F9116F"/>
    <w:multiLevelType w:val="singleLevel"/>
    <w:tmpl w:val="9CF9116F"/>
    <w:lvl w:ilvl="0" w:tentative="0">
      <w:start w:val="1"/>
      <w:numFmt w:val="decimal"/>
      <w:lvlText w:val="%1."/>
      <w:lvlJc w:val="left"/>
      <w:pPr>
        <w:tabs>
          <w:tab w:val="left" w:pos="312"/>
        </w:tabs>
      </w:pPr>
    </w:lvl>
  </w:abstractNum>
  <w:abstractNum w:abstractNumId="1">
    <w:nsid w:val="DFFF0F91"/>
    <w:multiLevelType w:val="singleLevel"/>
    <w:tmpl w:val="DFFF0F91"/>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Q2ZmYxMWQ4ZGMwYTk5ZjQxOWYzOTZjZDQxYWFkNDcifQ=="/>
  </w:docVars>
  <w:rsids>
    <w:rsidRoot w:val="00BF63D0"/>
    <w:rsid w:val="00336AEB"/>
    <w:rsid w:val="007E0F80"/>
    <w:rsid w:val="00A65493"/>
    <w:rsid w:val="00BF63D0"/>
    <w:rsid w:val="00C02998"/>
    <w:rsid w:val="02217EB5"/>
    <w:rsid w:val="05C56ED2"/>
    <w:rsid w:val="0CF77307"/>
    <w:rsid w:val="1D804E53"/>
    <w:rsid w:val="1FAA740D"/>
    <w:rsid w:val="2A2F25A7"/>
    <w:rsid w:val="2ADA66CC"/>
    <w:rsid w:val="35CE7503"/>
    <w:rsid w:val="3C6B4A4E"/>
    <w:rsid w:val="3DB46280"/>
    <w:rsid w:val="425C5CCA"/>
    <w:rsid w:val="43E243EE"/>
    <w:rsid w:val="474F4284"/>
    <w:rsid w:val="48BC3868"/>
    <w:rsid w:val="4A8D0348"/>
    <w:rsid w:val="4C447F29"/>
    <w:rsid w:val="4F556149"/>
    <w:rsid w:val="52705A04"/>
    <w:rsid w:val="53C9715A"/>
    <w:rsid w:val="57030BD5"/>
    <w:rsid w:val="57E62A3B"/>
    <w:rsid w:val="5D3D5B82"/>
    <w:rsid w:val="5D8A1D75"/>
    <w:rsid w:val="61A34516"/>
    <w:rsid w:val="61C13B66"/>
    <w:rsid w:val="63C356A4"/>
    <w:rsid w:val="69913E1E"/>
    <w:rsid w:val="6FFA3C70"/>
    <w:rsid w:val="70FD3BD1"/>
    <w:rsid w:val="733E0081"/>
    <w:rsid w:val="77100A78"/>
    <w:rsid w:val="779D700B"/>
    <w:rsid w:val="77F77415"/>
    <w:rsid w:val="CFABBD80"/>
    <w:rsid w:val="FFFF0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 w:cs="Times New Roman"/>
      <w:kern w:val="2"/>
      <w:sz w:val="32"/>
      <w:szCs w:val="22"/>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b/>
      <w:kern w:val="44"/>
      <w:sz w:val="48"/>
      <w:szCs w:val="4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5">
    <w:name w:val="Body Text"/>
    <w:basedOn w:val="1"/>
    <w:next w:val="1"/>
    <w:unhideWhenUsed/>
    <w:qFormat/>
    <w:uiPriority w:val="0"/>
    <w:pPr>
      <w:spacing w:after="120" w:line="520" w:lineRule="exact"/>
      <w:ind w:firstLine="880" w:firstLineChars="200"/>
    </w:pPr>
    <w:rPr>
      <w:rFonts w:ascii="Times New Roman" w:hAnsi="Times New Roman"/>
      <w:sz w:val="28"/>
      <w:szCs w:val="20"/>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uiPriority w:val="0"/>
    <w:rPr>
      <w:sz w:val="24"/>
    </w:r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qFormat/>
    <w:uiPriority w:val="99"/>
    <w:rPr>
      <w:color w:val="0000FF"/>
      <w:u w:val="single"/>
    </w:rPr>
  </w:style>
  <w:style w:type="paragraph" w:customStyle="1" w:styleId="13">
    <w:name w:val="Other|1"/>
    <w:basedOn w:val="1"/>
    <w:qFormat/>
    <w:uiPriority w:val="0"/>
    <w:pPr>
      <w:spacing w:line="311" w:lineRule="exact"/>
      <w:ind w:firstLine="580"/>
    </w:pPr>
    <w:rPr>
      <w:rFonts w:ascii="宋体" w:hAnsi="宋体" w:eastAsia="宋体" w:cs="宋体"/>
      <w:sz w:val="22"/>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896</Words>
  <Characters>904</Characters>
  <Lines>6</Lines>
  <Paragraphs>1</Paragraphs>
  <TotalTime>6</TotalTime>
  <ScaleCrop>false</ScaleCrop>
  <LinksUpToDate>false</LinksUpToDate>
  <CharactersWithSpaces>913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2022-07-29T01:51:00Z</dcterms:created>
  <dc:creator>Administrator</dc:creator>
  <cp:lastModifiedBy>周晖</cp:lastModifiedBy>
  <cp:lastPrinted>2022-08-16T07:09:52Z</cp:lastPrinted>
  <dcterms:modified xsi:type="dcterms:W3CDTF">2022-08-16T07:09:53Z</dcterms:modified>
  <dc:title>关于报送省住房和城乡建设厅安全生产</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BE77ACD630984A1585765403439D9B3A</vt:lpwstr>
  </property>
</Properties>
</file>