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70BA4">
      <w:pPr>
        <w:spacing w:line="240" w:lineRule="auto"/>
        <w:ind w:firstLine="1044"/>
        <w:jc w:val="center"/>
        <w:outlineLvl w:val="0"/>
        <w:rPr>
          <w:rFonts w:hint="eastAsia" w:asciiTheme="minorEastAsia" w:hAnsiTheme="minorEastAsia" w:eastAsiaTheme="minorEastAsia" w:cstheme="minorEastAsia"/>
          <w:b/>
          <w:color w:val="auto"/>
          <w:sz w:val="52"/>
          <w:szCs w:val="52"/>
        </w:rPr>
      </w:pPr>
      <w:bookmarkStart w:id="0" w:name="_Toc21498"/>
      <w:bookmarkStart w:id="1" w:name="_Toc1242"/>
      <w:bookmarkStart w:id="2" w:name="_Toc20404"/>
      <w:bookmarkStart w:id="3" w:name="_Toc9351"/>
    </w:p>
    <w:p w14:paraId="14D776CD">
      <w:pPr>
        <w:spacing w:line="240" w:lineRule="auto"/>
        <w:ind w:firstLine="1044"/>
        <w:jc w:val="center"/>
        <w:outlineLvl w:val="0"/>
        <w:rPr>
          <w:rFonts w:hint="eastAsia" w:asciiTheme="minorEastAsia" w:hAnsiTheme="minorEastAsia" w:eastAsiaTheme="minorEastAsia" w:cstheme="minorEastAsia"/>
          <w:b/>
          <w:color w:val="auto"/>
          <w:sz w:val="52"/>
          <w:szCs w:val="52"/>
        </w:rPr>
      </w:pPr>
    </w:p>
    <w:p w14:paraId="4FD9C93D">
      <w:pPr>
        <w:spacing w:line="240" w:lineRule="auto"/>
        <w:ind w:firstLine="1044"/>
        <w:jc w:val="center"/>
        <w:outlineLvl w:val="0"/>
        <w:rPr>
          <w:rFonts w:hint="eastAsia" w:asciiTheme="minorEastAsia" w:hAnsiTheme="minorEastAsia" w:eastAsiaTheme="minorEastAsia" w:cstheme="minorEastAsia"/>
          <w:b/>
          <w:color w:val="auto"/>
          <w:sz w:val="52"/>
          <w:szCs w:val="52"/>
        </w:rPr>
      </w:pPr>
    </w:p>
    <w:p w14:paraId="7A6B4B9A">
      <w:pPr>
        <w:spacing w:line="240" w:lineRule="auto"/>
        <w:ind w:firstLine="1044"/>
        <w:jc w:val="center"/>
        <w:outlineLvl w:val="0"/>
        <w:rPr>
          <w:rFonts w:asciiTheme="minorEastAsia" w:hAnsiTheme="minorEastAsia" w:eastAsiaTheme="minorEastAsia" w:cstheme="minorEastAsia"/>
          <w:b/>
          <w:color w:val="auto"/>
          <w:sz w:val="52"/>
          <w:szCs w:val="52"/>
        </w:rPr>
      </w:pPr>
      <w:r>
        <w:rPr>
          <w:rFonts w:hint="eastAsia" w:asciiTheme="minorEastAsia" w:hAnsiTheme="minorEastAsia" w:eastAsiaTheme="minorEastAsia" w:cstheme="minorEastAsia"/>
          <w:b/>
          <w:color w:val="auto"/>
          <w:sz w:val="52"/>
          <w:szCs w:val="52"/>
        </w:rPr>
        <w:t>建设项目环境影响报告表</w:t>
      </w:r>
      <w:bookmarkEnd w:id="0"/>
      <w:bookmarkEnd w:id="1"/>
      <w:bookmarkEnd w:id="2"/>
      <w:bookmarkEnd w:id="3"/>
    </w:p>
    <w:p w14:paraId="4A760D70">
      <w:pPr>
        <w:spacing w:before="192" w:beforeLines="80"/>
        <w:ind w:firstLine="961"/>
        <w:jc w:val="center"/>
        <w:rPr>
          <w:rFonts w:ascii="楷体_GB2312" w:eastAsia="楷体_GB2312"/>
          <w:b/>
          <w:color w:val="auto"/>
          <w:sz w:val="48"/>
          <w:szCs w:val="48"/>
        </w:rPr>
      </w:pPr>
      <w:r>
        <w:rPr>
          <w:rFonts w:hint="eastAsia" w:ascii="楷体_GB2312" w:eastAsia="楷体_GB2312"/>
          <w:b/>
          <w:color w:val="auto"/>
          <w:sz w:val="48"/>
          <w:szCs w:val="48"/>
        </w:rPr>
        <w:t>（污染影响类）</w:t>
      </w:r>
    </w:p>
    <w:p w14:paraId="5B187657">
      <w:pPr>
        <w:spacing w:line="288" w:lineRule="auto"/>
        <w:ind w:firstLine="880"/>
        <w:jc w:val="center"/>
        <w:rPr>
          <w:rFonts w:ascii="华文仿宋" w:hAnsi="华文仿宋" w:eastAsia="华文仿宋" w:cs="华文仿宋"/>
          <w:color w:val="auto"/>
          <w:kern w:val="44"/>
          <w:sz w:val="44"/>
          <w:szCs w:val="44"/>
        </w:rPr>
      </w:pPr>
    </w:p>
    <w:p w14:paraId="674B9EC1">
      <w:pPr>
        <w:ind w:firstLine="1040"/>
        <w:jc w:val="center"/>
        <w:rPr>
          <w:rFonts w:eastAsia="仿宋"/>
          <w:color w:val="auto"/>
          <w:sz w:val="52"/>
          <w:szCs w:val="52"/>
        </w:rPr>
      </w:pPr>
    </w:p>
    <w:p w14:paraId="108200EE">
      <w:pPr>
        <w:ind w:firstLine="880"/>
        <w:rPr>
          <w:rFonts w:eastAsia="仿宋"/>
          <w:color w:val="auto"/>
          <w:sz w:val="44"/>
          <w:szCs w:val="44"/>
        </w:rPr>
      </w:pPr>
    </w:p>
    <w:p w14:paraId="3BF0C726">
      <w:pPr>
        <w:ind w:firstLine="880"/>
        <w:rPr>
          <w:rFonts w:eastAsia="仿宋"/>
          <w:color w:val="auto"/>
          <w:sz w:val="44"/>
          <w:szCs w:val="44"/>
        </w:rPr>
      </w:pPr>
    </w:p>
    <w:p w14:paraId="357ACF93">
      <w:pPr>
        <w:ind w:firstLine="880"/>
        <w:rPr>
          <w:rFonts w:eastAsia="仿宋"/>
          <w:color w:val="auto"/>
          <w:sz w:val="44"/>
          <w:szCs w:val="44"/>
        </w:rPr>
      </w:pPr>
    </w:p>
    <w:p w14:paraId="630ABB02">
      <w:pPr>
        <w:spacing w:line="360" w:lineRule="auto"/>
        <w:ind w:left="2406" w:leftChars="375" w:hanging="1506" w:hangingChars="500"/>
        <w:jc w:val="left"/>
        <w:rPr>
          <w:rFonts w:ascii="宋体" w:hAnsi="宋体" w:cs="宋体"/>
          <w:b/>
          <w:bCs/>
          <w:color w:val="auto"/>
          <w:sz w:val="30"/>
          <w:szCs w:val="30"/>
          <w:u w:val="single"/>
        </w:rPr>
      </w:pPr>
      <w:r>
        <w:rPr>
          <w:rFonts w:hint="eastAsia" w:ascii="宋体" w:hAnsi="宋体" w:cs="宋体"/>
          <w:b/>
          <w:bCs/>
          <w:color w:val="auto"/>
          <w:sz w:val="30"/>
          <w:szCs w:val="30"/>
        </w:rPr>
        <w:t>项目名称：</w:t>
      </w:r>
      <w:r>
        <w:rPr>
          <w:rFonts w:hint="eastAsia" w:ascii="宋体" w:hAnsi="宋体" w:eastAsia="宋体" w:cs="宋体"/>
          <w:b/>
          <w:bCs/>
          <w:color w:val="auto"/>
          <w:sz w:val="30"/>
          <w:szCs w:val="30"/>
          <w:u w:val="single"/>
          <w:lang w:eastAsia="zh-CN"/>
        </w:rPr>
        <w:t>江西金穗丰糖业有限公司年产2000吨食用大米蛋白粉改造项目</w:t>
      </w:r>
    </w:p>
    <w:p w14:paraId="5BA91339">
      <w:pPr>
        <w:spacing w:line="360" w:lineRule="auto"/>
        <w:ind w:firstLine="904" w:firstLineChars="300"/>
        <w:jc w:val="left"/>
        <w:rPr>
          <w:rFonts w:hint="eastAsia" w:ascii="宋体" w:hAnsi="宋体" w:eastAsia="宋体" w:cs="宋体"/>
          <w:b/>
          <w:bCs/>
          <w:color w:val="auto"/>
          <w:sz w:val="30"/>
          <w:szCs w:val="30"/>
          <w:u w:val="single"/>
          <w:lang w:eastAsia="zh-CN"/>
        </w:rPr>
      </w:pPr>
      <w:r>
        <w:rPr>
          <w:rFonts w:hint="eastAsia" w:ascii="宋体" w:hAnsi="宋体" w:cs="宋体"/>
          <w:b/>
          <w:bCs/>
          <w:color w:val="auto"/>
          <w:sz w:val="30"/>
          <w:szCs w:val="30"/>
        </w:rPr>
        <w:t>建设单位（盖章）：</w:t>
      </w:r>
      <w:r>
        <w:rPr>
          <w:rFonts w:hint="eastAsia" w:ascii="宋体" w:hAnsi="宋体" w:eastAsia="宋体" w:cs="宋体"/>
          <w:b/>
          <w:bCs/>
          <w:color w:val="auto"/>
          <w:sz w:val="30"/>
          <w:szCs w:val="30"/>
          <w:u w:val="single"/>
          <w:lang w:eastAsia="zh-CN"/>
        </w:rPr>
        <w:t>江西金穗丰糖业有限公司</w:t>
      </w:r>
    </w:p>
    <w:p w14:paraId="72868241">
      <w:pPr>
        <w:spacing w:line="360" w:lineRule="auto"/>
        <w:ind w:firstLine="904" w:firstLineChars="300"/>
        <w:jc w:val="left"/>
        <w:rPr>
          <w:rFonts w:ascii="宋体" w:hAnsi="宋体" w:cs="宋体"/>
          <w:b/>
          <w:bCs/>
          <w:color w:val="auto"/>
          <w:sz w:val="30"/>
          <w:szCs w:val="30"/>
          <w:u w:val="single"/>
        </w:rPr>
      </w:pPr>
      <w:r>
        <w:rPr>
          <w:rFonts w:hint="eastAsia" w:ascii="宋体" w:hAnsi="宋体" w:cs="宋体"/>
          <w:b/>
          <w:bCs/>
          <w:color w:val="auto"/>
          <w:sz w:val="30"/>
          <w:szCs w:val="30"/>
        </w:rPr>
        <w:t>编制日期：</w:t>
      </w:r>
      <w:r>
        <w:rPr>
          <w:rFonts w:hint="eastAsia" w:ascii="宋体" w:hAnsi="宋体" w:cs="宋体"/>
          <w:b/>
          <w:bCs/>
          <w:color w:val="auto"/>
          <w:sz w:val="30"/>
          <w:szCs w:val="30"/>
          <w:u w:val="single"/>
        </w:rPr>
        <w:t>202</w:t>
      </w:r>
      <w:r>
        <w:rPr>
          <w:rFonts w:hint="eastAsia" w:ascii="宋体" w:hAnsi="宋体" w:cs="宋体"/>
          <w:b/>
          <w:bCs/>
          <w:color w:val="auto"/>
          <w:sz w:val="30"/>
          <w:szCs w:val="30"/>
          <w:u w:val="single"/>
          <w:lang w:val="en-US" w:eastAsia="zh-CN"/>
        </w:rPr>
        <w:t>6</w:t>
      </w:r>
      <w:r>
        <w:rPr>
          <w:rFonts w:hint="eastAsia" w:ascii="宋体" w:hAnsi="宋体" w:cs="宋体"/>
          <w:b/>
          <w:bCs/>
          <w:color w:val="auto"/>
          <w:sz w:val="30"/>
          <w:szCs w:val="30"/>
          <w:u w:val="single"/>
        </w:rPr>
        <w:t>年</w:t>
      </w:r>
      <w:r>
        <w:rPr>
          <w:rFonts w:hint="eastAsia" w:ascii="宋体" w:hAnsi="宋体" w:cs="宋体"/>
          <w:b/>
          <w:bCs/>
          <w:color w:val="auto"/>
          <w:sz w:val="30"/>
          <w:szCs w:val="30"/>
          <w:u w:val="single"/>
          <w:lang w:val="en-US" w:eastAsia="zh-CN"/>
        </w:rPr>
        <w:t>3</w:t>
      </w:r>
      <w:r>
        <w:rPr>
          <w:rFonts w:hint="eastAsia" w:ascii="宋体" w:hAnsi="宋体" w:cs="宋体"/>
          <w:b/>
          <w:bCs/>
          <w:color w:val="auto"/>
          <w:sz w:val="30"/>
          <w:szCs w:val="30"/>
          <w:u w:val="single"/>
        </w:rPr>
        <w:t>月</w:t>
      </w:r>
    </w:p>
    <w:p w14:paraId="6547C6A6">
      <w:pPr>
        <w:ind w:firstLine="880"/>
        <w:rPr>
          <w:rFonts w:eastAsia="仿宋"/>
          <w:color w:val="auto"/>
          <w:sz w:val="44"/>
          <w:szCs w:val="44"/>
        </w:rPr>
      </w:pPr>
    </w:p>
    <w:p w14:paraId="7EF946E2">
      <w:pPr>
        <w:spacing w:line="288" w:lineRule="auto"/>
        <w:rPr>
          <w:rFonts w:ascii="仿宋_GB2312" w:eastAsia="仿宋_GB2312"/>
          <w:color w:val="auto"/>
          <w:sz w:val="36"/>
          <w:szCs w:val="36"/>
        </w:rPr>
      </w:pPr>
      <w:bookmarkStart w:id="4" w:name="_Hlk57884087"/>
    </w:p>
    <w:p w14:paraId="5576F890">
      <w:pPr>
        <w:spacing w:line="288" w:lineRule="auto"/>
        <w:rPr>
          <w:rFonts w:ascii="仿宋_GB2312" w:eastAsia="仿宋_GB2312"/>
          <w:color w:val="auto"/>
          <w:sz w:val="36"/>
          <w:szCs w:val="36"/>
        </w:rPr>
      </w:pPr>
    </w:p>
    <w:bookmarkEnd w:id="4"/>
    <w:p w14:paraId="3763B627">
      <w:pPr>
        <w:ind w:firstLine="1084" w:firstLineChars="300"/>
        <w:rPr>
          <w:color w:val="auto"/>
        </w:rPr>
      </w:pPr>
      <w:bookmarkStart w:id="5" w:name="_Toc25767"/>
      <w:bookmarkStart w:id="6" w:name="_Toc14955"/>
      <w:bookmarkStart w:id="7" w:name="_Toc1160"/>
      <w:r>
        <w:rPr>
          <w:rFonts w:hint="eastAsia" w:ascii="楷体_GB2312" w:eastAsia="楷体_GB2312"/>
          <w:b/>
          <w:bCs/>
          <w:color w:val="auto"/>
          <w:sz w:val="36"/>
          <w:szCs w:val="36"/>
        </w:rPr>
        <w:t>中华人民共和国生态环境部制</w:t>
      </w:r>
      <w:bookmarkEnd w:id="5"/>
      <w:bookmarkEnd w:id="6"/>
      <w:bookmarkEnd w:id="7"/>
    </w:p>
    <w:p w14:paraId="4EB44517">
      <w:pPr>
        <w:pStyle w:val="25"/>
        <w:jc w:val="center"/>
        <w:outlineLvl w:val="0"/>
        <w:rPr>
          <w:rFonts w:hint="eastAsia" w:ascii="黑体" w:hAnsi="黑体" w:eastAsia="黑体"/>
          <w:snapToGrid w:val="0"/>
          <w:color w:val="auto"/>
          <w:sz w:val="30"/>
          <w:szCs w:val="30"/>
        </w:rPr>
        <w:sectPr>
          <w:footerReference r:id="rId5" w:type="default"/>
          <w:pgSz w:w="11906" w:h="16838"/>
          <w:pgMar w:top="1440" w:right="1800" w:bottom="1440" w:left="1800" w:header="851" w:footer="1077" w:gutter="0"/>
          <w:pgBorders w:offsetFrom="page">
            <w:top w:val="none" w:sz="0" w:space="0"/>
            <w:left w:val="none" w:sz="0" w:space="0"/>
            <w:bottom w:val="none" w:sz="0" w:space="0"/>
            <w:right w:val="none" w:sz="0" w:space="0"/>
          </w:pgBorders>
          <w:cols w:space="720" w:num="1"/>
          <w:docGrid w:linePitch="312" w:charSpace="0"/>
        </w:sectPr>
      </w:pPr>
    </w:p>
    <w:sdt>
      <w:sdtPr>
        <w:rPr>
          <w:rFonts w:ascii="宋体" w:hAnsi="宋体" w:eastAsia="宋体" w:cs="Times New Roman"/>
          <w:color w:val="auto"/>
          <w:kern w:val="2"/>
          <w:sz w:val="21"/>
          <w:szCs w:val="24"/>
          <w:lang w:val="en-US" w:eastAsia="zh-CN" w:bidi="ar-SA"/>
        </w:rPr>
        <w:id w:val="147464105"/>
        <w15:color w:val="DBDBDB"/>
        <w:docPartObj>
          <w:docPartGallery w:val="Table of Contents"/>
          <w:docPartUnique/>
        </w:docPartObj>
      </w:sdtPr>
      <w:sdtEndPr>
        <w:rPr>
          <w:rFonts w:hint="eastAsia" w:ascii="黑体" w:hAnsi="黑体" w:eastAsia="黑体" w:cs="Times New Roman"/>
          <w:snapToGrid w:val="0"/>
          <w:color w:val="auto"/>
          <w:kern w:val="0"/>
          <w:sz w:val="24"/>
          <w:szCs w:val="30"/>
          <w:lang w:val="en-US" w:eastAsia="zh-CN" w:bidi="ar-SA"/>
        </w:rPr>
      </w:sdtEndPr>
      <w:sdtContent>
        <w:p w14:paraId="5BED5E49">
          <w:pPr>
            <w:spacing w:before="0" w:beforeLines="0" w:after="0" w:afterLines="0" w:line="240" w:lineRule="auto"/>
            <w:ind w:left="0" w:leftChars="0" w:right="0" w:rightChars="0" w:firstLine="0" w:firstLineChars="0"/>
            <w:jc w:val="center"/>
            <w:rPr>
              <w:color w:val="auto"/>
            </w:rPr>
          </w:pPr>
          <w:r>
            <w:rPr>
              <w:rFonts w:ascii="宋体" w:hAnsi="宋体" w:eastAsia="宋体"/>
              <w:color w:val="auto"/>
              <w:sz w:val="21"/>
            </w:rPr>
            <w:t>目录</w:t>
          </w:r>
        </w:p>
        <w:p w14:paraId="0B3668D8">
          <w:pPr>
            <w:pStyle w:val="21"/>
            <w:tabs>
              <w:tab w:val="right" w:leader="dot" w:pos="8306"/>
            </w:tabs>
            <w:ind w:left="0" w:leftChars="0" w:firstLine="600" w:firstLineChars="200"/>
            <w:rPr>
              <w:color w:val="auto"/>
            </w:rPr>
          </w:pPr>
          <w:r>
            <w:rPr>
              <w:rFonts w:hint="eastAsia" w:ascii="黑体" w:hAnsi="黑体" w:eastAsia="黑体"/>
              <w:snapToGrid w:val="0"/>
              <w:color w:val="auto"/>
              <w:sz w:val="30"/>
              <w:szCs w:val="30"/>
            </w:rPr>
            <w:fldChar w:fldCharType="begin"/>
          </w:r>
          <w:r>
            <w:rPr>
              <w:rFonts w:hint="eastAsia" w:ascii="黑体" w:hAnsi="黑体" w:eastAsia="黑体"/>
              <w:snapToGrid w:val="0"/>
              <w:color w:val="auto"/>
              <w:sz w:val="30"/>
              <w:szCs w:val="30"/>
            </w:rPr>
            <w:instrText xml:space="preserve">TOC \o "1-1" \h \u </w:instrText>
          </w:r>
          <w:r>
            <w:rPr>
              <w:rFonts w:hint="eastAsia" w:ascii="黑体" w:hAnsi="黑体" w:eastAsia="黑体"/>
              <w:snapToGrid w:val="0"/>
              <w:color w:val="auto"/>
              <w:sz w:val="30"/>
              <w:szCs w:val="30"/>
            </w:rPr>
            <w:fldChar w:fldCharType="separate"/>
          </w: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_Toc4558 </w:instrText>
          </w:r>
          <w:r>
            <w:rPr>
              <w:rFonts w:hint="eastAsia" w:ascii="黑体" w:hAnsi="黑体" w:eastAsia="黑体"/>
              <w:snapToGrid w:val="0"/>
              <w:color w:val="auto"/>
              <w:szCs w:val="30"/>
            </w:rPr>
            <w:fldChar w:fldCharType="separate"/>
          </w:r>
          <w:r>
            <w:rPr>
              <w:rFonts w:hint="eastAsia" w:ascii="黑体" w:hAnsi="黑体" w:eastAsia="黑体"/>
              <w:snapToGrid w:val="0"/>
              <w:color w:val="auto"/>
              <w:szCs w:val="30"/>
            </w:rPr>
            <w:t>一、建设项目基本情况</w:t>
          </w:r>
          <w:r>
            <w:rPr>
              <w:color w:val="auto"/>
            </w:rPr>
            <w:tab/>
          </w:r>
          <w:r>
            <w:rPr>
              <w:color w:val="auto"/>
            </w:rPr>
            <w:fldChar w:fldCharType="begin"/>
          </w:r>
          <w:r>
            <w:rPr>
              <w:color w:val="auto"/>
            </w:rPr>
            <w:instrText xml:space="preserve"> PAGEREF _Toc4558 \h </w:instrText>
          </w:r>
          <w:r>
            <w:rPr>
              <w:color w:val="auto"/>
            </w:rPr>
            <w:fldChar w:fldCharType="separate"/>
          </w:r>
          <w:r>
            <w:rPr>
              <w:color w:val="auto"/>
            </w:rPr>
            <w:t>3</w:t>
          </w:r>
          <w:r>
            <w:rPr>
              <w:color w:val="auto"/>
            </w:rPr>
            <w:fldChar w:fldCharType="end"/>
          </w:r>
          <w:r>
            <w:rPr>
              <w:rFonts w:hint="eastAsia" w:ascii="黑体" w:hAnsi="黑体" w:eastAsia="黑体"/>
              <w:snapToGrid w:val="0"/>
              <w:color w:val="auto"/>
              <w:szCs w:val="30"/>
            </w:rPr>
            <w:fldChar w:fldCharType="end"/>
          </w:r>
        </w:p>
        <w:p w14:paraId="5D117532">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_Toc11440 </w:instrText>
          </w:r>
          <w:r>
            <w:rPr>
              <w:rFonts w:hint="eastAsia" w:ascii="黑体" w:hAnsi="黑体" w:eastAsia="黑体"/>
              <w:snapToGrid w:val="0"/>
              <w:color w:val="auto"/>
              <w:szCs w:val="30"/>
            </w:rPr>
            <w:fldChar w:fldCharType="separate"/>
          </w:r>
          <w:r>
            <w:rPr>
              <w:rFonts w:hint="eastAsia" w:ascii="黑体" w:hAnsi="黑体" w:eastAsia="黑体" w:cs="Times New Roman"/>
              <w:snapToGrid w:val="0"/>
              <w:color w:val="auto"/>
              <w:kern w:val="0"/>
              <w:szCs w:val="30"/>
              <w:lang w:val="en-US" w:eastAsia="zh-CN" w:bidi="ar-SA"/>
            </w:rPr>
            <w:t>二、</w:t>
          </w:r>
          <w:r>
            <w:rPr>
              <w:rFonts w:hint="eastAsia" w:ascii="黑体" w:hAnsi="黑体" w:eastAsia="黑体" w:cs="Times New Roman"/>
              <w:snapToGrid w:val="0"/>
              <w:color w:val="auto"/>
              <w:szCs w:val="30"/>
            </w:rPr>
            <w:t>建设项目工程分析</w:t>
          </w:r>
          <w:r>
            <w:rPr>
              <w:color w:val="auto"/>
            </w:rPr>
            <w:tab/>
          </w:r>
          <w:r>
            <w:rPr>
              <w:color w:val="auto"/>
            </w:rPr>
            <w:fldChar w:fldCharType="begin"/>
          </w:r>
          <w:r>
            <w:rPr>
              <w:color w:val="auto"/>
            </w:rPr>
            <w:instrText xml:space="preserve"> PAGEREF _Toc11440 \h </w:instrText>
          </w:r>
          <w:r>
            <w:rPr>
              <w:color w:val="auto"/>
            </w:rPr>
            <w:fldChar w:fldCharType="separate"/>
          </w:r>
          <w:r>
            <w:rPr>
              <w:color w:val="auto"/>
            </w:rPr>
            <w:t>29</w:t>
          </w:r>
          <w:r>
            <w:rPr>
              <w:color w:val="auto"/>
            </w:rPr>
            <w:fldChar w:fldCharType="end"/>
          </w:r>
          <w:r>
            <w:rPr>
              <w:rFonts w:hint="eastAsia" w:ascii="黑体" w:hAnsi="黑体" w:eastAsia="黑体"/>
              <w:snapToGrid w:val="0"/>
              <w:color w:val="auto"/>
              <w:szCs w:val="30"/>
            </w:rPr>
            <w:fldChar w:fldCharType="end"/>
          </w:r>
        </w:p>
        <w:p w14:paraId="3ED4C474">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_Toc11403 </w:instrText>
          </w:r>
          <w:r>
            <w:rPr>
              <w:rFonts w:hint="eastAsia" w:ascii="黑体" w:hAnsi="黑体" w:eastAsia="黑体"/>
              <w:snapToGrid w:val="0"/>
              <w:color w:val="auto"/>
              <w:szCs w:val="30"/>
            </w:rPr>
            <w:fldChar w:fldCharType="separate"/>
          </w:r>
          <w:r>
            <w:rPr>
              <w:rFonts w:hint="eastAsia" w:ascii="黑体" w:hAnsi="黑体" w:eastAsia="黑体"/>
              <w:snapToGrid w:val="0"/>
              <w:color w:val="auto"/>
              <w:szCs w:val="30"/>
            </w:rPr>
            <w:t>三、区域环境质量现状、环境保护目标及评价标准</w:t>
          </w:r>
          <w:r>
            <w:rPr>
              <w:color w:val="auto"/>
            </w:rPr>
            <w:tab/>
          </w:r>
          <w:r>
            <w:rPr>
              <w:color w:val="auto"/>
            </w:rPr>
            <w:fldChar w:fldCharType="begin"/>
          </w:r>
          <w:r>
            <w:rPr>
              <w:color w:val="auto"/>
            </w:rPr>
            <w:instrText xml:space="preserve"> PAGEREF _Toc11403 \h </w:instrText>
          </w:r>
          <w:r>
            <w:rPr>
              <w:color w:val="auto"/>
            </w:rPr>
            <w:fldChar w:fldCharType="separate"/>
          </w:r>
          <w:r>
            <w:rPr>
              <w:color w:val="auto"/>
            </w:rPr>
            <w:t>62</w:t>
          </w:r>
          <w:r>
            <w:rPr>
              <w:color w:val="auto"/>
            </w:rPr>
            <w:fldChar w:fldCharType="end"/>
          </w:r>
          <w:r>
            <w:rPr>
              <w:rFonts w:hint="eastAsia" w:ascii="黑体" w:hAnsi="黑体" w:eastAsia="黑体"/>
              <w:snapToGrid w:val="0"/>
              <w:color w:val="auto"/>
              <w:szCs w:val="30"/>
            </w:rPr>
            <w:fldChar w:fldCharType="end"/>
          </w:r>
        </w:p>
        <w:p w14:paraId="55D78D32">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_Toc25108 </w:instrText>
          </w:r>
          <w:r>
            <w:rPr>
              <w:rFonts w:hint="eastAsia" w:ascii="黑体" w:hAnsi="黑体" w:eastAsia="黑体"/>
              <w:snapToGrid w:val="0"/>
              <w:color w:val="auto"/>
              <w:szCs w:val="30"/>
            </w:rPr>
            <w:fldChar w:fldCharType="separate"/>
          </w:r>
          <w:r>
            <w:rPr>
              <w:rFonts w:hint="eastAsia" w:ascii="黑体" w:hAnsi="黑体" w:eastAsia="黑体" w:cs="Times New Roman"/>
              <w:snapToGrid w:val="0"/>
              <w:color w:val="auto"/>
              <w:kern w:val="0"/>
              <w:szCs w:val="30"/>
              <w:lang w:val="en-US" w:eastAsia="zh-CN" w:bidi="ar-SA"/>
            </w:rPr>
            <w:t>四、主要环境影响和保护措施</w:t>
          </w:r>
          <w:r>
            <w:rPr>
              <w:color w:val="auto"/>
            </w:rPr>
            <w:tab/>
          </w:r>
          <w:r>
            <w:rPr>
              <w:color w:val="auto"/>
            </w:rPr>
            <w:fldChar w:fldCharType="begin"/>
          </w:r>
          <w:r>
            <w:rPr>
              <w:color w:val="auto"/>
            </w:rPr>
            <w:instrText xml:space="preserve"> PAGEREF _Toc25108 \h </w:instrText>
          </w:r>
          <w:r>
            <w:rPr>
              <w:color w:val="auto"/>
            </w:rPr>
            <w:fldChar w:fldCharType="separate"/>
          </w:r>
          <w:r>
            <w:rPr>
              <w:color w:val="auto"/>
            </w:rPr>
            <w:t>69</w:t>
          </w:r>
          <w:r>
            <w:rPr>
              <w:color w:val="auto"/>
            </w:rPr>
            <w:fldChar w:fldCharType="end"/>
          </w:r>
          <w:r>
            <w:rPr>
              <w:rFonts w:hint="eastAsia" w:ascii="黑体" w:hAnsi="黑体" w:eastAsia="黑体"/>
              <w:snapToGrid w:val="0"/>
              <w:color w:val="auto"/>
              <w:szCs w:val="30"/>
            </w:rPr>
            <w:fldChar w:fldCharType="end"/>
          </w:r>
        </w:p>
        <w:p w14:paraId="49679094">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_Toc3337 </w:instrText>
          </w:r>
          <w:r>
            <w:rPr>
              <w:rFonts w:hint="eastAsia" w:ascii="黑体" w:hAnsi="黑体" w:eastAsia="黑体"/>
              <w:snapToGrid w:val="0"/>
              <w:color w:val="auto"/>
              <w:szCs w:val="30"/>
            </w:rPr>
            <w:fldChar w:fldCharType="separate"/>
          </w:r>
          <w:r>
            <w:rPr>
              <w:rFonts w:hint="eastAsia" w:ascii="黑体" w:hAnsi="黑体" w:eastAsia="黑体"/>
              <w:snapToGrid w:val="0"/>
              <w:color w:val="auto"/>
              <w:szCs w:val="30"/>
            </w:rPr>
            <w:t>五、环境保护措施监督检查清单</w:t>
          </w:r>
          <w:r>
            <w:rPr>
              <w:color w:val="auto"/>
            </w:rPr>
            <w:tab/>
          </w:r>
          <w:r>
            <w:rPr>
              <w:color w:val="auto"/>
            </w:rPr>
            <w:fldChar w:fldCharType="begin"/>
          </w:r>
          <w:r>
            <w:rPr>
              <w:color w:val="auto"/>
            </w:rPr>
            <w:instrText xml:space="preserve"> PAGEREF _Toc3337 \h </w:instrText>
          </w:r>
          <w:r>
            <w:rPr>
              <w:color w:val="auto"/>
            </w:rPr>
            <w:fldChar w:fldCharType="separate"/>
          </w:r>
          <w:r>
            <w:rPr>
              <w:color w:val="auto"/>
            </w:rPr>
            <w:t>98</w:t>
          </w:r>
          <w:r>
            <w:rPr>
              <w:color w:val="auto"/>
            </w:rPr>
            <w:fldChar w:fldCharType="end"/>
          </w:r>
          <w:r>
            <w:rPr>
              <w:rFonts w:hint="eastAsia" w:ascii="黑体" w:hAnsi="黑体" w:eastAsia="黑体"/>
              <w:snapToGrid w:val="0"/>
              <w:color w:val="auto"/>
              <w:szCs w:val="30"/>
            </w:rPr>
            <w:fldChar w:fldCharType="end"/>
          </w:r>
        </w:p>
        <w:p w14:paraId="70AC4E3B">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_Toc9129 </w:instrText>
          </w:r>
          <w:r>
            <w:rPr>
              <w:rFonts w:hint="eastAsia" w:ascii="黑体" w:hAnsi="黑体" w:eastAsia="黑体"/>
              <w:snapToGrid w:val="0"/>
              <w:color w:val="auto"/>
              <w:szCs w:val="30"/>
            </w:rPr>
            <w:fldChar w:fldCharType="separate"/>
          </w:r>
          <w:r>
            <w:rPr>
              <w:rFonts w:hint="eastAsia" w:ascii="黑体" w:hAnsi="黑体" w:eastAsia="黑体"/>
              <w:snapToGrid w:val="0"/>
              <w:color w:val="auto"/>
              <w:szCs w:val="30"/>
            </w:rPr>
            <w:t>六、结论</w:t>
          </w:r>
          <w:r>
            <w:rPr>
              <w:color w:val="auto"/>
            </w:rPr>
            <w:tab/>
          </w:r>
          <w:r>
            <w:rPr>
              <w:color w:val="auto"/>
            </w:rPr>
            <w:fldChar w:fldCharType="begin"/>
          </w:r>
          <w:r>
            <w:rPr>
              <w:color w:val="auto"/>
            </w:rPr>
            <w:instrText xml:space="preserve"> PAGEREF _Toc9129 \h </w:instrText>
          </w:r>
          <w:r>
            <w:rPr>
              <w:color w:val="auto"/>
            </w:rPr>
            <w:fldChar w:fldCharType="separate"/>
          </w:r>
          <w:r>
            <w:rPr>
              <w:color w:val="auto"/>
            </w:rPr>
            <w:t>102</w:t>
          </w:r>
          <w:r>
            <w:rPr>
              <w:color w:val="auto"/>
            </w:rPr>
            <w:fldChar w:fldCharType="end"/>
          </w:r>
          <w:r>
            <w:rPr>
              <w:rFonts w:hint="eastAsia" w:ascii="黑体" w:hAnsi="黑体" w:eastAsia="黑体"/>
              <w:snapToGrid w:val="0"/>
              <w:color w:val="auto"/>
              <w:szCs w:val="30"/>
            </w:rPr>
            <w:fldChar w:fldCharType="end"/>
          </w:r>
        </w:p>
        <w:p w14:paraId="3428D0E2">
          <w:pPr>
            <w:pStyle w:val="21"/>
            <w:tabs>
              <w:tab w:val="right" w:leader="dot" w:pos="8306"/>
            </w:tabs>
            <w:rPr>
              <w:color w:val="auto"/>
            </w:rPr>
          </w:pPr>
          <w:r>
            <w:rPr>
              <w:rFonts w:hint="eastAsia" w:ascii="黑体" w:hAnsi="黑体" w:eastAsia="黑体"/>
              <w:snapToGrid w:val="0"/>
              <w:color w:val="auto"/>
              <w:szCs w:val="30"/>
            </w:rPr>
            <w:fldChar w:fldCharType="begin"/>
          </w:r>
          <w:r>
            <w:rPr>
              <w:rFonts w:hint="eastAsia" w:ascii="黑体" w:hAnsi="黑体" w:eastAsia="黑体"/>
              <w:snapToGrid w:val="0"/>
              <w:color w:val="auto"/>
              <w:szCs w:val="30"/>
            </w:rPr>
            <w:instrText xml:space="preserve"> HYPERLINK \l _Toc29469 </w:instrText>
          </w:r>
          <w:r>
            <w:rPr>
              <w:rFonts w:hint="eastAsia" w:ascii="黑体" w:hAnsi="黑体" w:eastAsia="黑体"/>
              <w:snapToGrid w:val="0"/>
              <w:color w:val="auto"/>
              <w:szCs w:val="30"/>
            </w:rPr>
            <w:fldChar w:fldCharType="separate"/>
          </w:r>
          <w:r>
            <w:rPr>
              <w:rFonts w:hint="eastAsia" w:ascii="方正小标宋_GBK" w:hAnsi="黑体" w:eastAsia="方正小标宋_GBK"/>
              <w:snapToGrid w:val="0"/>
              <w:color w:val="auto"/>
              <w:szCs w:val="38"/>
              <w:lang w:eastAsia="zh-CN"/>
            </w:rPr>
            <w:t>附表</w:t>
          </w:r>
          <w:r>
            <w:rPr>
              <w:color w:val="auto"/>
            </w:rPr>
            <w:tab/>
          </w:r>
          <w:r>
            <w:rPr>
              <w:color w:val="auto"/>
            </w:rPr>
            <w:fldChar w:fldCharType="begin"/>
          </w:r>
          <w:r>
            <w:rPr>
              <w:color w:val="auto"/>
            </w:rPr>
            <w:instrText xml:space="preserve"> PAGEREF _Toc29469 \h </w:instrText>
          </w:r>
          <w:r>
            <w:rPr>
              <w:color w:val="auto"/>
            </w:rPr>
            <w:fldChar w:fldCharType="separate"/>
          </w:r>
          <w:r>
            <w:rPr>
              <w:color w:val="auto"/>
            </w:rPr>
            <w:t>103</w:t>
          </w:r>
          <w:r>
            <w:rPr>
              <w:color w:val="auto"/>
            </w:rPr>
            <w:fldChar w:fldCharType="end"/>
          </w:r>
          <w:r>
            <w:rPr>
              <w:rFonts w:hint="eastAsia" w:ascii="黑体" w:hAnsi="黑体" w:eastAsia="黑体"/>
              <w:snapToGrid w:val="0"/>
              <w:color w:val="auto"/>
              <w:szCs w:val="30"/>
            </w:rPr>
            <w:fldChar w:fldCharType="end"/>
          </w:r>
        </w:p>
        <w:p w14:paraId="0FA1D569">
          <w:pPr>
            <w:pStyle w:val="25"/>
            <w:jc w:val="center"/>
            <w:outlineLvl w:val="0"/>
            <w:rPr>
              <w:rFonts w:hint="eastAsia" w:ascii="黑体" w:hAnsi="黑体" w:eastAsia="黑体" w:cs="Times New Roman"/>
              <w:snapToGrid w:val="0"/>
              <w:color w:val="auto"/>
              <w:kern w:val="0"/>
              <w:sz w:val="24"/>
              <w:szCs w:val="30"/>
              <w:lang w:val="en-US" w:eastAsia="zh-CN" w:bidi="ar-SA"/>
            </w:rPr>
          </w:pPr>
          <w:r>
            <w:rPr>
              <w:rFonts w:hint="eastAsia" w:ascii="黑体" w:hAnsi="黑体" w:eastAsia="黑体"/>
              <w:snapToGrid w:val="0"/>
              <w:color w:val="auto"/>
              <w:szCs w:val="30"/>
            </w:rPr>
            <w:fldChar w:fldCharType="end"/>
          </w:r>
        </w:p>
      </w:sdtContent>
    </w:sdt>
    <w:p w14:paraId="04F54099">
      <w:pPr>
        <w:pStyle w:val="25"/>
        <w:jc w:val="center"/>
        <w:outlineLvl w:val="0"/>
        <w:rPr>
          <w:rFonts w:hint="eastAsia" w:ascii="黑体" w:hAnsi="黑体" w:eastAsia="黑体" w:cs="Times New Roman"/>
          <w:snapToGrid w:val="0"/>
          <w:color w:val="auto"/>
          <w:kern w:val="0"/>
          <w:sz w:val="24"/>
          <w:szCs w:val="30"/>
          <w:lang w:val="en-US" w:eastAsia="zh-CN" w:bidi="ar-SA"/>
        </w:rPr>
        <w:sectPr>
          <w:pgSz w:w="11906" w:h="16838"/>
          <w:pgMar w:top="1440" w:right="1800" w:bottom="1440" w:left="1800" w:header="851" w:footer="1077" w:gutter="0"/>
          <w:pgBorders w:offsetFrom="page">
            <w:top w:val="none" w:sz="0" w:space="0"/>
            <w:left w:val="none" w:sz="0" w:space="0"/>
            <w:bottom w:val="none" w:sz="0" w:space="0"/>
            <w:right w:val="none" w:sz="0" w:space="0"/>
          </w:pgBorders>
          <w:cols w:space="720" w:num="1"/>
          <w:docGrid w:linePitch="312" w:charSpace="0"/>
        </w:sectPr>
      </w:pPr>
      <w:bookmarkStart w:id="8" w:name="_Toc4558"/>
    </w:p>
    <w:p w14:paraId="45C087FD">
      <w:pPr>
        <w:pStyle w:val="25"/>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bookmarkEnd w:id="8"/>
    </w:p>
    <w:tbl>
      <w:tblPr>
        <w:tblStyle w:val="29"/>
        <w:tblW w:w="502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8"/>
        <w:gridCol w:w="1354"/>
        <w:gridCol w:w="1964"/>
        <w:gridCol w:w="1425"/>
        <w:gridCol w:w="3548"/>
        <w:gridCol w:w="74"/>
      </w:tblGrid>
      <w:tr w14:paraId="4FE300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6EDB96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4142" w:type="pct"/>
            <w:gridSpan w:val="3"/>
            <w:noWrap w:val="0"/>
            <w:vAlign w:val="center"/>
          </w:tcPr>
          <w:p w14:paraId="119008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eastAsia="zh-CN"/>
              </w:rPr>
            </w:pPr>
            <w:r>
              <w:rPr>
                <w:rFonts w:hint="eastAsia" w:cs="Times New Roman"/>
                <w:color w:val="auto"/>
                <w:sz w:val="24"/>
                <w:lang w:eastAsia="zh-CN"/>
              </w:rPr>
              <w:t>江西金穗丰糖业有限公司年产2000吨食用大米蛋白粉改造项目</w:t>
            </w:r>
          </w:p>
        </w:tc>
      </w:tr>
      <w:tr w14:paraId="14E284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1093B4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4142" w:type="pct"/>
            <w:gridSpan w:val="3"/>
            <w:noWrap w:val="0"/>
            <w:vAlign w:val="center"/>
          </w:tcPr>
          <w:p w14:paraId="207E65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eastAsia="zh-CN"/>
              </w:rPr>
            </w:pPr>
            <w:r>
              <w:rPr>
                <w:rFonts w:hint="eastAsia" w:cs="Times New Roman"/>
                <w:color w:val="auto"/>
                <w:sz w:val="24"/>
                <w:lang w:eastAsia="zh-CN"/>
              </w:rPr>
              <w:t>2507-360983-07-02-494746</w:t>
            </w:r>
          </w:p>
        </w:tc>
      </w:tr>
      <w:tr w14:paraId="70AD8B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77DDE8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1173" w:type="pct"/>
            <w:noWrap w:val="0"/>
            <w:vAlign w:val="center"/>
          </w:tcPr>
          <w:p w14:paraId="4EF091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p>
        </w:tc>
        <w:tc>
          <w:tcPr>
            <w:tcW w:w="851" w:type="pct"/>
            <w:noWrap w:val="0"/>
            <w:vAlign w:val="center"/>
          </w:tcPr>
          <w:p w14:paraId="27E680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2118" w:type="pct"/>
            <w:noWrap w:val="0"/>
            <w:vAlign w:val="center"/>
          </w:tcPr>
          <w:p w14:paraId="2DFED7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eastAsia="zh-CN"/>
              </w:rPr>
            </w:pPr>
            <w:bookmarkStart w:id="44" w:name="_GoBack"/>
            <w:bookmarkEnd w:id="44"/>
          </w:p>
        </w:tc>
      </w:tr>
      <w:tr w14:paraId="3660A5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458E79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4142" w:type="pct"/>
            <w:gridSpan w:val="3"/>
            <w:noWrap w:val="0"/>
            <w:vAlign w:val="center"/>
          </w:tcPr>
          <w:p w14:paraId="16D0EF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u w:val="none"/>
                <w:lang w:val="zh-CN"/>
              </w:rPr>
              <w:t>江西省高安市蓝坊镇湾头</w:t>
            </w:r>
          </w:p>
        </w:tc>
      </w:tr>
      <w:tr w14:paraId="3D9A17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432CD0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4142" w:type="pct"/>
            <w:gridSpan w:val="3"/>
            <w:noWrap w:val="0"/>
            <w:vAlign w:val="center"/>
          </w:tcPr>
          <w:p w14:paraId="52C2A8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经度</w:t>
            </w:r>
            <w:r>
              <w:rPr>
                <w:rFonts w:hint="default" w:ascii="Times New Roman" w:hAnsi="Times New Roman" w:cs="Times New Roman"/>
                <w:color w:val="auto"/>
                <w:sz w:val="24"/>
                <w:u w:val="single"/>
              </w:rPr>
              <w:t>115</w:t>
            </w:r>
            <w:r>
              <w:rPr>
                <w:rFonts w:hint="default" w:ascii="Times New Roman" w:hAnsi="Times New Roman" w:cs="Times New Roman"/>
                <w:color w:val="auto"/>
                <w:sz w:val="24"/>
              </w:rPr>
              <w:t>度</w:t>
            </w:r>
            <w:r>
              <w:rPr>
                <w:rFonts w:hint="default" w:ascii="Times New Roman" w:hAnsi="Times New Roman" w:cs="Times New Roman"/>
                <w:color w:val="auto"/>
                <w:sz w:val="24"/>
                <w:u w:val="single"/>
                <w:lang w:val="en-US" w:eastAsia="zh-CN"/>
              </w:rPr>
              <w:t>2</w:t>
            </w:r>
            <w:r>
              <w:rPr>
                <w:rFonts w:hint="eastAsia" w:cs="Times New Roman"/>
                <w:color w:val="auto"/>
                <w:sz w:val="24"/>
                <w:u w:val="single"/>
                <w:lang w:val="en-US" w:eastAsia="zh-CN"/>
              </w:rPr>
              <w:t>8</w:t>
            </w:r>
            <w:r>
              <w:rPr>
                <w:rFonts w:hint="default" w:ascii="Times New Roman" w:hAnsi="Times New Roman" w:cs="Times New Roman"/>
                <w:color w:val="auto"/>
                <w:sz w:val="24"/>
              </w:rPr>
              <w:t>分</w:t>
            </w:r>
            <w:r>
              <w:rPr>
                <w:rFonts w:hint="eastAsia" w:cs="Times New Roman"/>
                <w:color w:val="auto"/>
                <w:sz w:val="24"/>
                <w:u w:val="single"/>
                <w:lang w:val="en-US" w:eastAsia="zh-CN"/>
              </w:rPr>
              <w:t>9.606</w:t>
            </w:r>
            <w:r>
              <w:rPr>
                <w:rFonts w:hint="default" w:ascii="Times New Roman" w:hAnsi="Times New Roman" w:cs="Times New Roman"/>
                <w:color w:val="auto"/>
                <w:sz w:val="24"/>
              </w:rPr>
              <w:t>秒</w:t>
            </w:r>
            <w:r>
              <w:rPr>
                <w:rFonts w:hint="eastAsia" w:cs="Times New Roman"/>
                <w:color w:val="auto"/>
                <w:sz w:val="24"/>
                <w:lang w:eastAsia="zh-CN"/>
              </w:rPr>
              <w:t>，</w:t>
            </w:r>
            <w:r>
              <w:rPr>
                <w:rFonts w:hint="default" w:ascii="Times New Roman" w:hAnsi="Times New Roman" w:cs="Times New Roman"/>
                <w:color w:val="auto"/>
                <w:sz w:val="24"/>
                <w:lang w:val="en-US" w:eastAsia="zh-CN"/>
              </w:rPr>
              <w:t>纬度</w:t>
            </w:r>
            <w:r>
              <w:rPr>
                <w:rFonts w:hint="default" w:ascii="Times New Roman" w:hAnsi="Times New Roman" w:cs="Times New Roman"/>
                <w:color w:val="auto"/>
                <w:sz w:val="24"/>
                <w:u w:val="single"/>
              </w:rPr>
              <w:t>28</w:t>
            </w:r>
            <w:r>
              <w:rPr>
                <w:rFonts w:hint="default" w:ascii="Times New Roman" w:hAnsi="Times New Roman" w:cs="Times New Roman"/>
                <w:color w:val="auto"/>
                <w:sz w:val="24"/>
              </w:rPr>
              <w:t>度</w:t>
            </w:r>
            <w:r>
              <w:rPr>
                <w:rFonts w:hint="eastAsia" w:cs="Times New Roman"/>
                <w:color w:val="auto"/>
                <w:sz w:val="24"/>
                <w:u w:val="single"/>
                <w:lang w:val="en-US" w:eastAsia="zh-CN"/>
              </w:rPr>
              <w:t>25</w:t>
            </w:r>
            <w:r>
              <w:rPr>
                <w:rFonts w:hint="default" w:ascii="Times New Roman" w:hAnsi="Times New Roman" w:cs="Times New Roman"/>
                <w:color w:val="auto"/>
                <w:sz w:val="24"/>
              </w:rPr>
              <w:t>分</w:t>
            </w:r>
            <w:r>
              <w:rPr>
                <w:rFonts w:hint="eastAsia" w:ascii="Times New Roman" w:hAnsi="Times New Roman" w:cs="Times New Roman"/>
                <w:color w:val="auto"/>
                <w:sz w:val="24"/>
                <w:u w:val="single"/>
                <w:lang w:val="en-US" w:eastAsia="zh-CN"/>
              </w:rPr>
              <w:t>35.226</w:t>
            </w:r>
            <w:r>
              <w:rPr>
                <w:rFonts w:hint="default" w:ascii="Times New Roman" w:hAnsi="Times New Roman" w:cs="Times New Roman"/>
                <w:color w:val="auto"/>
                <w:sz w:val="24"/>
              </w:rPr>
              <w:t>秒）</w:t>
            </w:r>
          </w:p>
        </w:tc>
      </w:tr>
      <w:tr w14:paraId="62605F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773B5B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241660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173" w:type="pct"/>
            <w:noWrap w:val="0"/>
            <w:vAlign w:val="center"/>
          </w:tcPr>
          <w:p w14:paraId="32E50F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1499其他未列明食品制造</w:t>
            </w:r>
          </w:p>
        </w:tc>
        <w:tc>
          <w:tcPr>
            <w:tcW w:w="851" w:type="pct"/>
            <w:noWrap w:val="0"/>
            <w:vAlign w:val="center"/>
          </w:tcPr>
          <w:p w14:paraId="177B23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bookmarkStart w:id="9" w:name="_Hlk49843745"/>
            <w:r>
              <w:rPr>
                <w:rFonts w:hint="default" w:ascii="Times New Roman" w:hAnsi="Times New Roman" w:cs="Times New Roman"/>
                <w:color w:val="auto"/>
                <w:sz w:val="24"/>
              </w:rPr>
              <w:t>建设项目</w:t>
            </w:r>
          </w:p>
          <w:p w14:paraId="7AACCF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9"/>
          </w:p>
        </w:tc>
        <w:tc>
          <w:tcPr>
            <w:tcW w:w="2118" w:type="pct"/>
            <w:noWrap w:val="0"/>
            <w:vAlign w:val="center"/>
          </w:tcPr>
          <w:p w14:paraId="73DC9DCC">
            <w:pPr>
              <w:pStyle w:val="14"/>
              <w:keepNext w:val="0"/>
              <w:keepLines w:val="0"/>
              <w:suppressLineNumbers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sz w:val="24"/>
                <w:lang w:val="zh-CN"/>
              </w:rPr>
              <w:t>十一、食品制造业14</w:t>
            </w:r>
            <w:r>
              <w:rPr>
                <w:rFonts w:hint="eastAsia" w:ascii="Times New Roman" w:cs="Times New Roman"/>
                <w:color w:val="auto"/>
                <w:sz w:val="24"/>
                <w:lang w:val="zh-CN"/>
              </w:rPr>
              <w:t>；</w:t>
            </w:r>
            <w:r>
              <w:rPr>
                <w:rFonts w:hint="eastAsia" w:ascii="Times New Roman" w:cs="Times New Roman"/>
                <w:color w:val="auto"/>
                <w:sz w:val="24"/>
                <w:lang w:val="en-US" w:eastAsia="zh-CN"/>
              </w:rPr>
              <w:t>24.其他食品制造149－其他未列明食品制造</w:t>
            </w:r>
          </w:p>
        </w:tc>
      </w:tr>
      <w:tr w14:paraId="0F18A8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771144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1173" w:type="pct"/>
            <w:noWrap w:val="0"/>
            <w:vAlign w:val="center"/>
          </w:tcPr>
          <w:p w14:paraId="598A3C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eastAsia" w:cs="Times New Roman"/>
                <w:color w:val="auto"/>
                <w:sz w:val="24"/>
                <w:lang w:eastAsia="zh-CN"/>
              </w:rPr>
              <w:t>□</w:t>
            </w:r>
            <w:r>
              <w:rPr>
                <w:rFonts w:hint="default" w:ascii="Times New Roman" w:hAnsi="Times New Roman" w:cs="Times New Roman"/>
                <w:color w:val="auto"/>
                <w:sz w:val="24"/>
              </w:rPr>
              <w:t>新建（迁建）</w:t>
            </w:r>
          </w:p>
          <w:p w14:paraId="08A26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□改建</w:t>
            </w:r>
          </w:p>
          <w:p w14:paraId="4FF2CC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eastAsia" w:cs="Times New Roman"/>
                <w:color w:val="auto"/>
                <w:sz w:val="24"/>
                <w:lang w:eastAsia="zh-CN"/>
              </w:rPr>
              <w:t>□</w:t>
            </w:r>
            <w:r>
              <w:rPr>
                <w:rFonts w:hint="default" w:ascii="Times New Roman" w:hAnsi="Times New Roman" w:cs="Times New Roman"/>
                <w:color w:val="auto"/>
                <w:sz w:val="24"/>
              </w:rPr>
              <w:t>扩建</w:t>
            </w:r>
          </w:p>
          <w:p w14:paraId="661068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eastAsia" w:cs="Times New Roman"/>
                <w:color w:val="auto"/>
                <w:sz w:val="24"/>
                <w:lang w:eastAsia="zh-CN"/>
              </w:rPr>
              <w:t>☑</w:t>
            </w:r>
            <w:r>
              <w:rPr>
                <w:rFonts w:hint="default" w:ascii="Times New Roman" w:hAnsi="Times New Roman" w:cs="Times New Roman"/>
                <w:color w:val="auto"/>
                <w:sz w:val="24"/>
              </w:rPr>
              <w:t>技术改造</w:t>
            </w:r>
          </w:p>
        </w:tc>
        <w:tc>
          <w:tcPr>
            <w:tcW w:w="851" w:type="pct"/>
            <w:noWrap w:val="0"/>
            <w:vAlign w:val="center"/>
          </w:tcPr>
          <w:p w14:paraId="6CA85C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64E0E9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2118" w:type="pct"/>
            <w:noWrap w:val="0"/>
            <w:vAlign w:val="center"/>
          </w:tcPr>
          <w:p w14:paraId="25B337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☑首次申报项目</w:t>
            </w:r>
          </w:p>
          <w:p w14:paraId="57B712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□不予批准后再次申报项目</w:t>
            </w:r>
          </w:p>
          <w:p w14:paraId="5C1C08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□超五年重新审核项目</w:t>
            </w:r>
          </w:p>
          <w:p w14:paraId="01BEAF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□重大变动重新报批项目</w:t>
            </w:r>
          </w:p>
        </w:tc>
      </w:tr>
      <w:tr w14:paraId="577015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5086E4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1173" w:type="pct"/>
            <w:noWrap w:val="0"/>
            <w:vAlign w:val="center"/>
          </w:tcPr>
          <w:p w14:paraId="631520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高安市行政审批局</w:t>
            </w:r>
          </w:p>
        </w:tc>
        <w:tc>
          <w:tcPr>
            <w:tcW w:w="851" w:type="pct"/>
            <w:noWrap w:val="0"/>
            <w:vAlign w:val="center"/>
          </w:tcPr>
          <w:p w14:paraId="64D48D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项目审批（核准/备案）文号（选填）</w:t>
            </w:r>
          </w:p>
        </w:tc>
        <w:tc>
          <w:tcPr>
            <w:tcW w:w="2118" w:type="pct"/>
            <w:noWrap w:val="0"/>
            <w:vAlign w:val="center"/>
          </w:tcPr>
          <w:p w14:paraId="408A67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eastAsia="zh-CN"/>
              </w:rPr>
              <w:t>JG2507-360983-07-02-494746</w:t>
            </w:r>
          </w:p>
        </w:tc>
      </w:tr>
      <w:tr w14:paraId="2BA928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54922A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1173" w:type="pct"/>
            <w:noWrap w:val="0"/>
            <w:vAlign w:val="center"/>
          </w:tcPr>
          <w:p w14:paraId="6120F2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3000</w:t>
            </w:r>
          </w:p>
        </w:tc>
        <w:tc>
          <w:tcPr>
            <w:tcW w:w="851" w:type="pct"/>
            <w:noWrap w:val="0"/>
            <w:tcMar>
              <w:top w:w="16" w:type="dxa"/>
              <w:left w:w="16" w:type="dxa"/>
              <w:right w:w="16" w:type="dxa"/>
            </w:tcMar>
            <w:vAlign w:val="center"/>
          </w:tcPr>
          <w:p w14:paraId="009A77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环保投资（万元）</w:t>
            </w:r>
          </w:p>
        </w:tc>
        <w:tc>
          <w:tcPr>
            <w:tcW w:w="2118" w:type="pct"/>
            <w:noWrap w:val="0"/>
            <w:vAlign w:val="center"/>
          </w:tcPr>
          <w:p w14:paraId="58B893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olor w:val="auto"/>
                <w:lang w:val="en-US" w:eastAsia="zh-CN"/>
              </w:rPr>
              <w:t>480</w:t>
            </w:r>
          </w:p>
        </w:tc>
      </w:tr>
      <w:tr w14:paraId="666FA7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566B54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1173" w:type="pct"/>
            <w:noWrap w:val="0"/>
            <w:vAlign w:val="center"/>
          </w:tcPr>
          <w:p w14:paraId="014AA9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16</w:t>
            </w:r>
          </w:p>
        </w:tc>
        <w:tc>
          <w:tcPr>
            <w:tcW w:w="851" w:type="pct"/>
            <w:noWrap w:val="0"/>
            <w:tcMar>
              <w:top w:w="16" w:type="dxa"/>
              <w:left w:w="16" w:type="dxa"/>
              <w:right w:w="16" w:type="dxa"/>
            </w:tcMar>
            <w:vAlign w:val="center"/>
          </w:tcPr>
          <w:p w14:paraId="029A3A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2118" w:type="pct"/>
            <w:noWrap w:val="0"/>
            <w:vAlign w:val="center"/>
          </w:tcPr>
          <w:p w14:paraId="77D4D7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个月</w:t>
            </w:r>
          </w:p>
        </w:tc>
      </w:tr>
      <w:tr w14:paraId="1E7B56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Before w:val="1"/>
          <w:gridAfter w:val="1"/>
          <w:wBefore w:w="4" w:type="pct"/>
          <w:wAfter w:w="44" w:type="pct"/>
          <w:trHeight w:val="23" w:hRule="atLeast"/>
          <w:jc w:val="center"/>
        </w:trPr>
        <w:tc>
          <w:tcPr>
            <w:tcW w:w="808" w:type="pct"/>
            <w:noWrap w:val="0"/>
            <w:tcMar>
              <w:top w:w="16" w:type="dxa"/>
              <w:left w:w="16" w:type="dxa"/>
              <w:right w:w="16" w:type="dxa"/>
            </w:tcMar>
            <w:vAlign w:val="center"/>
          </w:tcPr>
          <w:p w14:paraId="6FF9EB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1173" w:type="pct"/>
            <w:noWrap w:val="0"/>
            <w:vAlign w:val="center"/>
          </w:tcPr>
          <w:p w14:paraId="2ECA0D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☑否</w:t>
            </w:r>
          </w:p>
          <w:p w14:paraId="3F1695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是</w:t>
            </w:r>
          </w:p>
        </w:tc>
        <w:tc>
          <w:tcPr>
            <w:tcW w:w="851" w:type="pct"/>
            <w:noWrap w:val="0"/>
            <w:tcMar>
              <w:top w:w="16" w:type="dxa"/>
              <w:left w:w="16" w:type="dxa"/>
              <w:right w:w="16" w:type="dxa"/>
            </w:tcMar>
            <w:vAlign w:val="center"/>
          </w:tcPr>
          <w:p w14:paraId="543685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pacing w:val="-6"/>
                <w:sz w:val="24"/>
              </w:rPr>
            </w:pPr>
            <w:r>
              <w:rPr>
                <w:rFonts w:hint="default" w:ascii="Times New Roman" w:hAnsi="Times New Roman" w:cs="Times New Roman"/>
                <w:color w:val="auto"/>
                <w:spacing w:val="-6"/>
                <w:sz w:val="24"/>
              </w:rPr>
              <w:t>用地</w:t>
            </w:r>
            <w:r>
              <w:rPr>
                <w:rFonts w:hint="eastAsia" w:cs="Times New Roman"/>
                <w:color w:val="auto"/>
                <w:spacing w:val="-6"/>
                <w:sz w:val="24"/>
                <w:lang w:eastAsia="zh-CN"/>
              </w:rPr>
              <w:t>（</w:t>
            </w:r>
            <w:r>
              <w:rPr>
                <w:rFonts w:hint="default" w:ascii="Times New Roman" w:hAnsi="Times New Roman" w:cs="Times New Roman"/>
                <w:color w:val="auto"/>
                <w:spacing w:val="-6"/>
                <w:sz w:val="24"/>
              </w:rPr>
              <w:t>用海）</w:t>
            </w:r>
          </w:p>
          <w:p w14:paraId="2BCE44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pacing w:val="-6"/>
                <w:sz w:val="24"/>
              </w:rPr>
              <w:t>面积</w:t>
            </w:r>
            <w:r>
              <w:rPr>
                <w:rFonts w:hint="eastAsia" w:cs="Times New Roman"/>
                <w:color w:val="auto"/>
                <w:spacing w:val="-6"/>
                <w:sz w:val="24"/>
                <w:lang w:eastAsia="zh-CN"/>
              </w:rPr>
              <w:t>（</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cs="Times New Roman"/>
                <w:color w:val="auto"/>
                <w:spacing w:val="-6"/>
                <w:sz w:val="24"/>
              </w:rPr>
              <w:t>）</w:t>
            </w:r>
          </w:p>
        </w:tc>
        <w:tc>
          <w:tcPr>
            <w:tcW w:w="2118" w:type="pct"/>
            <w:noWrap w:val="0"/>
            <w:vAlign w:val="center"/>
          </w:tcPr>
          <w:p w14:paraId="64A634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1300</w:t>
            </w:r>
          </w:p>
        </w:tc>
      </w:tr>
      <w:tr w14:paraId="200828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gridAfter w:val="1"/>
          <w:wBefore w:w="4" w:type="pct"/>
          <w:wAfter w:w="44" w:type="pct"/>
          <w:trHeight w:val="23" w:hRule="atLeast"/>
          <w:jc w:val="center"/>
        </w:trPr>
        <w:tc>
          <w:tcPr>
            <w:tcW w:w="808" w:type="pct"/>
            <w:noWrap w:val="0"/>
            <w:vAlign w:val="center"/>
          </w:tcPr>
          <w:p w14:paraId="4619DA62">
            <w:pPr>
              <w:keepNext w:val="0"/>
              <w:keepLines w:val="0"/>
              <w:suppressLineNumbers w:val="0"/>
              <w:autoSpaceDE w:val="0"/>
              <w:autoSpaceDN w:val="0"/>
              <w:adjustRightInd w:val="0"/>
              <w:snapToGrid w:val="0"/>
              <w:spacing w:before="0" w:beforeAutospacing="0" w:after="0" w:afterAutospacing="0"/>
              <w:ind w:left="0" w:leftChars="0" w:right="0" w:firstLine="0" w:firstLineChars="0"/>
              <w:jc w:val="both"/>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4142" w:type="pct"/>
            <w:gridSpan w:val="3"/>
            <w:noWrap w:val="0"/>
            <w:vAlign w:val="center"/>
          </w:tcPr>
          <w:p w14:paraId="79919E0D">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专项评价设置原则表</w:t>
            </w:r>
          </w:p>
          <w:tbl>
            <w:tblPr>
              <w:tblStyle w:val="29"/>
              <w:tblW w:w="494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917"/>
              <w:gridCol w:w="3496"/>
              <w:gridCol w:w="2221"/>
            </w:tblGrid>
            <w:tr w14:paraId="549767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2" w:hRule="atLeast"/>
                <w:jc w:val="center"/>
              </w:trPr>
              <w:tc>
                <w:tcPr>
                  <w:tcW w:w="691" w:type="pct"/>
                  <w:tcBorders>
                    <w:tl2br w:val="nil"/>
                    <w:tr2bl w:val="nil"/>
                  </w:tcBorders>
                  <w:noWrap w:val="0"/>
                  <w:vAlign w:val="center"/>
                </w:tcPr>
                <w:p w14:paraId="24853E0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专项评价</w:t>
                  </w:r>
                </w:p>
                <w:p w14:paraId="0528B6E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的类别</w:t>
                  </w:r>
                </w:p>
              </w:tc>
              <w:tc>
                <w:tcPr>
                  <w:tcW w:w="2634" w:type="pct"/>
                  <w:tcBorders>
                    <w:tl2br w:val="nil"/>
                    <w:tr2bl w:val="nil"/>
                  </w:tcBorders>
                  <w:noWrap w:val="0"/>
                  <w:vAlign w:val="center"/>
                </w:tcPr>
                <w:p w14:paraId="2F84C0F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设置原则</w:t>
                  </w:r>
                </w:p>
              </w:tc>
              <w:tc>
                <w:tcPr>
                  <w:tcW w:w="1673" w:type="pct"/>
                  <w:tcBorders>
                    <w:tl2br w:val="nil"/>
                    <w:tr2bl w:val="nil"/>
                  </w:tcBorders>
                  <w:noWrap w:val="0"/>
                  <w:vAlign w:val="center"/>
                </w:tcPr>
                <w:p w14:paraId="3ABD8FE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w:t>
                  </w:r>
                </w:p>
              </w:tc>
            </w:tr>
            <w:tr w14:paraId="2BD2F1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97" w:hRule="atLeast"/>
                <w:jc w:val="center"/>
              </w:trPr>
              <w:tc>
                <w:tcPr>
                  <w:tcW w:w="691" w:type="pct"/>
                  <w:tcBorders>
                    <w:tl2br w:val="nil"/>
                    <w:tr2bl w:val="nil"/>
                  </w:tcBorders>
                  <w:noWrap w:val="0"/>
                  <w:vAlign w:val="center"/>
                </w:tcPr>
                <w:p w14:paraId="230D487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大气</w:t>
                  </w:r>
                </w:p>
              </w:tc>
              <w:tc>
                <w:tcPr>
                  <w:tcW w:w="2634" w:type="pct"/>
                  <w:tcBorders>
                    <w:tl2br w:val="nil"/>
                    <w:tr2bl w:val="nil"/>
                  </w:tcBorders>
                  <w:noWrap w:val="0"/>
                  <w:vAlign w:val="center"/>
                </w:tcPr>
                <w:p w14:paraId="28CE80C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排放废气含有毒有害污染物</w:t>
                  </w:r>
                  <w:r>
                    <w:rPr>
                      <w:rFonts w:hint="default" w:ascii="Times New Roman" w:hAnsi="Times New Roman" w:cs="Times New Roman"/>
                      <w:color w:val="auto"/>
                      <w:lang w:val="en-US" w:eastAsia="zh-CN"/>
                    </w:rPr>
                    <w:t>1</w:t>
                  </w:r>
                  <w:r>
                    <w:rPr>
                      <w:rFonts w:hint="default" w:ascii="Times New Roman" w:hAnsi="Times New Roman" w:cs="Times New Roman"/>
                      <w:color w:val="auto"/>
                    </w:rPr>
                    <w:t>、二噁英、苯并[a]芘、氰化物、氯气且厂界外500米范围内有环境空气保护目标</w:t>
                  </w:r>
                  <w:r>
                    <w:rPr>
                      <w:rFonts w:hint="default" w:ascii="Times New Roman" w:hAnsi="Times New Roman" w:cs="Times New Roman"/>
                      <w:color w:val="auto"/>
                      <w:lang w:val="en-US" w:eastAsia="zh-CN"/>
                    </w:rPr>
                    <w:t>2</w:t>
                  </w:r>
                  <w:r>
                    <w:rPr>
                      <w:rFonts w:hint="default" w:ascii="Times New Roman" w:hAnsi="Times New Roman" w:cs="Times New Roman"/>
                      <w:color w:val="auto"/>
                    </w:rPr>
                    <w:t>的建设项目</w:t>
                  </w:r>
                </w:p>
              </w:tc>
              <w:tc>
                <w:tcPr>
                  <w:tcW w:w="1673" w:type="pct"/>
                  <w:tcBorders>
                    <w:tl2br w:val="nil"/>
                    <w:tr2bl w:val="nil"/>
                  </w:tcBorders>
                  <w:noWrap w:val="0"/>
                  <w:vAlign w:val="center"/>
                </w:tcPr>
                <w:p w14:paraId="539F453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cs="Times New Roman"/>
                      <w:color w:val="auto"/>
                      <w:lang w:val="en-US" w:eastAsia="zh-CN"/>
                    </w:rPr>
                    <w:t>本项目</w:t>
                  </w:r>
                  <w:r>
                    <w:rPr>
                      <w:rFonts w:hint="default" w:ascii="Times New Roman" w:hAnsi="Times New Roman" w:cs="Times New Roman"/>
                      <w:color w:val="auto"/>
                    </w:rPr>
                    <w:t>排放废气不涉及有毒有害污染物</w:t>
                  </w:r>
                  <w:r>
                    <w:rPr>
                      <w:rFonts w:hint="eastAsia" w:cs="Times New Roman"/>
                      <w:color w:val="auto"/>
                      <w:lang w:eastAsia="zh-CN"/>
                    </w:rPr>
                    <w:t>，</w:t>
                  </w:r>
                  <w:r>
                    <w:rPr>
                      <w:rFonts w:hint="default" w:ascii="Times New Roman" w:hAnsi="Times New Roman" w:cs="Times New Roman"/>
                      <w:color w:val="auto"/>
                    </w:rPr>
                    <w:t>故不设置</w:t>
                  </w:r>
                </w:p>
              </w:tc>
            </w:tr>
            <w:tr w14:paraId="01F8ED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2" w:hRule="atLeast"/>
                <w:jc w:val="center"/>
              </w:trPr>
              <w:tc>
                <w:tcPr>
                  <w:tcW w:w="691" w:type="pct"/>
                  <w:tcBorders>
                    <w:tl2br w:val="nil"/>
                    <w:tr2bl w:val="nil"/>
                  </w:tcBorders>
                  <w:noWrap w:val="0"/>
                  <w:vAlign w:val="center"/>
                </w:tcPr>
                <w:p w14:paraId="5961DAA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地表水</w:t>
                  </w:r>
                </w:p>
              </w:tc>
              <w:tc>
                <w:tcPr>
                  <w:tcW w:w="2634" w:type="pct"/>
                  <w:tcBorders>
                    <w:tl2br w:val="nil"/>
                    <w:tr2bl w:val="nil"/>
                  </w:tcBorders>
                  <w:noWrap w:val="0"/>
                  <w:vAlign w:val="center"/>
                </w:tcPr>
                <w:p w14:paraId="6420A97C">
                  <w:pPr>
                    <w:pStyle w:val="61"/>
                    <w:keepNext w:val="0"/>
                    <w:keepLines w:val="0"/>
                    <w:suppressLineNumbers w:val="0"/>
                    <w:bidi w:val="0"/>
                    <w:spacing w:before="0" w:beforeAutospacing="0" w:after="0" w:afterAutospacing="0"/>
                    <w:ind w:left="0" w:right="0"/>
                    <w:rPr>
                      <w:rFonts w:hint="eastAsia" w:ascii="宋体" w:hAnsi="宋体" w:eastAsia="宋体" w:cs="宋体"/>
                      <w:b w:val="0"/>
                      <w:bCs w:val="0"/>
                      <w:color w:val="auto"/>
                    </w:rPr>
                  </w:pPr>
                  <w:r>
                    <w:rPr>
                      <w:rFonts w:hint="eastAsia" w:ascii="宋体" w:hAnsi="宋体" w:eastAsia="宋体" w:cs="宋体"/>
                      <w:b w:val="0"/>
                      <w:bCs w:val="0"/>
                      <w:color w:val="auto"/>
                    </w:rPr>
                    <w:t>新增工业废水直排建设项目</w:t>
                  </w:r>
                  <w:r>
                    <w:rPr>
                      <w:rFonts w:hint="eastAsia" w:ascii="宋体" w:hAnsi="宋体" w:cs="宋体"/>
                      <w:b w:val="0"/>
                      <w:bCs w:val="0"/>
                      <w:color w:val="auto"/>
                      <w:lang w:eastAsia="zh-CN"/>
                    </w:rPr>
                    <w:t>（</w:t>
                  </w:r>
                  <w:r>
                    <w:rPr>
                      <w:rFonts w:hint="eastAsia" w:ascii="宋体" w:hAnsi="宋体" w:eastAsia="宋体" w:cs="宋体"/>
                      <w:b w:val="0"/>
                      <w:bCs w:val="0"/>
                      <w:color w:val="auto"/>
                    </w:rPr>
                    <w:t>槽罐车外送污水处理厂的除外）；新增废水直排的污水集中处理厂</w:t>
                  </w:r>
                </w:p>
              </w:tc>
              <w:tc>
                <w:tcPr>
                  <w:tcW w:w="1673" w:type="pct"/>
                  <w:tcBorders>
                    <w:tl2br w:val="nil"/>
                    <w:tr2bl w:val="nil"/>
                  </w:tcBorders>
                  <w:noWrap w:val="0"/>
                  <w:vAlign w:val="center"/>
                </w:tcPr>
                <w:p w14:paraId="29E680D6">
                  <w:pPr>
                    <w:pStyle w:val="61"/>
                    <w:keepNext w:val="0"/>
                    <w:keepLines w:val="0"/>
                    <w:suppressLineNumbers w:val="0"/>
                    <w:bidi w:val="0"/>
                    <w:spacing w:before="0" w:beforeAutospacing="0" w:after="0" w:afterAutospacing="0"/>
                    <w:ind w:left="0" w:right="0"/>
                    <w:rPr>
                      <w:rFonts w:hint="eastAsia" w:ascii="宋体" w:hAnsi="宋体" w:eastAsia="宋体" w:cs="宋体"/>
                      <w:b w:val="0"/>
                      <w:bCs w:val="0"/>
                      <w:color w:val="auto"/>
                      <w:lang w:eastAsia="zh-CN"/>
                    </w:rPr>
                  </w:pPr>
                  <w:r>
                    <w:rPr>
                      <w:rFonts w:hint="eastAsia" w:ascii="宋体" w:hAnsi="宋体" w:cs="宋体"/>
                      <w:b w:val="0"/>
                      <w:bCs w:val="0"/>
                      <w:color w:val="auto"/>
                      <w:lang w:val="en-US" w:eastAsia="zh-CN"/>
                    </w:rPr>
                    <w:t>本</w:t>
                  </w:r>
                  <w:r>
                    <w:rPr>
                      <w:rFonts w:hint="eastAsia" w:ascii="宋体" w:hAnsi="宋体" w:eastAsia="宋体" w:cs="宋体"/>
                      <w:b w:val="0"/>
                      <w:bCs w:val="0"/>
                      <w:color w:val="auto"/>
                      <w:lang w:val="zh-CN"/>
                    </w:rPr>
                    <w:t>项目</w:t>
                  </w:r>
                  <w:r>
                    <w:rPr>
                      <w:rFonts w:hint="eastAsia" w:ascii="宋体" w:hAnsi="宋体" w:cs="宋体"/>
                      <w:b w:val="0"/>
                      <w:bCs w:val="0"/>
                      <w:color w:val="auto"/>
                      <w:lang w:val="en-US" w:eastAsia="zh-CN"/>
                    </w:rPr>
                    <w:t>废水排放量不增加</w:t>
                  </w:r>
                  <w:r>
                    <w:rPr>
                      <w:rFonts w:hint="eastAsia" w:ascii="宋体" w:hAnsi="宋体" w:eastAsia="宋体" w:cs="宋体"/>
                      <w:b w:val="0"/>
                      <w:bCs w:val="0"/>
                      <w:color w:val="auto"/>
                      <w:lang w:val="zh-CN"/>
                    </w:rPr>
                    <w:t>；不属于污水集中处理</w:t>
                  </w:r>
                  <w:r>
                    <w:rPr>
                      <w:rFonts w:hint="eastAsia" w:ascii="宋体" w:hAnsi="宋体" w:cs="宋体"/>
                      <w:b w:val="0"/>
                      <w:bCs w:val="0"/>
                      <w:color w:val="auto"/>
                      <w:lang w:val="en-US" w:eastAsia="zh-CN"/>
                    </w:rPr>
                    <w:t>项目</w:t>
                  </w:r>
                </w:p>
              </w:tc>
            </w:tr>
            <w:tr w14:paraId="3752E9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64" w:hRule="atLeast"/>
                <w:jc w:val="center"/>
              </w:trPr>
              <w:tc>
                <w:tcPr>
                  <w:tcW w:w="691" w:type="pct"/>
                  <w:tcBorders>
                    <w:tl2br w:val="nil"/>
                    <w:tr2bl w:val="nil"/>
                  </w:tcBorders>
                  <w:noWrap w:val="0"/>
                  <w:vAlign w:val="center"/>
                </w:tcPr>
                <w:p w14:paraId="643C818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环境风险</w:t>
                  </w:r>
                </w:p>
              </w:tc>
              <w:tc>
                <w:tcPr>
                  <w:tcW w:w="2634" w:type="pct"/>
                  <w:tcBorders>
                    <w:tl2br w:val="nil"/>
                    <w:tr2bl w:val="nil"/>
                  </w:tcBorders>
                  <w:noWrap w:val="0"/>
                  <w:vAlign w:val="center"/>
                </w:tcPr>
                <w:p w14:paraId="108B1C7B">
                  <w:pPr>
                    <w:pStyle w:val="61"/>
                    <w:keepNext w:val="0"/>
                    <w:keepLines w:val="0"/>
                    <w:suppressLineNumbers w:val="0"/>
                    <w:bidi w:val="0"/>
                    <w:spacing w:before="0" w:beforeAutospacing="0" w:after="0" w:afterAutospacing="0"/>
                    <w:ind w:left="0" w:right="0"/>
                    <w:rPr>
                      <w:rFonts w:hint="eastAsia" w:ascii="宋体" w:hAnsi="宋体" w:eastAsia="宋体" w:cs="宋体"/>
                      <w:color w:val="auto"/>
                    </w:rPr>
                  </w:pPr>
                  <w:r>
                    <w:rPr>
                      <w:rFonts w:hint="eastAsia" w:ascii="宋体" w:hAnsi="宋体" w:eastAsia="宋体" w:cs="宋体"/>
                      <w:color w:val="auto"/>
                    </w:rPr>
                    <w:t>有毒有害和易燃易爆危险物质存储量超过临界量</w:t>
                  </w:r>
                  <w:r>
                    <w:rPr>
                      <w:rFonts w:hint="eastAsia" w:ascii="宋体" w:hAnsi="宋体" w:eastAsia="宋体" w:cs="宋体"/>
                      <w:color w:val="auto"/>
                      <w:lang w:val="en-US" w:eastAsia="zh-CN"/>
                    </w:rPr>
                    <w:t>3</w:t>
                  </w:r>
                  <w:r>
                    <w:rPr>
                      <w:rFonts w:hint="eastAsia" w:ascii="宋体" w:hAnsi="宋体" w:eastAsia="宋体" w:cs="宋体"/>
                      <w:color w:val="auto"/>
                    </w:rPr>
                    <w:t>的建设项目</w:t>
                  </w:r>
                </w:p>
              </w:tc>
              <w:tc>
                <w:tcPr>
                  <w:tcW w:w="1673" w:type="pct"/>
                  <w:tcBorders>
                    <w:tl2br w:val="nil"/>
                    <w:tr2bl w:val="nil"/>
                  </w:tcBorders>
                  <w:noWrap w:val="0"/>
                  <w:vAlign w:val="center"/>
                </w:tcPr>
                <w:p w14:paraId="6F4FB649">
                  <w:pPr>
                    <w:pStyle w:val="61"/>
                    <w:keepNext w:val="0"/>
                    <w:keepLines w:val="0"/>
                    <w:suppressLineNumbers w:val="0"/>
                    <w:bidi w:val="0"/>
                    <w:spacing w:before="0" w:beforeAutospacing="0" w:after="0" w:afterAutospacing="0"/>
                    <w:ind w:left="0" w:right="0"/>
                    <w:rPr>
                      <w:rFonts w:hint="eastAsia" w:ascii="宋体" w:hAnsi="宋体" w:eastAsia="宋体" w:cs="宋体"/>
                      <w:color w:val="auto"/>
                    </w:rPr>
                  </w:pPr>
                  <w:r>
                    <w:rPr>
                      <w:rFonts w:hint="eastAsia" w:ascii="宋体" w:hAnsi="宋体" w:cs="宋体"/>
                      <w:color w:val="auto"/>
                      <w:lang w:val="en-US" w:eastAsia="zh-CN"/>
                    </w:rPr>
                    <w:t>技改项目不涉及盐酸使用，项目乙醇储存量没有超过临界值，乙醇和盐酸储罐分区储存，为单独风险单元</w:t>
                  </w:r>
                  <w:r>
                    <w:rPr>
                      <w:rFonts w:hint="eastAsia" w:ascii="宋体" w:hAnsi="宋体" w:eastAsia="宋体" w:cs="宋体"/>
                      <w:color w:val="auto"/>
                      <w:lang w:eastAsia="zh-CN"/>
                    </w:rPr>
                    <w:t>，</w:t>
                  </w:r>
                  <w:r>
                    <w:rPr>
                      <w:rFonts w:hint="eastAsia" w:ascii="宋体" w:hAnsi="宋体" w:eastAsia="宋体" w:cs="宋体"/>
                      <w:color w:val="auto"/>
                    </w:rPr>
                    <w:t>故不设置</w:t>
                  </w:r>
                </w:p>
              </w:tc>
            </w:tr>
            <w:tr w14:paraId="06C3535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20" w:hRule="atLeast"/>
                <w:jc w:val="center"/>
              </w:trPr>
              <w:tc>
                <w:tcPr>
                  <w:tcW w:w="691" w:type="pct"/>
                  <w:tcBorders>
                    <w:tl2br w:val="nil"/>
                    <w:tr2bl w:val="nil"/>
                  </w:tcBorders>
                  <w:noWrap w:val="0"/>
                  <w:vAlign w:val="center"/>
                </w:tcPr>
                <w:p w14:paraId="1BD8D6B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生态</w:t>
                  </w:r>
                </w:p>
              </w:tc>
              <w:tc>
                <w:tcPr>
                  <w:tcW w:w="2634" w:type="pct"/>
                  <w:tcBorders>
                    <w:tl2br w:val="nil"/>
                    <w:tr2bl w:val="nil"/>
                  </w:tcBorders>
                  <w:noWrap w:val="0"/>
                  <w:vAlign w:val="center"/>
                </w:tcPr>
                <w:p w14:paraId="5A4CF65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取水口下游500米范围内有重要水生生物的自然产卵场、索饵场、越冬场和洄游通道的新增河道取水的污染类建设项目</w:t>
                  </w:r>
                </w:p>
              </w:tc>
              <w:tc>
                <w:tcPr>
                  <w:tcW w:w="1673" w:type="pct"/>
                  <w:tcBorders>
                    <w:tl2br w:val="nil"/>
                    <w:tr2bl w:val="nil"/>
                  </w:tcBorders>
                  <w:noWrap w:val="0"/>
                  <w:vAlign w:val="center"/>
                </w:tcPr>
                <w:p w14:paraId="5FAE7AA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ascii="宋体" w:hAnsi="宋体" w:cs="宋体"/>
                      <w:color w:val="auto"/>
                      <w:lang w:val="en-US" w:eastAsia="zh-CN"/>
                    </w:rPr>
                    <w:t>本</w:t>
                  </w:r>
                  <w:r>
                    <w:rPr>
                      <w:rFonts w:hint="eastAsia" w:ascii="宋体" w:hAnsi="宋体" w:eastAsia="宋体" w:cs="宋体"/>
                      <w:color w:val="auto"/>
                      <w:lang w:eastAsia="zh-CN"/>
                    </w:rPr>
                    <w:t>项目</w:t>
                  </w:r>
                  <w:r>
                    <w:rPr>
                      <w:rFonts w:hint="default" w:ascii="Times New Roman" w:hAnsi="Times New Roman" w:cs="Times New Roman"/>
                      <w:color w:val="auto"/>
                    </w:rPr>
                    <w:t>下游500米不涉及取水口</w:t>
                  </w:r>
                  <w:r>
                    <w:rPr>
                      <w:rFonts w:hint="eastAsia" w:cs="Times New Roman"/>
                      <w:color w:val="auto"/>
                      <w:lang w:eastAsia="zh-CN"/>
                    </w:rPr>
                    <w:t>，</w:t>
                  </w:r>
                  <w:r>
                    <w:rPr>
                      <w:rFonts w:hint="default" w:ascii="Times New Roman" w:hAnsi="Times New Roman" w:cs="Times New Roman"/>
                      <w:color w:val="auto"/>
                    </w:rPr>
                    <w:t>故不设置</w:t>
                  </w:r>
                </w:p>
              </w:tc>
            </w:tr>
            <w:tr w14:paraId="212C1C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74" w:hRule="atLeast"/>
                <w:jc w:val="center"/>
              </w:trPr>
              <w:tc>
                <w:tcPr>
                  <w:tcW w:w="691" w:type="pct"/>
                  <w:tcBorders>
                    <w:tl2br w:val="nil"/>
                    <w:tr2bl w:val="nil"/>
                  </w:tcBorders>
                  <w:noWrap w:val="0"/>
                  <w:vAlign w:val="center"/>
                </w:tcPr>
                <w:p w14:paraId="1FF1CF5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海洋</w:t>
                  </w:r>
                </w:p>
              </w:tc>
              <w:tc>
                <w:tcPr>
                  <w:tcW w:w="2634" w:type="pct"/>
                  <w:tcBorders>
                    <w:tl2br w:val="nil"/>
                    <w:tr2bl w:val="nil"/>
                  </w:tcBorders>
                  <w:noWrap w:val="0"/>
                  <w:vAlign w:val="center"/>
                </w:tcPr>
                <w:p w14:paraId="44A18E4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直接向海排放污染物的海洋工程建设项目</w:t>
                  </w:r>
                </w:p>
              </w:tc>
              <w:tc>
                <w:tcPr>
                  <w:tcW w:w="1673" w:type="pct"/>
                  <w:tcBorders>
                    <w:tl2br w:val="nil"/>
                    <w:tr2bl w:val="nil"/>
                  </w:tcBorders>
                  <w:noWrap w:val="0"/>
                  <w:vAlign w:val="center"/>
                </w:tcPr>
                <w:p w14:paraId="3D7B604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ascii="宋体" w:hAnsi="宋体" w:cs="宋体"/>
                      <w:color w:val="auto"/>
                      <w:lang w:val="en-US" w:eastAsia="zh-CN"/>
                    </w:rPr>
                    <w:t>本</w:t>
                  </w:r>
                  <w:r>
                    <w:rPr>
                      <w:rFonts w:hint="eastAsia" w:ascii="宋体" w:hAnsi="宋体" w:eastAsia="宋体" w:cs="宋体"/>
                      <w:color w:val="auto"/>
                      <w:lang w:eastAsia="zh-CN"/>
                    </w:rPr>
                    <w:t>项目</w:t>
                  </w:r>
                  <w:r>
                    <w:rPr>
                      <w:rFonts w:hint="default" w:ascii="Times New Roman" w:hAnsi="Times New Roman" w:cs="Times New Roman"/>
                      <w:color w:val="auto"/>
                    </w:rPr>
                    <w:t>不涉及向海排放污染物</w:t>
                  </w:r>
                  <w:r>
                    <w:rPr>
                      <w:rFonts w:hint="eastAsia" w:cs="Times New Roman"/>
                      <w:color w:val="auto"/>
                      <w:lang w:eastAsia="zh-CN"/>
                    </w:rPr>
                    <w:t>，</w:t>
                  </w:r>
                  <w:r>
                    <w:rPr>
                      <w:rFonts w:hint="default" w:ascii="Times New Roman" w:hAnsi="Times New Roman" w:cs="Times New Roman"/>
                      <w:color w:val="auto"/>
                    </w:rPr>
                    <w:t>故不设置</w:t>
                  </w:r>
                </w:p>
              </w:tc>
            </w:tr>
          </w:tbl>
          <w:p w14:paraId="09002B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注：1.废气中有毒有害污染物指纳入《有毒有害大气污染物名录》的污染物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不包括无排放标准的污染物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w:t>
            </w:r>
          </w:p>
          <w:p w14:paraId="561F57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2.环境空气保护目标指自然保护区、风景名胜区、居住区、文化区和农村地区中人群较集中的区域。</w:t>
            </w:r>
          </w:p>
          <w:p w14:paraId="1C89FA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3.临界量及其计算方法可参考《建设项目环境风险评价技术导则》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HJ169</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附录B、附录C。</w:t>
            </w:r>
          </w:p>
          <w:p w14:paraId="48FC61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cs="Times New Roman"/>
                <w:color w:val="auto"/>
                <w:kern w:val="0"/>
              </w:rPr>
            </w:pPr>
            <w:r>
              <w:rPr>
                <w:rFonts w:hint="default" w:ascii="Times New Roman" w:hAnsi="Times New Roman" w:cs="Times New Roman"/>
                <w:color w:val="auto"/>
              </w:rPr>
              <w:t>参照《建设项目环境影响报告表编制技术指南（污染影响类）（试行）》中</w:t>
            </w:r>
            <w:r>
              <w:rPr>
                <w:rFonts w:hint="default" w:ascii="Times New Roman" w:hAnsi="Times New Roman" w:cs="Times New Roman"/>
                <w:color w:val="auto"/>
                <w:lang w:eastAsia="zh-CN"/>
              </w:rPr>
              <w:t>“</w:t>
            </w:r>
            <w:r>
              <w:rPr>
                <w:rFonts w:hint="default" w:ascii="Times New Roman" w:hAnsi="Times New Roman" w:cs="Times New Roman"/>
                <w:color w:val="auto"/>
              </w:rPr>
              <w:t>专项评价设置原则表</w:t>
            </w:r>
            <w:r>
              <w:rPr>
                <w:rFonts w:hint="default" w:ascii="Times New Roman" w:hAnsi="Times New Roman" w:cs="Times New Roman"/>
                <w:color w:val="auto"/>
                <w:lang w:eastAsia="zh-CN"/>
              </w:rPr>
              <w:t>”</w:t>
            </w:r>
            <w:r>
              <w:rPr>
                <w:rFonts w:hint="eastAsia" w:cs="Times New Roman"/>
                <w:color w:val="auto"/>
                <w:lang w:eastAsia="zh-CN"/>
              </w:rPr>
              <w:t>，</w:t>
            </w:r>
            <w:r>
              <w:rPr>
                <w:rFonts w:hint="eastAsia" w:cs="Times New Roman"/>
                <w:color w:val="auto"/>
                <w:lang w:val="en-US" w:eastAsia="zh-CN"/>
              </w:rPr>
              <w:t>本</w:t>
            </w:r>
            <w:r>
              <w:rPr>
                <w:rFonts w:hint="eastAsia" w:cs="Times New Roman"/>
                <w:color w:val="auto"/>
                <w:lang w:eastAsia="zh-CN"/>
              </w:rPr>
              <w:t>项目</w:t>
            </w:r>
            <w:r>
              <w:rPr>
                <w:rFonts w:hint="default" w:ascii="Times New Roman" w:hAnsi="Times New Roman" w:cs="Times New Roman"/>
                <w:color w:val="auto"/>
              </w:rPr>
              <w:t>不开展环境专项评价。</w:t>
            </w:r>
          </w:p>
        </w:tc>
      </w:tr>
      <w:tr w14:paraId="5116E6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gridAfter w:val="1"/>
          <w:wBefore w:w="4" w:type="pct"/>
          <w:wAfter w:w="44" w:type="pct"/>
          <w:trHeight w:val="23" w:hRule="atLeast"/>
          <w:jc w:val="center"/>
        </w:trPr>
        <w:tc>
          <w:tcPr>
            <w:tcW w:w="808" w:type="pct"/>
            <w:noWrap w:val="0"/>
            <w:vAlign w:val="center"/>
          </w:tcPr>
          <w:p w14:paraId="5DEC511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4142" w:type="pct"/>
            <w:gridSpan w:val="3"/>
            <w:noWrap w:val="0"/>
            <w:vAlign w:val="center"/>
          </w:tcPr>
          <w:p w14:paraId="638643FB">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（1）《高安市国土空间总体规划（2021-2035年）》；</w:t>
            </w:r>
          </w:p>
          <w:p w14:paraId="4328F023">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（2）审批机关：江西省人民政府；</w:t>
            </w:r>
          </w:p>
          <w:p w14:paraId="729CFFC5">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（3）审查文件文号及名称：江西省人民政府关于《高安市国土空间总体规划（2021-2035年）》的批复（赣府厅字〔2024〕50号）。</w:t>
            </w:r>
          </w:p>
        </w:tc>
      </w:tr>
      <w:tr w14:paraId="3E1EE9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gridAfter w:val="1"/>
          <w:wBefore w:w="4" w:type="pct"/>
          <w:wAfter w:w="44" w:type="pct"/>
          <w:trHeight w:val="23" w:hRule="atLeast"/>
          <w:jc w:val="center"/>
        </w:trPr>
        <w:tc>
          <w:tcPr>
            <w:tcW w:w="808" w:type="pct"/>
            <w:noWrap w:val="0"/>
            <w:vAlign w:val="center"/>
          </w:tcPr>
          <w:p w14:paraId="18612E5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规划</w:t>
            </w:r>
            <w:r>
              <w:rPr>
                <w:rFonts w:hint="default" w:ascii="Times New Roman" w:hAnsi="Times New Roman" w:cs="Times New Roman"/>
                <w:color w:val="auto"/>
                <w:sz w:val="24"/>
                <w:lang w:eastAsia="zh-CN"/>
              </w:rPr>
              <w:t>环境影响评价</w:t>
            </w:r>
            <w:r>
              <w:rPr>
                <w:rFonts w:hint="default" w:ascii="Times New Roman" w:hAnsi="Times New Roman" w:cs="Times New Roman"/>
                <w:color w:val="auto"/>
                <w:sz w:val="24"/>
              </w:rPr>
              <w:t>情况</w:t>
            </w:r>
          </w:p>
        </w:tc>
        <w:tc>
          <w:tcPr>
            <w:tcW w:w="4142" w:type="pct"/>
            <w:gridSpan w:val="3"/>
            <w:noWrap w:val="0"/>
            <w:vAlign w:val="center"/>
          </w:tcPr>
          <w:p w14:paraId="4969420A">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无</w:t>
            </w:r>
          </w:p>
        </w:tc>
      </w:tr>
      <w:tr w14:paraId="3BE5A49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gridAfter w:val="1"/>
          <w:wBefore w:w="4" w:type="pct"/>
          <w:wAfter w:w="44" w:type="pct"/>
          <w:trHeight w:val="23" w:hRule="atLeast"/>
          <w:jc w:val="center"/>
        </w:trPr>
        <w:tc>
          <w:tcPr>
            <w:tcW w:w="808" w:type="pct"/>
            <w:noWrap w:val="0"/>
            <w:vAlign w:val="center"/>
          </w:tcPr>
          <w:p w14:paraId="4E3910B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规划及规划环境影响评价符合性分析</w:t>
            </w:r>
          </w:p>
        </w:tc>
        <w:tc>
          <w:tcPr>
            <w:tcW w:w="4142" w:type="pct"/>
            <w:gridSpan w:val="3"/>
            <w:noWrap w:val="0"/>
            <w:vAlign w:val="center"/>
          </w:tcPr>
          <w:p w14:paraId="068492A4">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根据《高安市国土空间总体规划（2021-2035年）》中高安市村前镇国土空间总体规划可知。</w:t>
            </w:r>
          </w:p>
          <w:p w14:paraId="364817C0">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总体定位</w:t>
            </w:r>
            <w:r>
              <w:rPr>
                <w:rFonts w:hint="eastAsia" w:cs="Times New Roman"/>
                <w:color w:val="auto"/>
                <w:lang w:val="en-US" w:eastAsia="zh-CN"/>
              </w:rPr>
              <w:t>：</w:t>
            </w:r>
            <w:r>
              <w:rPr>
                <w:rFonts w:hint="eastAsia" w:ascii="Times New Roman" w:hAnsi="Times New Roman" w:eastAsia="宋体" w:cs="Times New Roman"/>
                <w:color w:val="auto"/>
                <w:lang w:val="en-US" w:eastAsia="zh-CN"/>
              </w:rPr>
              <w:t>汇集奉新、宜丰、高安3县市之客商的边贸集市</w:t>
            </w:r>
            <w:r>
              <w:rPr>
                <w:rFonts w:hint="eastAsia" w:cs="Times New Roman"/>
                <w:color w:val="auto"/>
                <w:lang w:val="en-US" w:eastAsia="zh-CN"/>
              </w:rPr>
              <w:t>，</w:t>
            </w:r>
            <w:r>
              <w:rPr>
                <w:rFonts w:hint="eastAsia" w:ascii="Times New Roman" w:hAnsi="Times New Roman" w:eastAsia="宋体" w:cs="Times New Roman"/>
                <w:color w:val="auto"/>
                <w:lang w:val="en-US" w:eastAsia="zh-CN"/>
              </w:rPr>
              <w:t>生态休闲为主要功能的旅游型城镇，历史文化、民俗文化和绿色生态相融合的魅力城镇。</w:t>
            </w:r>
          </w:p>
          <w:p w14:paraId="33BD1457">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镇域国土空间总体格局</w:t>
            </w:r>
            <w:r>
              <w:rPr>
                <w:rFonts w:hint="eastAsia" w:cs="Times New Roman"/>
                <w:color w:val="auto"/>
                <w:lang w:val="en-US" w:eastAsia="zh-CN"/>
              </w:rPr>
              <w:t>：</w:t>
            </w:r>
            <w:r>
              <w:rPr>
                <w:rFonts w:hint="eastAsia" w:ascii="Times New Roman" w:hAnsi="Times New Roman" w:eastAsia="宋体" w:cs="Times New Roman"/>
                <w:color w:val="auto"/>
                <w:lang w:val="en-US" w:eastAsia="zh-CN"/>
              </w:rPr>
              <w:t>构建“一屏一廊、一心一轴三区”的国土空间总体格局。</w:t>
            </w:r>
          </w:p>
          <w:p w14:paraId="1CF729D3">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城镇空间结构</w:t>
            </w:r>
            <w:r>
              <w:rPr>
                <w:rFonts w:hint="eastAsia" w:cs="Times New Roman"/>
                <w:color w:val="auto"/>
                <w:lang w:val="en-US" w:eastAsia="zh-CN"/>
              </w:rPr>
              <w:t>：</w:t>
            </w:r>
            <w:r>
              <w:rPr>
                <w:rFonts w:hint="eastAsia" w:ascii="Times New Roman" w:hAnsi="Times New Roman" w:eastAsia="宋体" w:cs="Times New Roman"/>
                <w:color w:val="auto"/>
                <w:lang w:val="en-US" w:eastAsia="zh-CN"/>
              </w:rPr>
              <w:t>打造“一心、一轴、一区”城镇空间发展格局。镇区交通规划</w:t>
            </w:r>
            <w:r>
              <w:rPr>
                <w:rFonts w:hint="eastAsia" w:cs="Times New Roman"/>
                <w:color w:val="auto"/>
                <w:lang w:val="en-US" w:eastAsia="zh-CN"/>
              </w:rPr>
              <w:t>：</w:t>
            </w:r>
            <w:r>
              <w:rPr>
                <w:rFonts w:hint="eastAsia" w:ascii="Times New Roman" w:hAnsi="Times New Roman" w:eastAsia="宋体" w:cs="Times New Roman"/>
                <w:color w:val="auto"/>
                <w:lang w:val="en-US" w:eastAsia="zh-CN"/>
              </w:rPr>
              <w:t>规划形成“四横两纵”的路网结构，增加路网密度，完善路网等级。从北到南依次分为北部林业发展区、中部农业发展区、发展核心、中部生态屏障、南部农业发展区，本项目位于北部林业发展区，根据</w:t>
            </w:r>
            <w:r>
              <w:rPr>
                <w:rFonts w:hint="eastAsia" w:cs="Times New Roman"/>
                <w:color w:val="auto"/>
                <w:lang w:val="en-US" w:eastAsia="zh-CN"/>
              </w:rPr>
              <w:t>项目土地使用证（附件11）</w:t>
            </w:r>
            <w:r>
              <w:rPr>
                <w:rFonts w:hint="eastAsia" w:ascii="Times New Roman" w:hAnsi="Times New Roman" w:eastAsia="宋体" w:cs="Times New Roman"/>
                <w:color w:val="auto"/>
                <w:lang w:val="en-US" w:eastAsia="zh-CN"/>
              </w:rPr>
              <w:t>可知，项目用地属于</w:t>
            </w:r>
            <w:r>
              <w:rPr>
                <w:rFonts w:hint="eastAsia" w:cs="Times New Roman"/>
                <w:color w:val="auto"/>
                <w:lang w:val="en-US" w:eastAsia="zh-CN"/>
              </w:rPr>
              <w:t>工业</w:t>
            </w:r>
            <w:r>
              <w:rPr>
                <w:rFonts w:hint="eastAsia" w:ascii="Times New Roman" w:hAnsi="Times New Roman" w:eastAsia="宋体" w:cs="Times New Roman"/>
                <w:color w:val="auto"/>
                <w:lang w:val="en-US" w:eastAsia="zh-CN"/>
              </w:rPr>
              <w:t>用地，本项目为</w:t>
            </w:r>
            <w:r>
              <w:rPr>
                <w:rFonts w:hint="default" w:ascii="Times New Roman" w:hAnsi="Times New Roman" w:cs="Times New Roman"/>
                <w:color w:val="auto"/>
                <w:sz w:val="24"/>
                <w:lang w:val="en-US" w:eastAsia="zh-CN"/>
              </w:rPr>
              <w:t>食品制造</w:t>
            </w:r>
            <w:r>
              <w:rPr>
                <w:rFonts w:hint="eastAsia" w:ascii="Times New Roman" w:hAnsi="Times New Roman" w:eastAsia="宋体" w:cs="Times New Roman"/>
                <w:color w:val="auto"/>
                <w:lang w:val="en-US" w:eastAsia="zh-CN"/>
              </w:rPr>
              <w:t>项目，与高安市国土空间总体规划不冲突。</w:t>
            </w:r>
          </w:p>
        </w:tc>
      </w:tr>
      <w:tr w14:paraId="35A1EC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813" w:type="pct"/>
            <w:gridSpan w:val="2"/>
            <w:noWrap w:val="0"/>
            <w:vAlign w:val="center"/>
          </w:tcPr>
          <w:p w14:paraId="7CC827A3">
            <w:pPr>
              <w:pStyle w:val="78"/>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rPr>
            </w:pPr>
            <w:r>
              <w:rPr>
                <w:rFonts w:hint="default" w:ascii="Times New Roman" w:hAnsi="Times New Roman" w:eastAsia="宋体" w:cs="Times New Roman"/>
                <w:color w:val="auto"/>
                <w:kern w:val="2"/>
                <w:sz w:val="24"/>
                <w:szCs w:val="24"/>
                <w:lang w:val="en-US" w:eastAsia="zh-CN" w:bidi="ar-SA"/>
              </w:rPr>
              <w:t>其他符合性分析</w:t>
            </w:r>
          </w:p>
        </w:tc>
        <w:tc>
          <w:tcPr>
            <w:tcW w:w="4186" w:type="pct"/>
            <w:gridSpan w:val="4"/>
            <w:noWrap w:val="0"/>
            <w:vAlign w:val="top"/>
          </w:tcPr>
          <w:p w14:paraId="238158C4">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1.产业政策相符性分析</w:t>
            </w:r>
          </w:p>
          <w:p w14:paraId="5BE80510">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cs="Times New Roman"/>
                <w:color w:val="auto"/>
                <w:lang w:val="en-US" w:eastAsia="zh-CN"/>
              </w:rPr>
              <w:t>本项目属于</w:t>
            </w:r>
            <w:r>
              <w:rPr>
                <w:rFonts w:hint="eastAsia" w:cs="Times New Roman"/>
                <w:color w:val="auto"/>
                <w:lang w:eastAsia="zh-CN"/>
              </w:rPr>
              <w:t>技改</w:t>
            </w:r>
            <w:r>
              <w:rPr>
                <w:rFonts w:hint="eastAsia" w:cs="Times New Roman"/>
                <w:color w:val="auto"/>
                <w:lang w:val="en-US" w:eastAsia="zh-CN"/>
              </w:rPr>
              <w:t>项目</w:t>
            </w:r>
            <w:r>
              <w:rPr>
                <w:rFonts w:hint="eastAsia" w:cs="Times New Roman"/>
                <w:color w:val="auto"/>
                <w:lang w:eastAsia="zh-CN"/>
              </w:rPr>
              <w:t>，</w:t>
            </w:r>
            <w:r>
              <w:rPr>
                <w:rFonts w:hint="default" w:ascii="Times New Roman" w:hAnsi="Times New Roman" w:cs="Times New Roman"/>
                <w:color w:val="auto"/>
              </w:rPr>
              <w:t>根据</w:t>
            </w:r>
            <w:r>
              <w:rPr>
                <w:rFonts w:hint="eastAsia" w:cs="Times New Roman"/>
                <w:color w:val="auto"/>
                <w:lang w:eastAsia="zh-CN"/>
              </w:rPr>
              <w:t>《产业结构调整指导目录（2024年本）》</w:t>
            </w:r>
            <w:r>
              <w:rPr>
                <w:rFonts w:hint="default" w:ascii="Times New Roman" w:hAnsi="Times New Roman" w:cs="Times New Roman"/>
                <w:color w:val="auto"/>
              </w:rPr>
              <w:t>属于</w:t>
            </w:r>
            <w:r>
              <w:rPr>
                <w:rFonts w:hint="default" w:ascii="Times New Roman" w:hAnsi="Times New Roman" w:cs="Times New Roman"/>
                <w:color w:val="auto"/>
                <w:lang w:eastAsia="zh-CN"/>
              </w:rPr>
              <w:t>“</w:t>
            </w:r>
            <w:r>
              <w:rPr>
                <w:rFonts w:hint="default" w:ascii="Times New Roman" w:hAnsi="Times New Roman" w:cs="Times New Roman"/>
                <w:color w:val="auto"/>
              </w:rPr>
              <w:t>鼓励类中的</w:t>
            </w:r>
            <w:r>
              <w:rPr>
                <w:rFonts w:hint="default" w:ascii="Times New Roman" w:hAnsi="Times New Roman" w:cs="Times New Roman"/>
                <w:color w:val="auto"/>
                <w:lang w:eastAsia="zh-CN"/>
              </w:rPr>
              <w:t>十九、轻工</w:t>
            </w:r>
            <w:r>
              <w:rPr>
                <w:rFonts w:hint="default" w:ascii="Times New Roman" w:hAnsi="Times New Roman" w:cs="Times New Roman"/>
                <w:color w:val="auto"/>
                <w:lang w:val="en-US" w:eastAsia="zh-CN"/>
              </w:rPr>
              <w:t>-21.营养健康型大米、小麦粉（食品专用米、发芽糙米、留胚米、食品专用粉、全麦粉及营养强化产品等）”</w:t>
            </w:r>
            <w:r>
              <w:rPr>
                <w:rFonts w:hint="eastAsia" w:cs="Times New Roman"/>
                <w:color w:val="auto"/>
                <w:lang w:eastAsia="zh-CN"/>
              </w:rPr>
              <w:t>，</w:t>
            </w:r>
            <w:r>
              <w:rPr>
                <w:rFonts w:hint="default" w:ascii="Times New Roman" w:hAnsi="Times New Roman" w:cs="Times New Roman"/>
                <w:color w:val="auto"/>
              </w:rPr>
              <w:t>根据</w:t>
            </w:r>
            <w:r>
              <w:rPr>
                <w:rFonts w:hint="eastAsia" w:cs="Times New Roman"/>
                <w:color w:val="auto"/>
                <w:lang w:eastAsia="zh-CN"/>
              </w:rPr>
              <w:t>高安市行政审批局</w:t>
            </w:r>
            <w:r>
              <w:rPr>
                <w:rFonts w:hint="default" w:ascii="Times New Roman" w:hAnsi="Times New Roman" w:cs="Times New Roman"/>
                <w:color w:val="auto"/>
              </w:rPr>
              <w:t>出具的项目备案文件（统一项目代码：</w:t>
            </w:r>
            <w:r>
              <w:rPr>
                <w:rFonts w:hint="eastAsia" w:cs="Times New Roman"/>
                <w:color w:val="auto"/>
                <w:lang w:eastAsia="zh-CN"/>
              </w:rPr>
              <w:t>2507-360983-07-02-494746</w:t>
            </w:r>
            <w:r>
              <w:rPr>
                <w:rFonts w:hint="default" w:ascii="Times New Roman" w:hAnsi="Times New Roman" w:cs="Times New Roman"/>
                <w:color w:val="auto"/>
              </w:rPr>
              <w:t>）</w:t>
            </w:r>
            <w:r>
              <w:rPr>
                <w:rFonts w:hint="eastAsia" w:cs="Times New Roman"/>
                <w:color w:val="auto"/>
                <w:lang w:eastAsia="zh-CN"/>
              </w:rPr>
              <w:t>，</w:t>
            </w:r>
            <w:r>
              <w:rPr>
                <w:rFonts w:hint="default" w:ascii="Times New Roman" w:hAnsi="Times New Roman" w:cs="Times New Roman"/>
                <w:color w:val="auto"/>
              </w:rPr>
              <w:t>因此该项目建设符合国家及高安市产业政策。</w:t>
            </w:r>
          </w:p>
          <w:p w14:paraId="679423CA">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2.选址合理性分析</w:t>
            </w:r>
          </w:p>
          <w:p w14:paraId="0FAAC479">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cs="Times New Roman"/>
                <w:color w:val="auto"/>
                <w:lang w:val="en-US" w:eastAsia="zh-CN"/>
              </w:rPr>
              <w:t>本项目</w:t>
            </w:r>
            <w:r>
              <w:rPr>
                <w:rFonts w:hint="default" w:ascii="Times New Roman" w:hAnsi="Times New Roman" w:cs="Times New Roman"/>
                <w:color w:val="auto"/>
              </w:rPr>
              <w:t>位于</w:t>
            </w:r>
            <w:r>
              <w:rPr>
                <w:rFonts w:hint="eastAsia" w:cs="Times New Roman"/>
                <w:color w:val="auto"/>
                <w:lang w:eastAsia="zh-CN"/>
              </w:rPr>
              <w:t>江西省高安市蓝坊镇湾头，</w:t>
            </w:r>
            <w:r>
              <w:rPr>
                <w:rFonts w:hint="default" w:ascii="Times New Roman" w:hAnsi="Times New Roman" w:cs="Times New Roman"/>
                <w:color w:val="auto"/>
              </w:rPr>
              <w:t>在</w:t>
            </w:r>
            <w:r>
              <w:rPr>
                <w:rFonts w:hint="eastAsia" w:cs="Times New Roman"/>
                <w:color w:val="auto"/>
                <w:lang w:eastAsia="zh-CN"/>
              </w:rPr>
              <w:t>现有</w:t>
            </w:r>
            <w:r>
              <w:rPr>
                <w:rFonts w:hint="default" w:ascii="Times New Roman" w:hAnsi="Times New Roman" w:cs="Times New Roman"/>
                <w:color w:val="auto"/>
              </w:rPr>
              <w:t>厂区内建</w:t>
            </w:r>
            <w:r>
              <w:rPr>
                <w:rFonts w:hint="eastAsia" w:cs="Times New Roman"/>
                <w:color w:val="auto"/>
                <w:lang w:val="en-US" w:eastAsia="zh-CN"/>
              </w:rPr>
              <w:t>设</w:t>
            </w:r>
            <w:r>
              <w:rPr>
                <w:rFonts w:hint="eastAsia" w:cs="Times New Roman"/>
                <w:color w:val="auto"/>
                <w:lang w:eastAsia="zh-CN"/>
              </w:rPr>
              <w:t>，</w:t>
            </w:r>
            <w:r>
              <w:rPr>
                <w:rFonts w:hint="default" w:ascii="Times New Roman" w:hAnsi="Times New Roman" w:cs="Times New Roman"/>
                <w:color w:val="auto"/>
              </w:rPr>
              <w:t>不新增用地</w:t>
            </w:r>
            <w:r>
              <w:rPr>
                <w:rFonts w:hint="eastAsia" w:cs="Times New Roman"/>
                <w:color w:val="auto"/>
                <w:lang w:eastAsia="zh-CN"/>
              </w:rPr>
              <w:t>，</w:t>
            </w:r>
            <w:r>
              <w:rPr>
                <w:rFonts w:hint="default"/>
                <w:color w:val="auto"/>
                <w:lang w:val="zh-CN"/>
              </w:rPr>
              <w:t>用地范围不涉及</w:t>
            </w:r>
            <w:r>
              <w:rPr>
                <w:rFonts w:hint="eastAsia"/>
                <w:color w:val="auto"/>
                <w:lang w:val="en-US" w:eastAsia="zh-CN"/>
              </w:rPr>
              <w:t>高安</w:t>
            </w:r>
            <w:r>
              <w:rPr>
                <w:rFonts w:hint="default"/>
                <w:color w:val="auto"/>
                <w:lang w:val="zh-CN"/>
              </w:rPr>
              <w:t>市自然保护地、林地、湿地及草地</w:t>
            </w:r>
            <w:r>
              <w:rPr>
                <w:rFonts w:hint="eastAsia"/>
                <w:color w:val="auto"/>
                <w:lang w:val="zh-CN"/>
              </w:rPr>
              <w:t>（</w:t>
            </w:r>
            <w:r>
              <w:rPr>
                <w:rFonts w:hint="eastAsia"/>
                <w:color w:val="auto"/>
                <w:lang w:val="en-US" w:eastAsia="zh-CN"/>
              </w:rPr>
              <w:t>见附件8）</w:t>
            </w:r>
            <w:r>
              <w:rPr>
                <w:rFonts w:hint="default"/>
                <w:color w:val="auto"/>
                <w:lang w:val="zh-CN"/>
              </w:rPr>
              <w:t>。</w:t>
            </w:r>
            <w:r>
              <w:rPr>
                <w:rFonts w:hint="default" w:ascii="Times New Roman" w:hAnsi="Times New Roman" w:cs="Times New Roman"/>
                <w:color w:val="auto"/>
              </w:rPr>
              <w:t>用地性质属于</w:t>
            </w:r>
            <w:r>
              <w:rPr>
                <w:rFonts w:hint="eastAsia" w:cs="Times New Roman"/>
                <w:color w:val="auto"/>
                <w:lang w:val="en-US" w:eastAsia="zh-CN"/>
              </w:rPr>
              <w:t>工业</w:t>
            </w:r>
            <w:r>
              <w:rPr>
                <w:rFonts w:hint="default" w:ascii="Times New Roman" w:hAnsi="Times New Roman" w:cs="Times New Roman"/>
                <w:color w:val="auto"/>
              </w:rPr>
              <w:t>用地</w:t>
            </w:r>
            <w:r>
              <w:rPr>
                <w:rFonts w:hint="eastAsia" w:cs="Times New Roman"/>
                <w:color w:val="auto"/>
                <w:lang w:eastAsia="zh-CN"/>
              </w:rPr>
              <w:t>（</w:t>
            </w:r>
            <w:r>
              <w:rPr>
                <w:rFonts w:hint="eastAsia" w:cs="Times New Roman"/>
                <w:color w:val="auto"/>
                <w:lang w:val="en-US" w:eastAsia="zh-CN"/>
              </w:rPr>
              <w:t>见附件11</w:t>
            </w:r>
            <w:r>
              <w:rPr>
                <w:rFonts w:hint="eastAsia" w:cs="Times New Roman"/>
                <w:color w:val="auto"/>
                <w:lang w:eastAsia="zh-CN"/>
              </w:rPr>
              <w:t>），</w:t>
            </w:r>
            <w:r>
              <w:rPr>
                <w:rFonts w:hint="default" w:ascii="Times New Roman" w:hAnsi="Times New Roman" w:cs="Times New Roman"/>
                <w:color w:val="auto"/>
              </w:rPr>
              <w:t>符合用地性质要求。</w:t>
            </w:r>
          </w:p>
          <w:p w14:paraId="3B83F23D">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w:t>
            </w:r>
            <w:r>
              <w:rPr>
                <w:rFonts w:hint="eastAsia" w:ascii="Times New Roman" w:hAnsi="Times New Roman" w:cs="Times New Roman"/>
                <w:color w:val="auto"/>
                <w:lang w:val="en-US" w:eastAsia="zh-CN"/>
              </w:rPr>
              <w:t>与生态环境分区管控要求符合性分析</w:t>
            </w:r>
          </w:p>
          <w:p w14:paraId="530EDC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①生态红线</w:t>
            </w:r>
          </w:p>
          <w:p w14:paraId="5F58CF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eastAsia" w:cs="Times New Roman"/>
                <w:color w:val="auto"/>
                <w:lang w:val="en-US" w:eastAsia="zh-CN"/>
              </w:rPr>
              <w:t>本项目</w:t>
            </w:r>
            <w:r>
              <w:rPr>
                <w:rFonts w:hint="default" w:ascii="Times New Roman" w:hAnsi="Times New Roman" w:eastAsia="宋体" w:cs="Times New Roman"/>
                <w:color w:val="auto"/>
              </w:rPr>
              <w:t>位于</w:t>
            </w:r>
            <w:r>
              <w:rPr>
                <w:rFonts w:hint="eastAsia" w:cs="Times New Roman"/>
                <w:color w:val="auto"/>
                <w:lang w:eastAsia="zh-CN"/>
              </w:rPr>
              <w:t>江西省高安市蓝坊镇湾头，</w:t>
            </w:r>
            <w:r>
              <w:rPr>
                <w:rFonts w:hint="default" w:ascii="Times New Roman" w:hAnsi="Times New Roman" w:eastAsia="宋体" w:cs="Times New Roman"/>
                <w:color w:val="auto"/>
              </w:rPr>
              <w:t>用地为</w:t>
            </w:r>
            <w:r>
              <w:rPr>
                <w:rFonts w:hint="default" w:ascii="Times New Roman" w:hAnsi="Times New Roman" w:eastAsia="宋体" w:cs="Times New Roman"/>
                <w:color w:val="auto"/>
                <w:lang w:eastAsia="zh-CN"/>
              </w:rPr>
              <w:t>工业用地</w:t>
            </w:r>
            <w:r>
              <w:rPr>
                <w:rFonts w:hint="eastAsia" w:cs="Times New Roman"/>
                <w:color w:val="auto"/>
                <w:lang w:eastAsia="zh-CN"/>
              </w:rPr>
              <w:t>，</w:t>
            </w:r>
            <w:r>
              <w:rPr>
                <w:rFonts w:hint="eastAsia"/>
                <w:color w:val="auto"/>
                <w:lang w:val="en-US" w:eastAsia="zh-CN"/>
              </w:rPr>
              <w:t>根据高安市生态红线图（附图8）可知，本项目不</w:t>
            </w:r>
            <w:r>
              <w:rPr>
                <w:rFonts w:hint="default" w:ascii="Times New Roman" w:hAnsi="Times New Roman" w:eastAsia="宋体" w:cs="Times New Roman"/>
                <w:color w:val="auto"/>
                <w:lang w:val="en-US" w:eastAsia="zh-CN"/>
              </w:rPr>
              <w:t>在生态红线内</w:t>
            </w:r>
            <w:r>
              <w:rPr>
                <w:rFonts w:hint="default" w:ascii="Times New Roman" w:hAnsi="Times New Roman" w:eastAsia="宋体" w:cs="Times New Roman"/>
                <w:color w:val="auto"/>
              </w:rPr>
              <w:t>。</w:t>
            </w:r>
          </w:p>
          <w:p w14:paraId="5F4BDF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②环境质量底线</w:t>
            </w:r>
          </w:p>
          <w:p w14:paraId="42BC8A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Style w:val="79"/>
                <w:rFonts w:hint="default" w:ascii="Times New Roman" w:hAnsi="Times New Roman" w:cs="Times New Roman"/>
                <w:color w:val="auto"/>
              </w:rPr>
              <w:t>根据</w:t>
            </w:r>
            <w:r>
              <w:rPr>
                <w:rStyle w:val="79"/>
                <w:rFonts w:hint="default" w:ascii="Times New Roman" w:hAnsi="Times New Roman" w:cs="Times New Roman"/>
                <w:color w:val="auto"/>
                <w:lang w:eastAsia="zh-CN"/>
              </w:rPr>
              <w:t>宜春市高安市</w:t>
            </w:r>
            <w:r>
              <w:rPr>
                <w:rStyle w:val="79"/>
                <w:rFonts w:hint="default" w:ascii="Times New Roman" w:hAnsi="Times New Roman" w:cs="Times New Roman"/>
                <w:color w:val="auto"/>
              </w:rPr>
              <w:t>环境功能区划</w:t>
            </w:r>
            <w:r>
              <w:rPr>
                <w:rStyle w:val="79"/>
                <w:rFonts w:hint="eastAsia" w:cs="Times New Roman"/>
                <w:color w:val="auto"/>
                <w:lang w:eastAsia="zh-CN"/>
              </w:rPr>
              <w:t>，</w:t>
            </w:r>
            <w:r>
              <w:rPr>
                <w:rStyle w:val="79"/>
                <w:rFonts w:hint="default" w:ascii="Times New Roman" w:hAnsi="Times New Roman" w:cs="Times New Roman"/>
                <w:color w:val="auto"/>
              </w:rPr>
              <w:t>项目所在区域环境空气执行</w:t>
            </w:r>
            <w:r>
              <w:rPr>
                <w:rFonts w:hint="eastAsia" w:cs="Times New Roman"/>
                <w:color w:val="auto"/>
                <w:lang w:val="en-US" w:eastAsia="zh-CN"/>
              </w:rPr>
              <w:t>《环境空气质量标准》（GB3095-2026）过渡阶段浓度限值的二级标准要求</w:t>
            </w:r>
            <w:r>
              <w:rPr>
                <w:rStyle w:val="79"/>
                <w:rFonts w:hint="eastAsia" w:cs="Times New Roman"/>
                <w:color w:val="auto"/>
                <w:lang w:eastAsia="zh-CN"/>
              </w:rPr>
              <w:t>，</w:t>
            </w:r>
            <w:r>
              <w:rPr>
                <w:rStyle w:val="79"/>
                <w:rFonts w:hint="default" w:ascii="Times New Roman" w:hAnsi="Times New Roman" w:cs="Times New Roman"/>
                <w:color w:val="auto"/>
              </w:rPr>
              <w:t>地表水执行《地表水环境质量标准》（GB3838-2002）中的Ⅲ类水质标准</w:t>
            </w:r>
            <w:r>
              <w:rPr>
                <w:rStyle w:val="79"/>
                <w:rFonts w:hint="eastAsia" w:cs="Times New Roman"/>
                <w:color w:val="auto"/>
                <w:lang w:eastAsia="zh-CN"/>
              </w:rPr>
              <w:t>，</w:t>
            </w:r>
            <w:r>
              <w:rPr>
                <w:rStyle w:val="79"/>
                <w:rFonts w:hint="default" w:ascii="Times New Roman" w:hAnsi="Times New Roman" w:cs="Times New Roman"/>
                <w:color w:val="auto"/>
              </w:rPr>
              <w:t>声环境执行《声环境质量标准》（GB3096-2008）</w:t>
            </w:r>
            <w:r>
              <w:rPr>
                <w:rStyle w:val="79"/>
                <w:rFonts w:hint="eastAsia" w:cs="Times New Roman"/>
                <w:color w:val="auto"/>
                <w:lang w:val="en-US" w:eastAsia="zh-CN"/>
              </w:rPr>
              <w:t>2</w:t>
            </w:r>
            <w:r>
              <w:rPr>
                <w:rStyle w:val="79"/>
                <w:rFonts w:hint="default" w:ascii="Times New Roman" w:hAnsi="Times New Roman" w:cs="Times New Roman"/>
                <w:color w:val="auto"/>
              </w:rPr>
              <w:t>类标准。项目所在区域环境质量均能达到相应环境质量标准要求。项目建成后</w:t>
            </w:r>
            <w:r>
              <w:rPr>
                <w:rStyle w:val="79"/>
                <w:rFonts w:hint="eastAsia" w:cs="Times New Roman"/>
                <w:color w:val="auto"/>
                <w:lang w:eastAsia="zh-CN"/>
              </w:rPr>
              <w:t>，</w:t>
            </w:r>
            <w:r>
              <w:rPr>
                <w:rStyle w:val="79"/>
                <w:rFonts w:hint="default" w:ascii="Times New Roman" w:hAnsi="Times New Roman" w:cs="Times New Roman"/>
                <w:color w:val="auto"/>
              </w:rPr>
              <w:t>项目废气</w:t>
            </w:r>
            <w:r>
              <w:rPr>
                <w:rStyle w:val="79"/>
                <w:rFonts w:hint="eastAsia" w:cs="Times New Roman"/>
                <w:color w:val="auto"/>
                <w:lang w:eastAsia="zh-CN"/>
              </w:rPr>
              <w:t>、</w:t>
            </w:r>
            <w:r>
              <w:rPr>
                <w:rStyle w:val="79"/>
                <w:rFonts w:hint="eastAsia" w:cs="Times New Roman"/>
                <w:color w:val="auto"/>
                <w:lang w:val="en-US" w:eastAsia="zh-CN"/>
              </w:rPr>
              <w:t>废水</w:t>
            </w:r>
            <w:r>
              <w:rPr>
                <w:rStyle w:val="79"/>
                <w:rFonts w:hint="default" w:ascii="Times New Roman" w:hAnsi="Times New Roman" w:cs="Times New Roman"/>
                <w:color w:val="auto"/>
              </w:rPr>
              <w:t>污染物经处理后可以达标排放</w:t>
            </w:r>
            <w:r>
              <w:rPr>
                <w:rStyle w:val="79"/>
                <w:rFonts w:hint="eastAsia" w:cs="Times New Roman"/>
                <w:color w:val="auto"/>
                <w:lang w:eastAsia="zh-CN"/>
              </w:rPr>
              <w:t>，</w:t>
            </w:r>
            <w:r>
              <w:rPr>
                <w:rStyle w:val="79"/>
                <w:rFonts w:hint="default" w:ascii="Times New Roman" w:hAnsi="Times New Roman" w:cs="Times New Roman"/>
                <w:color w:val="auto"/>
              </w:rPr>
              <w:t>对外环境影响不大；</w:t>
            </w:r>
          </w:p>
          <w:p w14:paraId="0317DEB0">
            <w:pPr>
              <w:pStyle w:val="78"/>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lang w:val="en-US" w:eastAsia="zh-CN"/>
              </w:rPr>
            </w:pPr>
            <w:r>
              <w:rPr>
                <w:rFonts w:hint="default" w:ascii="Times New Roman" w:hAnsi="Times New Roman" w:cs="Times New Roman"/>
                <w:snapToGrid w:val="0"/>
                <w:color w:val="auto"/>
                <w:kern w:val="32"/>
                <w:sz w:val="24"/>
                <w:highlight w:val="none"/>
                <w:lang w:val="en-US" w:eastAsia="zh-CN"/>
              </w:rPr>
              <w:t>综上</w:t>
            </w:r>
            <w:r>
              <w:rPr>
                <w:rFonts w:hint="eastAsia" w:cs="Times New Roman"/>
                <w:snapToGrid w:val="0"/>
                <w:color w:val="auto"/>
                <w:kern w:val="32"/>
                <w:sz w:val="24"/>
                <w:highlight w:val="none"/>
                <w:lang w:val="en-US" w:eastAsia="zh-CN"/>
              </w:rPr>
              <w:t>，</w:t>
            </w:r>
            <w:r>
              <w:rPr>
                <w:rFonts w:hint="default" w:ascii="Times New Roman" w:hAnsi="Times New Roman" w:cs="Times New Roman"/>
                <w:snapToGrid w:val="0"/>
                <w:color w:val="auto"/>
                <w:kern w:val="32"/>
                <w:sz w:val="24"/>
                <w:highlight w:val="none"/>
              </w:rPr>
              <w:t>项目的建设不会改变区域内环境功能现状</w:t>
            </w:r>
            <w:r>
              <w:rPr>
                <w:rFonts w:hint="eastAsia" w:cs="Times New Roman"/>
                <w:snapToGrid w:val="0"/>
                <w:color w:val="auto"/>
                <w:kern w:val="32"/>
                <w:sz w:val="24"/>
                <w:highlight w:val="none"/>
                <w:lang w:eastAsia="zh-CN"/>
              </w:rPr>
              <w:t>，</w:t>
            </w:r>
            <w:r>
              <w:rPr>
                <w:rFonts w:hint="default" w:ascii="Times New Roman" w:hAnsi="Times New Roman" w:cs="Times New Roman"/>
                <w:snapToGrid w:val="0"/>
                <w:color w:val="auto"/>
                <w:kern w:val="32"/>
                <w:sz w:val="24"/>
                <w:highlight w:val="none"/>
              </w:rPr>
              <w:t>符合环境质量底线要求。</w:t>
            </w:r>
          </w:p>
          <w:p w14:paraId="2317DBED">
            <w:pPr>
              <w:pStyle w:val="78"/>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③资源利用上线</w:t>
            </w:r>
          </w:p>
          <w:p w14:paraId="547E0DD4">
            <w:pPr>
              <w:pStyle w:val="78"/>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cs="Times New Roman"/>
                <w:color w:val="auto"/>
                <w:lang w:eastAsia="zh-CN"/>
              </w:rPr>
              <w:t>本项目</w:t>
            </w:r>
            <w:r>
              <w:rPr>
                <w:rFonts w:hint="default" w:ascii="Times New Roman" w:hAnsi="Times New Roman" w:cs="Times New Roman"/>
                <w:color w:val="auto"/>
              </w:rPr>
              <w:t>不使用高能耗能源</w:t>
            </w:r>
            <w:r>
              <w:rPr>
                <w:rFonts w:hint="eastAsia" w:cs="Times New Roman"/>
                <w:color w:val="auto"/>
                <w:lang w:eastAsia="zh-CN"/>
              </w:rPr>
              <w:t>，</w:t>
            </w:r>
            <w:r>
              <w:rPr>
                <w:rFonts w:hint="default" w:ascii="Times New Roman" w:hAnsi="Times New Roman" w:cs="Times New Roman"/>
                <w:color w:val="auto"/>
              </w:rPr>
              <w:t>采用市政供电</w:t>
            </w:r>
            <w:r>
              <w:rPr>
                <w:rFonts w:hint="eastAsia" w:cs="Times New Roman"/>
                <w:color w:val="auto"/>
                <w:lang w:eastAsia="zh-CN"/>
              </w:rPr>
              <w:t>，</w:t>
            </w:r>
            <w:r>
              <w:rPr>
                <w:rFonts w:hint="default" w:ascii="Times New Roman" w:hAnsi="Times New Roman" w:cs="Times New Roman"/>
                <w:color w:val="auto"/>
              </w:rPr>
              <w:t>能够满足项目供电需要。项目用水由市政供水提供</w:t>
            </w:r>
            <w:r>
              <w:rPr>
                <w:rFonts w:hint="eastAsia" w:cs="Times New Roman"/>
                <w:color w:val="auto"/>
                <w:lang w:eastAsia="zh-CN"/>
              </w:rPr>
              <w:t>，</w:t>
            </w:r>
            <w:r>
              <w:rPr>
                <w:rFonts w:hint="default" w:ascii="Times New Roman" w:hAnsi="Times New Roman" w:cs="Times New Roman"/>
                <w:color w:val="auto"/>
              </w:rPr>
              <w:t>用量较小</w:t>
            </w:r>
            <w:r>
              <w:rPr>
                <w:rFonts w:hint="eastAsia" w:cs="Times New Roman"/>
                <w:color w:val="auto"/>
                <w:lang w:eastAsia="zh-CN"/>
              </w:rPr>
              <w:t>，</w:t>
            </w:r>
            <w:r>
              <w:rPr>
                <w:rFonts w:hint="default" w:ascii="Times New Roman" w:hAnsi="Times New Roman" w:cs="Times New Roman"/>
                <w:color w:val="auto"/>
              </w:rPr>
              <w:t>能够满足</w:t>
            </w:r>
            <w:r>
              <w:rPr>
                <w:rFonts w:hint="eastAsia" w:cs="Times New Roman"/>
                <w:color w:val="auto"/>
                <w:lang w:eastAsia="zh-CN"/>
              </w:rPr>
              <w:t>本项目</w:t>
            </w:r>
            <w:r>
              <w:rPr>
                <w:rFonts w:hint="default" w:ascii="Times New Roman" w:hAnsi="Times New Roman" w:cs="Times New Roman"/>
                <w:color w:val="auto"/>
              </w:rPr>
              <w:t>新鲜水使用要求。</w:t>
            </w:r>
            <w:r>
              <w:rPr>
                <w:rFonts w:hint="eastAsia" w:cs="Times New Roman"/>
                <w:color w:val="auto"/>
                <w:lang w:eastAsia="zh-CN"/>
              </w:rPr>
              <w:t>本项目</w:t>
            </w:r>
            <w:r>
              <w:rPr>
                <w:rFonts w:hint="default" w:ascii="Times New Roman" w:hAnsi="Times New Roman" w:cs="Times New Roman"/>
                <w:color w:val="auto"/>
              </w:rPr>
              <w:t>不属于高污染、高能耗、高水耗的建设项目</w:t>
            </w:r>
            <w:r>
              <w:rPr>
                <w:rFonts w:hint="eastAsia" w:cs="Times New Roman"/>
                <w:color w:val="auto"/>
                <w:lang w:eastAsia="zh-CN"/>
              </w:rPr>
              <w:t>，</w:t>
            </w:r>
            <w:r>
              <w:rPr>
                <w:rFonts w:hint="default" w:ascii="Times New Roman" w:hAnsi="Times New Roman" w:cs="Times New Roman"/>
                <w:color w:val="auto"/>
              </w:rPr>
              <w:t>符合资源利用上线的要求。</w:t>
            </w:r>
          </w:p>
          <w:p w14:paraId="7AA45E4B">
            <w:pPr>
              <w:pStyle w:val="78"/>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④本项目与生态环境准入清单符合性分析</w:t>
            </w:r>
          </w:p>
          <w:p w14:paraId="297C2097">
            <w:pPr>
              <w:pStyle w:val="78"/>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rPr>
              <w:t>根据《江西省第一批国家重点生态功能区产业准入负面清单》（赣发改规划</w:t>
            </w:r>
            <w:r>
              <w:rPr>
                <w:rFonts w:hint="eastAsia" w:cs="Times New Roman"/>
                <w:color w:val="auto"/>
                <w:lang w:val="zh-CN"/>
              </w:rPr>
              <w:t>〔2017〕448号</w:t>
            </w:r>
            <w:r>
              <w:rPr>
                <w:rFonts w:hint="default" w:ascii="Times New Roman" w:hAnsi="Times New Roman" w:cs="Times New Roman"/>
                <w:color w:val="auto"/>
                <w:lang w:val="zh-CN"/>
              </w:rPr>
              <w:t>）及《江西省发展改革委关于印发江西省第二批重点生态功能区产业准入负面清单的通知》（赣发改规划</w:t>
            </w:r>
            <w:r>
              <w:rPr>
                <w:rFonts w:hint="eastAsia" w:cs="Times New Roman"/>
                <w:color w:val="auto"/>
                <w:lang w:val="zh-CN"/>
              </w:rPr>
              <w:t>〔2018〕112号</w:t>
            </w:r>
            <w:r>
              <w:rPr>
                <w:rFonts w:hint="default" w:ascii="Times New Roman" w:hAnsi="Times New Roman" w:cs="Times New Roman"/>
                <w:color w:val="auto"/>
                <w:lang w:val="zh-CN"/>
              </w:rPr>
              <w:t>）</w:t>
            </w:r>
            <w:r>
              <w:rPr>
                <w:rFonts w:hint="eastAsia" w:cs="Times New Roman"/>
                <w:color w:val="auto"/>
                <w:lang w:val="zh-CN"/>
              </w:rPr>
              <w:t>，</w:t>
            </w:r>
            <w:r>
              <w:rPr>
                <w:rFonts w:hint="default" w:ascii="Times New Roman" w:hAnsi="Times New Roman" w:cs="Times New Roman"/>
                <w:color w:val="auto"/>
                <w:lang w:val="zh-CN"/>
              </w:rPr>
              <w:t>高安市均不涉及生态功能区产业准入负面清单。因此项目符合生态环境准入清单要求。</w:t>
            </w:r>
          </w:p>
          <w:p w14:paraId="3AE7C3D6">
            <w:pPr>
              <w:pStyle w:val="78"/>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rPr>
              <w:t>为深入贯彻《中共中央国务院关于全面加强生态环境保护坚决打好污染防治攻坚战的意见》</w:t>
            </w:r>
            <w:r>
              <w:rPr>
                <w:rFonts w:hint="eastAsia" w:cs="Times New Roman"/>
                <w:color w:val="auto"/>
                <w:lang w:val="zh-CN"/>
              </w:rPr>
              <w:t>，</w:t>
            </w:r>
            <w:r>
              <w:rPr>
                <w:rFonts w:hint="default" w:ascii="Times New Roman" w:hAnsi="Times New Roman" w:cs="Times New Roman"/>
                <w:color w:val="auto"/>
                <w:lang w:val="zh-CN"/>
              </w:rPr>
              <w:t>全面落实“共抓大保护、不搞大开发</w:t>
            </w:r>
            <w:r>
              <w:rPr>
                <w:rFonts w:hint="eastAsia" w:cs="Times New Roman"/>
                <w:color w:val="auto"/>
                <w:lang w:val="zh-CN"/>
              </w:rPr>
              <w:t>”</w:t>
            </w:r>
            <w:r>
              <w:rPr>
                <w:rFonts w:hint="default" w:ascii="Times New Roman" w:hAnsi="Times New Roman" w:cs="Times New Roman"/>
                <w:color w:val="auto"/>
                <w:lang w:val="zh-CN"/>
              </w:rPr>
              <w:t>要求</w:t>
            </w:r>
            <w:r>
              <w:rPr>
                <w:rFonts w:hint="eastAsia" w:cs="Times New Roman"/>
                <w:color w:val="auto"/>
                <w:lang w:val="zh-CN"/>
              </w:rPr>
              <w:t>，</w:t>
            </w:r>
            <w:r>
              <w:rPr>
                <w:rFonts w:hint="default" w:ascii="Times New Roman" w:hAnsi="Times New Roman" w:cs="Times New Roman"/>
                <w:color w:val="auto"/>
                <w:lang w:val="zh-CN"/>
              </w:rPr>
              <w:t>推动全市实现高质量发展和生态环境高水平保护</w:t>
            </w:r>
            <w:r>
              <w:rPr>
                <w:rFonts w:hint="eastAsia" w:cs="Times New Roman"/>
                <w:color w:val="auto"/>
                <w:lang w:val="zh-CN"/>
              </w:rPr>
              <w:t>，</w:t>
            </w:r>
            <w:r>
              <w:rPr>
                <w:rFonts w:hint="default" w:ascii="Times New Roman" w:hAnsi="Times New Roman" w:cs="Times New Roman"/>
                <w:color w:val="auto"/>
                <w:lang w:val="zh-CN"/>
              </w:rPr>
              <w:t>加快实施生态保护红线、环境质量底线、资源利用上线和生态环境准入清单（以下统称“三线一单”）生态环境分区管控体系。根据生态环境部《2023年生态环境分区管控成果动态更新工作方案》（环办环评函</w:t>
            </w:r>
            <w:r>
              <w:rPr>
                <w:rFonts w:hint="eastAsia" w:cs="Times New Roman"/>
                <w:color w:val="auto"/>
                <w:lang w:val="zh-CN"/>
              </w:rPr>
              <w:t>〔2023〕81号</w:t>
            </w:r>
            <w:r>
              <w:rPr>
                <w:rFonts w:hint="default" w:ascii="Times New Roman" w:hAnsi="Times New Roman" w:cs="Times New Roman"/>
                <w:color w:val="auto"/>
                <w:lang w:val="zh-CN"/>
              </w:rPr>
              <w:t>）、《江西省2023年生态环境分区管控成果动态更新工作方案》（赣环环评函</w:t>
            </w:r>
            <w:r>
              <w:rPr>
                <w:rFonts w:hint="eastAsia" w:cs="Times New Roman"/>
                <w:color w:val="auto"/>
                <w:lang w:val="zh-CN"/>
              </w:rPr>
              <w:t>〔2023〕9号</w:t>
            </w:r>
            <w:r>
              <w:rPr>
                <w:rFonts w:hint="default" w:ascii="Times New Roman" w:hAnsi="Times New Roman" w:cs="Times New Roman"/>
                <w:color w:val="auto"/>
                <w:lang w:val="zh-CN"/>
              </w:rPr>
              <w:t>）有关要求</w:t>
            </w:r>
            <w:r>
              <w:rPr>
                <w:rFonts w:hint="eastAsia" w:cs="Times New Roman"/>
                <w:color w:val="auto"/>
                <w:lang w:val="zh-CN"/>
              </w:rPr>
              <w:t>，</w:t>
            </w:r>
            <w:r>
              <w:rPr>
                <w:rFonts w:hint="default" w:ascii="Times New Roman" w:hAnsi="Times New Roman" w:cs="Times New Roman"/>
                <w:color w:val="auto"/>
                <w:lang w:val="zh-CN"/>
              </w:rPr>
              <w:t>宜春市已完成生态环境分区管控成果动态更新工作</w:t>
            </w:r>
            <w:r>
              <w:rPr>
                <w:rFonts w:hint="eastAsia" w:cs="Times New Roman"/>
                <w:color w:val="auto"/>
                <w:lang w:val="zh-CN"/>
              </w:rPr>
              <w:t>，</w:t>
            </w:r>
            <w:r>
              <w:rPr>
                <w:rFonts w:hint="default" w:ascii="Times New Roman" w:hAnsi="Times New Roman" w:cs="Times New Roman"/>
                <w:color w:val="auto"/>
                <w:lang w:val="zh-CN"/>
              </w:rPr>
              <w:t>并发布《宜春市人民政府办公室关于公布宜春市生态环境分区管控成果（2023版）的通知》（宜府办发</w:t>
            </w:r>
            <w:r>
              <w:rPr>
                <w:rFonts w:hint="eastAsia" w:cs="Times New Roman"/>
                <w:color w:val="auto"/>
                <w:lang w:val="zh-CN"/>
              </w:rPr>
              <w:t>〔2024〕9号</w:t>
            </w:r>
            <w:r>
              <w:rPr>
                <w:rFonts w:hint="default" w:ascii="Times New Roman" w:hAnsi="Times New Roman" w:cs="Times New Roman"/>
                <w:color w:val="auto"/>
                <w:lang w:val="zh-CN"/>
              </w:rPr>
              <w:t>）。</w:t>
            </w:r>
          </w:p>
          <w:p w14:paraId="735937DA">
            <w:pPr>
              <w:pStyle w:val="78"/>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zh-CN"/>
              </w:rPr>
              <w:t>本项目</w:t>
            </w:r>
            <w:r>
              <w:rPr>
                <w:rFonts w:hint="default" w:ascii="Times New Roman" w:hAnsi="Times New Roman" w:cs="Times New Roman"/>
                <w:color w:val="auto"/>
                <w:lang w:val="zh-CN"/>
              </w:rPr>
              <w:t>位于</w:t>
            </w:r>
            <w:r>
              <w:rPr>
                <w:rFonts w:hint="eastAsia" w:cs="Times New Roman"/>
                <w:color w:val="auto"/>
                <w:lang w:val="zh-CN" w:eastAsia="zh-CN"/>
              </w:rPr>
              <w:t>江西省高安市蓝坊镇湾头</w:t>
            </w:r>
            <w:r>
              <w:rPr>
                <w:rFonts w:hint="eastAsia" w:cs="Times New Roman"/>
                <w:color w:val="auto"/>
                <w:lang w:val="zh-CN"/>
              </w:rPr>
              <w:t>，</w:t>
            </w:r>
            <w:r>
              <w:rPr>
                <w:rFonts w:hint="default" w:ascii="Times New Roman" w:hAnsi="Times New Roman" w:cs="Times New Roman"/>
                <w:color w:val="auto"/>
                <w:lang w:val="zh-CN"/>
              </w:rPr>
              <w:t>属于</w:t>
            </w:r>
            <w:r>
              <w:rPr>
                <w:rFonts w:hint="default" w:ascii="Times New Roman" w:hAnsi="Times New Roman" w:cs="Times New Roman"/>
                <w:color w:val="auto"/>
                <w:lang w:val="zh-CN" w:eastAsia="zh-CN"/>
              </w:rPr>
              <w:t>蓝坊镇环境管控单元范围</w:t>
            </w:r>
            <w:r>
              <w:rPr>
                <w:rFonts w:hint="eastAsia" w:cs="Times New Roman"/>
                <w:color w:val="auto"/>
                <w:lang w:val="zh-CN"/>
              </w:rPr>
              <w:t>，</w:t>
            </w:r>
            <w:r>
              <w:rPr>
                <w:rFonts w:hint="default" w:ascii="Times New Roman" w:hAnsi="Times New Roman" w:cs="Times New Roman"/>
                <w:color w:val="auto"/>
                <w:lang w:val="zh-CN"/>
              </w:rPr>
              <w:t>属</w:t>
            </w:r>
            <w:r>
              <w:rPr>
                <w:rFonts w:hint="eastAsia" w:cs="Times New Roman"/>
                <w:color w:val="auto"/>
                <w:lang w:val="en-US" w:eastAsia="zh-CN"/>
              </w:rPr>
              <w:t>于一般</w:t>
            </w:r>
            <w:r>
              <w:rPr>
                <w:rFonts w:hint="default" w:ascii="Times New Roman" w:hAnsi="Times New Roman" w:cs="Times New Roman"/>
                <w:color w:val="auto"/>
                <w:lang w:val="zh-CN"/>
              </w:rPr>
              <w:t>管控单元</w:t>
            </w:r>
            <w:r>
              <w:rPr>
                <w:rFonts w:hint="eastAsia" w:cs="Times New Roman"/>
                <w:color w:val="auto"/>
                <w:lang w:val="en-US" w:eastAsia="zh-CN"/>
              </w:rPr>
              <w:t>1</w:t>
            </w:r>
            <w:r>
              <w:rPr>
                <w:rFonts w:hint="default" w:ascii="Times New Roman" w:hAnsi="Times New Roman" w:cs="Times New Roman"/>
                <w:color w:val="auto"/>
                <w:lang w:val="zh-CN"/>
              </w:rPr>
              <w:t>（环境管控单元编码：</w:t>
            </w:r>
            <w:r>
              <w:rPr>
                <w:rFonts w:hint="default" w:ascii="Times New Roman" w:hAnsi="Times New Roman" w:cs="Times New Roman"/>
                <w:color w:val="auto"/>
                <w:lang w:val="zh-CN" w:eastAsia="zh-CN"/>
              </w:rPr>
              <w:t>ZH36098330001</w:t>
            </w:r>
            <w:r>
              <w:rPr>
                <w:rFonts w:hint="default" w:ascii="Times New Roman" w:hAnsi="Times New Roman" w:cs="Times New Roman"/>
                <w:color w:val="auto"/>
                <w:lang w:val="zh-CN"/>
              </w:rPr>
              <w:t>）。根据《宜春市人民政府办公室关于公布宜春市生态环境分区管控成果（2023版）的通知》（宜府办发</w:t>
            </w:r>
            <w:r>
              <w:rPr>
                <w:rFonts w:hint="eastAsia" w:cs="Times New Roman"/>
                <w:color w:val="auto"/>
                <w:lang w:val="zh-CN"/>
              </w:rPr>
              <w:t>〔2024〕9号</w:t>
            </w:r>
            <w:r>
              <w:rPr>
                <w:rFonts w:hint="default" w:ascii="Times New Roman" w:hAnsi="Times New Roman" w:cs="Times New Roman"/>
                <w:color w:val="auto"/>
                <w:lang w:val="zh-CN"/>
              </w:rPr>
              <w:t>）</w:t>
            </w:r>
            <w:r>
              <w:rPr>
                <w:rFonts w:hint="eastAsia" w:cs="Times New Roman"/>
                <w:color w:val="auto"/>
                <w:lang w:val="zh-CN"/>
              </w:rPr>
              <w:t>，</w:t>
            </w:r>
            <w:r>
              <w:rPr>
                <w:rFonts w:hint="default" w:ascii="Times New Roman" w:hAnsi="Times New Roman" w:cs="Times New Roman"/>
                <w:color w:val="auto"/>
                <w:lang w:val="zh-CN"/>
              </w:rPr>
              <w:t>将涉及</w:t>
            </w:r>
            <w:r>
              <w:rPr>
                <w:rFonts w:hint="eastAsia" w:cs="Times New Roman"/>
                <w:color w:val="auto"/>
                <w:lang w:val="zh-CN"/>
              </w:rPr>
              <w:t>本项目</w:t>
            </w:r>
            <w:r>
              <w:rPr>
                <w:rFonts w:hint="default" w:ascii="Times New Roman" w:hAnsi="Times New Roman" w:cs="Times New Roman"/>
                <w:color w:val="auto"/>
                <w:lang w:val="zh-CN"/>
              </w:rPr>
              <w:t>区域的生态环境准入清单要求及符合性分析列于表1-</w:t>
            </w:r>
            <w:r>
              <w:rPr>
                <w:rFonts w:hint="eastAsia" w:cs="Times New Roman"/>
                <w:color w:val="auto"/>
                <w:lang w:val="en-US" w:eastAsia="zh-CN"/>
              </w:rPr>
              <w:t>2</w:t>
            </w:r>
            <w:r>
              <w:rPr>
                <w:rFonts w:hint="default" w:ascii="Times New Roman" w:hAnsi="Times New Roman" w:cs="Times New Roman"/>
                <w:color w:val="auto"/>
                <w:lang w:val="zh-CN"/>
              </w:rPr>
              <w:t>和表1-</w:t>
            </w:r>
            <w:r>
              <w:rPr>
                <w:rFonts w:hint="eastAsia" w:cs="Times New Roman"/>
                <w:color w:val="auto"/>
                <w:lang w:val="en-US" w:eastAsia="zh-CN"/>
              </w:rPr>
              <w:t>3。</w:t>
            </w:r>
          </w:p>
          <w:p w14:paraId="2ACEC162">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与《宜春市生态环境总体准入要求》相符性</w:t>
            </w:r>
          </w:p>
          <w:tbl>
            <w:tblPr>
              <w:tblStyle w:val="29"/>
              <w:tblW w:w="498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23"/>
              <w:gridCol w:w="945"/>
              <w:gridCol w:w="3309"/>
              <w:gridCol w:w="1483"/>
              <w:gridCol w:w="613"/>
            </w:tblGrid>
            <w:tr w14:paraId="1405DA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blHeader/>
                <w:jc w:val="center"/>
              </w:trPr>
              <w:tc>
                <w:tcPr>
                  <w:tcW w:w="31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A1282D">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维度</w:t>
                  </w: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DAD49B0">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清单编制要求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31A50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动态更新情况</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6DD3C0">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本项目情况</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3FBB06">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相符性分析</w:t>
                  </w:r>
                </w:p>
              </w:tc>
            </w:tr>
            <w:tr w14:paraId="42DFC7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226B9474">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空间布局约束</w:t>
                  </w: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EA328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禁止开发建设活动的要求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71D62D">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禁止新建《产业结构调整指导目录》限制类和淘汰类项目</w:t>
                  </w:r>
                  <w:r>
                    <w:rPr>
                      <w:rFonts w:hint="eastAsia" w:cs="Times New Roman"/>
                      <w:color w:val="auto"/>
                      <w:sz w:val="21"/>
                      <w:szCs w:val="24"/>
                      <w:lang w:eastAsia="zh-CN"/>
                    </w:rPr>
                    <w:t>，现有</w:t>
                  </w:r>
                  <w:r>
                    <w:rPr>
                      <w:rFonts w:hint="default" w:ascii="Times New Roman" w:hAnsi="Times New Roman" w:cs="Times New Roman"/>
                      <w:color w:val="auto"/>
                      <w:sz w:val="21"/>
                      <w:szCs w:val="24"/>
                    </w:rPr>
                    <w:t>产业改、扩建不得使用《产业结构调整指导目录》规定的淘汰类规模和生产工艺。</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5B50CD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lang w:val="zh-CN"/>
                    </w:rPr>
                    <w:t>根据</w:t>
                  </w:r>
                  <w:r>
                    <w:rPr>
                      <w:rFonts w:hint="eastAsia" w:cs="Times New Roman"/>
                      <w:color w:val="auto"/>
                      <w:sz w:val="21"/>
                      <w:szCs w:val="24"/>
                      <w:lang w:val="zh-CN"/>
                    </w:rPr>
                    <w:t>国家发展改革委</w:t>
                  </w:r>
                  <w:r>
                    <w:rPr>
                      <w:rFonts w:hint="default" w:ascii="Times New Roman" w:hAnsi="Times New Roman" w:cs="Times New Roman"/>
                      <w:color w:val="auto"/>
                      <w:sz w:val="21"/>
                      <w:szCs w:val="24"/>
                      <w:lang w:val="zh-CN"/>
                    </w:rPr>
                    <w:t>颁发的</w:t>
                  </w:r>
                  <w:r>
                    <w:rPr>
                      <w:rFonts w:hint="eastAsia" w:cs="Times New Roman"/>
                      <w:color w:val="auto"/>
                      <w:sz w:val="21"/>
                      <w:szCs w:val="24"/>
                      <w:lang w:val="zh-CN"/>
                    </w:rPr>
                    <w:t>《产业结构调整指导目录（2024年本）》，本项目</w:t>
                  </w:r>
                  <w:r>
                    <w:rPr>
                      <w:rFonts w:hint="default" w:ascii="Times New Roman" w:hAnsi="Times New Roman" w:cs="Times New Roman"/>
                      <w:color w:val="auto"/>
                      <w:sz w:val="21"/>
                      <w:szCs w:val="24"/>
                      <w:lang w:val="zh-CN"/>
                    </w:rPr>
                    <w:t>为鼓励类建设项目。</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ECB65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38E171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38661FB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504A2F4B">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限制开发建设活动的要求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684BB6">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禁止在</w:t>
                  </w:r>
                  <w:r>
                    <w:rPr>
                      <w:rFonts w:hint="eastAsia" w:cs="Times New Roman"/>
                      <w:color w:val="auto"/>
                      <w:sz w:val="21"/>
                      <w:szCs w:val="24"/>
                      <w:lang w:eastAsia="zh-CN"/>
                    </w:rPr>
                    <w:t>锦江</w:t>
                  </w:r>
                  <w:r>
                    <w:rPr>
                      <w:rFonts w:hint="default" w:ascii="Times New Roman" w:hAnsi="Times New Roman" w:cs="Times New Roman"/>
                      <w:color w:val="auto"/>
                      <w:sz w:val="21"/>
                      <w:szCs w:val="24"/>
                    </w:rPr>
                    <w:t>岸线一公里范围内新建、扩建化工园区和化工项目；禁止在</w:t>
                  </w:r>
                  <w:r>
                    <w:rPr>
                      <w:rFonts w:hint="eastAsia" w:cs="Times New Roman"/>
                      <w:color w:val="auto"/>
                      <w:sz w:val="21"/>
                      <w:szCs w:val="24"/>
                      <w:lang w:eastAsia="zh-CN"/>
                    </w:rPr>
                    <w:t>锦江</w:t>
                  </w:r>
                  <w:r>
                    <w:rPr>
                      <w:rFonts w:hint="default" w:ascii="Times New Roman" w:hAnsi="Times New Roman" w:cs="Times New Roman"/>
                      <w:color w:val="auto"/>
                      <w:sz w:val="21"/>
                      <w:szCs w:val="24"/>
                    </w:rPr>
                    <w:t>岸线一公里范围内新建、改建、扩建冶炼渣库和磷石膏库</w:t>
                  </w:r>
                  <w:r>
                    <w:rPr>
                      <w:rFonts w:hint="eastAsia" w:cs="Times New Roman"/>
                      <w:color w:val="auto"/>
                      <w:sz w:val="21"/>
                      <w:szCs w:val="24"/>
                      <w:lang w:eastAsia="zh-CN"/>
                    </w:rPr>
                    <w:t>，</w:t>
                  </w:r>
                  <w:r>
                    <w:rPr>
                      <w:rFonts w:hint="default" w:ascii="Times New Roman" w:hAnsi="Times New Roman" w:cs="Times New Roman"/>
                      <w:color w:val="auto"/>
                      <w:sz w:val="21"/>
                      <w:szCs w:val="24"/>
                    </w:rPr>
                    <w:t>以提升安全、生态环境保护水平为目的改建除外；严禁新建“头顶库”、总坝高超过200米的尾矿库</w:t>
                  </w:r>
                  <w:r>
                    <w:rPr>
                      <w:rFonts w:hint="eastAsia" w:cs="Times New Roman"/>
                      <w:color w:val="auto"/>
                      <w:sz w:val="21"/>
                      <w:szCs w:val="24"/>
                      <w:lang w:eastAsia="zh-CN"/>
                    </w:rPr>
                    <w:t>，</w:t>
                  </w:r>
                  <w:r>
                    <w:rPr>
                      <w:rFonts w:hint="default" w:ascii="Times New Roman" w:hAnsi="Times New Roman" w:cs="Times New Roman"/>
                      <w:color w:val="auto"/>
                      <w:sz w:val="21"/>
                      <w:szCs w:val="24"/>
                    </w:rPr>
                    <w:t>严禁在距离水源地以及流域面积大于1000平方公里的河流和禾水、渌水岸线1公里范围内新（改、扩）建尾矿库。</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5EF2764">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本项目不属于化工、冶炼渣库和</w:t>
                  </w:r>
                  <w:r>
                    <w:rPr>
                      <w:rFonts w:hint="default" w:ascii="Times New Roman" w:hAnsi="Times New Roman" w:cs="Times New Roman"/>
                      <w:color w:val="auto"/>
                      <w:sz w:val="21"/>
                      <w:szCs w:val="24"/>
                    </w:rPr>
                    <w:t>磷石膏库</w:t>
                  </w:r>
                  <w:r>
                    <w:rPr>
                      <w:rFonts w:hint="eastAsia" w:cs="Times New Roman"/>
                      <w:color w:val="auto"/>
                      <w:sz w:val="21"/>
                      <w:szCs w:val="24"/>
                      <w:lang w:val="en-US" w:eastAsia="zh-CN"/>
                    </w:rPr>
                    <w:t>、尾矿库项目。</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A1243B">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4DF476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DFAD1C6">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D94351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7AAF5A0">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不得在城镇居民聚集区域、规划区</w:t>
                  </w:r>
                  <w:r>
                    <w:rPr>
                      <w:rFonts w:hint="eastAsia" w:cs="Times New Roman"/>
                      <w:color w:val="auto"/>
                      <w:sz w:val="21"/>
                      <w:szCs w:val="24"/>
                      <w:lang w:eastAsia="zh-CN"/>
                    </w:rPr>
                    <w:t>，</w:t>
                  </w:r>
                  <w:r>
                    <w:rPr>
                      <w:rFonts w:hint="default" w:ascii="Times New Roman" w:hAnsi="Times New Roman" w:cs="Times New Roman"/>
                      <w:color w:val="auto"/>
                      <w:sz w:val="21"/>
                      <w:szCs w:val="24"/>
                    </w:rPr>
                    <w:t>主导风上风向</w:t>
                  </w:r>
                  <w:r>
                    <w:rPr>
                      <w:rFonts w:hint="eastAsia" w:cs="Times New Roman"/>
                      <w:color w:val="auto"/>
                      <w:sz w:val="21"/>
                      <w:szCs w:val="24"/>
                      <w:lang w:eastAsia="zh-CN"/>
                    </w:rPr>
                    <w:t>，</w:t>
                  </w:r>
                  <w:r>
                    <w:rPr>
                      <w:rFonts w:hint="default" w:ascii="Times New Roman" w:hAnsi="Times New Roman" w:cs="Times New Roman"/>
                      <w:color w:val="auto"/>
                      <w:sz w:val="21"/>
                      <w:szCs w:val="24"/>
                    </w:rPr>
                    <w:t>以城镇中心为界线</w:t>
                  </w:r>
                  <w:r>
                    <w:rPr>
                      <w:rFonts w:hint="eastAsia" w:cs="Times New Roman"/>
                      <w:color w:val="auto"/>
                      <w:sz w:val="21"/>
                      <w:szCs w:val="24"/>
                      <w:lang w:eastAsia="zh-CN"/>
                    </w:rPr>
                    <w:t>，</w:t>
                  </w:r>
                  <w:r>
                    <w:rPr>
                      <w:rFonts w:hint="default" w:ascii="Times New Roman" w:hAnsi="Times New Roman" w:cs="Times New Roman"/>
                      <w:color w:val="auto"/>
                      <w:sz w:val="21"/>
                      <w:szCs w:val="24"/>
                    </w:rPr>
                    <w:t>向外延伸5公里</w:t>
                  </w:r>
                  <w:r>
                    <w:rPr>
                      <w:rFonts w:hint="eastAsia" w:cs="Times New Roman"/>
                      <w:color w:val="auto"/>
                      <w:sz w:val="21"/>
                      <w:szCs w:val="24"/>
                      <w:lang w:eastAsia="zh-CN"/>
                    </w:rPr>
                    <w:t>，</w:t>
                  </w:r>
                  <w:r>
                    <w:rPr>
                      <w:rFonts w:hint="default" w:ascii="Times New Roman" w:hAnsi="Times New Roman" w:cs="Times New Roman"/>
                      <w:color w:val="auto"/>
                      <w:sz w:val="21"/>
                      <w:szCs w:val="24"/>
                    </w:rPr>
                    <w:t>新建化工（单纯混合、复配除外）、农药（原药生产）、钢铁、焦化、水泥（熟料）、有色金属冶炼等大气污染型项目。</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6F8464">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本项目不属于化工（单纯混合、复配除外）、农药（原药生产）、钢铁、焦化、水泥（熟料）、有色金属冶炼等大气污染型项目。</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54160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7B3D28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5DDED2DD">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30578ED2">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F6D119">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生态保护红线内</w:t>
                  </w:r>
                  <w:r>
                    <w:rPr>
                      <w:rFonts w:hint="eastAsia" w:cs="Times New Roman"/>
                      <w:color w:val="auto"/>
                      <w:sz w:val="21"/>
                      <w:szCs w:val="24"/>
                      <w:lang w:eastAsia="zh-CN"/>
                    </w:rPr>
                    <w:t>，</w:t>
                  </w:r>
                  <w:r>
                    <w:rPr>
                      <w:rFonts w:hint="default" w:ascii="Times New Roman" w:hAnsi="Times New Roman" w:cs="Times New Roman"/>
                      <w:color w:val="auto"/>
                      <w:sz w:val="21"/>
                      <w:szCs w:val="24"/>
                    </w:rPr>
                    <w:t>自然保护地核心保护区原则上禁止人为活动</w:t>
                  </w:r>
                  <w:r>
                    <w:rPr>
                      <w:rFonts w:hint="eastAsia" w:cs="Times New Roman"/>
                      <w:color w:val="auto"/>
                      <w:sz w:val="21"/>
                      <w:szCs w:val="24"/>
                      <w:lang w:eastAsia="zh-CN"/>
                    </w:rPr>
                    <w:t>，</w:t>
                  </w:r>
                  <w:r>
                    <w:rPr>
                      <w:rFonts w:hint="default" w:ascii="Times New Roman" w:hAnsi="Times New Roman" w:cs="Times New Roman"/>
                      <w:color w:val="auto"/>
                      <w:sz w:val="21"/>
                      <w:szCs w:val="24"/>
                    </w:rPr>
                    <w:t>其他区域严格禁止开发性、生产性建设活动。</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17DAFB">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ascii="Times New Roman" w:hAnsi="Times New Roman" w:cs="Times New Roman"/>
                      <w:color w:val="auto"/>
                      <w:sz w:val="21"/>
                      <w:szCs w:val="24"/>
                      <w:lang w:val="en-US" w:eastAsia="zh-CN"/>
                    </w:rPr>
                    <w:t>本项目不在</w:t>
                  </w:r>
                  <w:r>
                    <w:rPr>
                      <w:rFonts w:hint="default" w:ascii="Times New Roman" w:hAnsi="Times New Roman" w:cs="Times New Roman"/>
                      <w:color w:val="auto"/>
                      <w:sz w:val="21"/>
                      <w:szCs w:val="24"/>
                    </w:rPr>
                    <w:t>生态保护红线内</w:t>
                  </w:r>
                  <w:r>
                    <w:rPr>
                      <w:rFonts w:hint="eastAsia" w:cs="Times New Roman"/>
                      <w:color w:val="auto"/>
                      <w:sz w:val="21"/>
                      <w:szCs w:val="24"/>
                      <w:lang w:val="en-US"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36752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1253B5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FF528B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5CE8FE5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31D7BF">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加强重金属污染源头防控</w:t>
                  </w:r>
                  <w:r>
                    <w:rPr>
                      <w:rFonts w:hint="eastAsia" w:cs="Times New Roman"/>
                      <w:color w:val="auto"/>
                      <w:sz w:val="21"/>
                      <w:szCs w:val="24"/>
                      <w:lang w:eastAsia="zh-CN"/>
                    </w:rPr>
                    <w:t>，</w:t>
                  </w:r>
                  <w:r>
                    <w:rPr>
                      <w:rFonts w:hint="default" w:ascii="Times New Roman" w:hAnsi="Times New Roman" w:cs="Times New Roman"/>
                      <w:color w:val="auto"/>
                      <w:sz w:val="21"/>
                      <w:szCs w:val="24"/>
                    </w:rPr>
                    <w:t>减少使用高铊矿石原料。废水、废气排放的涉铊企业要设置除铊治理设施</w:t>
                  </w:r>
                  <w:r>
                    <w:rPr>
                      <w:rFonts w:hint="eastAsia" w:cs="Times New Roman"/>
                      <w:color w:val="auto"/>
                      <w:sz w:val="21"/>
                      <w:szCs w:val="24"/>
                      <w:lang w:eastAsia="zh-CN"/>
                    </w:rPr>
                    <w:t>，</w:t>
                  </w:r>
                  <w:r>
                    <w:rPr>
                      <w:rFonts w:hint="default" w:ascii="Times New Roman" w:hAnsi="Times New Roman" w:cs="Times New Roman"/>
                      <w:color w:val="auto"/>
                      <w:sz w:val="21"/>
                      <w:szCs w:val="24"/>
                    </w:rPr>
                    <w:t>需相应达到排放标准要求</w:t>
                  </w:r>
                  <w:r>
                    <w:rPr>
                      <w:rFonts w:hint="eastAsia" w:cs="Times New Roman"/>
                      <w:color w:val="auto"/>
                      <w:sz w:val="21"/>
                      <w:szCs w:val="24"/>
                      <w:lang w:eastAsia="zh-CN"/>
                    </w:rPr>
                    <w:t>，</w:t>
                  </w:r>
                  <w:r>
                    <w:rPr>
                      <w:rFonts w:hint="default" w:ascii="Times New Roman" w:hAnsi="Times New Roman" w:cs="Times New Roman"/>
                      <w:color w:val="auto"/>
                      <w:sz w:val="21"/>
                      <w:szCs w:val="24"/>
                    </w:rPr>
                    <w:t>对于生产废水零排放的项目</w:t>
                  </w:r>
                  <w:r>
                    <w:rPr>
                      <w:rFonts w:hint="eastAsia" w:cs="Times New Roman"/>
                      <w:color w:val="auto"/>
                      <w:sz w:val="21"/>
                      <w:szCs w:val="24"/>
                      <w:lang w:eastAsia="zh-CN"/>
                    </w:rPr>
                    <w:t>，</w:t>
                  </w:r>
                  <w:r>
                    <w:rPr>
                      <w:rFonts w:hint="default" w:ascii="Times New Roman" w:hAnsi="Times New Roman" w:cs="Times New Roman"/>
                      <w:color w:val="auto"/>
                      <w:sz w:val="21"/>
                      <w:szCs w:val="24"/>
                    </w:rPr>
                    <w:t>企业废水总排口中铊不得检出。</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3D5F4E">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ascii="Times New Roman" w:hAnsi="Times New Roman" w:cs="Times New Roman"/>
                      <w:color w:val="auto"/>
                      <w:sz w:val="21"/>
                      <w:szCs w:val="24"/>
                      <w:lang w:val="en-US" w:eastAsia="zh-CN"/>
                    </w:rPr>
                    <w:t>本项目</w:t>
                  </w:r>
                  <w:r>
                    <w:rPr>
                      <w:rFonts w:hint="default" w:ascii="Times New Roman" w:hAnsi="Times New Roman" w:cs="Times New Roman"/>
                      <w:color w:val="auto"/>
                      <w:sz w:val="21"/>
                      <w:szCs w:val="24"/>
                    </w:rPr>
                    <w:t>不涉及铊</w:t>
                  </w:r>
                  <w:r>
                    <w:rPr>
                      <w:rFonts w:hint="eastAsia" w:cs="Times New Roman"/>
                      <w:color w:val="auto"/>
                      <w:sz w:val="21"/>
                      <w:szCs w:val="24"/>
                      <w:lang w:val="en-US"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F32C6F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5228F89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4F4747C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0D3A14">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不符合空间布局要求活动的退出要求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B1A49E">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城市建成区</w:t>
                  </w:r>
                  <w:r>
                    <w:rPr>
                      <w:rFonts w:hint="eastAsia" w:cs="Times New Roman"/>
                      <w:color w:val="auto"/>
                      <w:sz w:val="21"/>
                      <w:szCs w:val="24"/>
                      <w:lang w:eastAsia="zh-CN"/>
                    </w:rPr>
                    <w:t>现有</w:t>
                  </w:r>
                  <w:r>
                    <w:rPr>
                      <w:rFonts w:hint="default" w:ascii="Times New Roman" w:hAnsi="Times New Roman" w:cs="Times New Roman"/>
                      <w:color w:val="auto"/>
                      <w:sz w:val="21"/>
                      <w:szCs w:val="24"/>
                    </w:rPr>
                    <w:t>重污染企业（钢铁、水泥、浮化玻璃等）限期退出或改造；依法依规清除距离</w:t>
                  </w:r>
                  <w:r>
                    <w:rPr>
                      <w:rFonts w:hint="eastAsia" w:cs="Times New Roman"/>
                      <w:color w:val="auto"/>
                      <w:sz w:val="21"/>
                      <w:szCs w:val="24"/>
                      <w:lang w:eastAsia="zh-CN"/>
                    </w:rPr>
                    <w:t>锦江</w:t>
                  </w:r>
                  <w:r>
                    <w:rPr>
                      <w:rFonts w:hint="default" w:ascii="Times New Roman" w:hAnsi="Times New Roman" w:cs="Times New Roman"/>
                      <w:color w:val="auto"/>
                      <w:sz w:val="21"/>
                      <w:szCs w:val="24"/>
                    </w:rPr>
                    <w:t>岸线1公里范围内未入园的化工企业</w:t>
                  </w:r>
                  <w:r>
                    <w:rPr>
                      <w:rFonts w:hint="eastAsia" w:cs="Times New Roman"/>
                      <w:color w:val="auto"/>
                      <w:sz w:val="21"/>
                      <w:szCs w:val="24"/>
                      <w:lang w:eastAsia="zh-CN"/>
                    </w:rPr>
                    <w:t>，</w:t>
                  </w:r>
                  <w:r>
                    <w:rPr>
                      <w:rFonts w:hint="default" w:ascii="Times New Roman" w:hAnsi="Times New Roman" w:cs="Times New Roman"/>
                      <w:color w:val="auto"/>
                      <w:sz w:val="21"/>
                      <w:szCs w:val="24"/>
                    </w:rPr>
                    <w:t>依法关闭“小化工”企业</w:t>
                  </w:r>
                  <w:r>
                    <w:rPr>
                      <w:rFonts w:hint="eastAsia" w:cs="Times New Roman"/>
                      <w:color w:val="auto"/>
                      <w:sz w:val="21"/>
                      <w:szCs w:val="24"/>
                      <w:lang w:eastAsia="zh-CN"/>
                    </w:rPr>
                    <w:t>，</w:t>
                  </w:r>
                  <w:r>
                    <w:rPr>
                      <w:rFonts w:hint="default" w:ascii="Times New Roman" w:hAnsi="Times New Roman" w:cs="Times New Roman"/>
                      <w:color w:val="auto"/>
                      <w:sz w:val="21"/>
                      <w:szCs w:val="24"/>
                    </w:rPr>
                    <w:t>全面加强化工企业环境监管。</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1E3C3A">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ascii="Times New Roman" w:hAnsi="Times New Roman" w:cs="Times New Roman"/>
                      <w:color w:val="auto"/>
                      <w:sz w:val="21"/>
                      <w:szCs w:val="24"/>
                      <w:lang w:val="en-US" w:eastAsia="zh-CN"/>
                    </w:rPr>
                    <w:t>本项目</w:t>
                  </w:r>
                  <w:r>
                    <w:rPr>
                      <w:rFonts w:hint="default" w:ascii="Times New Roman" w:hAnsi="Times New Roman" w:cs="Times New Roman"/>
                      <w:color w:val="auto"/>
                      <w:sz w:val="21"/>
                      <w:szCs w:val="24"/>
                    </w:rPr>
                    <w:t>不</w:t>
                  </w:r>
                  <w:r>
                    <w:rPr>
                      <w:rFonts w:hint="eastAsia" w:cs="Times New Roman"/>
                      <w:color w:val="auto"/>
                      <w:sz w:val="21"/>
                      <w:szCs w:val="24"/>
                      <w:lang w:val="en-US" w:eastAsia="zh-CN"/>
                    </w:rPr>
                    <w:t>属于</w:t>
                  </w:r>
                  <w:r>
                    <w:rPr>
                      <w:rFonts w:hint="default" w:ascii="Times New Roman" w:hAnsi="Times New Roman" w:cs="Times New Roman"/>
                      <w:color w:val="auto"/>
                      <w:sz w:val="21"/>
                      <w:szCs w:val="24"/>
                    </w:rPr>
                    <w:t>重污染企业</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D0305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5923E4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2D955798">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污染物排放管控</w:t>
                  </w: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4672D6">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允许排放量要求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2A7BF57">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w:t>
                  </w:r>
                  <w:r>
                    <w:rPr>
                      <w:rFonts w:hint="eastAsia" w:cs="Times New Roman"/>
                      <w:color w:val="auto"/>
                      <w:sz w:val="21"/>
                      <w:szCs w:val="24"/>
                      <w:lang w:eastAsia="zh-CN"/>
                    </w:rPr>
                    <w:t>，</w:t>
                  </w:r>
                  <w:r>
                    <w:rPr>
                      <w:rFonts w:hint="default" w:ascii="Times New Roman" w:hAnsi="Times New Roman" w:cs="Times New Roman"/>
                      <w:color w:val="auto"/>
                      <w:sz w:val="21"/>
                      <w:szCs w:val="24"/>
                    </w:rPr>
                    <w:t>全市</w:t>
                  </w:r>
                  <w:r>
                    <w:rPr>
                      <w:rFonts w:hint="eastAsia"/>
                      <w:color w:val="auto"/>
                      <w:lang w:val="en-US" w:eastAsia="zh-CN"/>
                    </w:rPr>
                    <w:t>NOx</w:t>
                  </w:r>
                  <w:r>
                    <w:rPr>
                      <w:rFonts w:hint="default" w:ascii="Times New Roman" w:hAnsi="Times New Roman" w:cs="Times New Roman"/>
                      <w:color w:val="auto"/>
                      <w:sz w:val="21"/>
                      <w:szCs w:val="24"/>
                    </w:rPr>
                    <w:t>、挥发性有机物、化学需氧量、氨氮重点工程减排量分别达到2665吨、1920吨、10088吨、653吨。强化涉铊项目环境监管</w:t>
                  </w:r>
                  <w:r>
                    <w:rPr>
                      <w:rFonts w:hint="eastAsia" w:cs="Times New Roman"/>
                      <w:color w:val="auto"/>
                      <w:sz w:val="21"/>
                      <w:szCs w:val="24"/>
                      <w:lang w:eastAsia="zh-CN"/>
                    </w:rPr>
                    <w:t>，</w:t>
                  </w:r>
                  <w:r>
                    <w:rPr>
                      <w:rFonts w:hint="default" w:ascii="Times New Roman" w:hAnsi="Times New Roman" w:cs="Times New Roman"/>
                      <w:color w:val="auto"/>
                      <w:sz w:val="21"/>
                      <w:szCs w:val="24"/>
                    </w:rPr>
                    <w:t>铊污染物水环境承载能力不足的地区限制引入碳酸锂等涉铊项目。</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90B508">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cs="Times New Roman"/>
                      <w:color w:val="auto"/>
                      <w:sz w:val="21"/>
                      <w:szCs w:val="24"/>
                      <w:lang w:val="en-US" w:eastAsia="zh-CN"/>
                    </w:rPr>
                    <w:t>本项目需申请</w:t>
                  </w:r>
                  <w:r>
                    <w:rPr>
                      <w:rFonts w:hint="default" w:ascii="Times New Roman" w:hAnsi="Times New Roman" w:cs="Times New Roman"/>
                      <w:color w:val="auto"/>
                      <w:sz w:val="21"/>
                      <w:szCs w:val="24"/>
                    </w:rPr>
                    <w:t>挥发性有机物</w:t>
                  </w:r>
                  <w:r>
                    <w:rPr>
                      <w:rFonts w:hint="eastAsia" w:cs="Times New Roman"/>
                      <w:color w:val="auto"/>
                      <w:sz w:val="21"/>
                      <w:szCs w:val="24"/>
                      <w:lang w:val="en-US" w:eastAsia="zh-CN"/>
                    </w:rPr>
                    <w:t>及NO</w:t>
                  </w:r>
                  <w:r>
                    <w:rPr>
                      <w:rFonts w:hint="eastAsia" w:cs="Times New Roman"/>
                      <w:color w:val="auto"/>
                      <w:sz w:val="21"/>
                      <w:szCs w:val="24"/>
                      <w:vertAlign w:val="subscript"/>
                      <w:lang w:val="en-US" w:eastAsia="zh-CN"/>
                    </w:rPr>
                    <w:t>X</w:t>
                  </w:r>
                  <w:r>
                    <w:rPr>
                      <w:rFonts w:hint="eastAsia" w:cs="Times New Roman"/>
                      <w:color w:val="auto"/>
                      <w:sz w:val="21"/>
                      <w:szCs w:val="24"/>
                      <w:lang w:val="en-US" w:eastAsia="zh-CN"/>
                    </w:rPr>
                    <w:t>，项目</w:t>
                  </w:r>
                  <w:r>
                    <w:rPr>
                      <w:rFonts w:hint="default" w:ascii="Times New Roman" w:hAnsi="Times New Roman" w:cs="Times New Roman"/>
                      <w:color w:val="auto"/>
                      <w:sz w:val="21"/>
                      <w:szCs w:val="24"/>
                    </w:rPr>
                    <w:t>不涉及铊</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6374BB">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626F92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50F6CF22">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CE6BEF">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eastAsia" w:cs="Times New Roman"/>
                      <w:color w:val="auto"/>
                      <w:sz w:val="21"/>
                      <w:szCs w:val="24"/>
                      <w:lang w:eastAsia="zh-CN"/>
                    </w:rPr>
                    <w:t>现有</w:t>
                  </w:r>
                  <w:r>
                    <w:rPr>
                      <w:rFonts w:hint="default" w:ascii="Times New Roman" w:hAnsi="Times New Roman" w:cs="Times New Roman"/>
                      <w:color w:val="auto"/>
                      <w:sz w:val="21"/>
                      <w:szCs w:val="24"/>
                    </w:rPr>
                    <w:t>源提标升级改造</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935E38">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到2025年底</w:t>
                  </w:r>
                  <w:r>
                    <w:rPr>
                      <w:rFonts w:hint="eastAsia" w:cs="Times New Roman"/>
                      <w:color w:val="auto"/>
                      <w:sz w:val="21"/>
                      <w:szCs w:val="24"/>
                      <w:lang w:eastAsia="zh-CN"/>
                    </w:rPr>
                    <w:t>，</w:t>
                  </w:r>
                  <w:r>
                    <w:rPr>
                      <w:rFonts w:hint="default" w:ascii="Times New Roman" w:hAnsi="Times New Roman" w:cs="Times New Roman"/>
                      <w:color w:val="auto"/>
                      <w:sz w:val="21"/>
                      <w:szCs w:val="24"/>
                    </w:rPr>
                    <w:t>城市生活污水集中收集率力争达到70%以上</w:t>
                  </w:r>
                  <w:r>
                    <w:rPr>
                      <w:rFonts w:hint="eastAsia" w:cs="Times New Roman"/>
                      <w:color w:val="auto"/>
                      <w:sz w:val="21"/>
                      <w:szCs w:val="24"/>
                      <w:lang w:eastAsia="zh-CN"/>
                    </w:rPr>
                    <w:t>，</w:t>
                  </w:r>
                  <w:r>
                    <w:rPr>
                      <w:rFonts w:hint="default" w:ascii="Times New Roman" w:hAnsi="Times New Roman" w:cs="Times New Roman"/>
                      <w:color w:val="auto"/>
                      <w:sz w:val="21"/>
                      <w:szCs w:val="24"/>
                    </w:rPr>
                    <w:t>进水</w:t>
                  </w:r>
                  <w:r>
                    <w:rPr>
                      <w:rFonts w:hint="default"/>
                      <w:color w:val="auto"/>
                      <w:sz w:val="24"/>
                      <w:szCs w:val="24"/>
                      <w:lang w:val="en-US" w:eastAsia="zh-CN"/>
                    </w:rPr>
                    <w:t>BOD</w:t>
                  </w:r>
                  <w:r>
                    <w:rPr>
                      <w:rFonts w:hint="eastAsia"/>
                      <w:color w:val="auto"/>
                      <w:sz w:val="24"/>
                      <w:szCs w:val="24"/>
                      <w:vertAlign w:val="subscript"/>
                      <w:lang w:val="en-US" w:eastAsia="zh-CN"/>
                    </w:rPr>
                    <w:t>5</w:t>
                  </w:r>
                  <w:r>
                    <w:rPr>
                      <w:rFonts w:hint="default" w:ascii="Times New Roman" w:hAnsi="Times New Roman" w:cs="Times New Roman"/>
                      <w:color w:val="auto"/>
                      <w:sz w:val="21"/>
                      <w:szCs w:val="24"/>
                    </w:rPr>
                    <w:t>浓度高于100mg/L的城市生活污水处理厂规模占比达90%以上；县城生活污水集中收集率较2021年提高10个百分点以上</w:t>
                  </w:r>
                  <w:r>
                    <w:rPr>
                      <w:rFonts w:hint="eastAsia" w:cs="Times New Roman"/>
                      <w:color w:val="auto"/>
                      <w:sz w:val="21"/>
                      <w:szCs w:val="24"/>
                      <w:lang w:eastAsia="zh-CN"/>
                    </w:rPr>
                    <w:t>，</w:t>
                  </w:r>
                  <w:r>
                    <w:rPr>
                      <w:rFonts w:hint="default" w:ascii="Times New Roman" w:hAnsi="Times New Roman" w:cs="Times New Roman"/>
                      <w:color w:val="auto"/>
                      <w:sz w:val="21"/>
                      <w:szCs w:val="24"/>
                    </w:rPr>
                    <w:t>各县城生活污水处理率达到95%以上</w:t>
                  </w:r>
                  <w:r>
                    <w:rPr>
                      <w:rFonts w:hint="eastAsia" w:cs="Times New Roman"/>
                      <w:color w:val="auto"/>
                      <w:sz w:val="21"/>
                      <w:szCs w:val="24"/>
                      <w:lang w:eastAsia="zh-CN"/>
                    </w:rPr>
                    <w:t>，</w:t>
                  </w:r>
                  <w:r>
                    <w:rPr>
                      <w:rFonts w:hint="default" w:ascii="Times New Roman" w:hAnsi="Times New Roman" w:cs="Times New Roman"/>
                      <w:color w:val="auto"/>
                      <w:sz w:val="21"/>
                      <w:szCs w:val="24"/>
                    </w:rPr>
                    <w:t>城镇生活污水处理厂进水生化需氧量（</w:t>
                  </w:r>
                  <w:r>
                    <w:rPr>
                      <w:rFonts w:hint="default"/>
                      <w:color w:val="auto"/>
                      <w:sz w:val="24"/>
                      <w:szCs w:val="24"/>
                      <w:lang w:val="en-US" w:eastAsia="zh-CN"/>
                    </w:rPr>
                    <w:t>BOD</w:t>
                  </w:r>
                  <w:r>
                    <w:rPr>
                      <w:rFonts w:hint="eastAsia"/>
                      <w:color w:val="auto"/>
                      <w:sz w:val="24"/>
                      <w:szCs w:val="24"/>
                      <w:vertAlign w:val="subscript"/>
                      <w:lang w:val="en-US" w:eastAsia="zh-CN"/>
                    </w:rPr>
                    <w:t>5</w:t>
                  </w:r>
                  <w:r>
                    <w:rPr>
                      <w:rFonts w:hint="default" w:ascii="Times New Roman" w:hAnsi="Times New Roman" w:cs="Times New Roman"/>
                      <w:color w:val="auto"/>
                      <w:sz w:val="21"/>
                      <w:szCs w:val="24"/>
                    </w:rPr>
                    <w:t>）浓度力争达到100mg/L以上或较2021年底提升20mg/L以上。</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E30407">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cs="Times New Roman"/>
                      <w:color w:val="auto"/>
                      <w:sz w:val="21"/>
                      <w:szCs w:val="24"/>
                      <w:lang w:val="en-US" w:eastAsia="zh-CN"/>
                    </w:rPr>
                    <w:t>本项目</w:t>
                  </w:r>
                  <w:r>
                    <w:rPr>
                      <w:rFonts w:hint="default" w:ascii="Times New Roman" w:hAnsi="Times New Roman" w:cs="Times New Roman"/>
                      <w:color w:val="auto"/>
                      <w:sz w:val="21"/>
                      <w:szCs w:val="24"/>
                    </w:rPr>
                    <w:t>不涉及</w:t>
                  </w:r>
                  <w:r>
                    <w:rPr>
                      <w:rFonts w:hint="eastAsia" w:cs="Times New Roman"/>
                      <w:color w:val="auto"/>
                      <w:sz w:val="21"/>
                      <w:szCs w:val="24"/>
                      <w:lang w:val="en-US" w:eastAsia="zh-CN"/>
                    </w:rPr>
                    <w:t>污水处理厂</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8BBC0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757660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ED5300F">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环境风险防控</w:t>
                  </w: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0978CF8">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联防联控要求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E3B63D">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建立企业、园区、地方政府之间环境风险联防联控体系和联合应急体系；增强与萍乡、新余等地的联系</w:t>
                  </w:r>
                  <w:r>
                    <w:rPr>
                      <w:rFonts w:hint="eastAsia" w:cs="Times New Roman"/>
                      <w:color w:val="auto"/>
                      <w:sz w:val="21"/>
                      <w:szCs w:val="24"/>
                      <w:lang w:eastAsia="zh-CN"/>
                    </w:rPr>
                    <w:t>，</w:t>
                  </w:r>
                  <w:r>
                    <w:rPr>
                      <w:rFonts w:hint="default" w:ascii="Times New Roman" w:hAnsi="Times New Roman" w:cs="Times New Roman"/>
                      <w:color w:val="auto"/>
                      <w:sz w:val="21"/>
                      <w:szCs w:val="24"/>
                    </w:rPr>
                    <w:t>完善流域合作</w:t>
                  </w:r>
                  <w:r>
                    <w:rPr>
                      <w:rFonts w:hint="eastAsia" w:cs="Times New Roman"/>
                      <w:color w:val="auto"/>
                      <w:sz w:val="21"/>
                      <w:szCs w:val="24"/>
                      <w:lang w:eastAsia="zh-CN"/>
                    </w:rPr>
                    <w:t>，</w:t>
                  </w:r>
                  <w:r>
                    <w:rPr>
                      <w:rFonts w:hint="default" w:ascii="Times New Roman" w:hAnsi="Times New Roman" w:cs="Times New Roman"/>
                      <w:color w:val="auto"/>
                      <w:sz w:val="21"/>
                      <w:szCs w:val="24"/>
                    </w:rPr>
                    <w:t>推动建立跨区域的袁河流域水污染防治联动协作机制。</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F1B143">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default" w:ascii="Times New Roman" w:hAnsi="Times New Roman" w:cs="Times New Roman"/>
                      <w:color w:val="auto"/>
                      <w:sz w:val="21"/>
                      <w:szCs w:val="24"/>
                    </w:rPr>
                    <w:t>不涉及</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7046A6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56EA4CC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2F5F5F58">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资源利用效率要求</w:t>
                  </w: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4FD14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水资源利用总量要求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6638E0">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到2025年全市水资源利用量控制在36.87亿立方米</w:t>
                  </w:r>
                  <w:r>
                    <w:rPr>
                      <w:rFonts w:hint="eastAsia" w:cs="Times New Roman"/>
                      <w:color w:val="auto"/>
                      <w:sz w:val="21"/>
                      <w:szCs w:val="24"/>
                      <w:lang w:eastAsia="zh-CN"/>
                    </w:rPr>
                    <w:t>，</w:t>
                  </w:r>
                  <w:r>
                    <w:rPr>
                      <w:rFonts w:hint="default" w:ascii="Times New Roman" w:hAnsi="Times New Roman" w:cs="Times New Roman"/>
                      <w:color w:val="auto"/>
                      <w:sz w:val="21"/>
                      <w:szCs w:val="24"/>
                    </w:rPr>
                    <w:t>万元国内生产总值用水量比2020年下降23%</w:t>
                  </w:r>
                  <w:r>
                    <w:rPr>
                      <w:rFonts w:hint="eastAsia" w:cs="Times New Roman"/>
                      <w:color w:val="auto"/>
                      <w:sz w:val="21"/>
                      <w:szCs w:val="24"/>
                      <w:lang w:eastAsia="zh-CN"/>
                    </w:rPr>
                    <w:t>，</w:t>
                  </w:r>
                  <w:r>
                    <w:rPr>
                      <w:rFonts w:hint="default" w:ascii="Times New Roman" w:hAnsi="Times New Roman" w:cs="Times New Roman"/>
                      <w:color w:val="auto"/>
                      <w:sz w:val="21"/>
                      <w:szCs w:val="24"/>
                    </w:rPr>
                    <w:t>万元工业增加值用水量比2020年下降16%。</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6CA2EC">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default" w:ascii="Times New Roman" w:hAnsi="Times New Roman" w:cs="Times New Roman"/>
                      <w:color w:val="auto"/>
                      <w:sz w:val="21"/>
                      <w:szCs w:val="24"/>
                    </w:rPr>
                    <w:t>满足要求</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A6396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1803B8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AF326FF">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D7A46B7">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地下水开采要求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667D3C">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禁止在塌陷区、地质灾害危险区域开采地下水</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E70A2C">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cs="Times New Roman"/>
                      <w:color w:val="auto"/>
                      <w:sz w:val="21"/>
                      <w:szCs w:val="24"/>
                      <w:lang w:val="en-US" w:eastAsia="zh-CN"/>
                    </w:rPr>
                    <w:t>本项目</w:t>
                  </w:r>
                  <w:r>
                    <w:rPr>
                      <w:rFonts w:hint="default" w:ascii="Times New Roman" w:hAnsi="Times New Roman" w:cs="Times New Roman"/>
                      <w:color w:val="auto"/>
                      <w:sz w:val="21"/>
                      <w:szCs w:val="24"/>
                    </w:rPr>
                    <w:t>不涉及</w:t>
                  </w:r>
                  <w:r>
                    <w:rPr>
                      <w:rFonts w:hint="eastAsia" w:cs="Times New Roman"/>
                      <w:color w:val="auto"/>
                      <w:sz w:val="21"/>
                      <w:szCs w:val="24"/>
                      <w:lang w:val="en-US" w:eastAsia="zh-CN"/>
                    </w:rPr>
                    <w:t>地下水开采</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BB0B1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366E85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493B2532">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D5C477">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能源利用总量及效率要求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C1FBD9">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w:t>
                  </w:r>
                  <w:r>
                    <w:rPr>
                      <w:rFonts w:hint="eastAsia" w:cs="Times New Roman"/>
                      <w:color w:val="auto"/>
                      <w:sz w:val="21"/>
                      <w:szCs w:val="24"/>
                      <w:lang w:eastAsia="zh-CN"/>
                    </w:rPr>
                    <w:t>，</w:t>
                  </w:r>
                  <w:r>
                    <w:rPr>
                      <w:rFonts w:hint="default" w:ascii="Times New Roman" w:hAnsi="Times New Roman" w:cs="Times New Roman"/>
                      <w:color w:val="auto"/>
                      <w:sz w:val="21"/>
                      <w:szCs w:val="24"/>
                    </w:rPr>
                    <w:t>全市单位生产总值能源消耗比2020年下降15.5%</w:t>
                  </w:r>
                  <w:r>
                    <w:rPr>
                      <w:rFonts w:hint="eastAsia" w:cs="Times New Roman"/>
                      <w:color w:val="auto"/>
                      <w:sz w:val="21"/>
                      <w:szCs w:val="24"/>
                      <w:lang w:eastAsia="zh-CN"/>
                    </w:rPr>
                    <w:t>，</w:t>
                  </w:r>
                  <w:r>
                    <w:rPr>
                      <w:rFonts w:hint="default" w:ascii="Times New Roman" w:hAnsi="Times New Roman" w:cs="Times New Roman"/>
                      <w:color w:val="auto"/>
                      <w:sz w:val="21"/>
                      <w:szCs w:val="24"/>
                    </w:rPr>
                    <w:t>力争达到16%</w:t>
                  </w:r>
                  <w:r>
                    <w:rPr>
                      <w:rFonts w:hint="eastAsia" w:cs="Times New Roman"/>
                      <w:color w:val="auto"/>
                      <w:sz w:val="21"/>
                      <w:szCs w:val="24"/>
                      <w:lang w:eastAsia="zh-CN"/>
                    </w:rPr>
                    <w:t>，</w:t>
                  </w:r>
                  <w:r>
                    <w:rPr>
                      <w:rFonts w:hint="default" w:ascii="Times New Roman" w:hAnsi="Times New Roman" w:cs="Times New Roman"/>
                      <w:color w:val="auto"/>
                      <w:sz w:val="21"/>
                      <w:szCs w:val="24"/>
                    </w:rPr>
                    <w:t>能源消费总量得到合理控制。</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6D6E788">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default" w:ascii="Times New Roman" w:hAnsi="Times New Roman" w:cs="Times New Roman"/>
                      <w:color w:val="auto"/>
                      <w:sz w:val="21"/>
                      <w:szCs w:val="24"/>
                    </w:rPr>
                    <w:t>满足要求</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6A19852">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43F985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13"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F83C2D6">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6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7865C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禁燃区要求</w:t>
                  </w:r>
                </w:p>
              </w:tc>
              <w:tc>
                <w:tcPr>
                  <w:tcW w:w="244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8160C2">
                  <w:pPr>
                    <w:pStyle w:val="61"/>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禁止新建、扩建燃用高污染燃料的项目和设施</w:t>
                  </w:r>
                  <w:r>
                    <w:rPr>
                      <w:rFonts w:hint="eastAsia" w:cs="Times New Roman"/>
                      <w:color w:val="auto"/>
                      <w:sz w:val="21"/>
                      <w:szCs w:val="24"/>
                      <w:lang w:eastAsia="zh-CN"/>
                    </w:rPr>
                    <w:t>，</w:t>
                  </w:r>
                  <w:r>
                    <w:rPr>
                      <w:rFonts w:hint="default" w:ascii="Times New Roman" w:hAnsi="Times New Roman" w:cs="Times New Roman"/>
                      <w:color w:val="auto"/>
                      <w:sz w:val="21"/>
                      <w:szCs w:val="24"/>
                    </w:rPr>
                    <w:t>已建成的应逐步或依法限期改用天然气、电或者其他清洁能源。</w:t>
                  </w:r>
                </w:p>
              </w:tc>
              <w:tc>
                <w:tcPr>
                  <w:tcW w:w="10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5EC728C">
                  <w:pPr>
                    <w:pStyle w:val="61"/>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eastAsia="zh-CN"/>
                    </w:rPr>
                  </w:pPr>
                  <w:r>
                    <w:rPr>
                      <w:rFonts w:hint="eastAsia" w:cs="Times New Roman"/>
                      <w:color w:val="auto"/>
                      <w:sz w:val="21"/>
                      <w:szCs w:val="24"/>
                      <w:lang w:val="en-US" w:eastAsia="zh-CN"/>
                    </w:rPr>
                    <w:t>本项目</w:t>
                  </w:r>
                  <w:r>
                    <w:rPr>
                      <w:rFonts w:hint="default" w:ascii="Times New Roman" w:hAnsi="Times New Roman" w:cs="Times New Roman"/>
                      <w:color w:val="auto"/>
                      <w:sz w:val="21"/>
                      <w:szCs w:val="24"/>
                    </w:rPr>
                    <w:t>不涉及高污染燃料</w:t>
                  </w:r>
                  <w:r>
                    <w:rPr>
                      <w:rFonts w:hint="eastAsia" w:ascii="Times New Roman" w:hAnsi="Times New Roman" w:cs="Times New Roman"/>
                      <w:color w:val="auto"/>
                      <w:sz w:val="21"/>
                      <w:szCs w:val="24"/>
                      <w:lang w:val="en-US" w:eastAsia="zh-CN"/>
                    </w:rPr>
                    <w:t>的使用</w:t>
                  </w:r>
                  <w:r>
                    <w:rPr>
                      <w:rFonts w:hint="eastAsia" w:cs="Times New Roman"/>
                      <w:color w:val="auto"/>
                      <w:sz w:val="21"/>
                      <w:szCs w:val="24"/>
                      <w:lang w:eastAsia="zh-CN"/>
                    </w:rPr>
                    <w:t>。</w:t>
                  </w:r>
                </w:p>
              </w:tc>
              <w:tc>
                <w:tcPr>
                  <w:tcW w:w="45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A64AD4">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bl>
          <w:p w14:paraId="66BBE33B">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与高安市环境管控单元生态环境准入清单相符性</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7"/>
              <w:gridCol w:w="3855"/>
              <w:gridCol w:w="1755"/>
              <w:gridCol w:w="464"/>
            </w:tblGrid>
            <w:tr w14:paraId="5D6FE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06B57D5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管控单</w:t>
                  </w:r>
                </w:p>
                <w:p w14:paraId="18B2C22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元名称</w:t>
                  </w:r>
                </w:p>
              </w:tc>
              <w:tc>
                <w:tcPr>
                  <w:tcW w:w="2842" w:type="pct"/>
                  <w:noWrap w:val="0"/>
                  <w:vAlign w:val="center"/>
                </w:tcPr>
                <w:p w14:paraId="2EA5AF0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江西省宜春市高安市</w:t>
                  </w:r>
                  <w:r>
                    <w:rPr>
                      <w:rFonts w:hint="eastAsia"/>
                      <w:color w:val="auto"/>
                      <w:lang w:val="en-US" w:eastAsia="zh-CN"/>
                    </w:rPr>
                    <w:t>一</w:t>
                  </w:r>
                  <w:r>
                    <w:rPr>
                      <w:rFonts w:hint="default"/>
                      <w:color w:val="auto"/>
                      <w:lang w:val="en-US" w:eastAsia="zh-CN"/>
                    </w:rPr>
                    <w:t>般管控单元</w:t>
                  </w:r>
                  <w:r>
                    <w:rPr>
                      <w:rFonts w:hint="eastAsia"/>
                      <w:color w:val="auto"/>
                      <w:lang w:val="en-US" w:eastAsia="zh-CN"/>
                    </w:rPr>
                    <w:t>1</w:t>
                  </w:r>
                </w:p>
              </w:tc>
              <w:tc>
                <w:tcPr>
                  <w:tcW w:w="1293" w:type="pct"/>
                  <w:vMerge w:val="restart"/>
                  <w:noWrap w:val="0"/>
                  <w:vAlign w:val="center"/>
                </w:tcPr>
                <w:p w14:paraId="3C5F995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本项目情况</w:t>
                  </w:r>
                </w:p>
              </w:tc>
              <w:tc>
                <w:tcPr>
                  <w:tcW w:w="342" w:type="pct"/>
                  <w:vMerge w:val="restart"/>
                  <w:noWrap w:val="0"/>
                  <w:vAlign w:val="center"/>
                </w:tcPr>
                <w:p w14:paraId="4E4152C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相符性分析</w:t>
                  </w:r>
                </w:p>
              </w:tc>
            </w:tr>
            <w:tr w14:paraId="33CC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04BE346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管控单元编码</w:t>
                  </w:r>
                </w:p>
              </w:tc>
              <w:tc>
                <w:tcPr>
                  <w:tcW w:w="2842" w:type="pct"/>
                  <w:noWrap w:val="0"/>
                  <w:vAlign w:val="center"/>
                </w:tcPr>
                <w:p w14:paraId="1DC6AD6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ZH36098330001</w:t>
                  </w:r>
                </w:p>
              </w:tc>
              <w:tc>
                <w:tcPr>
                  <w:tcW w:w="1293" w:type="pct"/>
                  <w:vMerge w:val="continue"/>
                  <w:noWrap w:val="0"/>
                  <w:vAlign w:val="center"/>
                </w:tcPr>
                <w:p w14:paraId="3B147701">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42" w:type="pct"/>
                  <w:vMerge w:val="continue"/>
                  <w:noWrap w:val="0"/>
                  <w:vAlign w:val="center"/>
                </w:tcPr>
                <w:p w14:paraId="65FFFAF3">
                  <w:pPr>
                    <w:pStyle w:val="61"/>
                    <w:keepNext w:val="0"/>
                    <w:keepLines w:val="0"/>
                    <w:suppressLineNumbers w:val="0"/>
                    <w:bidi w:val="0"/>
                    <w:spacing w:before="0" w:beforeAutospacing="0" w:after="0" w:afterAutospacing="0"/>
                    <w:ind w:left="0" w:right="0"/>
                    <w:rPr>
                      <w:rFonts w:hint="default"/>
                      <w:color w:val="auto"/>
                      <w:lang w:val="en-US" w:eastAsia="zh-CN"/>
                    </w:rPr>
                  </w:pPr>
                </w:p>
              </w:tc>
            </w:tr>
            <w:tr w14:paraId="466B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0554301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环境管控单元范围</w:t>
                  </w:r>
                </w:p>
              </w:tc>
              <w:tc>
                <w:tcPr>
                  <w:tcW w:w="2842" w:type="pct"/>
                  <w:noWrap w:val="0"/>
                  <w:vAlign w:val="center"/>
                </w:tcPr>
                <w:p w14:paraId="61AD8A1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黄沙岗镇、荷岭镇、蓝坊镇、上湖乡、灰埠镇、太阳镇、建山镇、相城镇、田南镇等除优先保护单元、重点管控单元以外的其他区域</w:t>
                  </w:r>
                </w:p>
              </w:tc>
              <w:tc>
                <w:tcPr>
                  <w:tcW w:w="1293" w:type="pct"/>
                  <w:noWrap w:val="0"/>
                  <w:vAlign w:val="center"/>
                </w:tcPr>
                <w:p w14:paraId="5DB08F5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本项目位于蓝坊镇。</w:t>
                  </w:r>
                </w:p>
              </w:tc>
              <w:tc>
                <w:tcPr>
                  <w:tcW w:w="342" w:type="pct"/>
                  <w:noWrap w:val="0"/>
                  <w:vAlign w:val="center"/>
                </w:tcPr>
                <w:p w14:paraId="1F433CD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相符</w:t>
                  </w:r>
                </w:p>
              </w:tc>
            </w:tr>
            <w:tr w14:paraId="23C22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6EAAC99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管控单元分类</w:t>
                  </w:r>
                </w:p>
              </w:tc>
              <w:tc>
                <w:tcPr>
                  <w:tcW w:w="2842" w:type="pct"/>
                  <w:noWrap w:val="0"/>
                  <w:vAlign w:val="center"/>
                </w:tcPr>
                <w:p w14:paraId="475BA54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一般管控单元</w:t>
                  </w:r>
                </w:p>
              </w:tc>
              <w:tc>
                <w:tcPr>
                  <w:tcW w:w="1293" w:type="pct"/>
                  <w:noWrap w:val="0"/>
                  <w:vAlign w:val="center"/>
                </w:tcPr>
                <w:p w14:paraId="4F6FD2E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342" w:type="pct"/>
                  <w:noWrap w:val="0"/>
                  <w:vAlign w:val="center"/>
                </w:tcPr>
                <w:p w14:paraId="00C167FF">
                  <w:pPr>
                    <w:pStyle w:val="61"/>
                    <w:keepNext w:val="0"/>
                    <w:keepLines w:val="0"/>
                    <w:suppressLineNumbers w:val="0"/>
                    <w:bidi w:val="0"/>
                    <w:spacing w:before="0" w:beforeAutospacing="0" w:after="0" w:afterAutospacing="0"/>
                    <w:ind w:left="0" w:right="0"/>
                    <w:rPr>
                      <w:rFonts w:hint="default"/>
                      <w:color w:val="auto"/>
                      <w:lang w:val="en-US" w:eastAsia="zh-CN"/>
                    </w:rPr>
                  </w:pPr>
                </w:p>
              </w:tc>
            </w:tr>
            <w:tr w14:paraId="75C75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6F3B8FC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空间布局约束</w:t>
                  </w:r>
                </w:p>
              </w:tc>
              <w:tc>
                <w:tcPr>
                  <w:tcW w:w="2842" w:type="pct"/>
                  <w:noWrap w:val="0"/>
                  <w:vAlign w:val="center"/>
                </w:tcPr>
                <w:p w14:paraId="768797E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1.城镇开发边界外按照国家和江西省相关规定管控开发建设活动</w:t>
                  </w:r>
                  <w:r>
                    <w:rPr>
                      <w:rFonts w:hint="eastAsia"/>
                      <w:color w:val="auto"/>
                      <w:lang w:val="en-US" w:eastAsia="zh-CN"/>
                    </w:rPr>
                    <w:t>，</w:t>
                  </w:r>
                  <w:r>
                    <w:rPr>
                      <w:rFonts w:hint="default"/>
                      <w:color w:val="auto"/>
                      <w:lang w:val="en-US" w:eastAsia="zh-CN"/>
                    </w:rPr>
                    <w:t>原则上不得进行城镇集中建设</w:t>
                  </w:r>
                  <w:r>
                    <w:rPr>
                      <w:rFonts w:hint="eastAsia"/>
                      <w:color w:val="auto"/>
                      <w:lang w:val="en-US" w:eastAsia="zh-CN"/>
                    </w:rPr>
                    <w:t>，</w:t>
                  </w:r>
                  <w:r>
                    <w:rPr>
                      <w:rFonts w:hint="default"/>
                      <w:color w:val="auto"/>
                      <w:lang w:val="en-US" w:eastAsia="zh-CN"/>
                    </w:rPr>
                    <w:t>不得设立各类开发区。</w:t>
                  </w:r>
                </w:p>
              </w:tc>
              <w:tc>
                <w:tcPr>
                  <w:tcW w:w="1293" w:type="pct"/>
                  <w:noWrap w:val="0"/>
                  <w:vAlign w:val="center"/>
                </w:tcPr>
                <w:p w14:paraId="57EA1CE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本项目不涉及。</w:t>
                  </w:r>
                </w:p>
              </w:tc>
              <w:tc>
                <w:tcPr>
                  <w:tcW w:w="342" w:type="pct"/>
                  <w:noWrap w:val="0"/>
                  <w:vAlign w:val="center"/>
                </w:tcPr>
                <w:p w14:paraId="42C9899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2CD8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43D60D1E">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42" w:type="pct"/>
                  <w:noWrap w:val="0"/>
                  <w:vAlign w:val="center"/>
                </w:tcPr>
                <w:p w14:paraId="05899C6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2.加强基本农田保护</w:t>
                  </w:r>
                  <w:r>
                    <w:rPr>
                      <w:rFonts w:hint="eastAsia"/>
                      <w:color w:val="auto"/>
                      <w:lang w:val="en-US" w:eastAsia="zh-CN"/>
                    </w:rPr>
                    <w:t>，</w:t>
                  </w:r>
                  <w:r>
                    <w:rPr>
                      <w:rFonts w:hint="default"/>
                      <w:color w:val="auto"/>
                      <w:lang w:val="en-US" w:eastAsia="zh-CN"/>
                    </w:rPr>
                    <w:t>严格限制非农项目占用耕地；严格控制在优先保护类耕地集中区域新建有色金属冶炼、石油加工、化工、焦化、电镀、制革等行业企业及新、改、扩建增加重金属污染物排放的项目。</w:t>
                  </w:r>
                </w:p>
              </w:tc>
              <w:tc>
                <w:tcPr>
                  <w:tcW w:w="1293" w:type="pct"/>
                  <w:noWrap w:val="0"/>
                  <w:vAlign w:val="center"/>
                </w:tcPr>
                <w:p w14:paraId="1C0677E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本项目为工业用地；不属于有色金属冶炼、石油加工、化工、焦化、电镀、制革项目且不属于重金属污染物排放的项目。</w:t>
                  </w:r>
                </w:p>
              </w:tc>
              <w:tc>
                <w:tcPr>
                  <w:tcW w:w="342" w:type="pct"/>
                  <w:noWrap w:val="0"/>
                  <w:vAlign w:val="center"/>
                </w:tcPr>
                <w:p w14:paraId="28C8894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5D47F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7E609629">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42" w:type="pct"/>
                  <w:noWrap w:val="0"/>
                  <w:vAlign w:val="center"/>
                </w:tcPr>
                <w:p w14:paraId="21FCDDE0">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3.按照畜禽养殖规划</w:t>
                  </w:r>
                  <w:r>
                    <w:rPr>
                      <w:rFonts w:hint="eastAsia"/>
                      <w:color w:val="auto"/>
                      <w:lang w:val="en-US" w:eastAsia="zh-CN"/>
                    </w:rPr>
                    <w:t>，现有</w:t>
                  </w:r>
                  <w:r>
                    <w:rPr>
                      <w:rFonts w:hint="default"/>
                      <w:color w:val="auto"/>
                      <w:lang w:val="en-US" w:eastAsia="zh-CN"/>
                    </w:rPr>
                    <w:t>禁养区养殖场逐步退出或关停。</w:t>
                  </w:r>
                </w:p>
              </w:tc>
              <w:tc>
                <w:tcPr>
                  <w:tcW w:w="1293" w:type="pct"/>
                  <w:noWrap w:val="0"/>
                  <w:vAlign w:val="center"/>
                </w:tcPr>
                <w:p w14:paraId="745DF4A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本项目不涉及</w:t>
                  </w:r>
                </w:p>
              </w:tc>
              <w:tc>
                <w:tcPr>
                  <w:tcW w:w="342" w:type="pct"/>
                  <w:noWrap w:val="0"/>
                  <w:vAlign w:val="center"/>
                </w:tcPr>
                <w:p w14:paraId="6E83D97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030E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2130D86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zh-CN" w:eastAsia="zh-CN"/>
                    </w:rPr>
                    <w:t>污染物排放管控</w:t>
                  </w:r>
                </w:p>
              </w:tc>
              <w:tc>
                <w:tcPr>
                  <w:tcW w:w="2842" w:type="pct"/>
                  <w:noWrap w:val="0"/>
                  <w:vAlign w:val="center"/>
                </w:tcPr>
                <w:p w14:paraId="1DA62F1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zh-CN" w:eastAsia="zh-CN"/>
                    </w:rPr>
                    <w:t>1.改造提升农村生活污水治理设施建设</w:t>
                  </w:r>
                  <w:r>
                    <w:rPr>
                      <w:rFonts w:hint="eastAsia"/>
                      <w:color w:val="auto"/>
                      <w:lang w:val="zh-CN" w:eastAsia="zh-CN"/>
                    </w:rPr>
                    <w:t>，</w:t>
                  </w:r>
                  <w:r>
                    <w:rPr>
                      <w:rFonts w:hint="default"/>
                      <w:color w:val="auto"/>
                      <w:lang w:val="zh-CN" w:eastAsia="zh-CN"/>
                    </w:rPr>
                    <w:t>2023年底前完成集中式（日处理规模20吨以上）设施改造</w:t>
                  </w:r>
                  <w:r>
                    <w:rPr>
                      <w:rFonts w:hint="eastAsia"/>
                      <w:color w:val="auto"/>
                      <w:lang w:val="zh-CN" w:eastAsia="zh-CN"/>
                    </w:rPr>
                    <w:t>，</w:t>
                  </w:r>
                  <w:r>
                    <w:rPr>
                      <w:rFonts w:hint="default"/>
                      <w:color w:val="auto"/>
                      <w:lang w:val="zh-CN" w:eastAsia="zh-CN"/>
                    </w:rPr>
                    <w:t>2025年底前基本完成</w:t>
                  </w:r>
                  <w:r>
                    <w:rPr>
                      <w:rFonts w:hint="eastAsia"/>
                      <w:color w:val="auto"/>
                      <w:lang w:val="zh-CN" w:eastAsia="zh-CN"/>
                    </w:rPr>
                    <w:t>现有</w:t>
                  </w:r>
                  <w:r>
                    <w:rPr>
                      <w:rFonts w:hint="default"/>
                      <w:color w:val="auto"/>
                      <w:lang w:val="zh-CN" w:eastAsia="zh-CN"/>
                    </w:rPr>
                    <w:t>设施改造。</w:t>
                  </w:r>
                </w:p>
              </w:tc>
              <w:tc>
                <w:tcPr>
                  <w:tcW w:w="1293" w:type="pct"/>
                  <w:noWrap w:val="0"/>
                  <w:vAlign w:val="center"/>
                </w:tcPr>
                <w:p w14:paraId="731A8A5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不涉及。</w:t>
                  </w:r>
                </w:p>
              </w:tc>
              <w:tc>
                <w:tcPr>
                  <w:tcW w:w="342" w:type="pct"/>
                  <w:noWrap w:val="0"/>
                  <w:vAlign w:val="center"/>
                </w:tcPr>
                <w:p w14:paraId="102B9DD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173C4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11DC730E">
                  <w:pPr>
                    <w:pStyle w:val="61"/>
                    <w:keepNext w:val="0"/>
                    <w:keepLines w:val="0"/>
                    <w:suppressLineNumbers w:val="0"/>
                    <w:bidi w:val="0"/>
                    <w:spacing w:before="0" w:beforeAutospacing="0" w:after="0" w:afterAutospacing="0"/>
                    <w:ind w:left="0" w:right="0"/>
                    <w:rPr>
                      <w:rFonts w:hint="default"/>
                      <w:color w:val="auto"/>
                      <w:lang w:val="zh-CN" w:eastAsia="zh-CN"/>
                    </w:rPr>
                  </w:pPr>
                </w:p>
              </w:tc>
              <w:tc>
                <w:tcPr>
                  <w:tcW w:w="2842" w:type="pct"/>
                  <w:noWrap w:val="0"/>
                  <w:vAlign w:val="center"/>
                </w:tcPr>
                <w:p w14:paraId="545746DE">
                  <w:pPr>
                    <w:pStyle w:val="6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zh-CN" w:eastAsia="zh-CN"/>
                    </w:rPr>
                    <w:t>2.污染物排放应达到相应排放标准。</w:t>
                  </w:r>
                </w:p>
              </w:tc>
              <w:tc>
                <w:tcPr>
                  <w:tcW w:w="1293" w:type="pct"/>
                  <w:noWrap w:val="0"/>
                  <w:vAlign w:val="center"/>
                </w:tcPr>
                <w:p w14:paraId="32EF760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本项目污染物均达标排放且废水排放量不增加。</w:t>
                  </w:r>
                </w:p>
              </w:tc>
              <w:tc>
                <w:tcPr>
                  <w:tcW w:w="342" w:type="pct"/>
                  <w:noWrap w:val="0"/>
                  <w:vAlign w:val="center"/>
                </w:tcPr>
                <w:p w14:paraId="48FD956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58050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0BFCDAA7">
                  <w:pPr>
                    <w:pStyle w:val="61"/>
                    <w:keepNext w:val="0"/>
                    <w:keepLines w:val="0"/>
                    <w:suppressLineNumbers w:val="0"/>
                    <w:bidi w:val="0"/>
                    <w:spacing w:before="0" w:beforeAutospacing="0" w:after="0" w:afterAutospacing="0"/>
                    <w:ind w:left="0" w:right="0"/>
                    <w:rPr>
                      <w:rFonts w:hint="default"/>
                      <w:color w:val="auto"/>
                      <w:lang w:val="zh-CN" w:eastAsia="zh-CN"/>
                    </w:rPr>
                  </w:pPr>
                </w:p>
              </w:tc>
              <w:tc>
                <w:tcPr>
                  <w:tcW w:w="2842" w:type="pct"/>
                  <w:noWrap w:val="0"/>
                  <w:vAlign w:val="center"/>
                </w:tcPr>
                <w:p w14:paraId="09C62D41">
                  <w:pPr>
                    <w:pStyle w:val="6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zh-CN" w:eastAsia="zh-CN"/>
                    </w:rPr>
                    <w:t>3.污染物排放绩效水平应达到相应水平</w:t>
                  </w:r>
                  <w:r>
                    <w:rPr>
                      <w:rFonts w:hint="eastAsia"/>
                      <w:color w:val="auto"/>
                      <w:lang w:val="zh-CN" w:eastAsia="zh-CN"/>
                    </w:rPr>
                    <w:t>。</w:t>
                  </w:r>
                </w:p>
              </w:tc>
              <w:tc>
                <w:tcPr>
                  <w:tcW w:w="1293" w:type="pct"/>
                  <w:noWrap w:val="0"/>
                  <w:vAlign w:val="center"/>
                </w:tcPr>
                <w:p w14:paraId="683CC38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本项目排放绩效达到相应水平。</w:t>
                  </w:r>
                </w:p>
              </w:tc>
              <w:tc>
                <w:tcPr>
                  <w:tcW w:w="342" w:type="pct"/>
                  <w:noWrap w:val="0"/>
                  <w:vAlign w:val="center"/>
                </w:tcPr>
                <w:p w14:paraId="1E0673C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49F3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6D3A4D30">
                  <w:pPr>
                    <w:pStyle w:val="6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zh-CN" w:eastAsia="zh-CN"/>
                    </w:rPr>
                    <w:t>环境风险防控</w:t>
                  </w:r>
                </w:p>
              </w:tc>
              <w:tc>
                <w:tcPr>
                  <w:tcW w:w="2842" w:type="pct"/>
                  <w:noWrap w:val="0"/>
                  <w:vAlign w:val="center"/>
                </w:tcPr>
                <w:p w14:paraId="40B1D7CD">
                  <w:pPr>
                    <w:pStyle w:val="6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zh-CN" w:eastAsia="zh-CN"/>
                    </w:rPr>
                    <w:t>安全利用类农用地</w:t>
                  </w:r>
                  <w:r>
                    <w:rPr>
                      <w:rFonts w:hint="eastAsia"/>
                      <w:color w:val="auto"/>
                      <w:lang w:val="zh-CN" w:eastAsia="zh-CN"/>
                    </w:rPr>
                    <w:t>，</w:t>
                  </w:r>
                  <w:r>
                    <w:rPr>
                      <w:rFonts w:hint="default"/>
                      <w:color w:val="auto"/>
                      <w:lang w:val="zh-CN" w:eastAsia="zh-CN"/>
                    </w:rPr>
                    <w:t>应制定农用地等安全利用方案</w:t>
                  </w:r>
                  <w:r>
                    <w:rPr>
                      <w:rFonts w:hint="eastAsia"/>
                      <w:color w:val="auto"/>
                      <w:lang w:val="zh-CN" w:eastAsia="zh-CN"/>
                    </w:rPr>
                    <w:t>，</w:t>
                  </w:r>
                  <w:r>
                    <w:rPr>
                      <w:rFonts w:hint="default"/>
                      <w:color w:val="auto"/>
                      <w:lang w:val="zh-CN" w:eastAsia="zh-CN"/>
                    </w:rPr>
                    <w:t>降低农产品超标风险。</w:t>
                  </w:r>
                </w:p>
              </w:tc>
              <w:tc>
                <w:tcPr>
                  <w:tcW w:w="1293" w:type="pct"/>
                  <w:noWrap w:val="0"/>
                  <w:vAlign w:val="center"/>
                </w:tcPr>
                <w:p w14:paraId="6A67FEB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不涉及。</w:t>
                  </w:r>
                </w:p>
              </w:tc>
              <w:tc>
                <w:tcPr>
                  <w:tcW w:w="342" w:type="pct"/>
                  <w:noWrap w:val="0"/>
                  <w:vAlign w:val="center"/>
                </w:tcPr>
                <w:p w14:paraId="480C0F7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bl>
          <w:p w14:paraId="4FF23A53">
            <w:pPr>
              <w:pStyle w:val="78"/>
              <w:keepNext w:val="0"/>
              <w:keepLines w:val="0"/>
              <w:suppressLineNumbers w:val="0"/>
              <w:spacing w:before="0" w:beforeAutospacing="0" w:after="0" w:afterAutospacing="0"/>
              <w:ind w:left="0" w:right="0" w:firstLine="480"/>
              <w:rPr>
                <w:rFonts w:hint="default" w:ascii="Times New Roman" w:hAnsi="Times New Roman" w:cs="Times New Roman"/>
                <w:color w:val="auto"/>
              </w:rPr>
            </w:pPr>
            <w:r>
              <w:rPr>
                <w:rFonts w:hint="default" w:ascii="Times New Roman" w:hAnsi="Times New Roman" w:cs="Times New Roman"/>
                <w:color w:val="auto"/>
              </w:rPr>
              <w:t>综上</w:t>
            </w:r>
            <w:r>
              <w:rPr>
                <w:rFonts w:hint="eastAsia" w:cs="Times New Roman"/>
                <w:color w:val="auto"/>
                <w:lang w:eastAsia="zh-CN"/>
              </w:rPr>
              <w:t>，本项目</w:t>
            </w:r>
            <w:r>
              <w:rPr>
                <w:rFonts w:hint="default" w:ascii="Times New Roman" w:hAnsi="Times New Roman" w:cs="Times New Roman"/>
                <w:color w:val="auto"/>
              </w:rPr>
              <w:t>符合</w:t>
            </w:r>
            <w:r>
              <w:rPr>
                <w:rFonts w:hint="default" w:ascii="Times New Roman" w:hAnsi="Times New Roman" w:cs="Times New Roman"/>
                <w:color w:val="auto"/>
                <w:lang w:eastAsia="zh-CN"/>
              </w:rPr>
              <w:t>宜春市和高安市</w:t>
            </w:r>
            <w:r>
              <w:rPr>
                <w:rFonts w:hint="default" w:ascii="Times New Roman" w:hAnsi="Times New Roman" w:cs="Times New Roman"/>
                <w:color w:val="auto"/>
              </w:rPr>
              <w:t>环境准入总体要求。</w:t>
            </w:r>
          </w:p>
          <w:p w14:paraId="536DE94E">
            <w:pPr>
              <w:pStyle w:val="78"/>
              <w:keepNext w:val="0"/>
              <w:keepLines w:val="0"/>
              <w:suppressLineNumbers w:val="0"/>
              <w:spacing w:before="0" w:beforeAutospacing="0" w:after="0" w:afterAutospacing="0"/>
              <w:ind w:left="0" w:right="0" w:firstLine="480"/>
              <w:rPr>
                <w:rFonts w:hint="default" w:ascii="Times New Roman" w:hAnsi="Times New Roman" w:cs="Times New Roman"/>
                <w:color w:val="auto"/>
                <w:lang w:val="en-US" w:eastAsia="zh-CN"/>
              </w:rPr>
            </w:pPr>
            <w:r>
              <w:rPr>
                <w:rFonts w:hint="eastAsia" w:cs="Times New Roman"/>
                <w:color w:val="auto"/>
                <w:lang w:val="en-US" w:eastAsia="zh-CN"/>
              </w:rPr>
              <w:t>4.本项目</w:t>
            </w:r>
            <w:r>
              <w:rPr>
                <w:rFonts w:hint="default" w:ascii="Times New Roman" w:hAnsi="Times New Roman" w:cs="Times New Roman"/>
                <w:color w:val="auto"/>
                <w:lang w:val="en-US" w:eastAsia="zh-CN"/>
              </w:rPr>
              <w:t>位于蓝坊镇环境管控单元范围</w:t>
            </w:r>
            <w:r>
              <w:rPr>
                <w:rFonts w:hint="eastAsia" w:cs="Times New Roman"/>
                <w:color w:val="auto"/>
                <w:lang w:val="en-US" w:eastAsia="zh-CN"/>
              </w:rPr>
              <w:t>，</w:t>
            </w:r>
            <w:r>
              <w:rPr>
                <w:rFonts w:hint="default" w:ascii="Times New Roman" w:hAnsi="Times New Roman" w:cs="Times New Roman"/>
                <w:color w:val="auto"/>
                <w:lang w:val="en-US" w:eastAsia="zh-CN"/>
              </w:rPr>
              <w:t>属于</w:t>
            </w:r>
            <w:r>
              <w:rPr>
                <w:rFonts w:hint="eastAsia" w:cs="Times New Roman"/>
                <w:color w:val="auto"/>
                <w:lang w:val="en-US" w:eastAsia="zh-CN"/>
              </w:rPr>
              <w:t>一般</w:t>
            </w:r>
            <w:r>
              <w:rPr>
                <w:rFonts w:hint="default" w:ascii="Times New Roman" w:hAnsi="Times New Roman" w:cs="Times New Roman"/>
                <w:color w:val="auto"/>
                <w:lang w:val="en-US" w:eastAsia="zh-CN"/>
              </w:rPr>
              <w:t>管控单元</w:t>
            </w:r>
            <w:r>
              <w:rPr>
                <w:rFonts w:hint="eastAsia" w:cs="Times New Roman"/>
                <w:color w:val="auto"/>
                <w:lang w:val="en-US" w:eastAsia="zh-CN"/>
              </w:rPr>
              <w:t>，</w:t>
            </w:r>
            <w:r>
              <w:rPr>
                <w:rFonts w:hint="default" w:ascii="Times New Roman" w:hAnsi="Times New Roman" w:cs="Times New Roman"/>
                <w:color w:val="auto"/>
                <w:lang w:val="en-US" w:eastAsia="zh-CN"/>
              </w:rPr>
              <w:t>与江西省生态环境总体准入清单（2023版）中</w:t>
            </w:r>
            <w:r>
              <w:rPr>
                <w:rFonts w:hint="eastAsia" w:cs="Times New Roman"/>
                <w:color w:val="auto"/>
                <w:lang w:val="en-US" w:eastAsia="zh-CN"/>
              </w:rPr>
              <w:t>一般</w:t>
            </w:r>
            <w:r>
              <w:rPr>
                <w:rFonts w:hint="default" w:ascii="Times New Roman" w:hAnsi="Times New Roman" w:cs="Times New Roman"/>
                <w:color w:val="auto"/>
                <w:lang w:val="en-US" w:eastAsia="zh-CN"/>
              </w:rPr>
              <w:t>管控单元相符性分析见</w:t>
            </w:r>
            <w:r>
              <w:rPr>
                <w:rFonts w:hint="eastAsia" w:ascii="Times New Roman" w:hAnsi="Times New Roman" w:cs="Times New Roman"/>
                <w:color w:val="auto"/>
                <w:lang w:val="en-US" w:eastAsia="zh-CN"/>
              </w:rPr>
              <w:t>表1-</w:t>
            </w:r>
            <w:r>
              <w:rPr>
                <w:rFonts w:hint="eastAsia" w:cs="Times New Roman"/>
                <w:color w:val="auto"/>
                <w:lang w:val="en-US" w:eastAsia="zh-CN"/>
              </w:rPr>
              <w:t>4</w:t>
            </w:r>
            <w:r>
              <w:rPr>
                <w:rFonts w:hint="default" w:ascii="Times New Roman" w:hAnsi="Times New Roman" w:cs="Times New Roman"/>
                <w:color w:val="auto"/>
                <w:lang w:val="en-US" w:eastAsia="zh-CN"/>
              </w:rPr>
              <w:t>。</w:t>
            </w:r>
          </w:p>
          <w:p w14:paraId="516E759D">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江西省生态环境总体准入清单（2023版）相符性分析</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424"/>
              <w:gridCol w:w="4158"/>
              <w:gridCol w:w="1348"/>
              <w:gridCol w:w="427"/>
            </w:tblGrid>
            <w:tr w14:paraId="10550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noWrap w:val="0"/>
                  <w:vAlign w:val="center"/>
                </w:tcPr>
                <w:p w14:paraId="46F19AC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单元类别</w:t>
                  </w:r>
                </w:p>
              </w:tc>
              <w:tc>
                <w:tcPr>
                  <w:tcW w:w="313" w:type="pct"/>
                  <w:noWrap w:val="0"/>
                  <w:vAlign w:val="center"/>
                </w:tcPr>
                <w:p w14:paraId="7D8A86B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维度</w:t>
                  </w:r>
                </w:p>
              </w:tc>
              <w:tc>
                <w:tcPr>
                  <w:tcW w:w="3064" w:type="pct"/>
                  <w:noWrap w:val="0"/>
                  <w:vAlign w:val="center"/>
                </w:tcPr>
                <w:p w14:paraId="5AFF4A8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准入要求</w:t>
                  </w:r>
                </w:p>
              </w:tc>
              <w:tc>
                <w:tcPr>
                  <w:tcW w:w="994" w:type="pct"/>
                  <w:noWrap w:val="0"/>
                  <w:vAlign w:val="center"/>
                </w:tcPr>
                <w:p w14:paraId="4560966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本项目符合性分析</w:t>
                  </w:r>
                </w:p>
              </w:tc>
              <w:tc>
                <w:tcPr>
                  <w:tcW w:w="314" w:type="pct"/>
                  <w:noWrap w:val="0"/>
                  <w:vAlign w:val="center"/>
                </w:tcPr>
                <w:p w14:paraId="08A9302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相符情况</w:t>
                  </w:r>
                </w:p>
              </w:tc>
            </w:tr>
            <w:tr w14:paraId="26239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vMerge w:val="restart"/>
                  <w:noWrap w:val="0"/>
                  <w:vAlign w:val="center"/>
                </w:tcPr>
                <w:p w14:paraId="1F31F64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一般</w:t>
                  </w:r>
                  <w:r>
                    <w:rPr>
                      <w:rFonts w:hint="default"/>
                      <w:color w:val="auto"/>
                      <w:lang w:val="en-US" w:eastAsia="zh-CN"/>
                    </w:rPr>
                    <w:t>管控单元</w:t>
                  </w:r>
                </w:p>
              </w:tc>
              <w:tc>
                <w:tcPr>
                  <w:tcW w:w="313" w:type="pct"/>
                  <w:vMerge w:val="restart"/>
                  <w:noWrap w:val="0"/>
                  <w:vAlign w:val="center"/>
                </w:tcPr>
                <w:p w14:paraId="61E2115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空间布局约</w:t>
                  </w:r>
                  <w:r>
                    <w:rPr>
                      <w:rFonts w:hint="eastAsia"/>
                      <w:color w:val="auto"/>
                      <w:lang w:val="en-US" w:eastAsia="zh-CN"/>
                    </w:rPr>
                    <w:t>束</w:t>
                  </w:r>
                </w:p>
              </w:tc>
              <w:tc>
                <w:tcPr>
                  <w:tcW w:w="3064" w:type="pct"/>
                  <w:noWrap w:val="0"/>
                  <w:vAlign w:val="center"/>
                </w:tcPr>
                <w:p w14:paraId="01A52FA0">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严格执行畜禽养殖禁养区规定，根据区域用地和消纳水平合理确定养殖规模。</w:t>
                  </w:r>
                </w:p>
              </w:tc>
              <w:tc>
                <w:tcPr>
                  <w:tcW w:w="994" w:type="pct"/>
                  <w:noWrap w:val="0"/>
                  <w:vAlign w:val="center"/>
                </w:tcPr>
                <w:p w14:paraId="31580D1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不涉及。</w:t>
                  </w:r>
                </w:p>
              </w:tc>
              <w:tc>
                <w:tcPr>
                  <w:tcW w:w="314" w:type="pct"/>
                  <w:noWrap w:val="0"/>
                  <w:vAlign w:val="center"/>
                </w:tcPr>
                <w:p w14:paraId="269AC99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5AB5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vMerge w:val="continue"/>
                  <w:noWrap w:val="0"/>
                  <w:vAlign w:val="center"/>
                </w:tcPr>
                <w:p w14:paraId="3E05D735">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13" w:type="pct"/>
                  <w:vMerge w:val="continue"/>
                  <w:noWrap w:val="0"/>
                  <w:vAlign w:val="center"/>
                </w:tcPr>
                <w:p w14:paraId="51689A3E">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064" w:type="pct"/>
                  <w:noWrap w:val="0"/>
                  <w:vAlign w:val="center"/>
                </w:tcPr>
                <w:p w14:paraId="114F16A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加强基本农田保护，严格限制非农项目占用耕地；严格控制在优先保护类耕地集中区域新建有色金属冶炼、石油加工、化工、焦化、电镀、制革等行业企业及新、改、扩建增加重金属污染物排放的项目。</w:t>
                  </w:r>
                </w:p>
              </w:tc>
              <w:tc>
                <w:tcPr>
                  <w:tcW w:w="994" w:type="pct"/>
                  <w:noWrap w:val="0"/>
                  <w:vAlign w:val="center"/>
                </w:tcPr>
                <w:p w14:paraId="505E838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本项目不属于钢铁、石化、化工、焦化、建材、有色、制浆造纸等高污染项目。</w:t>
                  </w:r>
                </w:p>
              </w:tc>
              <w:tc>
                <w:tcPr>
                  <w:tcW w:w="314" w:type="pct"/>
                  <w:noWrap w:val="0"/>
                  <w:vAlign w:val="center"/>
                </w:tcPr>
                <w:p w14:paraId="594DEA9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07B1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 w:hRule="atLeast"/>
              </w:trPr>
              <w:tc>
                <w:tcPr>
                  <w:tcW w:w="313" w:type="pct"/>
                  <w:vMerge w:val="continue"/>
                  <w:noWrap w:val="0"/>
                  <w:vAlign w:val="center"/>
                </w:tcPr>
                <w:p w14:paraId="0A159F90">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13" w:type="pct"/>
                  <w:vMerge w:val="continue"/>
                  <w:noWrap w:val="0"/>
                  <w:vAlign w:val="center"/>
                </w:tcPr>
                <w:p w14:paraId="797B4084">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064" w:type="pct"/>
                  <w:noWrap w:val="0"/>
                  <w:vAlign w:val="center"/>
                </w:tcPr>
                <w:p w14:paraId="5700AB3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城镇开发边界外按照国家和江西省相关规定管控开发建设活动，原则上不得进行城镇集中建设，不得设立各类开发区。</w:t>
                  </w:r>
                </w:p>
              </w:tc>
              <w:tc>
                <w:tcPr>
                  <w:tcW w:w="994" w:type="pct"/>
                  <w:noWrap w:val="0"/>
                  <w:vAlign w:val="center"/>
                </w:tcPr>
                <w:p w14:paraId="6EF2CB1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本项目不涉及。</w:t>
                  </w:r>
                </w:p>
              </w:tc>
              <w:tc>
                <w:tcPr>
                  <w:tcW w:w="314" w:type="pct"/>
                  <w:noWrap w:val="0"/>
                  <w:vAlign w:val="center"/>
                </w:tcPr>
                <w:p w14:paraId="0AFEB80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2251C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vMerge w:val="continue"/>
                  <w:noWrap w:val="0"/>
                  <w:vAlign w:val="center"/>
                </w:tcPr>
                <w:p w14:paraId="4E8589BA">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13" w:type="pct"/>
                  <w:vMerge w:val="restart"/>
                  <w:noWrap w:val="0"/>
                  <w:vAlign w:val="center"/>
                </w:tcPr>
                <w:p w14:paraId="6CAD48A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污染物排放管控</w:t>
                  </w:r>
                </w:p>
              </w:tc>
              <w:tc>
                <w:tcPr>
                  <w:tcW w:w="3064" w:type="pct"/>
                  <w:noWrap w:val="0"/>
                  <w:vAlign w:val="center"/>
                </w:tcPr>
                <w:p w14:paraId="3F4EED0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提高农药利用率，开展农药使用安全风险评估，推广应用高效低毒低残留新型农药，逐步淘汰高毒高风险农药。提高农业废弃物资源化利用水平。</w:t>
                  </w:r>
                </w:p>
              </w:tc>
              <w:tc>
                <w:tcPr>
                  <w:tcW w:w="994" w:type="pct"/>
                  <w:noWrap w:val="0"/>
                  <w:vAlign w:val="center"/>
                </w:tcPr>
                <w:p w14:paraId="31DDDF9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不涉及</w:t>
                  </w:r>
                  <w:r>
                    <w:rPr>
                      <w:rFonts w:hint="eastAsia"/>
                      <w:color w:val="auto"/>
                      <w:lang w:val="en-US" w:eastAsia="zh-CN"/>
                    </w:rPr>
                    <w:t>。</w:t>
                  </w:r>
                </w:p>
              </w:tc>
              <w:tc>
                <w:tcPr>
                  <w:tcW w:w="314" w:type="pct"/>
                  <w:noWrap w:val="0"/>
                  <w:vAlign w:val="center"/>
                </w:tcPr>
                <w:p w14:paraId="5AAD749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43EF5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vMerge w:val="continue"/>
                  <w:noWrap w:val="0"/>
                  <w:vAlign w:val="center"/>
                </w:tcPr>
                <w:p w14:paraId="410F3FFA">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13" w:type="pct"/>
                  <w:vMerge w:val="continue"/>
                  <w:noWrap w:val="0"/>
                  <w:vAlign w:val="center"/>
                </w:tcPr>
                <w:p w14:paraId="5D73D7B2">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064" w:type="pct"/>
                  <w:noWrap w:val="0"/>
                  <w:vAlign w:val="center"/>
                </w:tcPr>
                <w:p w14:paraId="2452AF2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加强规模养殖场粪污治理设施建设，推进粪污减量化、无害化、资源化利用。加强养殖规划管理，清理禁养区内“三网”养殖，已批准养殖的区域按照养殖容量等相关要求规范网围养殖。禁止河湖水库投肥养殖。</w:t>
                  </w:r>
                </w:p>
              </w:tc>
              <w:tc>
                <w:tcPr>
                  <w:tcW w:w="994" w:type="pct"/>
                  <w:noWrap w:val="0"/>
                  <w:vAlign w:val="center"/>
                </w:tcPr>
                <w:p w14:paraId="7CDA313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不涉及。</w:t>
                  </w:r>
                </w:p>
              </w:tc>
              <w:tc>
                <w:tcPr>
                  <w:tcW w:w="314" w:type="pct"/>
                  <w:noWrap w:val="0"/>
                  <w:vAlign w:val="center"/>
                </w:tcPr>
                <w:p w14:paraId="5273767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r w14:paraId="70BEF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13" w:type="pct"/>
                  <w:vMerge w:val="continue"/>
                  <w:noWrap w:val="0"/>
                  <w:vAlign w:val="center"/>
                </w:tcPr>
                <w:p w14:paraId="7C3BAD7E">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13" w:type="pct"/>
                  <w:vMerge w:val="continue"/>
                  <w:noWrap w:val="0"/>
                  <w:vAlign w:val="center"/>
                </w:tcPr>
                <w:p w14:paraId="6A63F66F">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3064" w:type="pct"/>
                  <w:noWrap w:val="0"/>
                  <w:vAlign w:val="center"/>
                </w:tcPr>
                <w:p w14:paraId="50F81EB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稳步推进农村生活污水治理设施建设改造，2023年底前完成集中式（日处理规模20吨以上）设施改造，2025年底前基本完成</w:t>
                  </w:r>
                  <w:r>
                    <w:rPr>
                      <w:rFonts w:hint="eastAsia"/>
                      <w:color w:val="auto"/>
                      <w:lang w:val="en-US" w:eastAsia="zh-CN"/>
                    </w:rPr>
                    <w:t>现有</w:t>
                  </w:r>
                  <w:r>
                    <w:rPr>
                      <w:rFonts w:hint="default"/>
                      <w:color w:val="auto"/>
                      <w:lang w:val="en-US" w:eastAsia="zh-CN"/>
                    </w:rPr>
                    <w:t>设施改造。</w:t>
                  </w:r>
                </w:p>
              </w:tc>
              <w:tc>
                <w:tcPr>
                  <w:tcW w:w="994" w:type="pct"/>
                  <w:noWrap w:val="0"/>
                  <w:vAlign w:val="center"/>
                </w:tcPr>
                <w:p w14:paraId="3CBFD90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不涉及。</w:t>
                  </w:r>
                </w:p>
              </w:tc>
              <w:tc>
                <w:tcPr>
                  <w:tcW w:w="314" w:type="pct"/>
                  <w:noWrap w:val="0"/>
                  <w:vAlign w:val="center"/>
                </w:tcPr>
                <w:p w14:paraId="22F237E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相符</w:t>
                  </w:r>
                </w:p>
              </w:tc>
            </w:tr>
          </w:tbl>
          <w:p w14:paraId="1C10F8C2">
            <w:pPr>
              <w:pStyle w:val="78"/>
              <w:keepNext w:val="0"/>
              <w:keepLines w:val="0"/>
              <w:numPr>
                <w:ilvl w:val="0"/>
                <w:numId w:val="6"/>
              </w:numPr>
              <w:suppressLineNumbers w:val="0"/>
              <w:spacing w:before="0" w:beforeAutospacing="0" w:after="0" w:afterAutospacing="0"/>
              <w:ind w:left="0" w:right="0"/>
              <w:rPr>
                <w:rFonts w:hint="eastAsia"/>
                <w:color w:val="auto"/>
                <w:lang w:val="en-US" w:eastAsia="zh-CN"/>
              </w:rPr>
            </w:pPr>
            <w:r>
              <w:rPr>
                <w:rFonts w:hint="eastAsia"/>
                <w:color w:val="auto"/>
                <w:lang w:val="en-US" w:eastAsia="zh-CN"/>
              </w:rPr>
              <w:t>与《高安市人民政府办公室关于印发江西高安锦江国家湿地公园管理办法（试行）的通知》相符性分析</w:t>
            </w:r>
          </w:p>
          <w:p w14:paraId="7624BAE6">
            <w:pPr>
              <w:pStyle w:val="78"/>
              <w:keepNext w:val="0"/>
              <w:keepLines w:val="0"/>
              <w:suppressLineNumbers w:val="0"/>
              <w:spacing w:before="0" w:beforeAutospacing="0" w:after="0" w:afterAutospacing="0"/>
              <w:ind w:left="0" w:right="0"/>
              <w:rPr>
                <w:rFonts w:hint="default"/>
                <w:color w:val="auto"/>
                <w:lang w:val="en-US" w:eastAsia="zh-CN"/>
              </w:rPr>
            </w:pPr>
            <w:r>
              <w:rPr>
                <w:rFonts w:hint="eastAsia" w:ascii="Times New Roman" w:hAnsi="Times New Roman" w:eastAsia="宋体" w:cs="Times New Roman"/>
                <w:color w:val="auto"/>
                <w:lang w:val="en-US" w:eastAsia="zh-CN"/>
              </w:rPr>
              <w:t>江西高安锦江国家湿地公园成立于2016年，地处九岭山脉和罗霄山脉</w:t>
            </w:r>
            <w:r>
              <w:rPr>
                <w:rFonts w:hint="eastAsia" w:cs="Times New Roman"/>
                <w:color w:val="auto"/>
                <w:lang w:val="en-US" w:eastAsia="zh-CN"/>
              </w:rPr>
              <w:t>鄱阳湖</w:t>
            </w:r>
            <w:r>
              <w:rPr>
                <w:rFonts w:hint="eastAsia" w:ascii="Times New Roman" w:hAnsi="Times New Roman" w:eastAsia="宋体" w:cs="Times New Roman"/>
                <w:color w:val="auto"/>
                <w:lang w:val="en-US" w:eastAsia="zh-CN"/>
              </w:rPr>
              <w:t>平原过渡地带，地理坐标介于北纬28°17'37"~28°37'24</w:t>
            </w:r>
            <w:r>
              <w:rPr>
                <w:rFonts w:hint="eastAsia" w:cs="Times New Roman"/>
                <w:color w:val="auto"/>
                <w:lang w:val="en-US" w:eastAsia="zh-CN"/>
              </w:rPr>
              <w:t>″</w:t>
            </w:r>
            <w:r>
              <w:rPr>
                <w:rFonts w:hint="eastAsia" w:ascii="Times New Roman" w:hAnsi="Times New Roman" w:eastAsia="宋体" w:cs="Times New Roman"/>
                <w:color w:val="auto"/>
                <w:lang w:val="en-US" w:eastAsia="zh-CN"/>
              </w:rPr>
              <w:t>，东经115°9'23"115°32'43</w:t>
            </w:r>
            <w:r>
              <w:rPr>
                <w:rFonts w:hint="eastAsia" w:cs="Times New Roman"/>
                <w:color w:val="auto"/>
                <w:lang w:val="en-US" w:eastAsia="zh-CN"/>
              </w:rPr>
              <w:t>″</w:t>
            </w:r>
            <w:r>
              <w:rPr>
                <w:rFonts w:hint="eastAsia" w:ascii="Times New Roman" w:hAnsi="Times New Roman" w:eastAsia="宋体" w:cs="Times New Roman"/>
                <w:color w:val="auto"/>
                <w:lang w:val="en-US" w:eastAsia="zh-CN"/>
              </w:rPr>
              <w:t>之间。其范围主要包括</w:t>
            </w:r>
            <w:r>
              <w:rPr>
                <w:rFonts w:hint="eastAsia" w:cs="Times New Roman"/>
                <w:color w:val="auto"/>
                <w:lang w:val="en-US" w:eastAsia="zh-CN"/>
              </w:rPr>
              <w:t>赣江</w:t>
            </w:r>
            <w:r>
              <w:rPr>
                <w:rFonts w:hint="eastAsia" w:ascii="Times New Roman" w:hAnsi="Times New Roman" w:eastAsia="宋体" w:cs="Times New Roman"/>
                <w:color w:val="auto"/>
                <w:lang w:val="en-US" w:eastAsia="zh-CN"/>
              </w:rPr>
              <w:t>流域锦江高安段、瑞阳湖、碧山水库、樟树岭水库和锦江支流连锦河，以及周边部分区域，总面积达2600公顷，其中湿地面积2255公顷。</w:t>
            </w:r>
            <w:r>
              <w:rPr>
                <w:rFonts w:hint="eastAsia" w:cs="Times New Roman"/>
                <w:color w:val="auto"/>
                <w:lang w:val="en-US" w:eastAsia="zh-CN"/>
              </w:rPr>
              <w:t>现有</w:t>
            </w:r>
            <w:r>
              <w:rPr>
                <w:rFonts w:hint="eastAsia" w:ascii="Times New Roman" w:hAnsi="Times New Roman" w:eastAsia="宋体" w:cs="Times New Roman"/>
                <w:color w:val="auto"/>
                <w:lang w:val="en-US" w:eastAsia="zh-CN"/>
              </w:rPr>
              <w:t>项目</w:t>
            </w:r>
            <w:r>
              <w:rPr>
                <w:rFonts w:hint="default" w:ascii="Times New Roman" w:hAnsi="Times New Roman" w:eastAsia="宋体" w:cs="Times New Roman"/>
                <w:color w:val="auto"/>
                <w:lang w:val="en-US" w:eastAsia="zh-CN"/>
              </w:rPr>
              <w:t>2011年完成验收（宜环评字</w:t>
            </w:r>
            <w:r>
              <w:rPr>
                <w:rFonts w:hint="eastAsia" w:ascii="Times New Roman" w:hAnsi="Times New Roman" w:eastAsia="宋体" w:cs="Times New Roman"/>
                <w:color w:val="auto"/>
                <w:lang w:val="en-US" w:eastAsia="zh-CN"/>
              </w:rPr>
              <w:t>〔2011〕96号</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，本项目与《高安市人民政府办公室关于印</w:t>
            </w:r>
            <w:r>
              <w:rPr>
                <w:rFonts w:hint="eastAsia"/>
                <w:color w:val="auto"/>
                <w:lang w:val="en-US" w:eastAsia="zh-CN"/>
              </w:rPr>
              <w:t>发江西高安锦江国家湿地公园管理办法（试行）的通知》相符性分析见表1-5</w:t>
            </w:r>
          </w:p>
          <w:p w14:paraId="55F818ED">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高安市人民政府办公室关于印发江西高安锦江国家湿地公园管理办法（试行）的通知</w:t>
            </w:r>
            <w:r>
              <w:rPr>
                <w:rFonts w:hint="default" w:ascii="Times New Roman" w:hAnsi="Times New Roman" w:eastAsia="宋体" w:cs="Times New Roman"/>
                <w:color w:val="auto"/>
                <w:sz w:val="24"/>
                <w:szCs w:val="24"/>
                <w:lang w:val="en-US" w:eastAsia="zh-CN"/>
              </w:rPr>
              <w:t>相符性分析</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3076"/>
              <w:gridCol w:w="2125"/>
              <w:gridCol w:w="770"/>
            </w:tblGrid>
            <w:tr w14:paraId="764CE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14:paraId="498129D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序号</w:t>
                  </w:r>
                </w:p>
              </w:tc>
              <w:tc>
                <w:tcPr>
                  <w:tcW w:w="3076" w:type="dxa"/>
                  <w:vAlign w:val="center"/>
                </w:tcPr>
                <w:p w14:paraId="6EDFE22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管理办法要求</w:t>
                  </w:r>
                </w:p>
              </w:tc>
              <w:tc>
                <w:tcPr>
                  <w:tcW w:w="2125" w:type="dxa"/>
                  <w:vAlign w:val="center"/>
                </w:tcPr>
                <w:p w14:paraId="2E45A16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本项目符合性分析</w:t>
                  </w:r>
                </w:p>
              </w:tc>
              <w:tc>
                <w:tcPr>
                  <w:tcW w:w="770" w:type="dxa"/>
                  <w:vAlign w:val="center"/>
                </w:tcPr>
                <w:p w14:paraId="7192F7F1">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相符情况</w:t>
                  </w:r>
                </w:p>
              </w:tc>
            </w:tr>
            <w:tr w14:paraId="4C941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tcPr>
                <w:p w14:paraId="2A566AB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3076" w:type="dxa"/>
                </w:tcPr>
                <w:p w14:paraId="58C6F44F">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 xml:space="preserve"> 江西高安锦江国家湿地公园以经法定程序批准的《江西高安锦江国家湿地公园总体规划（2016-2020年）》（以下简称《总体规划》）划定的范围为准。江西高安锦江国家湿地公园地处高安市境内，位于九岭山脉和罗霄山脉向鄱阳湖平原过渡地带，主要包括江流域锦江高安段、瑞阳湖、碧山水库、樟树岭水库和锦江支流连锦河，以及周边部分区域。地理坐标介于北纬28°17'37"~28°37'24，东经115°9'23"~115°32'43之间，总面积2600公顷，依法向社会公示后标界立碑。（其中湿地面积2255公顷），</w:t>
                  </w:r>
                </w:p>
              </w:tc>
              <w:tc>
                <w:tcPr>
                  <w:tcW w:w="2125" w:type="dxa"/>
                  <w:vAlign w:val="center"/>
                </w:tcPr>
                <w:p w14:paraId="4E82708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本项目位于</w:t>
                  </w:r>
                  <w:r>
                    <w:rPr>
                      <w:rFonts w:hint="eastAsia"/>
                      <w:color w:val="auto"/>
                      <w:lang w:val="zh-CN" w:eastAsia="zh-CN"/>
                    </w:rPr>
                    <w:t>江西省高安市蓝坊镇湾头，</w:t>
                  </w:r>
                  <w:r>
                    <w:rPr>
                      <w:rFonts w:hint="eastAsia"/>
                      <w:color w:val="auto"/>
                      <w:lang w:val="en-US" w:eastAsia="zh-CN"/>
                    </w:rPr>
                    <w:t>根据《江西高安锦江国家湿地公园总体规划（2016-2020年）》功能分区图（见附图12）以及林业局证明（见附件8），本项目不在湿地公园范围内。项目已经取得关于《江西金穗丰糖业有限公司2000t/d项目入河排污口设置论证报告书》的批复（高水字〔2018〕35号）。项目排放口位于高安市蓝坊镇湾头村湾头大桥锦河右岸东经115°28'4.8</w:t>
                  </w:r>
                  <w:r>
                    <w:rPr>
                      <w:rFonts w:hint="eastAsia" w:cs="Times New Roman"/>
                      <w:color w:val="auto"/>
                      <w:lang w:val="en-US" w:eastAsia="zh-CN"/>
                    </w:rPr>
                    <w:t>″</w:t>
                  </w:r>
                  <w:r>
                    <w:rPr>
                      <w:rFonts w:hint="eastAsia"/>
                      <w:color w:val="auto"/>
                      <w:lang w:val="en-US" w:eastAsia="zh-CN"/>
                    </w:rPr>
                    <w:t>、北纬 28°25'42.3</w:t>
                  </w:r>
                  <w:r>
                    <w:rPr>
                      <w:rFonts w:hint="eastAsia" w:cs="Times New Roman"/>
                      <w:color w:val="auto"/>
                      <w:lang w:val="en-US" w:eastAsia="zh-CN"/>
                    </w:rPr>
                    <w:t>″</w:t>
                  </w:r>
                  <w:r>
                    <w:rPr>
                      <w:rFonts w:hint="eastAsia"/>
                      <w:color w:val="auto"/>
                      <w:lang w:val="en-US" w:eastAsia="zh-CN"/>
                    </w:rPr>
                    <w:t>，见附图10，项目污水合法排放。</w:t>
                  </w:r>
                  <w:r>
                    <w:rPr>
                      <w:rFonts w:hint="default"/>
                      <w:color w:val="auto"/>
                      <w:lang w:val="en-US" w:eastAsia="zh-CN"/>
                    </w:rPr>
                    <w:t>项目技改后，污水量减少，废水中水质中无对湿地公园有毒害作用的物质， 因此项目对湿地公园的影响更小，</w:t>
                  </w:r>
                  <w:r>
                    <w:rPr>
                      <w:rFonts w:hint="eastAsia"/>
                      <w:color w:val="auto"/>
                      <w:lang w:val="en-US" w:eastAsia="zh-CN"/>
                    </w:rPr>
                    <w:t>不</w:t>
                  </w:r>
                  <w:r>
                    <w:rPr>
                      <w:rFonts w:hint="default"/>
                      <w:color w:val="auto"/>
                      <w:lang w:val="en-US" w:eastAsia="zh-CN"/>
                    </w:rPr>
                    <w:t>破坏湿地及其生态功能。</w:t>
                  </w:r>
                </w:p>
              </w:tc>
              <w:tc>
                <w:tcPr>
                  <w:tcW w:w="770" w:type="dxa"/>
                  <w:vAlign w:val="center"/>
                </w:tcPr>
                <w:p w14:paraId="61D12EE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3A43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tcPr>
                <w:p w14:paraId="3DE67DE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3076" w:type="dxa"/>
                </w:tcPr>
                <w:p w14:paraId="6BFDEEB6">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经批准在江西高安锦江国家湿地公园内从事建设活动的单位和个人，应当采取有效措施，保护湿地生态环境。建设活动结束后，应当及时清理场地，恢复原貌。</w:t>
                  </w:r>
                </w:p>
              </w:tc>
              <w:tc>
                <w:tcPr>
                  <w:tcW w:w="2125" w:type="dxa"/>
                  <w:vAlign w:val="center"/>
                </w:tcPr>
                <w:p w14:paraId="5B9EE19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项目污水合法排放，</w:t>
                  </w:r>
                  <w:r>
                    <w:rPr>
                      <w:rFonts w:hint="default"/>
                      <w:color w:val="auto"/>
                      <w:lang w:val="en-US" w:eastAsia="zh-CN"/>
                    </w:rPr>
                    <w:t>项目技改后，污水量减少，废水中水质中无对湿地公园有毒害作用的物质， 因此项目对湿地公园的影响更小，</w:t>
                  </w:r>
                  <w:r>
                    <w:rPr>
                      <w:rFonts w:hint="eastAsia"/>
                      <w:color w:val="auto"/>
                      <w:lang w:val="en-US" w:eastAsia="zh-CN"/>
                    </w:rPr>
                    <w:t>不</w:t>
                  </w:r>
                  <w:r>
                    <w:rPr>
                      <w:rFonts w:hint="default"/>
                      <w:color w:val="auto"/>
                      <w:lang w:val="en-US" w:eastAsia="zh-CN"/>
                    </w:rPr>
                    <w:t>破坏湿地及其生态功能。</w:t>
                  </w:r>
                </w:p>
                <w:p w14:paraId="6EB6CED8">
                  <w:pPr>
                    <w:pStyle w:val="61"/>
                    <w:keepNext w:val="0"/>
                    <w:keepLines w:val="0"/>
                    <w:suppressLineNumbers w:val="0"/>
                    <w:bidi w:val="0"/>
                    <w:spacing w:before="0" w:beforeAutospacing="0" w:after="0" w:afterAutospacing="0"/>
                    <w:ind w:left="0" w:right="0"/>
                    <w:rPr>
                      <w:rFonts w:hint="default"/>
                      <w:color w:val="auto"/>
                      <w:lang w:val="en-US" w:eastAsia="zh-CN"/>
                    </w:rPr>
                  </w:pPr>
                </w:p>
                <w:p w14:paraId="00201D08">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770" w:type="dxa"/>
                  <w:vAlign w:val="center"/>
                </w:tcPr>
                <w:p w14:paraId="7E27506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3A3F7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7" w:type="dxa"/>
                </w:tcPr>
                <w:p w14:paraId="36AD7EA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3076" w:type="dxa"/>
                </w:tcPr>
                <w:p w14:paraId="5D347B58">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江西高安锦江国家湿地公园内的河流、滩塘水体，野生动物、植物与植被、地形和地貌等，均属江西高安锦江国家湿地公园的生态资源，受到严格保护。</w:t>
                  </w:r>
                </w:p>
              </w:tc>
              <w:tc>
                <w:tcPr>
                  <w:tcW w:w="2125" w:type="dxa"/>
                  <w:vAlign w:val="center"/>
                </w:tcPr>
                <w:p w14:paraId="6A17813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项目污水合法排放，</w:t>
                  </w:r>
                  <w:r>
                    <w:rPr>
                      <w:rFonts w:hint="default"/>
                      <w:color w:val="auto"/>
                      <w:lang w:val="en-US" w:eastAsia="zh-CN"/>
                    </w:rPr>
                    <w:t>项目技改后，污水量减少，废水中水质中无对湿地公园有毒害作用的物质， 因此项目对湿地公园的影响更小，</w:t>
                  </w:r>
                  <w:r>
                    <w:rPr>
                      <w:rFonts w:hint="eastAsia"/>
                      <w:color w:val="auto"/>
                      <w:lang w:val="en-US" w:eastAsia="zh-CN"/>
                    </w:rPr>
                    <w:t>不</w:t>
                  </w:r>
                  <w:r>
                    <w:rPr>
                      <w:rFonts w:hint="default"/>
                      <w:color w:val="auto"/>
                      <w:lang w:val="en-US" w:eastAsia="zh-CN"/>
                    </w:rPr>
                    <w:t>破坏湿地及其生态功能。</w:t>
                  </w:r>
                </w:p>
                <w:p w14:paraId="02F421FC">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770" w:type="dxa"/>
                  <w:vAlign w:val="center"/>
                </w:tcPr>
                <w:p w14:paraId="73B8DF2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0B9B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tcPr>
                <w:p w14:paraId="7BD3CE6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3076" w:type="dxa"/>
                </w:tcPr>
                <w:p w14:paraId="17DCE971">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江西高安锦江国家湿地公园内禁止下列行为：</w:t>
                  </w:r>
                </w:p>
                <w:p w14:paraId="30013203">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（一）开垦、填埋、占用湿地或者改变湿地用途；</w:t>
                  </w:r>
                </w:p>
                <w:p w14:paraId="75B96262">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（二）截断湿地水源；</w:t>
                  </w:r>
                </w:p>
                <w:p w14:paraId="43CCB807">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（三）挖砂、采矿、取土、排污、放生、烧荒、爆破、放牧；</w:t>
                  </w:r>
                </w:p>
                <w:p w14:paraId="29DAC08D">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（四）排放污水，倾倒固体废弃物、垃圾，投放有害化学制品；</w:t>
                  </w:r>
                </w:p>
                <w:p w14:paraId="518D353A">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（五）破坏野生动物栖息地和迁徙通道、鱼类洄游通道；</w:t>
                  </w:r>
                </w:p>
                <w:p w14:paraId="3FA2466F">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（六）猎捕、驯养、捕捞野生动物；</w:t>
                  </w:r>
                </w:p>
                <w:p w14:paraId="5874824D">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（七）引进有害生物物种或者外来物种：</w:t>
                  </w:r>
                </w:p>
                <w:p w14:paraId="4E286B7D">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（八）砍伐、移植、损毁树木（影响行洪和堤防安全的除外）；</w:t>
                  </w:r>
                </w:p>
                <w:p w14:paraId="3E302AC8">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（九）采集国家重点野生植物；</w:t>
                  </w:r>
                </w:p>
                <w:p w14:paraId="35E2BBB4">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（十）损坏游览、服务等公共设施和湿地保护设施设备；</w:t>
                  </w:r>
                </w:p>
                <w:p w14:paraId="5880349C">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（十一）擅自修建设施；</w:t>
                  </w:r>
                </w:p>
                <w:p w14:paraId="6600061D">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（十二）从事房地产、度假村、高尔夫球场、风力发电、光伏发电等任何不符合主体功能定位的建设项目和开发活动；</w:t>
                  </w:r>
                </w:p>
                <w:p w14:paraId="67DD0177">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（十三）其他破坏湿地及其生态功能的行为。</w:t>
                  </w:r>
                </w:p>
              </w:tc>
              <w:tc>
                <w:tcPr>
                  <w:tcW w:w="2125" w:type="dxa"/>
                  <w:vAlign w:val="center"/>
                </w:tcPr>
                <w:p w14:paraId="77AD0AE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项目污水合法排放，</w:t>
                  </w:r>
                  <w:r>
                    <w:rPr>
                      <w:rFonts w:hint="default"/>
                      <w:color w:val="auto"/>
                      <w:lang w:val="en-US" w:eastAsia="zh-CN"/>
                    </w:rPr>
                    <w:t>项目技改后，污水量减少，废水中水质中无对湿地公园有毒害作用的物质， 因此项目对湿地公园的影响更小，</w:t>
                  </w:r>
                  <w:r>
                    <w:rPr>
                      <w:rFonts w:hint="eastAsia"/>
                      <w:color w:val="auto"/>
                      <w:lang w:val="en-US" w:eastAsia="zh-CN"/>
                    </w:rPr>
                    <w:t>不</w:t>
                  </w:r>
                  <w:r>
                    <w:rPr>
                      <w:rFonts w:hint="default"/>
                      <w:color w:val="auto"/>
                      <w:lang w:val="en-US" w:eastAsia="zh-CN"/>
                    </w:rPr>
                    <w:t>破坏湿地及其生态功能。</w:t>
                  </w:r>
                </w:p>
                <w:p w14:paraId="1E250317">
                  <w:pPr>
                    <w:pStyle w:val="61"/>
                    <w:keepNext w:val="0"/>
                    <w:keepLines w:val="0"/>
                    <w:suppressLineNumbers w:val="0"/>
                    <w:bidi w:val="0"/>
                    <w:spacing w:before="0" w:beforeAutospacing="0" w:after="0" w:afterAutospacing="0"/>
                    <w:ind w:left="0" w:right="0"/>
                    <w:rPr>
                      <w:rFonts w:hint="default"/>
                      <w:color w:val="auto"/>
                      <w:lang w:val="en-US" w:eastAsia="zh-CN"/>
                    </w:rPr>
                  </w:pPr>
                </w:p>
                <w:p w14:paraId="3225A3C2">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770" w:type="dxa"/>
                  <w:vAlign w:val="center"/>
                </w:tcPr>
                <w:p w14:paraId="39265C7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bl>
          <w:p w14:paraId="39DD538C">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项目与《高安市人民政府关于印发高安市“十四五”生态环境保护规划的通知》符合性分析</w:t>
            </w:r>
          </w:p>
          <w:p w14:paraId="071A083A">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项目与高安市人民政府关于印发高安市“十四五”生态环境保护规划的通知符合性分析</w:t>
            </w:r>
          </w:p>
          <w:p w14:paraId="283BB4E4">
            <w:pPr>
              <w:keepNext w:val="0"/>
              <w:keepLines w:val="0"/>
              <w:suppressLineNumbers w:val="0"/>
              <w:spacing w:before="0" w:beforeAutospacing="0" w:after="0" w:afterAutospacing="0" w:line="131" w:lineRule="exact"/>
              <w:ind w:left="0" w:right="0"/>
              <w:rPr>
                <w:rFonts w:hint="default"/>
                <w:color w:val="auto"/>
              </w:rPr>
            </w:pPr>
          </w:p>
          <w:tbl>
            <w:tblPr>
              <w:tblStyle w:val="116"/>
              <w:tblW w:w="69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1"/>
              <w:gridCol w:w="4139"/>
              <w:gridCol w:w="1433"/>
              <w:gridCol w:w="593"/>
            </w:tblGrid>
            <w:tr w14:paraId="457984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0" w:hRule="atLeast"/>
                <w:jc w:val="center"/>
              </w:trPr>
              <w:tc>
                <w:tcPr>
                  <w:tcW w:w="751" w:type="dxa"/>
                  <w:tcBorders>
                    <w:top w:val="single" w:color="000000" w:sz="4" w:space="0"/>
                    <w:left w:val="single" w:color="000000" w:sz="4" w:space="0"/>
                    <w:bottom w:val="single" w:color="000000" w:sz="4" w:space="0"/>
                    <w:right w:val="single" w:color="000000" w:sz="4" w:space="0"/>
                  </w:tcBorders>
                  <w:vAlign w:val="center"/>
                </w:tcPr>
                <w:p w14:paraId="0D9660BA">
                  <w:pPr>
                    <w:pStyle w:val="61"/>
                    <w:bidi w:val="0"/>
                    <w:jc w:val="center"/>
                    <w:rPr>
                      <w:rFonts w:hint="eastAsia"/>
                      <w:color w:val="auto"/>
                      <w:lang w:val="en-US" w:eastAsia="zh-CN"/>
                    </w:rPr>
                  </w:pPr>
                  <w:r>
                    <w:rPr>
                      <w:rFonts w:hint="eastAsia"/>
                      <w:color w:val="auto"/>
                      <w:lang w:val="en-US" w:eastAsia="zh-CN"/>
                    </w:rPr>
                    <w:t>相关</w:t>
                  </w:r>
                </w:p>
                <w:p w14:paraId="39DF06A9">
                  <w:pPr>
                    <w:pStyle w:val="61"/>
                    <w:bidi w:val="0"/>
                    <w:jc w:val="center"/>
                    <w:rPr>
                      <w:rFonts w:hint="eastAsia"/>
                      <w:color w:val="auto"/>
                      <w:lang w:val="en-US" w:eastAsia="zh-CN"/>
                    </w:rPr>
                  </w:pPr>
                  <w:r>
                    <w:rPr>
                      <w:rFonts w:hint="eastAsia"/>
                      <w:color w:val="auto"/>
                      <w:lang w:val="en-US" w:eastAsia="zh-CN"/>
                    </w:rPr>
                    <w:t>政策</w:t>
                  </w:r>
                </w:p>
              </w:tc>
              <w:tc>
                <w:tcPr>
                  <w:tcW w:w="4139" w:type="dxa"/>
                  <w:tcBorders>
                    <w:top w:val="single" w:color="000000" w:sz="4" w:space="0"/>
                    <w:left w:val="single" w:color="000000" w:sz="4" w:space="0"/>
                    <w:bottom w:val="single" w:color="000000" w:sz="4" w:space="0"/>
                    <w:right w:val="single" w:color="000000" w:sz="4" w:space="0"/>
                  </w:tcBorders>
                  <w:vAlign w:val="center"/>
                </w:tcPr>
                <w:p w14:paraId="35C48C7F">
                  <w:pPr>
                    <w:pStyle w:val="61"/>
                    <w:bidi w:val="0"/>
                    <w:jc w:val="center"/>
                    <w:rPr>
                      <w:rFonts w:hint="eastAsia"/>
                      <w:color w:val="auto"/>
                      <w:lang w:val="en-US" w:eastAsia="zh-CN"/>
                    </w:rPr>
                  </w:pPr>
                  <w:r>
                    <w:rPr>
                      <w:rFonts w:hint="eastAsia"/>
                      <w:color w:val="auto"/>
                      <w:lang w:val="en-US" w:eastAsia="zh-CN"/>
                    </w:rPr>
                    <w:t>政策内容</w:t>
                  </w:r>
                </w:p>
              </w:tc>
              <w:tc>
                <w:tcPr>
                  <w:tcW w:w="1433" w:type="dxa"/>
                  <w:tcBorders>
                    <w:top w:val="single" w:color="000000" w:sz="4" w:space="0"/>
                    <w:left w:val="single" w:color="000000" w:sz="4" w:space="0"/>
                    <w:bottom w:val="single" w:color="000000" w:sz="4" w:space="0"/>
                    <w:right w:val="single" w:color="000000" w:sz="4" w:space="0"/>
                  </w:tcBorders>
                  <w:vAlign w:val="center"/>
                </w:tcPr>
                <w:p w14:paraId="2905B0E6">
                  <w:pPr>
                    <w:pStyle w:val="61"/>
                    <w:bidi w:val="0"/>
                    <w:jc w:val="center"/>
                    <w:rPr>
                      <w:rFonts w:hint="eastAsia"/>
                      <w:color w:val="auto"/>
                      <w:lang w:val="en-US" w:eastAsia="zh-CN"/>
                    </w:rPr>
                  </w:pPr>
                  <w:r>
                    <w:rPr>
                      <w:rFonts w:hint="eastAsia"/>
                      <w:color w:val="auto"/>
                      <w:lang w:val="en-US" w:eastAsia="zh-CN"/>
                    </w:rPr>
                    <w:t>符合性分析</w:t>
                  </w:r>
                </w:p>
              </w:tc>
              <w:tc>
                <w:tcPr>
                  <w:tcW w:w="593" w:type="dxa"/>
                  <w:tcBorders>
                    <w:top w:val="single" w:color="000000" w:sz="4" w:space="0"/>
                    <w:left w:val="single" w:color="000000" w:sz="4" w:space="0"/>
                    <w:bottom w:val="single" w:color="000000" w:sz="4" w:space="0"/>
                    <w:right w:val="single" w:color="000000" w:sz="4" w:space="0"/>
                  </w:tcBorders>
                  <w:vAlign w:val="center"/>
                </w:tcPr>
                <w:p w14:paraId="0D478B89">
                  <w:pPr>
                    <w:pStyle w:val="61"/>
                    <w:bidi w:val="0"/>
                    <w:jc w:val="center"/>
                    <w:rPr>
                      <w:rFonts w:hint="eastAsia"/>
                      <w:color w:val="auto"/>
                      <w:lang w:val="en-US" w:eastAsia="zh-CN"/>
                    </w:rPr>
                  </w:pPr>
                  <w:r>
                    <w:rPr>
                      <w:rFonts w:hint="eastAsia"/>
                      <w:color w:val="auto"/>
                      <w:lang w:val="en-US" w:eastAsia="zh-CN"/>
                    </w:rPr>
                    <w:t>是否</w:t>
                  </w:r>
                </w:p>
                <w:p w14:paraId="7636777B">
                  <w:pPr>
                    <w:pStyle w:val="61"/>
                    <w:bidi w:val="0"/>
                    <w:jc w:val="center"/>
                    <w:rPr>
                      <w:rFonts w:hint="eastAsia"/>
                      <w:color w:val="auto"/>
                      <w:lang w:val="en-US" w:eastAsia="zh-CN"/>
                    </w:rPr>
                  </w:pPr>
                  <w:r>
                    <w:rPr>
                      <w:rFonts w:hint="eastAsia"/>
                      <w:color w:val="auto"/>
                      <w:lang w:val="en-US" w:eastAsia="zh-CN"/>
                    </w:rPr>
                    <w:t>符合</w:t>
                  </w:r>
                </w:p>
              </w:tc>
            </w:tr>
            <w:tr w14:paraId="41011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4" w:hRule="atLeast"/>
                <w:jc w:val="center"/>
              </w:trPr>
              <w:tc>
                <w:tcPr>
                  <w:tcW w:w="751" w:type="dxa"/>
                  <w:tcBorders>
                    <w:top w:val="single" w:color="000000" w:sz="4" w:space="0"/>
                    <w:left w:val="single" w:color="000000" w:sz="4" w:space="0"/>
                    <w:bottom w:val="single" w:color="000000" w:sz="4" w:space="0"/>
                    <w:right w:val="single" w:color="000000" w:sz="4" w:space="0"/>
                  </w:tcBorders>
                  <w:vAlign w:val="center"/>
                </w:tcPr>
                <w:p w14:paraId="1A47EBB9">
                  <w:pPr>
                    <w:pStyle w:val="61"/>
                    <w:bidi w:val="0"/>
                    <w:jc w:val="center"/>
                    <w:rPr>
                      <w:rFonts w:hint="eastAsia"/>
                      <w:color w:val="auto"/>
                      <w:lang w:val="en-US" w:eastAsia="zh-CN"/>
                    </w:rPr>
                  </w:pPr>
                  <w:r>
                    <w:rPr>
                      <w:rFonts w:hint="eastAsia"/>
                      <w:color w:val="auto"/>
                      <w:lang w:val="en-US" w:eastAsia="zh-CN"/>
                    </w:rPr>
                    <w:t>高安</w:t>
                  </w:r>
                </w:p>
                <w:p w14:paraId="4FA8B6F9">
                  <w:pPr>
                    <w:pStyle w:val="61"/>
                    <w:bidi w:val="0"/>
                    <w:jc w:val="center"/>
                    <w:rPr>
                      <w:rFonts w:hint="eastAsia"/>
                      <w:color w:val="auto"/>
                      <w:lang w:val="en-US" w:eastAsia="zh-CN"/>
                    </w:rPr>
                  </w:pPr>
                  <w:r>
                    <w:rPr>
                      <w:rFonts w:hint="eastAsia"/>
                      <w:color w:val="auto"/>
                      <w:lang w:val="en-US" w:eastAsia="zh-CN"/>
                    </w:rPr>
                    <w:t>市人</w:t>
                  </w:r>
                </w:p>
                <w:p w14:paraId="49FD32EE">
                  <w:pPr>
                    <w:pStyle w:val="61"/>
                    <w:bidi w:val="0"/>
                    <w:jc w:val="center"/>
                    <w:rPr>
                      <w:rFonts w:hint="eastAsia"/>
                      <w:color w:val="auto"/>
                      <w:lang w:val="en-US" w:eastAsia="zh-CN"/>
                    </w:rPr>
                  </w:pPr>
                  <w:r>
                    <w:rPr>
                      <w:rFonts w:hint="eastAsia"/>
                      <w:color w:val="auto"/>
                      <w:lang w:val="en-US" w:eastAsia="zh-CN"/>
                    </w:rPr>
                    <w:t>民政</w:t>
                  </w:r>
                </w:p>
                <w:p w14:paraId="1AA2B679">
                  <w:pPr>
                    <w:pStyle w:val="61"/>
                    <w:bidi w:val="0"/>
                    <w:jc w:val="center"/>
                    <w:rPr>
                      <w:rFonts w:hint="eastAsia"/>
                      <w:color w:val="auto"/>
                      <w:lang w:val="en-US" w:eastAsia="zh-CN"/>
                    </w:rPr>
                  </w:pPr>
                  <w:r>
                    <w:rPr>
                      <w:rFonts w:hint="eastAsia"/>
                      <w:color w:val="auto"/>
                      <w:lang w:val="en-US" w:eastAsia="zh-CN"/>
                    </w:rPr>
                    <w:t>府关</w:t>
                  </w:r>
                </w:p>
                <w:p w14:paraId="3024DB11">
                  <w:pPr>
                    <w:pStyle w:val="61"/>
                    <w:bidi w:val="0"/>
                    <w:jc w:val="center"/>
                    <w:rPr>
                      <w:rFonts w:hint="eastAsia"/>
                      <w:color w:val="auto"/>
                      <w:lang w:val="en-US" w:eastAsia="zh-CN"/>
                    </w:rPr>
                  </w:pPr>
                  <w:r>
                    <w:rPr>
                      <w:rFonts w:hint="eastAsia"/>
                      <w:color w:val="auto"/>
                      <w:lang w:val="en-US" w:eastAsia="zh-CN"/>
                    </w:rPr>
                    <w:t>于印</w:t>
                  </w:r>
                </w:p>
                <w:p w14:paraId="37688DED">
                  <w:pPr>
                    <w:pStyle w:val="61"/>
                    <w:bidi w:val="0"/>
                    <w:jc w:val="center"/>
                    <w:rPr>
                      <w:rFonts w:hint="eastAsia"/>
                      <w:color w:val="auto"/>
                      <w:lang w:val="en-US" w:eastAsia="zh-CN"/>
                    </w:rPr>
                  </w:pPr>
                  <w:r>
                    <w:rPr>
                      <w:rFonts w:hint="eastAsia"/>
                      <w:color w:val="auto"/>
                      <w:lang w:val="en-US" w:eastAsia="zh-CN"/>
                    </w:rPr>
                    <w:t>发高</w:t>
                  </w:r>
                </w:p>
                <w:p w14:paraId="4588BE9D">
                  <w:pPr>
                    <w:pStyle w:val="61"/>
                    <w:bidi w:val="0"/>
                    <w:jc w:val="center"/>
                    <w:rPr>
                      <w:rFonts w:hint="eastAsia"/>
                      <w:color w:val="auto"/>
                      <w:lang w:val="en-US" w:eastAsia="zh-CN"/>
                    </w:rPr>
                  </w:pPr>
                  <w:r>
                    <w:rPr>
                      <w:rFonts w:hint="eastAsia"/>
                      <w:color w:val="auto"/>
                      <w:lang w:val="en-US" w:eastAsia="zh-CN"/>
                    </w:rPr>
                    <w:t>安市“十四五”生态环境保护规划的通知</w:t>
                  </w:r>
                </w:p>
              </w:tc>
              <w:tc>
                <w:tcPr>
                  <w:tcW w:w="4139" w:type="dxa"/>
                  <w:tcBorders>
                    <w:top w:val="single" w:color="000000" w:sz="4" w:space="0"/>
                    <w:left w:val="single" w:color="000000" w:sz="4" w:space="0"/>
                    <w:bottom w:val="single" w:color="000000" w:sz="4" w:space="0"/>
                    <w:right w:val="single" w:color="000000" w:sz="4" w:space="0"/>
                  </w:tcBorders>
                  <w:vAlign w:val="center"/>
                </w:tcPr>
                <w:p w14:paraId="652FE260">
                  <w:pPr>
                    <w:pStyle w:val="61"/>
                    <w:bidi w:val="0"/>
                    <w:jc w:val="center"/>
                    <w:rPr>
                      <w:rFonts w:hint="eastAsia"/>
                      <w:color w:val="auto"/>
                      <w:lang w:val="en-US" w:eastAsia="zh-CN"/>
                    </w:rPr>
                  </w:pPr>
                  <w:r>
                    <w:rPr>
                      <w:rFonts w:hint="eastAsia"/>
                      <w:color w:val="auto"/>
                      <w:lang w:val="en-US" w:eastAsia="zh-CN"/>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1433" w:type="dxa"/>
                  <w:tcBorders>
                    <w:top w:val="single" w:color="000000" w:sz="4" w:space="0"/>
                    <w:left w:val="single" w:color="000000" w:sz="4" w:space="0"/>
                    <w:bottom w:val="single" w:color="000000" w:sz="4" w:space="0"/>
                    <w:right w:val="single" w:color="000000" w:sz="4" w:space="0"/>
                  </w:tcBorders>
                  <w:vAlign w:val="center"/>
                </w:tcPr>
                <w:p w14:paraId="7D0CB1C9">
                  <w:pPr>
                    <w:pStyle w:val="61"/>
                    <w:bidi w:val="0"/>
                    <w:jc w:val="center"/>
                    <w:rPr>
                      <w:rFonts w:hint="eastAsia" w:ascii="Times New Roman" w:hAnsi="Times New Roman" w:cs="Times New Roman"/>
                      <w:color w:val="auto"/>
                      <w:lang w:val="en-US" w:eastAsia="zh-CN"/>
                    </w:rPr>
                  </w:pPr>
                </w:p>
                <w:p w14:paraId="345AB0F3">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本项目不属于化工、有色金属冶炼、水泥、陶瓷、家具等重点行业</w:t>
                  </w:r>
                  <w:r>
                    <w:rPr>
                      <w:rFonts w:hint="eastAsia" w:cs="Times New Roman"/>
                      <w:color w:val="auto"/>
                      <w:lang w:val="en-US" w:eastAsia="zh-CN"/>
                    </w:rPr>
                    <w:t>，企业不属于</w:t>
                  </w:r>
                  <w:r>
                    <w:rPr>
                      <w:rFonts w:hint="eastAsia"/>
                      <w:color w:val="auto"/>
                      <w:lang w:val="en-US" w:eastAsia="zh-CN"/>
                    </w:rPr>
                    <w:t>“散乱污”企业，不属于重点行业企业</w:t>
                  </w:r>
                  <w:r>
                    <w:rPr>
                      <w:rFonts w:hint="eastAsia" w:ascii="Times New Roman" w:hAnsi="Times New Roman" w:cs="Times New Roman"/>
                      <w:color w:val="auto"/>
                      <w:lang w:val="en-US" w:eastAsia="zh-CN"/>
                    </w:rPr>
                    <w:t>。</w:t>
                  </w:r>
                </w:p>
              </w:tc>
              <w:tc>
                <w:tcPr>
                  <w:tcW w:w="593" w:type="dxa"/>
                  <w:tcBorders>
                    <w:top w:val="single" w:color="000000" w:sz="4" w:space="0"/>
                    <w:left w:val="single" w:color="000000" w:sz="4" w:space="0"/>
                    <w:bottom w:val="single" w:color="000000" w:sz="4" w:space="0"/>
                    <w:right w:val="single" w:color="000000" w:sz="4" w:space="0"/>
                  </w:tcBorders>
                  <w:vAlign w:val="center"/>
                </w:tcPr>
                <w:p w14:paraId="130077E8">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符合</w:t>
                  </w:r>
                </w:p>
              </w:tc>
            </w:tr>
            <w:tr w14:paraId="60CF02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4" w:hRule="atLeast"/>
                <w:jc w:val="center"/>
              </w:trPr>
              <w:tc>
                <w:tcPr>
                  <w:tcW w:w="751" w:type="dxa"/>
                  <w:vMerge w:val="restart"/>
                  <w:tcBorders>
                    <w:top w:val="single" w:color="000000" w:sz="4" w:space="0"/>
                    <w:left w:val="single" w:color="000000" w:sz="4" w:space="0"/>
                    <w:bottom w:val="single" w:color="000000" w:sz="4" w:space="0"/>
                    <w:right w:val="single" w:color="000000" w:sz="4" w:space="0"/>
                  </w:tcBorders>
                  <w:vAlign w:val="center"/>
                </w:tcPr>
                <w:p w14:paraId="08AB0A05">
                  <w:pPr>
                    <w:pStyle w:val="61"/>
                    <w:bidi w:val="0"/>
                    <w:jc w:val="center"/>
                    <w:rPr>
                      <w:rFonts w:hint="eastAsia"/>
                      <w:color w:val="auto"/>
                      <w:lang w:val="en-US" w:eastAsia="zh-CN"/>
                    </w:rPr>
                  </w:pPr>
                </w:p>
              </w:tc>
              <w:tc>
                <w:tcPr>
                  <w:tcW w:w="4139" w:type="dxa"/>
                  <w:tcBorders>
                    <w:top w:val="single" w:color="000000" w:sz="4" w:space="0"/>
                    <w:left w:val="single" w:color="000000" w:sz="4" w:space="0"/>
                    <w:bottom w:val="single" w:color="000000" w:sz="4" w:space="0"/>
                    <w:right w:val="single" w:color="000000" w:sz="4" w:space="0"/>
                  </w:tcBorders>
                  <w:vAlign w:val="center"/>
                </w:tcPr>
                <w:p w14:paraId="203BA735">
                  <w:pPr>
                    <w:pStyle w:val="61"/>
                    <w:bidi w:val="0"/>
                    <w:jc w:val="center"/>
                    <w:rPr>
                      <w:rFonts w:hint="eastAsia"/>
                      <w:color w:val="auto"/>
                      <w:lang w:val="en-US" w:eastAsia="zh-CN"/>
                    </w:rPr>
                  </w:pPr>
                  <w:r>
                    <w:rPr>
                      <w:rFonts w:hint="eastAsia"/>
                      <w:color w:val="auto"/>
                      <w:lang w:val="en-US" w:eastAsia="zh-CN"/>
                    </w:rPr>
                    <w:t>加强挥发性有机污染物治理。以表面涂装、包装印刷、塑料制品等行业为重点治理行业，以5月～10月为重点控制时段，严格重点行业挥发性有机物全过程管控，强化汽修行业挥发性有机物综合治理。加强挥发性有机物污染防治的宣传教育，大力推进绿色原料替代，全面推进使用低挥发性有机物含量涂料、油墨、胶粘剂和清洗剂。开展工业园区、企业集群排查和综合整治，推广建设涉挥发性有机物“绿岛”项目。</w:t>
                  </w:r>
                </w:p>
              </w:tc>
              <w:tc>
                <w:tcPr>
                  <w:tcW w:w="1433" w:type="dxa"/>
                  <w:tcBorders>
                    <w:top w:val="single" w:color="000000" w:sz="4" w:space="0"/>
                    <w:left w:val="single" w:color="000000" w:sz="4" w:space="0"/>
                    <w:bottom w:val="single" w:color="000000" w:sz="4" w:space="0"/>
                    <w:right w:val="single" w:color="000000" w:sz="4" w:space="0"/>
                  </w:tcBorders>
                  <w:vAlign w:val="center"/>
                </w:tcPr>
                <w:p w14:paraId="75C3B809">
                  <w:pPr>
                    <w:pStyle w:val="61"/>
                    <w:bidi w:val="0"/>
                    <w:jc w:val="center"/>
                    <w:rPr>
                      <w:rFonts w:hint="eastAsia" w:ascii="Times New Roman" w:hAnsi="Times New Roman" w:cs="Times New Roman"/>
                      <w:color w:val="auto"/>
                      <w:lang w:val="en-US" w:eastAsia="zh-CN"/>
                    </w:rPr>
                  </w:pPr>
                </w:p>
                <w:p w14:paraId="7E2EFF22">
                  <w:pPr>
                    <w:pStyle w:val="61"/>
                    <w:bidi w:val="0"/>
                    <w:jc w:val="center"/>
                    <w:rPr>
                      <w:rFonts w:hint="eastAsia" w:ascii="Times New Roman" w:hAnsi="Times New Roman" w:cs="Times New Roman"/>
                      <w:color w:val="auto"/>
                      <w:lang w:val="en-US" w:eastAsia="zh-CN"/>
                    </w:rPr>
                  </w:pPr>
                </w:p>
                <w:p w14:paraId="75C171F0">
                  <w:pPr>
                    <w:pStyle w:val="61"/>
                    <w:bidi w:val="0"/>
                    <w:jc w:val="center"/>
                    <w:rPr>
                      <w:rFonts w:hint="eastAsia" w:ascii="Times New Roman" w:hAnsi="Times New Roman" w:cs="Times New Roman"/>
                      <w:color w:val="auto"/>
                      <w:lang w:val="en-US" w:eastAsia="zh-CN"/>
                    </w:rPr>
                  </w:pPr>
                </w:p>
                <w:p w14:paraId="5F6CB457">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本项目挥发性有机物经</w:t>
                  </w:r>
                  <w:r>
                    <w:rPr>
                      <w:rFonts w:hint="eastAsia" w:cs="Times New Roman"/>
                      <w:color w:val="auto"/>
                      <w:lang w:val="en-US" w:eastAsia="zh-CN"/>
                    </w:rPr>
                    <w:t>三级水喷淋装置</w:t>
                  </w:r>
                  <w:r>
                    <w:rPr>
                      <w:rFonts w:hint="eastAsia" w:ascii="Times New Roman" w:hAnsi="Times New Roman" w:cs="Times New Roman"/>
                      <w:color w:val="auto"/>
                      <w:lang w:val="en-US" w:eastAsia="zh-CN"/>
                    </w:rPr>
                    <w:t>处理后经15m高排气筒排放</w:t>
                  </w:r>
                  <w:r>
                    <w:rPr>
                      <w:rFonts w:hint="eastAsia" w:cs="Times New Roman"/>
                      <w:color w:val="auto"/>
                      <w:lang w:val="en-US" w:eastAsia="zh-CN"/>
                    </w:rPr>
                    <w:t>，蒸馏乙醇通过冷凝回收装置处理后回用</w:t>
                  </w:r>
                  <w:r>
                    <w:rPr>
                      <w:rFonts w:hint="eastAsia" w:ascii="Times New Roman" w:hAnsi="Times New Roman" w:cs="Times New Roman"/>
                      <w:color w:val="auto"/>
                      <w:lang w:val="en-US" w:eastAsia="zh-CN"/>
                    </w:rPr>
                    <w:t>。</w:t>
                  </w:r>
                </w:p>
              </w:tc>
              <w:tc>
                <w:tcPr>
                  <w:tcW w:w="593" w:type="dxa"/>
                  <w:tcBorders>
                    <w:top w:val="single" w:color="000000" w:sz="4" w:space="0"/>
                    <w:left w:val="single" w:color="000000" w:sz="4" w:space="0"/>
                    <w:bottom w:val="single" w:color="000000" w:sz="4" w:space="0"/>
                    <w:right w:val="single" w:color="000000" w:sz="4" w:space="0"/>
                  </w:tcBorders>
                  <w:vAlign w:val="center"/>
                </w:tcPr>
                <w:p w14:paraId="01424E1F">
                  <w:pPr>
                    <w:pStyle w:val="61"/>
                    <w:bidi w:val="0"/>
                    <w:jc w:val="center"/>
                    <w:rPr>
                      <w:rFonts w:hint="eastAsia" w:ascii="Times New Roman" w:hAnsi="Times New Roman" w:cs="Times New Roman"/>
                      <w:color w:val="auto"/>
                      <w:lang w:val="en-US" w:eastAsia="zh-CN"/>
                    </w:rPr>
                  </w:pPr>
                </w:p>
                <w:p w14:paraId="3BCC3091">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符合</w:t>
                  </w:r>
                </w:p>
              </w:tc>
            </w:tr>
            <w:tr w14:paraId="633187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4" w:hRule="atLeast"/>
                <w:jc w:val="center"/>
              </w:trPr>
              <w:tc>
                <w:tcPr>
                  <w:tcW w:w="751" w:type="dxa"/>
                  <w:vMerge w:val="continue"/>
                  <w:tcBorders>
                    <w:top w:val="single" w:color="000000" w:sz="4" w:space="0"/>
                    <w:left w:val="single" w:color="000000" w:sz="4" w:space="0"/>
                    <w:bottom w:val="single" w:color="000000" w:sz="4" w:space="0"/>
                    <w:right w:val="single" w:color="000000" w:sz="4" w:space="0"/>
                  </w:tcBorders>
                  <w:vAlign w:val="center"/>
                </w:tcPr>
                <w:p w14:paraId="4034AD1B">
                  <w:pPr>
                    <w:pStyle w:val="61"/>
                    <w:bidi w:val="0"/>
                    <w:jc w:val="center"/>
                    <w:rPr>
                      <w:rFonts w:hint="eastAsia"/>
                      <w:color w:val="auto"/>
                      <w:lang w:val="en-US" w:eastAsia="zh-CN"/>
                    </w:rPr>
                  </w:pPr>
                </w:p>
              </w:tc>
              <w:tc>
                <w:tcPr>
                  <w:tcW w:w="4139" w:type="dxa"/>
                  <w:tcBorders>
                    <w:top w:val="single" w:color="000000" w:sz="4" w:space="0"/>
                    <w:left w:val="single" w:color="000000" w:sz="4" w:space="0"/>
                    <w:bottom w:val="single" w:color="000000" w:sz="4" w:space="0"/>
                    <w:right w:val="single" w:color="000000" w:sz="4" w:space="0"/>
                  </w:tcBorders>
                  <w:vAlign w:val="center"/>
                </w:tcPr>
                <w:p w14:paraId="427F38BD">
                  <w:pPr>
                    <w:pStyle w:val="61"/>
                    <w:bidi w:val="0"/>
                    <w:jc w:val="center"/>
                    <w:rPr>
                      <w:rFonts w:hint="eastAsia"/>
                      <w:color w:val="auto"/>
                      <w:lang w:val="en-US" w:eastAsia="zh-CN"/>
                    </w:rPr>
                  </w:pPr>
                  <w:r>
                    <w:rPr>
                      <w:rFonts w:hint="eastAsia"/>
                      <w:color w:val="auto"/>
                      <w:lang w:val="en-US" w:eastAsia="zh-CN"/>
                    </w:rPr>
                    <w:t>强化城市环境噪声监控与管制。严格落实中心城区声环境功能区划分方案，强化声环境功能区管理，根据城市规模和用地变化情况，适时调整声环境功能区区划，充分考虑道路建设、房地产开发中的声环境功能区管理目标。加大对交通噪声、施工噪声、工业噪声、生活噪声污染监管控制，推广低噪工艺和设备，明确环境噪声污染防治及其监督管理要求。加强宣传力度，鼓励公众参与和群众自治，减少噪声扰民，打造宁静社区及办公、休闲场所。</w:t>
                  </w:r>
                </w:p>
              </w:tc>
              <w:tc>
                <w:tcPr>
                  <w:tcW w:w="1433" w:type="dxa"/>
                  <w:tcBorders>
                    <w:top w:val="single" w:color="000000" w:sz="4" w:space="0"/>
                    <w:left w:val="single" w:color="000000" w:sz="4" w:space="0"/>
                    <w:bottom w:val="single" w:color="000000" w:sz="4" w:space="0"/>
                    <w:right w:val="single" w:color="000000" w:sz="4" w:space="0"/>
                  </w:tcBorders>
                  <w:vAlign w:val="center"/>
                </w:tcPr>
                <w:p w14:paraId="548574D4">
                  <w:pPr>
                    <w:pStyle w:val="61"/>
                    <w:bidi w:val="0"/>
                    <w:jc w:val="center"/>
                    <w:rPr>
                      <w:rFonts w:hint="eastAsia" w:ascii="Times New Roman" w:hAnsi="Times New Roman" w:cs="Times New Roman"/>
                      <w:color w:val="auto"/>
                      <w:lang w:val="en-US" w:eastAsia="zh-CN"/>
                    </w:rPr>
                  </w:pPr>
                </w:p>
                <w:p w14:paraId="4CBE5F3C">
                  <w:pPr>
                    <w:pStyle w:val="61"/>
                    <w:bidi w:val="0"/>
                    <w:jc w:val="center"/>
                    <w:rPr>
                      <w:rFonts w:hint="eastAsia" w:ascii="Times New Roman" w:hAnsi="Times New Roman" w:cs="Times New Roman"/>
                      <w:color w:val="auto"/>
                      <w:lang w:val="en-US" w:eastAsia="zh-CN"/>
                    </w:rPr>
                  </w:pPr>
                </w:p>
                <w:p w14:paraId="3B929D52">
                  <w:pPr>
                    <w:pStyle w:val="61"/>
                    <w:bidi w:val="0"/>
                    <w:jc w:val="center"/>
                    <w:rPr>
                      <w:rFonts w:hint="eastAsia" w:ascii="Times New Roman" w:hAnsi="Times New Roman" w:cs="Times New Roman"/>
                      <w:color w:val="auto"/>
                      <w:lang w:val="en-US" w:eastAsia="zh-CN"/>
                    </w:rPr>
                  </w:pPr>
                </w:p>
                <w:p w14:paraId="0BF3D541">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项目</w:t>
                  </w:r>
                  <w:r>
                    <w:rPr>
                      <w:rFonts w:hint="eastAsia" w:cs="Times New Roman"/>
                      <w:color w:val="auto"/>
                      <w:lang w:val="en-US" w:eastAsia="zh-CN"/>
                    </w:rPr>
                    <w:t>噪声</w:t>
                  </w:r>
                  <w:r>
                    <w:rPr>
                      <w:rFonts w:hint="eastAsia" w:ascii="Times New Roman" w:hAnsi="Times New Roman" w:cs="Times New Roman"/>
                      <w:color w:val="auto"/>
                      <w:lang w:val="en-US" w:eastAsia="zh-CN"/>
                    </w:rPr>
                    <w:t>通过隔声、减振等措施处理</w:t>
                  </w:r>
                  <w:r>
                    <w:rPr>
                      <w:rFonts w:hint="eastAsia" w:cs="Times New Roman"/>
                      <w:color w:val="auto"/>
                      <w:lang w:val="en-US" w:eastAsia="zh-CN"/>
                    </w:rPr>
                    <w:t>达标排放，企业噪声每季度监测一次</w:t>
                  </w:r>
                  <w:r>
                    <w:rPr>
                      <w:rFonts w:hint="eastAsia" w:ascii="Times New Roman" w:hAnsi="Times New Roman" w:cs="Times New Roman"/>
                      <w:color w:val="auto"/>
                      <w:lang w:val="en-US" w:eastAsia="zh-CN"/>
                    </w:rPr>
                    <w:t>。</w:t>
                  </w:r>
                </w:p>
              </w:tc>
              <w:tc>
                <w:tcPr>
                  <w:tcW w:w="593" w:type="dxa"/>
                  <w:tcBorders>
                    <w:top w:val="single" w:color="000000" w:sz="4" w:space="0"/>
                    <w:left w:val="single" w:color="000000" w:sz="4" w:space="0"/>
                    <w:bottom w:val="single" w:color="000000" w:sz="4" w:space="0"/>
                    <w:right w:val="single" w:color="000000" w:sz="4" w:space="0"/>
                  </w:tcBorders>
                  <w:vAlign w:val="center"/>
                </w:tcPr>
                <w:p w14:paraId="6F308EBE">
                  <w:pPr>
                    <w:pStyle w:val="61"/>
                    <w:bidi w:val="0"/>
                    <w:jc w:val="center"/>
                    <w:rPr>
                      <w:rFonts w:hint="eastAsia" w:ascii="Times New Roman" w:hAnsi="Times New Roman" w:cs="Times New Roman"/>
                      <w:color w:val="auto"/>
                      <w:lang w:val="en-US" w:eastAsia="zh-CN"/>
                    </w:rPr>
                  </w:pPr>
                </w:p>
                <w:p w14:paraId="45B2FA16">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符合</w:t>
                  </w:r>
                </w:p>
              </w:tc>
            </w:tr>
            <w:tr w14:paraId="6C720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9" w:hRule="atLeast"/>
                <w:jc w:val="center"/>
              </w:trPr>
              <w:tc>
                <w:tcPr>
                  <w:tcW w:w="751" w:type="dxa"/>
                  <w:vMerge w:val="continue"/>
                  <w:tcBorders>
                    <w:top w:val="single" w:color="000000" w:sz="4" w:space="0"/>
                    <w:left w:val="single" w:color="000000" w:sz="4" w:space="0"/>
                    <w:bottom w:val="single" w:color="000000" w:sz="4" w:space="0"/>
                    <w:right w:val="single" w:color="000000" w:sz="4" w:space="0"/>
                  </w:tcBorders>
                  <w:vAlign w:val="center"/>
                </w:tcPr>
                <w:p w14:paraId="38B2AD49">
                  <w:pPr>
                    <w:pStyle w:val="61"/>
                    <w:bidi w:val="0"/>
                    <w:jc w:val="center"/>
                    <w:rPr>
                      <w:rFonts w:hint="eastAsia"/>
                      <w:color w:val="auto"/>
                      <w:lang w:val="en-US" w:eastAsia="zh-CN"/>
                    </w:rPr>
                  </w:pPr>
                </w:p>
              </w:tc>
              <w:tc>
                <w:tcPr>
                  <w:tcW w:w="4139" w:type="dxa"/>
                  <w:tcBorders>
                    <w:top w:val="single" w:color="000000" w:sz="4" w:space="0"/>
                    <w:left w:val="single" w:color="000000" w:sz="4" w:space="0"/>
                    <w:bottom w:val="single" w:color="000000" w:sz="4" w:space="0"/>
                    <w:right w:val="single" w:color="000000" w:sz="4" w:space="0"/>
                  </w:tcBorders>
                  <w:vAlign w:val="center"/>
                </w:tcPr>
                <w:p w14:paraId="4B71D8F4">
                  <w:pPr>
                    <w:pStyle w:val="61"/>
                    <w:bidi w:val="0"/>
                    <w:jc w:val="center"/>
                    <w:rPr>
                      <w:rFonts w:hint="eastAsia"/>
                      <w:color w:val="auto"/>
                      <w:lang w:val="en-US" w:eastAsia="zh-CN"/>
                    </w:rPr>
                  </w:pPr>
                  <w:r>
                    <w:rPr>
                      <w:rFonts w:hint="eastAsia"/>
                      <w:color w:val="auto"/>
                      <w:lang w:val="en-US" w:eastAsia="zh-CN"/>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1433" w:type="dxa"/>
                  <w:tcBorders>
                    <w:top w:val="single" w:color="000000" w:sz="4" w:space="0"/>
                    <w:left w:val="single" w:color="000000" w:sz="4" w:space="0"/>
                    <w:bottom w:val="single" w:color="000000" w:sz="4" w:space="0"/>
                    <w:right w:val="single" w:color="000000" w:sz="4" w:space="0"/>
                  </w:tcBorders>
                  <w:vAlign w:val="center"/>
                </w:tcPr>
                <w:p w14:paraId="179DA6A5">
                  <w:pPr>
                    <w:pStyle w:val="61"/>
                    <w:bidi w:val="0"/>
                    <w:jc w:val="center"/>
                    <w:rPr>
                      <w:rFonts w:hint="eastAsia" w:ascii="Times New Roman" w:hAnsi="Times New Roman" w:cs="Times New Roman"/>
                      <w:color w:val="auto"/>
                      <w:lang w:val="en-US" w:eastAsia="zh-CN"/>
                    </w:rPr>
                  </w:pPr>
                </w:p>
                <w:p w14:paraId="43627C50">
                  <w:pPr>
                    <w:pStyle w:val="61"/>
                    <w:bidi w:val="0"/>
                    <w:jc w:val="center"/>
                    <w:rPr>
                      <w:rFonts w:hint="eastAsia" w:ascii="Times New Roman" w:hAnsi="Times New Roman" w:cs="Times New Roman"/>
                      <w:color w:val="auto"/>
                      <w:lang w:val="en-US" w:eastAsia="zh-CN"/>
                    </w:rPr>
                  </w:pPr>
                </w:p>
                <w:p w14:paraId="58BBEAD9">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项目已申领排污许可证，依法排污，且废水量减少。</w:t>
                  </w:r>
                </w:p>
              </w:tc>
              <w:tc>
                <w:tcPr>
                  <w:tcW w:w="593" w:type="dxa"/>
                  <w:tcBorders>
                    <w:top w:val="single" w:color="000000" w:sz="4" w:space="0"/>
                    <w:left w:val="single" w:color="000000" w:sz="4" w:space="0"/>
                    <w:bottom w:val="single" w:color="000000" w:sz="4" w:space="0"/>
                    <w:right w:val="single" w:color="000000" w:sz="4" w:space="0"/>
                  </w:tcBorders>
                  <w:vAlign w:val="center"/>
                </w:tcPr>
                <w:p w14:paraId="522DF364">
                  <w:pPr>
                    <w:pStyle w:val="61"/>
                    <w:bidi w:val="0"/>
                    <w:jc w:val="center"/>
                    <w:rPr>
                      <w:rFonts w:hint="eastAsia" w:ascii="Times New Roman" w:hAnsi="Times New Roman" w:cs="Times New Roman"/>
                      <w:color w:val="auto"/>
                      <w:lang w:val="en-US" w:eastAsia="zh-CN"/>
                    </w:rPr>
                  </w:pPr>
                </w:p>
                <w:p w14:paraId="5687AD7F">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符合</w:t>
                  </w:r>
                </w:p>
              </w:tc>
            </w:tr>
            <w:tr w14:paraId="5003A2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6" w:hRule="atLeast"/>
                <w:jc w:val="center"/>
              </w:trPr>
              <w:tc>
                <w:tcPr>
                  <w:tcW w:w="751" w:type="dxa"/>
                  <w:vMerge w:val="continue"/>
                  <w:tcBorders>
                    <w:top w:val="single" w:color="000000" w:sz="4" w:space="0"/>
                    <w:left w:val="single" w:color="000000" w:sz="4" w:space="0"/>
                    <w:bottom w:val="single" w:color="000000" w:sz="4" w:space="0"/>
                    <w:right w:val="single" w:color="000000" w:sz="4" w:space="0"/>
                  </w:tcBorders>
                  <w:vAlign w:val="center"/>
                </w:tcPr>
                <w:p w14:paraId="1600B164">
                  <w:pPr>
                    <w:pStyle w:val="61"/>
                    <w:bidi w:val="0"/>
                    <w:jc w:val="center"/>
                    <w:rPr>
                      <w:rFonts w:hint="eastAsia"/>
                      <w:color w:val="auto"/>
                      <w:lang w:val="en-US" w:eastAsia="zh-CN"/>
                    </w:rPr>
                  </w:pPr>
                </w:p>
              </w:tc>
              <w:tc>
                <w:tcPr>
                  <w:tcW w:w="4139" w:type="dxa"/>
                  <w:tcBorders>
                    <w:top w:val="single" w:color="000000" w:sz="4" w:space="0"/>
                    <w:left w:val="single" w:color="000000" w:sz="4" w:space="0"/>
                    <w:bottom w:val="single" w:color="000000" w:sz="4" w:space="0"/>
                    <w:right w:val="single" w:color="000000" w:sz="4" w:space="0"/>
                  </w:tcBorders>
                  <w:vAlign w:val="center"/>
                </w:tcPr>
                <w:p w14:paraId="5EBD1B84">
                  <w:pPr>
                    <w:pStyle w:val="61"/>
                    <w:bidi w:val="0"/>
                    <w:jc w:val="center"/>
                    <w:rPr>
                      <w:rFonts w:hint="eastAsia"/>
                      <w:color w:val="auto"/>
                      <w:lang w:val="en-US" w:eastAsia="zh-CN"/>
                    </w:rPr>
                  </w:pPr>
                  <w:r>
                    <w:rPr>
                      <w:rFonts w:hint="eastAsia"/>
                      <w:color w:val="auto"/>
                      <w:lang w:val="en-US" w:eastAsia="zh-CN"/>
                    </w:rPr>
                    <w:t>完善固体废物监管体制机制。强化制度体系、技术体系、市场体系和监管体系支撑保障作用，构建集污水、垃圾、固废、危废、医废处理处置设施和监测监管能力于一体的环境基础设施体系，形成由城市向建制镇和乡村延伸覆盖的环境基础设施网络。推动绿色回收体系建设，完善再生资源回收利用网络，因地制宜开展废旧金属、废旧电子、报废汽车、废旧玻璃、废旧动力电池等循环再利用。</w:t>
                  </w:r>
                </w:p>
              </w:tc>
              <w:tc>
                <w:tcPr>
                  <w:tcW w:w="1433" w:type="dxa"/>
                  <w:tcBorders>
                    <w:top w:val="single" w:color="000000" w:sz="4" w:space="0"/>
                    <w:left w:val="single" w:color="000000" w:sz="4" w:space="0"/>
                    <w:bottom w:val="single" w:color="000000" w:sz="4" w:space="0"/>
                    <w:right w:val="single" w:color="000000" w:sz="4" w:space="0"/>
                  </w:tcBorders>
                  <w:vAlign w:val="center"/>
                </w:tcPr>
                <w:p w14:paraId="2EA86BC9">
                  <w:pPr>
                    <w:pStyle w:val="61"/>
                    <w:bidi w:val="0"/>
                    <w:jc w:val="center"/>
                    <w:rPr>
                      <w:rFonts w:hint="eastAsia" w:ascii="Times New Roman" w:hAnsi="Times New Roman" w:cs="Times New Roman"/>
                      <w:color w:val="auto"/>
                      <w:lang w:val="en-US" w:eastAsia="zh-CN"/>
                    </w:rPr>
                  </w:pPr>
                </w:p>
                <w:p w14:paraId="1FE20184">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本项目固体废物参照“资源化、无害化、减 量化”的原则进行管理与处理。</w:t>
                  </w:r>
                </w:p>
              </w:tc>
              <w:tc>
                <w:tcPr>
                  <w:tcW w:w="593" w:type="dxa"/>
                  <w:tcBorders>
                    <w:top w:val="single" w:color="000000" w:sz="4" w:space="0"/>
                    <w:left w:val="single" w:color="000000" w:sz="4" w:space="0"/>
                    <w:bottom w:val="single" w:color="000000" w:sz="4" w:space="0"/>
                    <w:right w:val="single" w:color="000000" w:sz="4" w:space="0"/>
                  </w:tcBorders>
                  <w:vAlign w:val="center"/>
                </w:tcPr>
                <w:p w14:paraId="0600E288">
                  <w:pPr>
                    <w:pStyle w:val="61"/>
                    <w:bidi w:val="0"/>
                    <w:jc w:val="center"/>
                    <w:rPr>
                      <w:rFonts w:hint="eastAsia" w:ascii="Times New Roman" w:hAnsi="Times New Roman" w:cs="Times New Roman"/>
                      <w:color w:val="auto"/>
                      <w:lang w:val="en-US" w:eastAsia="zh-CN"/>
                    </w:rPr>
                  </w:pPr>
                </w:p>
                <w:p w14:paraId="47DAAC07">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符合</w:t>
                  </w:r>
                </w:p>
              </w:tc>
            </w:tr>
          </w:tbl>
          <w:p w14:paraId="132D50A1">
            <w:pPr>
              <w:keepNext w:val="0"/>
              <w:keepLines w:val="0"/>
              <w:suppressLineNumbers w:val="0"/>
              <w:bidi w:val="0"/>
              <w:spacing w:before="0" w:beforeAutospacing="0" w:after="0" w:afterAutospacing="0"/>
              <w:ind w:left="0" w:right="0"/>
              <w:rPr>
                <w:rFonts w:hint="default"/>
                <w:color w:val="auto"/>
              </w:rPr>
            </w:pPr>
            <w:r>
              <w:rPr>
                <w:rFonts w:hint="default"/>
                <w:color w:val="auto"/>
              </w:rPr>
              <w:t>综上所述，项目与《高安市人民政府关于印发高安市“十四五”生态环境保护规划的通知》相符。</w:t>
            </w:r>
          </w:p>
          <w:p w14:paraId="734CE4B8">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与《长江经济带发展负面清单指南（试行，2022年版）》（长江办〔2022〕7号）相符性分析</w:t>
            </w:r>
          </w:p>
          <w:p w14:paraId="15A7556F">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与《长江经济带发展负面清单指南（试行，2022年版）》相符性分析</w:t>
            </w:r>
          </w:p>
          <w:tbl>
            <w:tblPr>
              <w:tblStyle w:val="29"/>
              <w:tblW w:w="6916" w:type="dxa"/>
              <w:jc w:val="center"/>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Layout w:type="fixed"/>
              <w:tblCellMar>
                <w:top w:w="0" w:type="dxa"/>
                <w:left w:w="0" w:type="dxa"/>
                <w:bottom w:w="0" w:type="dxa"/>
                <w:right w:w="0" w:type="dxa"/>
              </w:tblCellMar>
            </w:tblPr>
            <w:tblGrid>
              <w:gridCol w:w="569"/>
              <w:gridCol w:w="3859"/>
              <w:gridCol w:w="1626"/>
              <w:gridCol w:w="862"/>
            </w:tblGrid>
            <w:tr w14:paraId="5DE943E1">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29B1925D">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序号</w:t>
                  </w:r>
                </w:p>
              </w:tc>
              <w:tc>
                <w:tcPr>
                  <w:tcW w:w="2789" w:type="pct"/>
                  <w:tcBorders>
                    <w:tl2br w:val="nil"/>
                    <w:tr2bl w:val="nil"/>
                  </w:tcBorders>
                  <w:vAlign w:val="center"/>
                </w:tcPr>
                <w:p w14:paraId="0E25A29D">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生态环境准入清单</w:t>
                  </w:r>
                </w:p>
              </w:tc>
              <w:tc>
                <w:tcPr>
                  <w:tcW w:w="1175" w:type="pct"/>
                  <w:tcBorders>
                    <w:tl2br w:val="nil"/>
                    <w:tr2bl w:val="nil"/>
                  </w:tcBorders>
                  <w:vAlign w:val="center"/>
                </w:tcPr>
                <w:p w14:paraId="4AAFD40A">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项目情况</w:t>
                  </w:r>
                </w:p>
              </w:tc>
              <w:tc>
                <w:tcPr>
                  <w:tcW w:w="623" w:type="pct"/>
                  <w:tcBorders>
                    <w:tl2br w:val="nil"/>
                    <w:tr2bl w:val="nil"/>
                  </w:tcBorders>
                  <w:vAlign w:val="center"/>
                </w:tcPr>
                <w:p w14:paraId="4461FC2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是否符合</w:t>
                  </w:r>
                </w:p>
              </w:tc>
            </w:tr>
            <w:tr w14:paraId="3B91E181">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194ED808">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1</w:t>
                  </w:r>
                </w:p>
              </w:tc>
              <w:tc>
                <w:tcPr>
                  <w:tcW w:w="2789" w:type="pct"/>
                  <w:tcBorders>
                    <w:tl2br w:val="nil"/>
                    <w:tr2bl w:val="nil"/>
                  </w:tcBorders>
                  <w:vAlign w:val="center"/>
                </w:tcPr>
                <w:p w14:paraId="55AA8986">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禁止建设不符合全国和省级港口布局规划以及港口总体规划的码头项目，禁止建设不符合《长江干线过江通道布局规划》的长江通道项目。</w:t>
                  </w:r>
                </w:p>
              </w:tc>
              <w:tc>
                <w:tcPr>
                  <w:tcW w:w="1175" w:type="pct"/>
                  <w:tcBorders>
                    <w:tl2br w:val="nil"/>
                    <w:tr2bl w:val="nil"/>
                  </w:tcBorders>
                  <w:vAlign w:val="center"/>
                </w:tcPr>
                <w:p w14:paraId="67FD3142">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本项目不属于港口布局规划以及港口总体规划的码头建设项目</w:t>
                  </w:r>
                </w:p>
              </w:tc>
              <w:tc>
                <w:tcPr>
                  <w:tcW w:w="623" w:type="pct"/>
                  <w:tcBorders>
                    <w:tl2br w:val="nil"/>
                    <w:tr2bl w:val="nil"/>
                  </w:tcBorders>
                  <w:vAlign w:val="center"/>
                </w:tcPr>
                <w:p w14:paraId="21F900A1">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01B9FB87">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0188586F">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2</w:t>
                  </w:r>
                </w:p>
              </w:tc>
              <w:tc>
                <w:tcPr>
                  <w:tcW w:w="2789" w:type="pct"/>
                  <w:tcBorders>
                    <w:tl2br w:val="nil"/>
                    <w:tr2bl w:val="nil"/>
                  </w:tcBorders>
                  <w:vAlign w:val="center"/>
                </w:tcPr>
                <w:p w14:paraId="6D35BFDC">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禁止在自然保护区核心区、缓冲区的岸线和河段范围内投资建设旅游和生产经营项目。禁止在风景名胜区核心景区的岸线和河段范围内投资建设</w:t>
                  </w:r>
                  <w:r>
                    <w:rPr>
                      <w:rFonts w:hint="eastAsia"/>
                      <w:color w:val="auto"/>
                      <w:lang w:val="en-US" w:eastAsia="zh-CN"/>
                    </w:rPr>
                    <w:t>与</w:t>
                  </w:r>
                  <w:r>
                    <w:rPr>
                      <w:rFonts w:hint="default"/>
                      <w:color w:val="auto"/>
                      <w:lang w:val="en-US" w:eastAsia="en-US"/>
                    </w:rPr>
                    <w:t>风景名胜资源保护无关的项目。</w:t>
                  </w:r>
                </w:p>
              </w:tc>
              <w:tc>
                <w:tcPr>
                  <w:tcW w:w="1175" w:type="pct"/>
                  <w:tcBorders>
                    <w:tl2br w:val="nil"/>
                    <w:tr2bl w:val="nil"/>
                  </w:tcBorders>
                  <w:vAlign w:val="center"/>
                </w:tcPr>
                <w:p w14:paraId="3EA24207">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本项目不属于自然保护区核心区、缓冲区的岸线和河段范围及风景名胜区核心景区的岸线和河段范围内</w:t>
                  </w:r>
                </w:p>
              </w:tc>
              <w:tc>
                <w:tcPr>
                  <w:tcW w:w="623" w:type="pct"/>
                  <w:tcBorders>
                    <w:tl2br w:val="nil"/>
                    <w:tr2bl w:val="nil"/>
                  </w:tcBorders>
                  <w:vAlign w:val="center"/>
                </w:tcPr>
                <w:p w14:paraId="146AA9D2">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34534C4F">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5BF78DA4">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3</w:t>
                  </w:r>
                </w:p>
              </w:tc>
              <w:tc>
                <w:tcPr>
                  <w:tcW w:w="2789" w:type="pct"/>
                  <w:tcBorders>
                    <w:tl2br w:val="nil"/>
                    <w:tr2bl w:val="nil"/>
                  </w:tcBorders>
                  <w:vAlign w:val="center"/>
                </w:tcPr>
                <w:p w14:paraId="456D9D9C">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禁止在饮用水水源一级保护区的岸线和河段范围内新建、改建、扩建与供水设施和保护水源无关的项目，以及网箱养殖、旅游的可能污染</w:t>
                  </w:r>
                  <w:r>
                    <w:rPr>
                      <w:rFonts w:hint="eastAsia"/>
                      <w:color w:val="auto"/>
                      <w:lang w:val="en-US" w:eastAsia="zh-CN"/>
                    </w:rPr>
                    <w:t>饮</w:t>
                  </w:r>
                  <w:r>
                    <w:rPr>
                      <w:rFonts w:hint="default"/>
                      <w:color w:val="auto"/>
                      <w:lang w:val="en-US" w:eastAsia="en-US"/>
                    </w:rPr>
                    <w:t>用水水体的投资建设项目。禁止在饮用水水源二级保护区的岸线和河段内新建、改建、扩建排放污染物的投资建设项目。</w:t>
                  </w:r>
                </w:p>
              </w:tc>
              <w:tc>
                <w:tcPr>
                  <w:tcW w:w="1175" w:type="pct"/>
                  <w:tcBorders>
                    <w:tl2br w:val="nil"/>
                    <w:tr2bl w:val="nil"/>
                  </w:tcBorders>
                  <w:vAlign w:val="center"/>
                </w:tcPr>
                <w:p w14:paraId="539AFEE9">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本项目选址不属于饮用水水源一级保护区岸线和河段范围内</w:t>
                  </w:r>
                </w:p>
              </w:tc>
              <w:tc>
                <w:tcPr>
                  <w:tcW w:w="623" w:type="pct"/>
                  <w:tcBorders>
                    <w:tl2br w:val="nil"/>
                    <w:tr2bl w:val="nil"/>
                  </w:tcBorders>
                  <w:vAlign w:val="center"/>
                </w:tcPr>
                <w:p w14:paraId="05529B0F">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0334A976">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50966D08">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4</w:t>
                  </w:r>
                </w:p>
              </w:tc>
              <w:tc>
                <w:tcPr>
                  <w:tcW w:w="2789" w:type="pct"/>
                  <w:tcBorders>
                    <w:tl2br w:val="nil"/>
                    <w:tr2bl w:val="nil"/>
                  </w:tcBorders>
                  <w:vAlign w:val="center"/>
                </w:tcPr>
                <w:p w14:paraId="1349CDB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禁止在水产种质资源保护区的岸线和河段范围内新建排污口，以及围湖造田、围海造地或围填海等投资建设项目，禁止在国家湿地公园的岸线和河段范围内挖砂、采矿，以及任何不符合主体功能定</w:t>
                  </w:r>
                  <w:r>
                    <w:rPr>
                      <w:rFonts w:hint="eastAsia"/>
                      <w:color w:val="auto"/>
                      <w:lang w:val="en-US" w:eastAsia="zh-CN"/>
                    </w:rPr>
                    <w:t>位</w:t>
                  </w:r>
                  <w:r>
                    <w:rPr>
                      <w:rFonts w:hint="default"/>
                      <w:color w:val="auto"/>
                      <w:lang w:val="en-US" w:eastAsia="en-US"/>
                    </w:rPr>
                    <w:t>的投资建设项目。</w:t>
                  </w:r>
                </w:p>
              </w:tc>
              <w:tc>
                <w:tcPr>
                  <w:tcW w:w="1175" w:type="pct"/>
                  <w:tcBorders>
                    <w:tl2br w:val="nil"/>
                    <w:tr2bl w:val="nil"/>
                  </w:tcBorders>
                  <w:vAlign w:val="center"/>
                </w:tcPr>
                <w:p w14:paraId="0BAF3BD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w:t>
                  </w:r>
                  <w:r>
                    <w:rPr>
                      <w:rFonts w:hint="eastAsia"/>
                      <w:color w:val="auto"/>
                      <w:lang w:val="en-US" w:eastAsia="zh-CN"/>
                    </w:rPr>
                    <w:t>不在</w:t>
                  </w:r>
                  <w:r>
                    <w:rPr>
                      <w:rFonts w:hint="default"/>
                      <w:color w:val="auto"/>
                      <w:lang w:val="en-US" w:eastAsia="en-US"/>
                    </w:rPr>
                    <w:t>水产种质资源保护区的岸线和河段范围内，且不属于挖砂、采矿项目</w:t>
                  </w:r>
                </w:p>
              </w:tc>
              <w:tc>
                <w:tcPr>
                  <w:tcW w:w="623" w:type="pct"/>
                  <w:tcBorders>
                    <w:tl2br w:val="nil"/>
                    <w:tr2bl w:val="nil"/>
                  </w:tcBorders>
                  <w:vAlign w:val="center"/>
                </w:tcPr>
                <w:p w14:paraId="1F52D12C">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7A573A38">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049A74C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5</w:t>
                  </w:r>
                </w:p>
              </w:tc>
              <w:tc>
                <w:tcPr>
                  <w:tcW w:w="2789" w:type="pct"/>
                  <w:tcBorders>
                    <w:tl2br w:val="nil"/>
                    <w:tr2bl w:val="nil"/>
                  </w:tcBorders>
                  <w:vAlign w:val="center"/>
                </w:tcPr>
                <w:p w14:paraId="6ED0A147">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违法利用、占用长江流域河湖岸线。禁止在《长江岸线保护和开发利用总体规划》规定岸线保护区和保留区内投资建设除事关公共安全及公共利益的防洪护岸、河道治理、供水、生态环境保护、航道整治、国家重要基础设施以外的项目。</w:t>
                  </w:r>
                </w:p>
              </w:tc>
              <w:tc>
                <w:tcPr>
                  <w:tcW w:w="1175" w:type="pct"/>
                  <w:tcBorders>
                    <w:tl2br w:val="nil"/>
                    <w:tr2bl w:val="nil"/>
                  </w:tcBorders>
                  <w:vAlign w:val="center"/>
                </w:tcPr>
                <w:p w14:paraId="22339D67">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本项目建设用地不占用长江流域河湖岸线</w:t>
                  </w:r>
                </w:p>
              </w:tc>
              <w:tc>
                <w:tcPr>
                  <w:tcW w:w="623" w:type="pct"/>
                  <w:tcBorders>
                    <w:tl2br w:val="nil"/>
                    <w:tr2bl w:val="nil"/>
                  </w:tcBorders>
                  <w:vAlign w:val="center"/>
                </w:tcPr>
                <w:p w14:paraId="7F3FBBAB">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49CC0C63">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0EE73EA8">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6</w:t>
                  </w:r>
                </w:p>
              </w:tc>
              <w:tc>
                <w:tcPr>
                  <w:tcW w:w="2789" w:type="pct"/>
                  <w:tcBorders>
                    <w:tl2br w:val="nil"/>
                    <w:tr2bl w:val="nil"/>
                  </w:tcBorders>
                  <w:vAlign w:val="center"/>
                </w:tcPr>
                <w:p w14:paraId="31E625A4">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禁止未经许可在长江干支流及湖泊新设、改设或扩大排污口。</w:t>
                  </w:r>
                </w:p>
              </w:tc>
              <w:tc>
                <w:tcPr>
                  <w:tcW w:w="1175" w:type="pct"/>
                  <w:tcBorders>
                    <w:tl2br w:val="nil"/>
                    <w:tr2bl w:val="nil"/>
                  </w:tcBorders>
                  <w:vAlign w:val="center"/>
                </w:tcPr>
                <w:p w14:paraId="66C5716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本项目不新设、改设或扩大排污口</w:t>
                  </w:r>
                </w:p>
              </w:tc>
              <w:tc>
                <w:tcPr>
                  <w:tcW w:w="623" w:type="pct"/>
                  <w:tcBorders>
                    <w:tl2br w:val="nil"/>
                    <w:tr2bl w:val="nil"/>
                  </w:tcBorders>
                  <w:vAlign w:val="center"/>
                </w:tcPr>
                <w:p w14:paraId="1FBCD337">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4CBB9003">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6F6C890B">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7</w:t>
                  </w:r>
                </w:p>
              </w:tc>
              <w:tc>
                <w:tcPr>
                  <w:tcW w:w="2789" w:type="pct"/>
                  <w:tcBorders>
                    <w:tl2br w:val="nil"/>
                    <w:tr2bl w:val="nil"/>
                  </w:tcBorders>
                  <w:vAlign w:val="center"/>
                </w:tcPr>
                <w:p w14:paraId="44636F86">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禁止在“一江一口两湖七河”和332个水生生物保护区开展生产性捕捞。</w:t>
                  </w:r>
                </w:p>
              </w:tc>
              <w:tc>
                <w:tcPr>
                  <w:tcW w:w="1175" w:type="pct"/>
                  <w:tcBorders>
                    <w:tl2br w:val="nil"/>
                    <w:tr2bl w:val="nil"/>
                  </w:tcBorders>
                  <w:vAlign w:val="center"/>
                </w:tcPr>
                <w:p w14:paraId="60D5DA14">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本项目不开展捕捞活动</w:t>
                  </w:r>
                </w:p>
              </w:tc>
              <w:tc>
                <w:tcPr>
                  <w:tcW w:w="623" w:type="pct"/>
                  <w:tcBorders>
                    <w:tl2br w:val="nil"/>
                    <w:tr2bl w:val="nil"/>
                  </w:tcBorders>
                  <w:vAlign w:val="center"/>
                </w:tcPr>
                <w:p w14:paraId="68B12A71">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5F1026ED">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3A475780">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8</w:t>
                  </w:r>
                </w:p>
              </w:tc>
              <w:tc>
                <w:tcPr>
                  <w:tcW w:w="2789" w:type="pct"/>
                  <w:tcBorders>
                    <w:tl2br w:val="nil"/>
                    <w:tr2bl w:val="nil"/>
                  </w:tcBorders>
                  <w:vAlign w:val="center"/>
                </w:tcPr>
                <w:p w14:paraId="0072169E">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长江干支流、重要湖泊岸线一公里范围内新建、扩建化工园和化工项目。禁止在长江干流岸线三公里范围内和重要支流岸线一公里范围内新建、改建、扩建尾矿库、冶炼渣库和磷石膏库，以提升安全。生态环境保护水平为目的的改建除外。</w:t>
                  </w:r>
                </w:p>
              </w:tc>
              <w:tc>
                <w:tcPr>
                  <w:tcW w:w="1175" w:type="pct"/>
                  <w:tcBorders>
                    <w:tl2br w:val="nil"/>
                    <w:tr2bl w:val="nil"/>
                  </w:tcBorders>
                  <w:vAlign w:val="center"/>
                </w:tcPr>
                <w:p w14:paraId="1B2ED08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项目不属于化工项目以及尾矿库、冶炼渣库和磷石膏库。</w:t>
                  </w:r>
                </w:p>
              </w:tc>
              <w:tc>
                <w:tcPr>
                  <w:tcW w:w="623" w:type="pct"/>
                  <w:tcBorders>
                    <w:tl2br w:val="nil"/>
                    <w:tr2bl w:val="nil"/>
                  </w:tcBorders>
                  <w:vAlign w:val="center"/>
                </w:tcPr>
                <w:p w14:paraId="22518031">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33844DF7">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601AF32E">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9</w:t>
                  </w:r>
                </w:p>
              </w:tc>
              <w:tc>
                <w:tcPr>
                  <w:tcW w:w="2789" w:type="pct"/>
                  <w:tcBorders>
                    <w:tl2br w:val="nil"/>
                    <w:tr2bl w:val="nil"/>
                  </w:tcBorders>
                  <w:vAlign w:val="center"/>
                </w:tcPr>
                <w:p w14:paraId="472DBC12">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禁止在合规园区外新建、扩建钢铁、石化、化工、焦化、建材、有色、制浆、造纸等高污染项目。</w:t>
                  </w:r>
                </w:p>
              </w:tc>
              <w:tc>
                <w:tcPr>
                  <w:tcW w:w="1175" w:type="pct"/>
                  <w:tcBorders>
                    <w:tl2br w:val="nil"/>
                    <w:tr2bl w:val="nil"/>
                  </w:tcBorders>
                  <w:vAlign w:val="center"/>
                </w:tcPr>
                <w:p w14:paraId="381D20C9">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项目不属于上述高污染项目</w:t>
                  </w:r>
                </w:p>
              </w:tc>
              <w:tc>
                <w:tcPr>
                  <w:tcW w:w="623" w:type="pct"/>
                  <w:tcBorders>
                    <w:tl2br w:val="nil"/>
                    <w:tr2bl w:val="nil"/>
                  </w:tcBorders>
                  <w:vAlign w:val="center"/>
                </w:tcPr>
                <w:p w14:paraId="1C16EF74">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34287DB0">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57248482">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10</w:t>
                  </w:r>
                </w:p>
              </w:tc>
              <w:tc>
                <w:tcPr>
                  <w:tcW w:w="2789" w:type="pct"/>
                  <w:tcBorders>
                    <w:tl2br w:val="nil"/>
                    <w:tr2bl w:val="nil"/>
                  </w:tcBorders>
                  <w:vAlign w:val="center"/>
                </w:tcPr>
                <w:p w14:paraId="07935CDF">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禁止新建、扩建不符合国家石化、现代煤化工等产业布局规划的项目。</w:t>
                  </w:r>
                </w:p>
              </w:tc>
              <w:tc>
                <w:tcPr>
                  <w:tcW w:w="1175" w:type="pct"/>
                  <w:tcBorders>
                    <w:tl2br w:val="nil"/>
                    <w:tr2bl w:val="nil"/>
                  </w:tcBorders>
                  <w:vAlign w:val="center"/>
                </w:tcPr>
                <w:p w14:paraId="3BEC67D4">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本项目不属于石化、现代煤化工产业</w:t>
                  </w:r>
                </w:p>
              </w:tc>
              <w:tc>
                <w:tcPr>
                  <w:tcW w:w="623" w:type="pct"/>
                  <w:tcBorders>
                    <w:tl2br w:val="nil"/>
                    <w:tr2bl w:val="nil"/>
                  </w:tcBorders>
                  <w:vAlign w:val="center"/>
                </w:tcPr>
                <w:p w14:paraId="0A7B2FDE">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r w14:paraId="3963C2F5">
              <w:tblPrEx>
                <w:tblBorders>
                  <w:top w:val="single" w:color="000000" w:sz="4" w:space="0"/>
                  <w:left w:val="single" w:color="000000" w:sz="4" w:space="0"/>
                  <w:bottom w:val="single" w:color="000000" w:sz="4" w:space="0"/>
                  <w:right w:val="single" w:color="000000" w:sz="4" w:space="0"/>
                  <w:insideH w:val="single" w:color="000000" w:sz="2" w:space="0"/>
                  <w:insideV w:val="single" w:color="000000" w:sz="4" w:space="0"/>
                </w:tblBorders>
                <w:tblCellMar>
                  <w:top w:w="0" w:type="dxa"/>
                  <w:left w:w="0" w:type="dxa"/>
                  <w:bottom w:w="0" w:type="dxa"/>
                  <w:right w:w="0" w:type="dxa"/>
                </w:tblCellMar>
              </w:tblPrEx>
              <w:trPr>
                <w:cantSplit/>
                <w:trHeight w:val="23" w:hRule="atLeast"/>
                <w:jc w:val="center"/>
              </w:trPr>
              <w:tc>
                <w:tcPr>
                  <w:tcW w:w="411" w:type="pct"/>
                  <w:tcBorders>
                    <w:tl2br w:val="nil"/>
                    <w:tr2bl w:val="nil"/>
                  </w:tcBorders>
                  <w:vAlign w:val="center"/>
                </w:tcPr>
                <w:p w14:paraId="0DFFB3CA">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11</w:t>
                  </w:r>
                </w:p>
              </w:tc>
              <w:tc>
                <w:tcPr>
                  <w:tcW w:w="2789" w:type="pct"/>
                  <w:tcBorders>
                    <w:tl2br w:val="nil"/>
                    <w:tr2bl w:val="nil"/>
                  </w:tcBorders>
                  <w:vAlign w:val="center"/>
                </w:tcPr>
                <w:p w14:paraId="402EA94A">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禁止</w:t>
                  </w:r>
                  <w:r>
                    <w:rPr>
                      <w:rFonts w:hint="eastAsia"/>
                      <w:color w:val="auto"/>
                      <w:lang w:val="en-US" w:eastAsia="zh-CN"/>
                    </w:rPr>
                    <w:t>新建</w:t>
                  </w:r>
                  <w:r>
                    <w:rPr>
                      <w:rFonts w:hint="default"/>
                      <w:color w:val="auto"/>
                      <w:lang w:val="en-US" w:eastAsia="en-US"/>
                    </w:rPr>
                    <w:t>扩建法律法规和相关政策明令禁止的落后产能项目。禁止新建、扩建不符合国家产能置换要求的严重过剩产能行业的项目。禁止新建、扩建不符合要求的高能耗高排放项目。</w:t>
                  </w:r>
                </w:p>
              </w:tc>
              <w:tc>
                <w:tcPr>
                  <w:tcW w:w="1175" w:type="pct"/>
                  <w:tcBorders>
                    <w:tl2br w:val="nil"/>
                    <w:tr2bl w:val="nil"/>
                  </w:tcBorders>
                  <w:vAlign w:val="center"/>
                </w:tcPr>
                <w:p w14:paraId="1B575F18">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本项目不属于落后产能、产能过剩行业项目</w:t>
                  </w:r>
                </w:p>
              </w:tc>
              <w:tc>
                <w:tcPr>
                  <w:tcW w:w="623" w:type="pct"/>
                  <w:tcBorders>
                    <w:tl2br w:val="nil"/>
                    <w:tr2bl w:val="nil"/>
                  </w:tcBorders>
                  <w:vAlign w:val="center"/>
                </w:tcPr>
                <w:p w14:paraId="144EDA76">
                  <w:pPr>
                    <w:pStyle w:val="61"/>
                    <w:keepNext w:val="0"/>
                    <w:keepLines w:val="0"/>
                    <w:suppressLineNumbers w:val="0"/>
                    <w:bidi w:val="0"/>
                    <w:spacing w:before="0" w:beforeAutospacing="0" w:after="0" w:afterAutospacing="0"/>
                    <w:ind w:left="0" w:right="0"/>
                    <w:rPr>
                      <w:rFonts w:hint="default"/>
                      <w:color w:val="auto"/>
                      <w:lang w:val="en-US" w:eastAsia="en-US"/>
                    </w:rPr>
                  </w:pPr>
                  <w:r>
                    <w:rPr>
                      <w:rFonts w:hint="default"/>
                      <w:color w:val="auto"/>
                      <w:lang w:val="en-US" w:eastAsia="en-US"/>
                    </w:rPr>
                    <w:t>符合</w:t>
                  </w:r>
                </w:p>
              </w:tc>
            </w:tr>
          </w:tbl>
          <w:p w14:paraId="1C09AB81">
            <w:pPr>
              <w:keepNext/>
              <w:keepLines/>
              <w:widowControl w:val="0"/>
              <w:suppressLineNumbers w:val="0"/>
              <w:bidi w:val="0"/>
              <w:spacing w:before="0" w:beforeAutospacing="0" w:after="0" w:afterAutospacing="0" w:line="180" w:lineRule="exact"/>
              <w:ind w:left="0" w:right="0"/>
              <w:jc w:val="center"/>
              <w:outlineLvl w:val="2"/>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 xml:space="preserve"> </w:t>
            </w:r>
          </w:p>
          <w:p w14:paraId="589E27C0">
            <w:pPr>
              <w:keepNext w:val="0"/>
              <w:keepLines w:val="0"/>
              <w:widowControl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rPr>
            </w:pPr>
            <w:r>
              <w:rPr>
                <w:rFonts w:hint="eastAsia" w:ascii="Times New Roman" w:hAnsi="Times New Roman" w:eastAsia="宋体" w:cs="Times New Roman"/>
                <w:color w:val="auto"/>
                <w:kern w:val="2"/>
                <w:sz w:val="24"/>
                <w:szCs w:val="24"/>
                <w:lang w:val="en-US" w:eastAsia="zh-CN" w:bidi="ar-SA"/>
              </w:rPr>
              <w:t>因此，本项目建设符合《长江经济带发展负面清单指南（试行，2022年版）》（长江办</w:t>
            </w:r>
            <w:r>
              <w:rPr>
                <w:rFonts w:hint="eastAsia" w:cs="Times New Roman"/>
                <w:color w:val="auto"/>
                <w:kern w:val="2"/>
                <w:sz w:val="24"/>
                <w:szCs w:val="24"/>
                <w:lang w:val="en-US" w:eastAsia="zh-CN" w:bidi="ar-SA"/>
              </w:rPr>
              <w:t>〔2022〕7号</w:t>
            </w:r>
            <w:r>
              <w:rPr>
                <w:rFonts w:hint="eastAsia" w:ascii="Times New Roman" w:hAnsi="Times New Roman" w:eastAsia="宋体" w:cs="Times New Roman"/>
                <w:color w:val="auto"/>
                <w:kern w:val="2"/>
                <w:sz w:val="24"/>
                <w:szCs w:val="24"/>
                <w:lang w:val="en-US" w:eastAsia="zh-CN" w:bidi="ar-SA"/>
              </w:rPr>
              <w:t>）要求。</w:t>
            </w:r>
          </w:p>
          <w:p w14:paraId="4E3C3564">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项目与《江西省长江经济带发展负面清单实施细则（试行）》的通知（赣长江办〔2022〕7号）相符性分析</w:t>
            </w:r>
          </w:p>
          <w:p w14:paraId="07EAF58F">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与《江西省长江经济带发展负面清单实施细则（试行）》的通知（赣长江办</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2022</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7号）符合性分析</w:t>
            </w:r>
          </w:p>
          <w:tbl>
            <w:tblPr>
              <w:tblStyle w:val="29"/>
              <w:tblW w:w="6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994"/>
              <w:gridCol w:w="1645"/>
              <w:gridCol w:w="572"/>
            </w:tblGrid>
            <w:tr w14:paraId="1E88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3396" w:type="pct"/>
                  <w:gridSpan w:val="2"/>
                  <w:tcBorders>
                    <w:tl2br w:val="nil"/>
                    <w:tr2bl w:val="nil"/>
                  </w:tcBorders>
                  <w:noWrap w:val="0"/>
                  <w:vAlign w:val="center"/>
                </w:tcPr>
                <w:p w14:paraId="63AB2DE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具体要求</w:t>
                  </w:r>
                </w:p>
              </w:tc>
              <w:tc>
                <w:tcPr>
                  <w:tcW w:w="1189" w:type="pct"/>
                  <w:tcBorders>
                    <w:tl2br w:val="nil"/>
                    <w:tr2bl w:val="nil"/>
                  </w:tcBorders>
                  <w:noWrap w:val="0"/>
                  <w:vAlign w:val="center"/>
                </w:tcPr>
                <w:p w14:paraId="0647B137">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项目情况</w:t>
                  </w:r>
                </w:p>
              </w:tc>
              <w:tc>
                <w:tcPr>
                  <w:tcW w:w="413" w:type="pct"/>
                  <w:tcBorders>
                    <w:tl2br w:val="nil"/>
                    <w:tr2bl w:val="nil"/>
                  </w:tcBorders>
                  <w:noWrap w:val="0"/>
                  <w:vAlign w:val="center"/>
                </w:tcPr>
                <w:p w14:paraId="1FAE9CA0">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符合性</w:t>
                  </w:r>
                </w:p>
              </w:tc>
            </w:tr>
            <w:tr w14:paraId="746D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restart"/>
                  <w:tcBorders>
                    <w:tl2br w:val="nil"/>
                    <w:tr2bl w:val="nil"/>
                  </w:tcBorders>
                  <w:noWrap w:val="0"/>
                  <w:vAlign w:val="center"/>
                </w:tcPr>
                <w:p w14:paraId="1A7D68C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严格岸线河段管控</w:t>
                  </w:r>
                </w:p>
              </w:tc>
              <w:tc>
                <w:tcPr>
                  <w:tcW w:w="2885" w:type="pct"/>
                  <w:tcBorders>
                    <w:tl2br w:val="nil"/>
                    <w:tr2bl w:val="nil"/>
                  </w:tcBorders>
                  <w:noWrap w:val="0"/>
                  <w:vAlign w:val="center"/>
                </w:tcPr>
                <w:p w14:paraId="1150FF5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禁止建设不符合国家和省级港口布局规划以及港口总体规划的码头项目</w:t>
                  </w:r>
                  <w:r>
                    <w:rPr>
                      <w:rFonts w:hint="eastAsia"/>
                      <w:color w:val="auto"/>
                      <w:lang w:val="en-US" w:eastAsia="zh-CN"/>
                    </w:rPr>
                    <w:t>，</w:t>
                  </w:r>
                  <w:r>
                    <w:rPr>
                      <w:rFonts w:hint="default"/>
                      <w:color w:val="auto"/>
                      <w:lang w:val="en-US" w:eastAsia="zh-CN"/>
                    </w:rPr>
                    <w:t>禁止建设不符合《长江干线过江通道布局规划》的过长江通道项目。</w:t>
                  </w:r>
                </w:p>
              </w:tc>
              <w:tc>
                <w:tcPr>
                  <w:tcW w:w="1189" w:type="pct"/>
                  <w:tcBorders>
                    <w:tl2br w:val="nil"/>
                    <w:tr2bl w:val="nil"/>
                  </w:tcBorders>
                  <w:noWrap w:val="0"/>
                  <w:vAlign w:val="center"/>
                </w:tcPr>
                <w:p w14:paraId="42FE8CB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项目</w:t>
                  </w:r>
                  <w:r>
                    <w:rPr>
                      <w:rFonts w:hint="eastAsia"/>
                      <w:color w:val="auto"/>
                      <w:lang w:val="en-US" w:eastAsia="zh-CN"/>
                    </w:rPr>
                    <w:t>位于江西省高安市蓝坊镇湾头，</w:t>
                  </w:r>
                  <w:r>
                    <w:rPr>
                      <w:rFonts w:hint="default"/>
                      <w:color w:val="auto"/>
                      <w:lang w:val="en-US" w:eastAsia="zh-CN"/>
                    </w:rPr>
                    <w:t>不属于码头项目和过长江通道项目。</w:t>
                  </w:r>
                </w:p>
              </w:tc>
              <w:tc>
                <w:tcPr>
                  <w:tcW w:w="413" w:type="pct"/>
                  <w:tcBorders>
                    <w:tl2br w:val="nil"/>
                    <w:tr2bl w:val="nil"/>
                  </w:tcBorders>
                  <w:noWrap w:val="0"/>
                  <w:vAlign w:val="center"/>
                </w:tcPr>
                <w:p w14:paraId="0BEE0F9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6CC48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797F2681">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242136A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禁止在自然保护区核心区、缓冲区的岸线和河段范围内投资建设旅游和生产经营项目。</w:t>
                  </w:r>
                </w:p>
              </w:tc>
              <w:tc>
                <w:tcPr>
                  <w:tcW w:w="1189" w:type="pct"/>
                  <w:tcBorders>
                    <w:tl2br w:val="nil"/>
                    <w:tr2bl w:val="nil"/>
                  </w:tcBorders>
                  <w:noWrap w:val="0"/>
                  <w:vAlign w:val="center"/>
                </w:tcPr>
                <w:p w14:paraId="60B531B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项目不在自然保护区核心区、缓冲区的岸线和河段范围内。</w:t>
                  </w:r>
                </w:p>
              </w:tc>
              <w:tc>
                <w:tcPr>
                  <w:tcW w:w="413" w:type="pct"/>
                  <w:tcBorders>
                    <w:tl2br w:val="nil"/>
                    <w:tr2bl w:val="nil"/>
                  </w:tcBorders>
                  <w:noWrap w:val="0"/>
                  <w:vAlign w:val="center"/>
                </w:tcPr>
                <w:p w14:paraId="6B2696C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144BA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0F59D0E8">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4307E9D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禁止在风景名胜区核心景区的岸线和河段范围内开展以下行为：</w:t>
                  </w:r>
                </w:p>
                <w:p w14:paraId="66D2474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w:t>
                  </w:r>
                  <w:r>
                    <w:rPr>
                      <w:rFonts w:hint="default"/>
                      <w:color w:val="auto"/>
                      <w:lang w:val="en-US" w:eastAsia="zh-CN"/>
                    </w:rPr>
                    <w:t>开山、采石、开矿、开荒、修坟立碑等破坏景观、植被和地形地貌的活动。</w:t>
                  </w:r>
                </w:p>
                <w:p w14:paraId="3E29DBE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（二）</w:t>
                  </w:r>
                  <w:r>
                    <w:rPr>
                      <w:rFonts w:hint="default"/>
                      <w:color w:val="auto"/>
                      <w:lang w:val="en-US" w:eastAsia="zh-CN"/>
                    </w:rPr>
                    <w:t>修建储存爆炸性、易燃性、放射性、毒害性、腐蚀性物品的设施。</w:t>
                  </w:r>
                </w:p>
                <w:p w14:paraId="271628B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（三）</w:t>
                  </w:r>
                  <w:r>
                    <w:rPr>
                      <w:rFonts w:hint="default"/>
                      <w:color w:val="auto"/>
                      <w:lang w:val="en-US" w:eastAsia="zh-CN"/>
                    </w:rPr>
                    <w:t>违反风景名胜区规划</w:t>
                  </w:r>
                  <w:r>
                    <w:rPr>
                      <w:rFonts w:hint="eastAsia"/>
                      <w:color w:val="auto"/>
                      <w:lang w:val="en-US" w:eastAsia="zh-CN"/>
                    </w:rPr>
                    <w:t>，</w:t>
                  </w:r>
                  <w:r>
                    <w:rPr>
                      <w:rFonts w:hint="default"/>
                      <w:color w:val="auto"/>
                      <w:lang w:val="en-US" w:eastAsia="zh-CN"/>
                    </w:rPr>
                    <w:t>建设与风景名胜资源保护无关的设施。</w:t>
                  </w:r>
                </w:p>
              </w:tc>
              <w:tc>
                <w:tcPr>
                  <w:tcW w:w="1189" w:type="pct"/>
                  <w:tcBorders>
                    <w:tl2br w:val="nil"/>
                    <w:tr2bl w:val="nil"/>
                  </w:tcBorders>
                  <w:noWrap w:val="0"/>
                  <w:vAlign w:val="center"/>
                </w:tcPr>
                <w:p w14:paraId="2E7E681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本项目不在</w:t>
                  </w:r>
                  <w:r>
                    <w:rPr>
                      <w:rFonts w:hint="default"/>
                      <w:color w:val="auto"/>
                      <w:lang w:val="en-US" w:eastAsia="zh-CN"/>
                    </w:rPr>
                    <w:t>风景名胜区核心景区的岸线和河段范围内。</w:t>
                  </w:r>
                </w:p>
                <w:p w14:paraId="40F882ED">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413" w:type="pct"/>
                  <w:tcBorders>
                    <w:tl2br w:val="nil"/>
                    <w:tr2bl w:val="nil"/>
                  </w:tcBorders>
                  <w:noWrap w:val="0"/>
                  <w:vAlign w:val="center"/>
                </w:tcPr>
                <w:p w14:paraId="2AD46C7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3D04E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1DFFEDFE">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68E05B0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禁止在饮用水水源一级保护区的岸线和河段范围内开展下列行为：</w:t>
                  </w:r>
                </w:p>
                <w:p w14:paraId="2882509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w:t>
                  </w:r>
                  <w:r>
                    <w:rPr>
                      <w:rFonts w:hint="default"/>
                      <w:color w:val="auto"/>
                      <w:lang w:val="en-US" w:eastAsia="zh-CN"/>
                    </w:rPr>
                    <w:t>新建、改建、扩建与供水设施和保护水源无关的建设项目</w:t>
                  </w:r>
                  <w:r>
                    <w:rPr>
                      <w:rFonts w:hint="eastAsia"/>
                      <w:color w:val="auto"/>
                      <w:lang w:val="en-US" w:eastAsia="zh-CN"/>
                    </w:rPr>
                    <w:t>；</w:t>
                  </w:r>
                  <w:r>
                    <w:rPr>
                      <w:rFonts w:hint="default"/>
                      <w:color w:val="auto"/>
                      <w:lang w:val="en-US" w:eastAsia="zh-CN"/>
                    </w:rPr>
                    <w:t>已建成的与供水设施和保护水源无关的建设项目，由县级以上人民政府责令拆除或者关闭。</w:t>
                  </w:r>
                </w:p>
                <w:p w14:paraId="520CF72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（二）</w:t>
                  </w:r>
                  <w:r>
                    <w:rPr>
                      <w:rFonts w:hint="default"/>
                      <w:color w:val="auto"/>
                      <w:lang w:val="en-US" w:eastAsia="zh-CN"/>
                    </w:rPr>
                    <w:t>禁止在饮用水水源一级保护区内从事网箱养殖、旅游、游泳、垂钓或者其他可能污染饮用水水体的活动。</w:t>
                  </w:r>
                </w:p>
              </w:tc>
              <w:tc>
                <w:tcPr>
                  <w:tcW w:w="1189" w:type="pct"/>
                  <w:tcBorders>
                    <w:tl2br w:val="nil"/>
                    <w:tr2bl w:val="nil"/>
                  </w:tcBorders>
                  <w:noWrap w:val="0"/>
                  <w:vAlign w:val="center"/>
                </w:tcPr>
                <w:p w14:paraId="0D9F7F3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1.本</w:t>
                  </w:r>
                  <w:r>
                    <w:rPr>
                      <w:rFonts w:hint="default"/>
                      <w:color w:val="auto"/>
                      <w:lang w:val="en-US" w:eastAsia="zh-CN"/>
                    </w:rPr>
                    <w:t>项目不在饮用水水源一级保护区的岸线和河段范围内。</w:t>
                  </w:r>
                </w:p>
                <w:p w14:paraId="603BED3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2.本项目不从</w:t>
                  </w:r>
                  <w:r>
                    <w:rPr>
                      <w:rFonts w:hint="default"/>
                      <w:color w:val="auto"/>
                      <w:lang w:val="en-US" w:eastAsia="zh-CN"/>
                    </w:rPr>
                    <w:t>事网箱养殖、旅游、游泳、垂钓或者其他可能污染饮用水水体的活动。</w:t>
                  </w:r>
                </w:p>
              </w:tc>
              <w:tc>
                <w:tcPr>
                  <w:tcW w:w="413" w:type="pct"/>
                  <w:tcBorders>
                    <w:tl2br w:val="nil"/>
                    <w:tr2bl w:val="nil"/>
                  </w:tcBorders>
                  <w:noWrap w:val="0"/>
                  <w:vAlign w:val="center"/>
                </w:tcPr>
                <w:p w14:paraId="5D0503F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6F25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03918C0C">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1734BAE1">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禁止在饮用水水源二级保护区的岸线和河段范围内开展下列行为：</w:t>
                  </w:r>
                </w:p>
                <w:p w14:paraId="6613F04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w:t>
                  </w:r>
                  <w:r>
                    <w:rPr>
                      <w:rFonts w:hint="default"/>
                      <w:color w:val="auto"/>
                      <w:lang w:val="en-US" w:eastAsia="zh-CN"/>
                    </w:rPr>
                    <w:t>新建、改建、扩建排放污染物的建设项目；已建成的排放污染物的建设项目，由县级以上人民政府责令拆除或者关闭。</w:t>
                  </w:r>
                </w:p>
                <w:p w14:paraId="6F3AA39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（二）</w:t>
                  </w:r>
                  <w:r>
                    <w:rPr>
                      <w:rFonts w:hint="default"/>
                      <w:color w:val="auto"/>
                      <w:lang w:val="en-US" w:eastAsia="zh-CN"/>
                    </w:rPr>
                    <w:t>在饮用水水源二级保护区内从事网箱养殖、旅游等活动的，应当按照规定采取措施</w:t>
                  </w:r>
                  <w:r>
                    <w:rPr>
                      <w:rFonts w:hint="eastAsia"/>
                      <w:color w:val="auto"/>
                      <w:lang w:val="en-US" w:eastAsia="zh-CN"/>
                    </w:rPr>
                    <w:t>，</w:t>
                  </w:r>
                  <w:r>
                    <w:rPr>
                      <w:rFonts w:hint="default"/>
                      <w:color w:val="auto"/>
                      <w:lang w:val="en-US" w:eastAsia="zh-CN"/>
                    </w:rPr>
                    <w:t>防止污染饮用水水体。</w:t>
                  </w:r>
                </w:p>
              </w:tc>
              <w:tc>
                <w:tcPr>
                  <w:tcW w:w="1189" w:type="pct"/>
                  <w:tcBorders>
                    <w:tl2br w:val="nil"/>
                    <w:tr2bl w:val="nil"/>
                  </w:tcBorders>
                  <w:noWrap w:val="0"/>
                  <w:vAlign w:val="center"/>
                </w:tcPr>
                <w:p w14:paraId="5DF7635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1.本</w:t>
                  </w:r>
                  <w:r>
                    <w:rPr>
                      <w:rFonts w:hint="default"/>
                      <w:color w:val="auto"/>
                      <w:lang w:val="en-US" w:eastAsia="zh-CN"/>
                    </w:rPr>
                    <w:t>项目不在饮用水水源二级保护区的岸线和河段范围内。</w:t>
                  </w:r>
                </w:p>
                <w:p w14:paraId="589A2E8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2.本项目不从</w:t>
                  </w:r>
                  <w:r>
                    <w:rPr>
                      <w:rFonts w:hint="default"/>
                      <w:color w:val="auto"/>
                      <w:lang w:val="en-US" w:eastAsia="zh-CN"/>
                    </w:rPr>
                    <w:t>事网箱养殖、旅游或者其他可能污染饮用水水体的活动。</w:t>
                  </w:r>
                </w:p>
              </w:tc>
              <w:tc>
                <w:tcPr>
                  <w:tcW w:w="413" w:type="pct"/>
                  <w:tcBorders>
                    <w:tl2br w:val="nil"/>
                    <w:tr2bl w:val="nil"/>
                  </w:tcBorders>
                  <w:noWrap w:val="0"/>
                  <w:vAlign w:val="center"/>
                </w:tcPr>
                <w:p w14:paraId="1C955000">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5194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3060CB4C">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7A186AA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禁止在水产种质资源保护区的岸线和河段范围内新建围湖</w:t>
                  </w:r>
                  <w:r>
                    <w:rPr>
                      <w:rFonts w:hint="eastAsia"/>
                      <w:color w:val="auto"/>
                      <w:lang w:val="en-US" w:eastAsia="zh-CN"/>
                    </w:rPr>
                    <w:t>（河）</w:t>
                  </w:r>
                  <w:r>
                    <w:rPr>
                      <w:rFonts w:hint="default"/>
                      <w:color w:val="auto"/>
                      <w:lang w:val="en-US" w:eastAsia="zh-CN"/>
                    </w:rPr>
                    <w:t>造田</w:t>
                  </w:r>
                  <w:r>
                    <w:rPr>
                      <w:rFonts w:hint="eastAsia"/>
                      <w:color w:val="auto"/>
                      <w:lang w:val="en-US" w:eastAsia="zh-CN"/>
                    </w:rPr>
                    <w:t>（地）</w:t>
                  </w:r>
                  <w:r>
                    <w:rPr>
                      <w:rFonts w:hint="default"/>
                      <w:color w:val="auto"/>
                      <w:lang w:val="en-US" w:eastAsia="zh-CN"/>
                    </w:rPr>
                    <w:t>等投资建设项目。单位和个人在水产种质资源保护区内从事水生生物资源调查、科学研究、教学实习、参观游览、影视拍摄等活动</w:t>
                  </w:r>
                  <w:r>
                    <w:rPr>
                      <w:rFonts w:hint="eastAsia"/>
                      <w:color w:val="auto"/>
                      <w:lang w:val="en-US" w:eastAsia="zh-CN"/>
                    </w:rPr>
                    <w:t>，</w:t>
                  </w:r>
                  <w:r>
                    <w:rPr>
                      <w:rFonts w:hint="default"/>
                      <w:color w:val="auto"/>
                      <w:lang w:val="en-US" w:eastAsia="zh-CN"/>
                    </w:rPr>
                    <w:t>应当遵守有关法律法规和保护区管理制度，不得损害水产种质资源及其生存环境。</w:t>
                  </w:r>
                </w:p>
              </w:tc>
              <w:tc>
                <w:tcPr>
                  <w:tcW w:w="1189" w:type="pct"/>
                  <w:tcBorders>
                    <w:tl2br w:val="nil"/>
                    <w:tr2bl w:val="nil"/>
                  </w:tcBorders>
                  <w:noWrap w:val="0"/>
                  <w:vAlign w:val="center"/>
                </w:tcPr>
                <w:p w14:paraId="5C50DC0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w:t>
                  </w:r>
                  <w:r>
                    <w:rPr>
                      <w:rFonts w:hint="default"/>
                      <w:color w:val="auto"/>
                      <w:lang w:val="en-US" w:eastAsia="zh-CN"/>
                    </w:rPr>
                    <w:t>项目不在水产种质资源保护区的岸线和河段范围内，</w:t>
                  </w:r>
                  <w:r>
                    <w:rPr>
                      <w:rFonts w:hint="eastAsia"/>
                      <w:color w:val="auto"/>
                      <w:lang w:val="en-US" w:eastAsia="zh-CN"/>
                    </w:rPr>
                    <w:t>严格</w:t>
                  </w:r>
                  <w:r>
                    <w:rPr>
                      <w:rFonts w:hint="default"/>
                      <w:color w:val="auto"/>
                      <w:lang w:val="en-US" w:eastAsia="zh-CN"/>
                    </w:rPr>
                    <w:t>遵守有关法律法规和保护区管理制度，不从事、不损害水产种质资源及其生存环境。</w:t>
                  </w:r>
                </w:p>
              </w:tc>
              <w:tc>
                <w:tcPr>
                  <w:tcW w:w="413" w:type="pct"/>
                  <w:tcBorders>
                    <w:tl2br w:val="nil"/>
                    <w:tr2bl w:val="nil"/>
                  </w:tcBorders>
                  <w:noWrap w:val="0"/>
                  <w:vAlign w:val="center"/>
                </w:tcPr>
                <w:p w14:paraId="31189A4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2CB7A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494E4F60">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63B7C64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除国家规定的外，禁止在国家湿地公园的岸线和河段范围内挖沙、采矿以及任何不符合主体功能定位的投资建设项目。</w:t>
                  </w:r>
                </w:p>
              </w:tc>
              <w:tc>
                <w:tcPr>
                  <w:tcW w:w="1189" w:type="pct"/>
                  <w:tcBorders>
                    <w:tl2br w:val="nil"/>
                    <w:tr2bl w:val="nil"/>
                  </w:tcBorders>
                  <w:noWrap w:val="0"/>
                  <w:vAlign w:val="center"/>
                </w:tcPr>
                <w:p w14:paraId="1479E36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ascii="Times New Roman" w:hAnsi="Times New Roman" w:cs="Times New Roman"/>
                      <w:color w:val="auto"/>
                      <w:lang w:val="en-US" w:eastAsia="zh-CN"/>
                    </w:rPr>
                    <w:t>本项目</w:t>
                  </w:r>
                  <w:r>
                    <w:rPr>
                      <w:rFonts w:hint="default" w:ascii="Times New Roman" w:hAnsi="Times New Roman" w:cs="Times New Roman"/>
                      <w:color w:val="auto"/>
                      <w:lang w:val="en-US" w:eastAsia="zh-CN"/>
                    </w:rPr>
                    <w:t>不在国家级湿地公园的岸线和河段范围内。</w:t>
                  </w:r>
                </w:p>
              </w:tc>
              <w:tc>
                <w:tcPr>
                  <w:tcW w:w="413" w:type="pct"/>
                  <w:tcBorders>
                    <w:tl2br w:val="nil"/>
                    <w:tr2bl w:val="nil"/>
                  </w:tcBorders>
                  <w:noWrap w:val="0"/>
                  <w:vAlign w:val="center"/>
                </w:tcPr>
                <w:p w14:paraId="5B26DED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0FB49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4294F995">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4FE2D39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189" w:type="pct"/>
                  <w:tcBorders>
                    <w:tl2br w:val="nil"/>
                    <w:tr2bl w:val="nil"/>
                  </w:tcBorders>
                  <w:noWrap w:val="0"/>
                  <w:vAlign w:val="center"/>
                </w:tcPr>
                <w:p w14:paraId="540A10BE">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w:t>
                  </w:r>
                  <w:r>
                    <w:rPr>
                      <w:rFonts w:hint="default"/>
                      <w:color w:val="auto"/>
                      <w:lang w:val="en-US" w:eastAsia="zh-CN"/>
                    </w:rPr>
                    <w:t>项目不在《长江岸线保护和开发利用总体规划》划定的岸线保护区和保留区内。</w:t>
                  </w:r>
                </w:p>
              </w:tc>
              <w:tc>
                <w:tcPr>
                  <w:tcW w:w="413" w:type="pct"/>
                  <w:tcBorders>
                    <w:tl2br w:val="nil"/>
                    <w:tr2bl w:val="nil"/>
                  </w:tcBorders>
                  <w:noWrap w:val="0"/>
                  <w:vAlign w:val="center"/>
                </w:tcPr>
                <w:p w14:paraId="67C8D2C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130D9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780B579F">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7F13E31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禁止在《全国重要江河湖泊水功能区划》划定的河段及湖泊保护区、保留区内投资建设不利于水资源及自然生态保护的项目。</w:t>
                  </w:r>
                </w:p>
              </w:tc>
              <w:tc>
                <w:tcPr>
                  <w:tcW w:w="1189" w:type="pct"/>
                  <w:tcBorders>
                    <w:tl2br w:val="nil"/>
                    <w:tr2bl w:val="nil"/>
                  </w:tcBorders>
                  <w:noWrap w:val="0"/>
                  <w:vAlign w:val="center"/>
                </w:tcPr>
                <w:p w14:paraId="67AE1C6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w:t>
                  </w:r>
                  <w:r>
                    <w:rPr>
                      <w:rFonts w:hint="default"/>
                      <w:color w:val="auto"/>
                      <w:lang w:val="en-US" w:eastAsia="zh-CN"/>
                    </w:rPr>
                    <w:t>项目不在《全国重要江河湖泊水功能区划》划定的河段及湖泊保护区、保留区内。</w:t>
                  </w:r>
                </w:p>
              </w:tc>
              <w:tc>
                <w:tcPr>
                  <w:tcW w:w="413" w:type="pct"/>
                  <w:tcBorders>
                    <w:tl2br w:val="nil"/>
                    <w:tr2bl w:val="nil"/>
                  </w:tcBorders>
                  <w:noWrap w:val="0"/>
                  <w:vAlign w:val="center"/>
                </w:tcPr>
                <w:p w14:paraId="0239BB6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78AE6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restart"/>
                  <w:tcBorders>
                    <w:tl2br w:val="nil"/>
                    <w:tr2bl w:val="nil"/>
                  </w:tcBorders>
                  <w:noWrap w:val="0"/>
                  <w:vAlign w:val="center"/>
                </w:tcPr>
                <w:p w14:paraId="22599C3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严控区域活动管控</w:t>
                  </w:r>
                </w:p>
              </w:tc>
              <w:tc>
                <w:tcPr>
                  <w:tcW w:w="2885" w:type="pct"/>
                  <w:tcBorders>
                    <w:tl2br w:val="nil"/>
                    <w:tr2bl w:val="nil"/>
                  </w:tcBorders>
                  <w:noWrap w:val="0"/>
                  <w:vAlign w:val="center"/>
                </w:tcPr>
                <w:p w14:paraId="45A64E4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禁止未经许可在长江干支流及湖泊新设、改设或扩大排污口。</w:t>
                  </w:r>
                </w:p>
              </w:tc>
              <w:tc>
                <w:tcPr>
                  <w:tcW w:w="1189" w:type="pct"/>
                  <w:tcBorders>
                    <w:tl2br w:val="nil"/>
                    <w:tr2bl w:val="nil"/>
                  </w:tcBorders>
                  <w:noWrap w:val="0"/>
                  <w:vAlign w:val="center"/>
                </w:tcPr>
                <w:p w14:paraId="4A203C0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w:t>
                  </w:r>
                  <w:r>
                    <w:rPr>
                      <w:rFonts w:hint="default"/>
                      <w:color w:val="auto"/>
                      <w:lang w:val="en-US" w:eastAsia="zh-CN"/>
                    </w:rPr>
                    <w:t>项目</w:t>
                  </w:r>
                  <w:r>
                    <w:rPr>
                      <w:rFonts w:hint="eastAsia"/>
                      <w:color w:val="auto"/>
                      <w:lang w:val="en-US" w:eastAsia="zh-CN"/>
                    </w:rPr>
                    <w:t>不新增废水排放总量</w:t>
                  </w:r>
                  <w:r>
                    <w:rPr>
                      <w:rFonts w:hint="default"/>
                      <w:color w:val="auto"/>
                      <w:lang w:val="en-US" w:eastAsia="zh-CN"/>
                    </w:rPr>
                    <w:t>。</w:t>
                  </w:r>
                </w:p>
              </w:tc>
              <w:tc>
                <w:tcPr>
                  <w:tcW w:w="413" w:type="pct"/>
                  <w:tcBorders>
                    <w:tl2br w:val="nil"/>
                    <w:tr2bl w:val="nil"/>
                  </w:tcBorders>
                  <w:noWrap w:val="0"/>
                  <w:vAlign w:val="center"/>
                </w:tcPr>
                <w:p w14:paraId="7AEFFAA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4BDE2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02316907">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030FBD3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禁止在长江干流江西段、鄱阳湖和《率先全面禁捕的长江流域水生生物保护区名录》中的水生生物保护区开展生产性捕捞。</w:t>
                  </w:r>
                </w:p>
              </w:tc>
              <w:tc>
                <w:tcPr>
                  <w:tcW w:w="1189" w:type="pct"/>
                  <w:tcBorders>
                    <w:tl2br w:val="nil"/>
                    <w:tr2bl w:val="nil"/>
                  </w:tcBorders>
                  <w:noWrap w:val="0"/>
                  <w:vAlign w:val="center"/>
                </w:tcPr>
                <w:p w14:paraId="71DB476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w:t>
                  </w:r>
                  <w:r>
                    <w:rPr>
                      <w:rFonts w:hint="default"/>
                      <w:color w:val="auto"/>
                      <w:lang w:val="en-US" w:eastAsia="zh-CN"/>
                    </w:rPr>
                    <w:t>项目不</w:t>
                  </w:r>
                  <w:r>
                    <w:rPr>
                      <w:rFonts w:hint="eastAsia"/>
                      <w:color w:val="auto"/>
                      <w:lang w:val="en-US" w:eastAsia="zh-CN"/>
                    </w:rPr>
                    <w:t>属于在</w:t>
                  </w:r>
                  <w:r>
                    <w:rPr>
                      <w:rFonts w:hint="default"/>
                      <w:color w:val="auto"/>
                      <w:lang w:val="en-US" w:eastAsia="zh-CN"/>
                    </w:rPr>
                    <w:t>水生生物保护区开展生产性捕捞</w:t>
                  </w:r>
                  <w:r>
                    <w:rPr>
                      <w:rFonts w:hint="eastAsia"/>
                      <w:color w:val="auto"/>
                      <w:lang w:val="en-US" w:eastAsia="zh-CN"/>
                    </w:rPr>
                    <w:t>项目</w:t>
                  </w:r>
                  <w:r>
                    <w:rPr>
                      <w:rFonts w:hint="default"/>
                      <w:color w:val="auto"/>
                      <w:lang w:val="en-US" w:eastAsia="zh-CN"/>
                    </w:rPr>
                    <w:t>。</w:t>
                  </w:r>
                </w:p>
              </w:tc>
              <w:tc>
                <w:tcPr>
                  <w:tcW w:w="413" w:type="pct"/>
                  <w:tcBorders>
                    <w:tl2br w:val="nil"/>
                    <w:tr2bl w:val="nil"/>
                  </w:tcBorders>
                  <w:noWrap w:val="0"/>
                  <w:vAlign w:val="center"/>
                </w:tcPr>
                <w:p w14:paraId="7897013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76254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380F0F63">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442C010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禁止在长江干支流、重要湖泊岸线一公里范围内新建、扩建化工园区和化工项目。</w:t>
                  </w:r>
                </w:p>
              </w:tc>
              <w:tc>
                <w:tcPr>
                  <w:tcW w:w="1189" w:type="pct"/>
                  <w:tcBorders>
                    <w:tl2br w:val="nil"/>
                    <w:tr2bl w:val="nil"/>
                  </w:tcBorders>
                  <w:noWrap w:val="0"/>
                  <w:vAlign w:val="center"/>
                </w:tcPr>
                <w:p w14:paraId="69ECC78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项目不属于</w:t>
                  </w:r>
                  <w:r>
                    <w:rPr>
                      <w:rFonts w:hint="default"/>
                      <w:color w:val="auto"/>
                      <w:lang w:val="en-US" w:eastAsia="zh-CN"/>
                    </w:rPr>
                    <w:t>新建、扩建化工园区和化工项目</w:t>
                  </w:r>
                </w:p>
              </w:tc>
              <w:tc>
                <w:tcPr>
                  <w:tcW w:w="413" w:type="pct"/>
                  <w:tcBorders>
                    <w:tl2br w:val="nil"/>
                    <w:tr2bl w:val="nil"/>
                  </w:tcBorders>
                  <w:noWrap w:val="0"/>
                  <w:vAlign w:val="center"/>
                </w:tcPr>
                <w:p w14:paraId="307015F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3DCD3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53AA64B4">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51ED7DA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禁止在长江干流岸线三公里范围内和重要支流岸线一公里范围内新建、改建、扩建尾矿库、冶炼渣库和磷石膏库，以提升安全、生态环境保护水平为目的的改建除外。</w:t>
                  </w:r>
                </w:p>
              </w:tc>
              <w:tc>
                <w:tcPr>
                  <w:tcW w:w="1189" w:type="pct"/>
                  <w:tcBorders>
                    <w:tl2br w:val="nil"/>
                    <w:tr2bl w:val="nil"/>
                  </w:tcBorders>
                  <w:noWrap w:val="0"/>
                  <w:vAlign w:val="center"/>
                </w:tcPr>
                <w:p w14:paraId="747A2B73">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项目不属于</w:t>
                  </w:r>
                  <w:r>
                    <w:rPr>
                      <w:rFonts w:hint="default"/>
                      <w:color w:val="auto"/>
                      <w:lang w:val="en-US" w:eastAsia="zh-CN"/>
                    </w:rPr>
                    <w:t>尾矿库、冶炼渣库和磷石膏库</w:t>
                  </w:r>
                </w:p>
              </w:tc>
              <w:tc>
                <w:tcPr>
                  <w:tcW w:w="413" w:type="pct"/>
                  <w:tcBorders>
                    <w:tl2br w:val="nil"/>
                    <w:tr2bl w:val="nil"/>
                  </w:tcBorders>
                  <w:noWrap w:val="0"/>
                  <w:vAlign w:val="center"/>
                </w:tcPr>
                <w:p w14:paraId="1A90A8C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62F8D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7FCCCCAA">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6A85791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禁止在合规园区外新建、扩建钢铁、石化、化工、焦化、建材、有色、制浆造纸等高污染项目。</w:t>
                  </w:r>
                </w:p>
              </w:tc>
              <w:tc>
                <w:tcPr>
                  <w:tcW w:w="1189" w:type="pct"/>
                  <w:tcBorders>
                    <w:tl2br w:val="nil"/>
                    <w:tr2bl w:val="nil"/>
                  </w:tcBorders>
                  <w:noWrap w:val="0"/>
                  <w:vAlign w:val="center"/>
                </w:tcPr>
                <w:p w14:paraId="7E52D500">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w:t>
                  </w:r>
                  <w:r>
                    <w:rPr>
                      <w:rFonts w:hint="default"/>
                      <w:color w:val="auto"/>
                      <w:lang w:val="en-US" w:eastAsia="zh-CN"/>
                    </w:rPr>
                    <w:t>不属于钢铁、石化、化工等高污染项目。</w:t>
                  </w:r>
                </w:p>
              </w:tc>
              <w:tc>
                <w:tcPr>
                  <w:tcW w:w="413" w:type="pct"/>
                  <w:tcBorders>
                    <w:tl2br w:val="nil"/>
                    <w:tr2bl w:val="nil"/>
                  </w:tcBorders>
                  <w:noWrap w:val="0"/>
                  <w:vAlign w:val="center"/>
                </w:tcPr>
                <w:p w14:paraId="16BA96E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7DBC5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restart"/>
                  <w:tcBorders>
                    <w:tl2br w:val="nil"/>
                    <w:tr2bl w:val="nil"/>
                  </w:tcBorders>
                  <w:noWrap w:val="0"/>
                  <w:vAlign w:val="center"/>
                </w:tcPr>
                <w:p w14:paraId="0798C8A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严格行业</w:t>
                  </w:r>
                </w:p>
                <w:p w14:paraId="33EEFD6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准入</w:t>
                  </w:r>
                </w:p>
              </w:tc>
              <w:tc>
                <w:tcPr>
                  <w:tcW w:w="2885" w:type="pct"/>
                  <w:tcBorders>
                    <w:tl2br w:val="nil"/>
                    <w:tr2bl w:val="nil"/>
                  </w:tcBorders>
                  <w:noWrap w:val="0"/>
                  <w:vAlign w:val="center"/>
                </w:tcPr>
                <w:p w14:paraId="768A5717">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禁止新建、扩建不符合国家石化、现代煤化工等产业布局规划的项目。</w:t>
                  </w:r>
                </w:p>
              </w:tc>
              <w:tc>
                <w:tcPr>
                  <w:tcW w:w="1189" w:type="pct"/>
                  <w:tcBorders>
                    <w:tl2br w:val="nil"/>
                    <w:tr2bl w:val="nil"/>
                  </w:tcBorders>
                  <w:noWrap w:val="0"/>
                  <w:vAlign w:val="center"/>
                </w:tcPr>
                <w:p w14:paraId="4204015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w:t>
                  </w:r>
                  <w:r>
                    <w:rPr>
                      <w:rFonts w:hint="default"/>
                      <w:color w:val="auto"/>
                      <w:lang w:val="en-US" w:eastAsia="zh-CN"/>
                    </w:rPr>
                    <w:t>不属于石化、现代煤化工</w:t>
                  </w:r>
                  <w:r>
                    <w:rPr>
                      <w:rFonts w:hint="eastAsia"/>
                      <w:color w:val="auto"/>
                      <w:lang w:val="en-US" w:eastAsia="zh-CN"/>
                    </w:rPr>
                    <w:t>类</w:t>
                  </w:r>
                  <w:r>
                    <w:rPr>
                      <w:rFonts w:hint="default"/>
                      <w:color w:val="auto"/>
                      <w:lang w:val="en-US" w:eastAsia="zh-CN"/>
                    </w:rPr>
                    <w:t>项目。</w:t>
                  </w:r>
                </w:p>
              </w:tc>
              <w:tc>
                <w:tcPr>
                  <w:tcW w:w="413" w:type="pct"/>
                  <w:tcBorders>
                    <w:tl2br w:val="nil"/>
                    <w:tr2bl w:val="nil"/>
                  </w:tcBorders>
                  <w:noWrap w:val="0"/>
                  <w:vAlign w:val="center"/>
                </w:tcPr>
                <w:p w14:paraId="6B3875B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040A8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1F719D3D">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4439B34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w:t>
                  </w:r>
                  <w:r>
                    <w:rPr>
                      <w:rFonts w:hint="eastAsia"/>
                      <w:color w:val="auto"/>
                      <w:lang w:val="en-US" w:eastAsia="zh-CN"/>
                    </w:rPr>
                    <w:t>现有</w:t>
                  </w:r>
                  <w:r>
                    <w:rPr>
                      <w:rFonts w:hint="default"/>
                      <w:color w:val="auto"/>
                      <w:lang w:val="en-US" w:eastAsia="zh-CN"/>
                    </w:rPr>
                    <w:t>生产能力，允许企业在一定期限内采取措施改造升级，严禁以改造为名扩大产能。</w:t>
                  </w:r>
                </w:p>
              </w:tc>
              <w:tc>
                <w:tcPr>
                  <w:tcW w:w="1189" w:type="pct"/>
                  <w:tcBorders>
                    <w:tl2br w:val="nil"/>
                    <w:tr2bl w:val="nil"/>
                  </w:tcBorders>
                  <w:noWrap w:val="0"/>
                  <w:vAlign w:val="center"/>
                </w:tcPr>
                <w:p w14:paraId="0738C08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ascii="Times New Roman" w:hAnsi="Times New Roman" w:cs="Times New Roman"/>
                      <w:color w:val="auto"/>
                      <w:lang w:val="en-US" w:eastAsia="zh-CN"/>
                    </w:rPr>
                    <w:t>本项目</w:t>
                  </w:r>
                  <w:r>
                    <w:rPr>
                      <w:rFonts w:hint="default" w:ascii="Times New Roman" w:hAnsi="Times New Roman" w:cs="Times New Roman"/>
                      <w:color w:val="auto"/>
                      <w:lang w:val="en-US" w:eastAsia="zh-CN"/>
                    </w:rPr>
                    <w:t>属于《产业结构调整指导目录》</w:t>
                  </w:r>
                  <w:r>
                    <w:rPr>
                      <w:rFonts w:hint="eastAsia" w:ascii="Times New Roman" w:hAnsi="Times New Roman" w:cs="Times New Roman"/>
                      <w:color w:val="auto"/>
                      <w:lang w:val="en-US" w:eastAsia="zh-CN"/>
                    </w:rPr>
                    <w:t>（2024年版）</w:t>
                  </w:r>
                  <w:r>
                    <w:rPr>
                      <w:rFonts w:hint="default" w:ascii="Times New Roman" w:hAnsi="Times New Roman" w:cs="Times New Roman"/>
                      <w:color w:val="auto"/>
                      <w:lang w:val="en-US" w:eastAsia="zh-CN"/>
                    </w:rPr>
                    <w:t>中“鼓励类中的十九、轻工-21.营养健康型大米、小麦粉（食品专用米、发芽糙米、留胚米、食品专用粉、全麦粉及营养强化产品等）”。</w:t>
                  </w:r>
                </w:p>
              </w:tc>
              <w:tc>
                <w:tcPr>
                  <w:tcW w:w="413" w:type="pct"/>
                  <w:tcBorders>
                    <w:tl2br w:val="nil"/>
                    <w:tr2bl w:val="nil"/>
                  </w:tcBorders>
                  <w:noWrap w:val="0"/>
                  <w:vAlign w:val="center"/>
                </w:tcPr>
                <w:p w14:paraId="6F250B3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008E1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441DDAFB">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632EA2D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新建、扩建不符合国家产能置换要求的钢铁、电解铝、水泥熟料、平板玻璃、船舶等严重过剩产能行业的项目。严格执行《国务院关于化解产能严重过剩矛盾的指导意见》，各地各部门不得以任何名义、任何方式新增产能片；对确有必要建设的，必须严格执行产能置换实施办法，实施减量或等量置换</w:t>
                  </w:r>
                  <w:r>
                    <w:rPr>
                      <w:rFonts w:hint="eastAsia"/>
                      <w:color w:val="auto"/>
                      <w:lang w:val="en-US" w:eastAsia="zh-CN"/>
                    </w:rPr>
                    <w:t>，</w:t>
                  </w:r>
                  <w:r>
                    <w:rPr>
                      <w:rFonts w:hint="default"/>
                      <w:color w:val="auto"/>
                      <w:lang w:val="en-US" w:eastAsia="zh-CN"/>
                    </w:rPr>
                    <w:t>依法依规办理有关手续。</w:t>
                  </w:r>
                </w:p>
              </w:tc>
              <w:tc>
                <w:tcPr>
                  <w:tcW w:w="1189" w:type="pct"/>
                  <w:tcBorders>
                    <w:tl2br w:val="nil"/>
                    <w:tr2bl w:val="nil"/>
                  </w:tcBorders>
                  <w:noWrap w:val="0"/>
                  <w:vAlign w:val="center"/>
                </w:tcPr>
                <w:p w14:paraId="414DDDA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w:t>
                  </w:r>
                  <w:r>
                    <w:rPr>
                      <w:rFonts w:hint="default"/>
                      <w:color w:val="auto"/>
                      <w:lang w:val="en-US" w:eastAsia="zh-CN"/>
                    </w:rPr>
                    <w:t>不属于钢铁电解铝水泥熟料平板玻璃</w:t>
                  </w:r>
                  <w:r>
                    <w:rPr>
                      <w:rFonts w:hint="eastAsia"/>
                      <w:color w:val="auto"/>
                      <w:lang w:val="en-US" w:eastAsia="zh-CN"/>
                    </w:rPr>
                    <w:t>类项目</w:t>
                  </w:r>
                  <w:r>
                    <w:rPr>
                      <w:rFonts w:hint="default"/>
                      <w:color w:val="auto"/>
                      <w:lang w:val="en-US" w:eastAsia="zh-CN"/>
                    </w:rPr>
                    <w:t>。</w:t>
                  </w:r>
                </w:p>
              </w:tc>
              <w:tc>
                <w:tcPr>
                  <w:tcW w:w="413" w:type="pct"/>
                  <w:tcBorders>
                    <w:tl2br w:val="nil"/>
                    <w:tr2bl w:val="nil"/>
                  </w:tcBorders>
                  <w:noWrap w:val="0"/>
                  <w:vAlign w:val="center"/>
                </w:tcPr>
                <w:p w14:paraId="2D46D18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r w14:paraId="1C14B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0" w:type="pct"/>
                  <w:vMerge w:val="continue"/>
                  <w:tcBorders>
                    <w:tl2br w:val="nil"/>
                    <w:tr2bl w:val="nil"/>
                  </w:tcBorders>
                  <w:noWrap w:val="0"/>
                  <w:vAlign w:val="center"/>
                </w:tcPr>
                <w:p w14:paraId="7522FA7C">
                  <w:pPr>
                    <w:pStyle w:val="61"/>
                    <w:keepNext w:val="0"/>
                    <w:keepLines w:val="0"/>
                    <w:suppressLineNumbers w:val="0"/>
                    <w:bidi w:val="0"/>
                    <w:spacing w:before="0" w:beforeAutospacing="0" w:after="0" w:afterAutospacing="0"/>
                    <w:ind w:left="0" w:right="0"/>
                    <w:rPr>
                      <w:rFonts w:hint="default"/>
                      <w:color w:val="auto"/>
                      <w:lang w:val="en-US" w:eastAsia="zh-CN"/>
                    </w:rPr>
                  </w:pPr>
                </w:p>
              </w:tc>
              <w:tc>
                <w:tcPr>
                  <w:tcW w:w="2885" w:type="pct"/>
                  <w:tcBorders>
                    <w:tl2br w:val="nil"/>
                    <w:tr2bl w:val="nil"/>
                  </w:tcBorders>
                  <w:noWrap w:val="0"/>
                  <w:vAlign w:val="center"/>
                </w:tcPr>
                <w:p w14:paraId="5709A8B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禁止新建、扩建不符合要求的高耗能高排放项目。严格执行《江西省人民政府办公厅关于严格高耗能高排放项目准入管理的实施意见》</w:t>
                  </w:r>
                  <w:r>
                    <w:rPr>
                      <w:rFonts w:hint="eastAsia"/>
                      <w:color w:val="auto"/>
                      <w:lang w:val="en-US" w:eastAsia="zh-CN"/>
                    </w:rPr>
                    <w:t>（赣府厅发〔2021〕33号）</w:t>
                  </w:r>
                  <w:r>
                    <w:rPr>
                      <w:rFonts w:hint="default"/>
                      <w:color w:val="auto"/>
                      <w:lang w:val="en-US" w:eastAsia="zh-CN"/>
                    </w:rPr>
                    <w:t>，加强项目审查论证，落实等量、减量替代要求，规范项目行政审批。</w:t>
                  </w:r>
                </w:p>
              </w:tc>
              <w:tc>
                <w:tcPr>
                  <w:tcW w:w="1189" w:type="pct"/>
                  <w:tcBorders>
                    <w:tl2br w:val="nil"/>
                    <w:tr2bl w:val="nil"/>
                  </w:tcBorders>
                  <w:noWrap w:val="0"/>
                  <w:vAlign w:val="center"/>
                </w:tcPr>
                <w:p w14:paraId="181C515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项目不属于两高项目。</w:t>
                  </w:r>
                </w:p>
              </w:tc>
              <w:tc>
                <w:tcPr>
                  <w:tcW w:w="413" w:type="pct"/>
                  <w:tcBorders>
                    <w:tl2br w:val="nil"/>
                    <w:tr2bl w:val="nil"/>
                  </w:tcBorders>
                  <w:noWrap w:val="0"/>
                  <w:vAlign w:val="center"/>
                </w:tcPr>
                <w:p w14:paraId="3920163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符合</w:t>
                  </w:r>
                </w:p>
              </w:tc>
            </w:tr>
          </w:tbl>
          <w:p w14:paraId="590FEC2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jc w:val="both"/>
              <w:textAlignment w:val="auto"/>
              <w:outlineLvl w:val="9"/>
              <w:rPr>
                <w:rFonts w:hint="eastAsia" w:ascii="Times New Roman" w:hAnsi="Times New Roman" w:eastAsia="宋体" w:cs="Times New Roman"/>
                <w:color w:val="auto"/>
                <w:kern w:val="2"/>
                <w:sz w:val="24"/>
                <w:szCs w:val="24"/>
                <w:highlight w:val="none"/>
                <w:shd w:val="clear" w:color="auto" w:fill="auto"/>
                <w:vertAlign w:val="baseline"/>
                <w:lang w:val="en-US" w:eastAsia="zh-CN" w:bidi="ar-SA"/>
              </w:rPr>
            </w:pPr>
            <w:r>
              <w:rPr>
                <w:rFonts w:hint="eastAsia" w:ascii="Times New Roman" w:hAnsi="Times New Roman" w:eastAsia="宋体" w:cs="Times New Roman"/>
                <w:color w:val="auto"/>
                <w:kern w:val="2"/>
                <w:sz w:val="24"/>
                <w:szCs w:val="24"/>
                <w:highlight w:val="none"/>
                <w:shd w:val="clear" w:color="auto" w:fill="auto"/>
                <w:vertAlign w:val="baseline"/>
                <w:lang w:val="en-US" w:eastAsia="zh-CN" w:bidi="ar-SA"/>
              </w:rPr>
              <w:t>综上，</w:t>
            </w:r>
            <w:r>
              <w:rPr>
                <w:rFonts w:hint="eastAsia" w:cs="Times New Roman"/>
                <w:color w:val="auto"/>
                <w:kern w:val="2"/>
                <w:sz w:val="24"/>
                <w:szCs w:val="24"/>
                <w:highlight w:val="none"/>
                <w:shd w:val="clear" w:color="auto" w:fill="auto"/>
                <w:vertAlign w:val="baseline"/>
                <w:lang w:val="en-US" w:eastAsia="zh-CN" w:bidi="ar-SA"/>
              </w:rPr>
              <w:t>项目符合</w:t>
            </w:r>
            <w:r>
              <w:rPr>
                <w:rFonts w:hint="eastAsia" w:ascii="Times New Roman" w:hAnsi="Times New Roman" w:eastAsia="宋体" w:cs="Times New Roman"/>
                <w:color w:val="auto"/>
                <w:kern w:val="2"/>
                <w:sz w:val="24"/>
                <w:szCs w:val="24"/>
                <w:highlight w:val="none"/>
                <w:shd w:val="clear" w:color="auto" w:fill="auto"/>
                <w:vertAlign w:val="baseline"/>
                <w:lang w:val="en-US" w:eastAsia="zh-CN" w:bidi="ar-SA"/>
              </w:rPr>
              <w:t>《江西省长江经济带发展负面清单实施细则（试行）》的通知（赣长江办〔2022〕7号）</w:t>
            </w:r>
            <w:r>
              <w:rPr>
                <w:rFonts w:hint="eastAsia" w:cs="Times New Roman"/>
                <w:color w:val="auto"/>
                <w:kern w:val="2"/>
                <w:sz w:val="24"/>
                <w:szCs w:val="24"/>
                <w:highlight w:val="none"/>
                <w:shd w:val="clear" w:color="auto" w:fill="auto"/>
                <w:vertAlign w:val="baseline"/>
                <w:lang w:val="en-US" w:eastAsia="zh-CN" w:bidi="ar-SA"/>
              </w:rPr>
              <w:t>要求</w:t>
            </w:r>
            <w:r>
              <w:rPr>
                <w:rFonts w:hint="eastAsia" w:ascii="Times New Roman" w:hAnsi="Times New Roman" w:eastAsia="宋体" w:cs="Times New Roman"/>
                <w:color w:val="auto"/>
                <w:kern w:val="2"/>
                <w:sz w:val="24"/>
                <w:szCs w:val="24"/>
                <w:highlight w:val="none"/>
                <w:shd w:val="clear" w:color="auto" w:fill="auto"/>
                <w:vertAlign w:val="baseline"/>
                <w:lang w:val="en-US" w:eastAsia="zh-CN" w:bidi="ar-SA"/>
              </w:rPr>
              <w:t>。</w:t>
            </w:r>
          </w:p>
          <w:p w14:paraId="5C588692">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与《鄱阳湖生态经济区环境保护条例》符合性分析</w:t>
            </w:r>
          </w:p>
          <w:p w14:paraId="17A9D13A">
            <w:pPr>
              <w:keepNext w:val="0"/>
              <w:keepLines w:val="0"/>
              <w:suppressLineNumbers w:val="0"/>
              <w:bidi w:val="0"/>
              <w:spacing w:before="0" w:beforeAutospacing="0" w:after="0" w:afterAutospacing="0"/>
              <w:ind w:left="0" w:right="0"/>
              <w:rPr>
                <w:rFonts w:hint="eastAsia"/>
                <w:color w:val="auto"/>
              </w:rPr>
            </w:pPr>
            <w:r>
              <w:rPr>
                <w:rFonts w:hint="eastAsia"/>
                <w:color w:val="auto"/>
                <w:lang w:val="zh-TW"/>
              </w:rPr>
              <w:t>本项目与《鄱阳湖生态经济区环境保护条例》符合性分析见下表：</w:t>
            </w:r>
          </w:p>
          <w:p w14:paraId="70051389">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与《鄱阳湖生态经济区环境保护条例》符合性分析</w:t>
            </w:r>
          </w:p>
          <w:tbl>
            <w:tblPr>
              <w:tblStyle w:val="29"/>
              <w:tblW w:w="6939"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3963"/>
              <w:gridCol w:w="2050"/>
              <w:gridCol w:w="926"/>
            </w:tblGrid>
            <w:tr w14:paraId="51D32688">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jc w:val="center"/>
              </w:trPr>
              <w:tc>
                <w:tcPr>
                  <w:tcW w:w="2855" w:type="pct"/>
                  <w:tcBorders>
                    <w:tl2br w:val="nil"/>
                    <w:tr2bl w:val="nil"/>
                  </w:tcBorders>
                  <w:noWrap w:val="0"/>
                  <w:vAlign w:val="center"/>
                </w:tcPr>
                <w:p w14:paraId="2B998823">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文件要求</w:t>
                  </w:r>
                </w:p>
              </w:tc>
              <w:tc>
                <w:tcPr>
                  <w:tcW w:w="1477" w:type="pct"/>
                  <w:tcBorders>
                    <w:tl2br w:val="nil"/>
                    <w:tr2bl w:val="nil"/>
                  </w:tcBorders>
                  <w:noWrap w:val="0"/>
                  <w:vAlign w:val="center"/>
                </w:tcPr>
                <w:p w14:paraId="6D29F9FC">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项目情况</w:t>
                  </w:r>
                </w:p>
              </w:tc>
              <w:tc>
                <w:tcPr>
                  <w:tcW w:w="667" w:type="pct"/>
                  <w:tcBorders>
                    <w:tl2br w:val="nil"/>
                    <w:tr2bl w:val="nil"/>
                  </w:tcBorders>
                  <w:noWrap w:val="0"/>
                  <w:vAlign w:val="center"/>
                </w:tcPr>
                <w:p w14:paraId="0CD3F165">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符合情况</w:t>
                  </w:r>
                </w:p>
              </w:tc>
            </w:tr>
            <w:tr w14:paraId="7C048990">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jc w:val="center"/>
              </w:trPr>
              <w:tc>
                <w:tcPr>
                  <w:tcW w:w="2855" w:type="pct"/>
                  <w:tcBorders>
                    <w:tl2br w:val="nil"/>
                    <w:tr2bl w:val="nil"/>
                  </w:tcBorders>
                  <w:noWrap w:val="0"/>
                  <w:vAlign w:val="center"/>
                </w:tcPr>
                <w:p w14:paraId="43A8115C">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在高效集约发展区内，县级以上人民政府应当科学划分生态保护、农业发展、城镇建设和产业集聚区域。在高效集约发展区内进行开发建设活动，不得影响自然保护区、自然和文化遗产、风景名胜区、森林公园、湿地公园、地质公园以及饮用水源地、水源涵养区的生态环境和安全</w:t>
                  </w:r>
                </w:p>
              </w:tc>
              <w:tc>
                <w:tcPr>
                  <w:tcW w:w="1477" w:type="pct"/>
                  <w:tcBorders>
                    <w:tl2br w:val="nil"/>
                    <w:tr2bl w:val="nil"/>
                  </w:tcBorders>
                  <w:noWrap w:val="0"/>
                  <w:vAlign w:val="center"/>
                </w:tcPr>
                <w:p w14:paraId="66464B93">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项目建设符合国家产业政策，不在以上环境敏感区内</w:t>
                  </w:r>
                  <w:r>
                    <w:rPr>
                      <w:rFonts w:hint="eastAsia"/>
                      <w:color w:val="auto"/>
                      <w:lang w:eastAsia="zh-CN"/>
                    </w:rPr>
                    <w:t>。</w:t>
                  </w:r>
                </w:p>
              </w:tc>
              <w:tc>
                <w:tcPr>
                  <w:tcW w:w="667" w:type="pct"/>
                  <w:tcBorders>
                    <w:tl2br w:val="nil"/>
                    <w:tr2bl w:val="nil"/>
                  </w:tcBorders>
                  <w:noWrap w:val="0"/>
                  <w:vAlign w:val="center"/>
                </w:tcPr>
                <w:p w14:paraId="41EEDE36">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符合</w:t>
                  </w:r>
                </w:p>
              </w:tc>
            </w:tr>
            <w:tr w14:paraId="27D0E62A">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jc w:val="center"/>
              </w:trPr>
              <w:tc>
                <w:tcPr>
                  <w:tcW w:w="2855" w:type="pct"/>
                  <w:tcBorders>
                    <w:tl2br w:val="nil"/>
                    <w:tr2bl w:val="nil"/>
                  </w:tcBorders>
                  <w:noWrap w:val="0"/>
                  <w:vAlign w:val="center"/>
                </w:tcPr>
                <w:p w14:paraId="2746B72E">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在高效集约发展区内，县级以上人民政府应当根据鄱阳湖生态经济区规划和国家的产业政策，将节能、节水、节地、节材、资源综合利用、可再生能源、可循环利用项目列为重点投资领域；鼓励发展低能耗、高附加值的高新技术产业，控制高耗能、高污染、资源性项目；鼓励对废水、废气、固体废弃物等的循环利用，推进传统产业升级改造，优化产业结构</w:t>
                  </w:r>
                </w:p>
              </w:tc>
              <w:tc>
                <w:tcPr>
                  <w:tcW w:w="1477" w:type="pct"/>
                  <w:tcBorders>
                    <w:tl2br w:val="nil"/>
                    <w:tr2bl w:val="nil"/>
                  </w:tcBorders>
                  <w:noWrap w:val="0"/>
                  <w:vAlign w:val="center"/>
                </w:tcPr>
                <w:p w14:paraId="3BB23EFC">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项目</w:t>
                  </w:r>
                  <w:r>
                    <w:rPr>
                      <w:rFonts w:hint="eastAsia" w:ascii="Times New Roman" w:hAnsi="Times New Roman" w:cs="Times New Roman"/>
                      <w:color w:val="auto"/>
                    </w:rPr>
                    <w:t>为</w:t>
                  </w:r>
                  <w:r>
                    <w:rPr>
                      <w:rFonts w:hint="default" w:ascii="Times New Roman" w:hAnsi="Times New Roman" w:cs="Times New Roman"/>
                      <w:color w:val="auto"/>
                      <w:lang w:val="en-US" w:eastAsia="zh-CN"/>
                    </w:rPr>
                    <w:t>其他未列明食品制造</w:t>
                  </w:r>
                  <w:r>
                    <w:rPr>
                      <w:rFonts w:hint="eastAsia" w:ascii="Times New Roman" w:hAnsi="Times New Roman" w:cs="Times New Roman"/>
                      <w:color w:val="auto"/>
                      <w:lang w:val="en-US" w:eastAsia="zh-CN"/>
                    </w:rPr>
                    <w:t>项目</w:t>
                  </w:r>
                  <w:r>
                    <w:rPr>
                      <w:rFonts w:hint="eastAsia" w:ascii="Times New Roman" w:hAnsi="Times New Roman" w:cs="Times New Roman"/>
                      <w:color w:val="auto"/>
                    </w:rPr>
                    <w:t>，</w:t>
                  </w:r>
                  <w:r>
                    <w:rPr>
                      <w:rFonts w:hint="eastAsia"/>
                      <w:color w:val="auto"/>
                    </w:rPr>
                    <w:t>合理利用水电等资源</w:t>
                  </w:r>
                  <w:r>
                    <w:rPr>
                      <w:rFonts w:hint="eastAsia"/>
                      <w:color w:val="auto"/>
                      <w:lang w:eastAsia="zh-CN"/>
                    </w:rPr>
                    <w:t>。</w:t>
                  </w:r>
                </w:p>
              </w:tc>
              <w:tc>
                <w:tcPr>
                  <w:tcW w:w="667" w:type="pct"/>
                  <w:tcBorders>
                    <w:tl2br w:val="nil"/>
                    <w:tr2bl w:val="nil"/>
                  </w:tcBorders>
                  <w:noWrap w:val="0"/>
                  <w:vAlign w:val="center"/>
                </w:tcPr>
                <w:p w14:paraId="4505F4C1">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符合</w:t>
                  </w:r>
                </w:p>
              </w:tc>
            </w:tr>
            <w:tr w14:paraId="358C78CB">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jc w:val="center"/>
              </w:trPr>
              <w:tc>
                <w:tcPr>
                  <w:tcW w:w="2855" w:type="pct"/>
                  <w:tcBorders>
                    <w:tl2br w:val="nil"/>
                    <w:tr2bl w:val="nil"/>
                  </w:tcBorders>
                  <w:noWrap w:val="0"/>
                  <w:vAlign w:val="center"/>
                </w:tcPr>
                <w:p w14:paraId="6400DDB7">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高效集约发展区内的各级人民政府及有关部门，在进行开发建设决策或者建设项目审批时，应当优先考虑自然资源条件、生态环境的承载能力和上级人民政府核定的主要污染物排放总量控制指标，以</w:t>
                  </w:r>
                  <w:r>
                    <w:rPr>
                      <w:rFonts w:hint="eastAsia"/>
                      <w:color w:val="auto"/>
                      <w:lang w:eastAsia="zh-CN"/>
                    </w:rPr>
                    <w:t>法律法规</w:t>
                  </w:r>
                  <w:r>
                    <w:rPr>
                      <w:rFonts w:hint="eastAsia"/>
                      <w:color w:val="auto"/>
                    </w:rPr>
                    <w:t>及鄱阳湖生态经济区规划、环境影响评价文件为依据</w:t>
                  </w:r>
                </w:p>
              </w:tc>
              <w:tc>
                <w:tcPr>
                  <w:tcW w:w="1477" w:type="pct"/>
                  <w:tcBorders>
                    <w:tl2br w:val="nil"/>
                    <w:tr2bl w:val="nil"/>
                  </w:tcBorders>
                  <w:noWrap w:val="0"/>
                  <w:vAlign w:val="center"/>
                </w:tcPr>
                <w:p w14:paraId="24408CF6">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项目所在地环境质量现状良好，各污染物达标排放</w:t>
                  </w:r>
                  <w:r>
                    <w:rPr>
                      <w:rFonts w:hint="eastAsia"/>
                      <w:color w:val="auto"/>
                      <w:lang w:eastAsia="zh-CN"/>
                    </w:rPr>
                    <w:t>。</w:t>
                  </w:r>
                </w:p>
              </w:tc>
              <w:tc>
                <w:tcPr>
                  <w:tcW w:w="667" w:type="pct"/>
                  <w:tcBorders>
                    <w:tl2br w:val="nil"/>
                    <w:tr2bl w:val="nil"/>
                  </w:tcBorders>
                  <w:noWrap w:val="0"/>
                  <w:vAlign w:val="center"/>
                </w:tcPr>
                <w:p w14:paraId="75EB676E">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符合</w:t>
                  </w:r>
                </w:p>
              </w:tc>
            </w:tr>
            <w:tr w14:paraId="200BC46B">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jc w:val="center"/>
              </w:trPr>
              <w:tc>
                <w:tcPr>
                  <w:tcW w:w="2855" w:type="pct"/>
                  <w:tcBorders>
                    <w:tl2br w:val="nil"/>
                    <w:tr2bl w:val="nil"/>
                  </w:tcBorders>
                  <w:noWrap w:val="0"/>
                  <w:vAlign w:val="center"/>
                </w:tcPr>
                <w:p w14:paraId="11573E52">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在高效集约发展区内进行城市建设和改造，县级以上人民政府应当保护和规划各类重要生态用地，保护江河洪水调蓄区、湿地保护区、自然保护区、风景名胜区、森林公园、湿地公园等区域内的自然生态系统，做到生态保护与经济建设相结合，防止生态环境的破坏和生态功能的退化</w:t>
                  </w:r>
                </w:p>
              </w:tc>
              <w:tc>
                <w:tcPr>
                  <w:tcW w:w="1477" w:type="pct"/>
                  <w:tcBorders>
                    <w:tl2br w:val="nil"/>
                    <w:tr2bl w:val="nil"/>
                  </w:tcBorders>
                  <w:noWrap w:val="0"/>
                  <w:vAlign w:val="center"/>
                </w:tcPr>
                <w:p w14:paraId="48A9AA51">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项目为</w:t>
                  </w:r>
                  <w:r>
                    <w:rPr>
                      <w:rFonts w:hint="eastAsia"/>
                      <w:color w:val="auto"/>
                      <w:lang w:val="en-US" w:eastAsia="zh-CN"/>
                    </w:rPr>
                    <w:t>其他未列明食品制造项目</w:t>
                  </w:r>
                  <w:r>
                    <w:rPr>
                      <w:rFonts w:hint="eastAsia"/>
                      <w:color w:val="auto"/>
                    </w:rPr>
                    <w:t>，建成后不会对各类重要生态用地生态环境产生破坏</w:t>
                  </w:r>
                  <w:r>
                    <w:rPr>
                      <w:rFonts w:hint="eastAsia"/>
                      <w:color w:val="auto"/>
                      <w:lang w:eastAsia="zh-CN"/>
                    </w:rPr>
                    <w:t>。</w:t>
                  </w:r>
                </w:p>
              </w:tc>
              <w:tc>
                <w:tcPr>
                  <w:tcW w:w="667" w:type="pct"/>
                  <w:tcBorders>
                    <w:tl2br w:val="nil"/>
                    <w:tr2bl w:val="nil"/>
                  </w:tcBorders>
                  <w:noWrap w:val="0"/>
                  <w:vAlign w:val="center"/>
                </w:tcPr>
                <w:p w14:paraId="3DBCE4CB">
                  <w:pPr>
                    <w:pStyle w:val="61"/>
                    <w:keepNext w:val="0"/>
                    <w:keepLines w:val="0"/>
                    <w:suppressLineNumbers w:val="0"/>
                    <w:bidi w:val="0"/>
                    <w:spacing w:before="0" w:beforeAutospacing="0" w:after="0" w:afterAutospacing="0"/>
                    <w:ind w:left="0" w:right="0"/>
                    <w:rPr>
                      <w:rFonts w:hint="eastAsia"/>
                      <w:color w:val="auto"/>
                    </w:rPr>
                  </w:pPr>
                  <w:r>
                    <w:rPr>
                      <w:rFonts w:hint="eastAsia"/>
                      <w:color w:val="auto"/>
                    </w:rPr>
                    <w:t>符合</w:t>
                  </w:r>
                </w:p>
              </w:tc>
            </w:tr>
          </w:tbl>
          <w:p w14:paraId="207BBB9D">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default" w:ascii="Times New Roman" w:hAnsi="Times New Roman" w:eastAsia="宋体" w:cs="Times New Roman"/>
                <w:snapToGrid/>
                <w:color w:val="auto"/>
                <w:kern w:val="2"/>
                <w:sz w:val="24"/>
                <w:szCs w:val="24"/>
                <w:lang w:val="zh-CN" w:eastAsia="zh-CN"/>
              </w:rPr>
            </w:pPr>
            <w:r>
              <w:rPr>
                <w:rFonts w:hint="default" w:ascii="Times New Roman" w:hAnsi="Times New Roman" w:eastAsia="宋体" w:cs="Times New Roman"/>
                <w:snapToGrid/>
                <w:color w:val="auto"/>
                <w:kern w:val="2"/>
                <w:sz w:val="24"/>
                <w:szCs w:val="24"/>
                <w:lang w:val="zh-CN" w:eastAsia="zh-CN"/>
              </w:rPr>
              <w:t>与《江西省生态环境厅关于印发江西省重点行业挥发性有机物综合治理方案的通知》（赣环大气</w:t>
            </w:r>
            <w:r>
              <w:rPr>
                <w:rFonts w:hint="eastAsia" w:cs="Times New Roman"/>
                <w:snapToGrid/>
                <w:color w:val="auto"/>
                <w:kern w:val="2"/>
                <w:sz w:val="24"/>
                <w:szCs w:val="24"/>
                <w:lang w:val="zh-CN" w:eastAsia="zh-CN"/>
              </w:rPr>
              <w:t>〔2019〕20号</w:t>
            </w:r>
            <w:r>
              <w:rPr>
                <w:rFonts w:hint="default" w:ascii="Times New Roman" w:hAnsi="Times New Roman" w:eastAsia="宋体" w:cs="Times New Roman"/>
                <w:snapToGrid/>
                <w:color w:val="auto"/>
                <w:kern w:val="2"/>
                <w:sz w:val="24"/>
                <w:szCs w:val="24"/>
                <w:lang w:val="zh-CN" w:eastAsia="zh-CN"/>
              </w:rPr>
              <w:t>）相符性分析</w:t>
            </w:r>
          </w:p>
          <w:p w14:paraId="6BF789BC">
            <w:pPr>
              <w:keepNext w:val="0"/>
              <w:keepLines w:val="0"/>
              <w:suppressLineNumbers w:val="0"/>
              <w:bidi w:val="0"/>
              <w:spacing w:before="0" w:beforeAutospacing="0" w:after="0" w:afterAutospacing="0"/>
              <w:ind w:left="0" w:right="0"/>
              <w:rPr>
                <w:rFonts w:hint="default"/>
                <w:color w:val="auto"/>
              </w:rPr>
            </w:pPr>
            <w:r>
              <w:rPr>
                <w:rFonts w:hint="default"/>
                <w:color w:val="auto"/>
              </w:rPr>
              <w:t>与</w:t>
            </w:r>
            <w:r>
              <w:rPr>
                <w:rFonts w:hint="default"/>
                <w:color w:val="auto"/>
                <w:lang w:val="zh-CN"/>
              </w:rPr>
              <w:t>《江西省生态环境厅关于印发江西省重点行业挥发性有机物综合治理方案的通知》（赣环大气</w:t>
            </w:r>
            <w:r>
              <w:rPr>
                <w:rFonts w:hint="eastAsia"/>
                <w:color w:val="auto"/>
                <w:lang w:val="zh-CN"/>
              </w:rPr>
              <w:t>〔2019〕20号</w:t>
            </w:r>
            <w:r>
              <w:rPr>
                <w:rFonts w:hint="default"/>
                <w:color w:val="auto"/>
                <w:lang w:val="zh-CN"/>
              </w:rPr>
              <w:t>）</w:t>
            </w:r>
            <w:r>
              <w:rPr>
                <w:rFonts w:hint="default"/>
                <w:color w:val="auto"/>
              </w:rPr>
              <w:t>的相符性分析见表</w:t>
            </w:r>
            <w:r>
              <w:rPr>
                <w:rFonts w:hint="eastAsia"/>
                <w:color w:val="auto"/>
              </w:rPr>
              <w:t>1</w:t>
            </w:r>
            <w:r>
              <w:rPr>
                <w:rFonts w:hint="eastAsia"/>
                <w:color w:val="auto"/>
                <w:lang w:val="en-US" w:eastAsia="zh-CN"/>
              </w:rPr>
              <w:t>-10</w:t>
            </w:r>
            <w:r>
              <w:rPr>
                <w:rFonts w:hint="default"/>
                <w:color w:val="auto"/>
              </w:rPr>
              <w:t>。</w:t>
            </w:r>
          </w:p>
          <w:p w14:paraId="4066FC1A">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与《江西省生态环境厅关于印发江西省重点行业挥发性有机物综合治理方案的通知》（赣环大气</w:t>
            </w:r>
            <w:r>
              <w:rPr>
                <w:rFonts w:hint="eastAsia" w:ascii="Times New Roman" w:hAnsi="Times New Roman" w:eastAsia="宋体" w:cs="Times New Roman"/>
                <w:color w:val="auto"/>
                <w:sz w:val="24"/>
                <w:szCs w:val="24"/>
                <w:lang w:val="zh-CN" w:eastAsia="zh-CN"/>
              </w:rPr>
              <w:t>〔2019〕20号</w:t>
            </w:r>
            <w:r>
              <w:rPr>
                <w:rFonts w:hint="default" w:ascii="Times New Roman" w:hAnsi="Times New Roman" w:eastAsia="宋体" w:cs="Times New Roman"/>
                <w:color w:val="auto"/>
                <w:sz w:val="24"/>
                <w:szCs w:val="24"/>
                <w:lang w:val="zh-CN" w:eastAsia="zh-CN"/>
              </w:rPr>
              <w:t>）符合性分析表</w:t>
            </w:r>
          </w:p>
          <w:tbl>
            <w:tblPr>
              <w:tblStyle w:val="29"/>
              <w:tblW w:w="6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1544"/>
              <w:gridCol w:w="757"/>
            </w:tblGrid>
            <w:tr w14:paraId="6FC5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615" w:type="dxa"/>
                  <w:tcBorders>
                    <w:tl2br w:val="nil"/>
                    <w:tr2bl w:val="nil"/>
                  </w:tcBorders>
                  <w:noWrap w:val="0"/>
                  <w:vAlign w:val="center"/>
                </w:tcPr>
                <w:p w14:paraId="75EB21AB">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要求</w:t>
                  </w:r>
                </w:p>
              </w:tc>
              <w:tc>
                <w:tcPr>
                  <w:tcW w:w="1544" w:type="dxa"/>
                  <w:tcBorders>
                    <w:tl2br w:val="nil"/>
                    <w:tr2bl w:val="nil"/>
                  </w:tcBorders>
                  <w:noWrap w:val="0"/>
                  <w:vAlign w:val="center"/>
                </w:tcPr>
                <w:p w14:paraId="413AE42D">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采取措施</w:t>
                  </w:r>
                </w:p>
              </w:tc>
              <w:tc>
                <w:tcPr>
                  <w:tcW w:w="757" w:type="dxa"/>
                  <w:tcBorders>
                    <w:tl2br w:val="nil"/>
                    <w:tr2bl w:val="nil"/>
                  </w:tcBorders>
                  <w:noWrap w:val="0"/>
                  <w:vAlign w:val="center"/>
                </w:tcPr>
                <w:p w14:paraId="1B02D08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符合性</w:t>
                  </w:r>
                </w:p>
              </w:tc>
            </w:tr>
            <w:tr w14:paraId="5F10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2" w:hRule="atLeast"/>
                <w:jc w:val="center"/>
              </w:trPr>
              <w:tc>
                <w:tcPr>
                  <w:tcW w:w="4615" w:type="dxa"/>
                  <w:tcBorders>
                    <w:tl2br w:val="nil"/>
                    <w:tr2bl w:val="nil"/>
                  </w:tcBorders>
                  <w:noWrap w:val="0"/>
                  <w:vAlign w:val="center"/>
                </w:tcPr>
                <w:p w14:paraId="4628C42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tc>
              <w:tc>
                <w:tcPr>
                  <w:tcW w:w="1544" w:type="dxa"/>
                  <w:tcBorders>
                    <w:tl2br w:val="nil"/>
                    <w:tr2bl w:val="nil"/>
                  </w:tcBorders>
                  <w:noWrap w:val="0"/>
                  <w:vAlign w:val="center"/>
                </w:tcPr>
                <w:p w14:paraId="4B1F3333">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项目</w:t>
                  </w:r>
                  <w:r>
                    <w:rPr>
                      <w:rFonts w:hint="eastAsia"/>
                      <w:color w:val="auto"/>
                      <w:lang w:val="en-US" w:eastAsia="zh-CN"/>
                    </w:rPr>
                    <w:t>乙醇存在挥发性，乙醇储存设备和生产设备密闭，生产过程中少量乙醇挥发至空气中，以挥发性有机物计，挥发性有机物经三级水喷淋装置处理后经15m高排气筒排放，蒸馏乙醇经冷凝装置回收利用</w:t>
                  </w:r>
                  <w:r>
                    <w:rPr>
                      <w:rFonts w:hint="default"/>
                      <w:color w:val="auto"/>
                    </w:rPr>
                    <w:t>。</w:t>
                  </w:r>
                </w:p>
              </w:tc>
              <w:tc>
                <w:tcPr>
                  <w:tcW w:w="757" w:type="dxa"/>
                  <w:tcBorders>
                    <w:tl2br w:val="nil"/>
                    <w:tr2bl w:val="nil"/>
                  </w:tcBorders>
                  <w:noWrap w:val="0"/>
                  <w:vAlign w:val="center"/>
                </w:tcPr>
                <w:p w14:paraId="081E88A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55DB6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4615" w:type="dxa"/>
                  <w:tcBorders>
                    <w:tl2br w:val="nil"/>
                    <w:tr2bl w:val="nil"/>
                  </w:tcBorders>
                  <w:noWrap w:val="0"/>
                  <w:vAlign w:val="center"/>
                </w:tcPr>
                <w:p w14:paraId="2640E29D">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全面加强无组织排放控制。重点对含VOCs物料（包括含VOCs原辅材料、含VOCs产品、含VOCs废料以及有机聚合物材料等）储存、转移和输送</w:t>
                  </w:r>
                  <w:r>
                    <w:rPr>
                      <w:rFonts w:hint="eastAsia"/>
                      <w:color w:val="auto"/>
                      <w:lang w:eastAsia="zh-CN"/>
                    </w:rPr>
                    <w:t>、设</w:t>
                  </w:r>
                  <w:r>
                    <w:rPr>
                      <w:rFonts w:hint="default"/>
                      <w:color w:val="auto"/>
                    </w:rPr>
                    <w:t>备与管线组件泄漏、敞开液面逸散以及工艺过程等五类排放源实施管控，通过采取设备与场所密闭、工艺改进、废气有效收集等措施，削减VOCs无组织排放</w:t>
                  </w:r>
                </w:p>
              </w:tc>
              <w:tc>
                <w:tcPr>
                  <w:tcW w:w="1544" w:type="dxa"/>
                  <w:tcBorders>
                    <w:tl2br w:val="nil"/>
                    <w:tr2bl w:val="nil"/>
                  </w:tcBorders>
                  <w:noWrap w:val="0"/>
                  <w:vAlign w:val="center"/>
                </w:tcPr>
                <w:p w14:paraId="6915820C">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项目生产工序密闭，挥发的挥发性有机物经三级水喷淋装置处理后经15m高排气筒排放</w:t>
                  </w:r>
                </w:p>
              </w:tc>
              <w:tc>
                <w:tcPr>
                  <w:tcW w:w="757" w:type="dxa"/>
                  <w:tcBorders>
                    <w:tl2br w:val="nil"/>
                    <w:tr2bl w:val="nil"/>
                  </w:tcBorders>
                  <w:noWrap w:val="0"/>
                  <w:vAlign w:val="center"/>
                </w:tcPr>
                <w:p w14:paraId="15199443">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73482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4" w:hRule="atLeast"/>
                <w:jc w:val="center"/>
              </w:trPr>
              <w:tc>
                <w:tcPr>
                  <w:tcW w:w="4615" w:type="dxa"/>
                  <w:tcBorders>
                    <w:tl2br w:val="nil"/>
                    <w:tr2bl w:val="nil"/>
                  </w:tcBorders>
                  <w:noWrap w:val="0"/>
                  <w:vAlign w:val="center"/>
                </w:tcPr>
                <w:p w14:paraId="3F6311D3">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推进建设适宜高效的治污设施。企业新建治污设施或对</w:t>
                  </w:r>
                  <w:r>
                    <w:rPr>
                      <w:rFonts w:hint="eastAsia"/>
                      <w:color w:val="auto"/>
                      <w:lang w:eastAsia="zh-CN"/>
                    </w:rPr>
                    <w:t>现有</w:t>
                  </w:r>
                  <w:r>
                    <w:rPr>
                      <w:rFonts w:hint="default"/>
                      <w:color w:val="auto"/>
                    </w:rPr>
                    <w:t>治污设施实施改造，应依据排放废气的浓度、组分、风量，温度、湿度、压力，以及生产工况等，合理选择治理技术。鼓励企业采用多种技术的组合工艺，提高VOCs治理效率</w:t>
                  </w:r>
                </w:p>
              </w:tc>
              <w:tc>
                <w:tcPr>
                  <w:tcW w:w="1544" w:type="dxa"/>
                  <w:tcBorders>
                    <w:tl2br w:val="nil"/>
                    <w:tr2bl w:val="nil"/>
                  </w:tcBorders>
                  <w:noWrap w:val="0"/>
                  <w:vAlign w:val="center"/>
                </w:tcPr>
                <w:p w14:paraId="75A24549">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项目生产工序密闭，挥发的挥发性有机物经三级水喷淋装置处理后经15m高排气筒排放</w:t>
                  </w:r>
                </w:p>
              </w:tc>
              <w:tc>
                <w:tcPr>
                  <w:tcW w:w="757" w:type="dxa"/>
                  <w:tcBorders>
                    <w:tl2br w:val="nil"/>
                    <w:tr2bl w:val="nil"/>
                  </w:tcBorders>
                  <w:noWrap w:val="0"/>
                  <w:vAlign w:val="center"/>
                </w:tcPr>
                <w:p w14:paraId="2E5439C7">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bl>
          <w:p w14:paraId="1FCEC0C7">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zh-CN" w:eastAsia="zh-CN"/>
              </w:rPr>
            </w:pPr>
            <w:r>
              <w:rPr>
                <w:rFonts w:hint="eastAsia" w:ascii="Times New Roman" w:hAnsi="Times New Roman" w:eastAsia="宋体" w:cs="Times New Roman"/>
                <w:snapToGrid/>
                <w:color w:val="auto"/>
                <w:kern w:val="2"/>
                <w:sz w:val="24"/>
                <w:szCs w:val="24"/>
                <w:lang w:val="zh-CN" w:eastAsia="zh-CN"/>
              </w:rPr>
              <w:t>与《挥发性有机物（VOCs）污染物防治技术政策》（环保部2013年31号公告）的符合性分析</w:t>
            </w:r>
          </w:p>
          <w:p w14:paraId="67F10E7F">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《挥发性有机物（VOCs）污染物防治技术政策》</w:t>
            </w:r>
          </w:p>
          <w:p w14:paraId="70E7D255">
            <w:pPr>
              <w:pStyle w:val="131"/>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Lines="0" w:beforeAutospacing="0" w:after="0" w:afterAutospacing="0"/>
              <w:ind w:left="0" w:leftChars="0" w:right="0" w:rightChars="0" w:firstLine="2530" w:firstLineChars="1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符合性分析</w:t>
            </w:r>
          </w:p>
          <w:tbl>
            <w:tblPr>
              <w:tblStyle w:val="29"/>
              <w:tblW w:w="6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4053"/>
              <w:gridCol w:w="1398"/>
              <w:gridCol w:w="758"/>
            </w:tblGrid>
            <w:tr w14:paraId="51AF6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707" w:type="dxa"/>
                  <w:tcBorders>
                    <w:tl2br w:val="nil"/>
                    <w:tr2bl w:val="nil"/>
                  </w:tcBorders>
                  <w:noWrap w:val="0"/>
                  <w:vAlign w:val="center"/>
                </w:tcPr>
                <w:p w14:paraId="73D5F74D">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项目</w:t>
                  </w:r>
                </w:p>
              </w:tc>
              <w:tc>
                <w:tcPr>
                  <w:tcW w:w="4053" w:type="dxa"/>
                  <w:tcBorders>
                    <w:tl2br w:val="nil"/>
                    <w:tr2bl w:val="nil"/>
                  </w:tcBorders>
                  <w:noWrap w:val="0"/>
                  <w:vAlign w:val="center"/>
                </w:tcPr>
                <w:p w14:paraId="1074E78F">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具体要求</w:t>
                  </w:r>
                </w:p>
              </w:tc>
              <w:tc>
                <w:tcPr>
                  <w:tcW w:w="1398" w:type="dxa"/>
                  <w:tcBorders>
                    <w:tl2br w:val="nil"/>
                    <w:tr2bl w:val="nil"/>
                  </w:tcBorders>
                  <w:noWrap w:val="0"/>
                  <w:vAlign w:val="center"/>
                </w:tcPr>
                <w:p w14:paraId="6A53745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本项目情况</w:t>
                  </w:r>
                </w:p>
              </w:tc>
              <w:tc>
                <w:tcPr>
                  <w:tcW w:w="758" w:type="dxa"/>
                  <w:tcBorders>
                    <w:tl2br w:val="nil"/>
                    <w:tr2bl w:val="nil"/>
                  </w:tcBorders>
                  <w:noWrap w:val="0"/>
                  <w:vAlign w:val="center"/>
                </w:tcPr>
                <w:p w14:paraId="3332143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符合性</w:t>
                  </w:r>
                </w:p>
              </w:tc>
            </w:tr>
            <w:tr w14:paraId="7C342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4" w:hRule="atLeast"/>
                <w:jc w:val="center"/>
              </w:trPr>
              <w:tc>
                <w:tcPr>
                  <w:tcW w:w="707" w:type="dxa"/>
                  <w:tcBorders>
                    <w:tl2br w:val="nil"/>
                    <w:tr2bl w:val="nil"/>
                  </w:tcBorders>
                  <w:noWrap w:val="0"/>
                  <w:vAlign w:val="center"/>
                </w:tcPr>
                <w:p w14:paraId="4FBC293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二、源头和过程控制</w:t>
                  </w:r>
                </w:p>
              </w:tc>
              <w:tc>
                <w:tcPr>
                  <w:tcW w:w="4053" w:type="dxa"/>
                  <w:tcBorders>
                    <w:tl2br w:val="nil"/>
                    <w:tr2bl w:val="nil"/>
                  </w:tcBorders>
                  <w:noWrap w:val="0"/>
                  <w:vAlign w:val="center"/>
                </w:tcPr>
                <w:p w14:paraId="2858312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（十）在涂装、印刷、粘合、工业清洗等含VOCs产品的使用过程中的VOCs污染防治技术措施包括：1.鼓励使用通过环境标志产品认证的环保型涂料、油墨、胶粘剂和清洗剂； </w:t>
                  </w:r>
                </w:p>
                <w:p w14:paraId="770AEB30">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2.根据涂装工艺的不同，鼓励使用水性涂料、高固份涂料、粉末涂料、紫外光固化（UV）涂料等环保型涂料；推广采用静电喷涂、淋涂、辊涂、浸涂等效率较高的涂装工艺；应尽量避免无VOCs净化、回收措施的露天喷涂作业； </w:t>
                  </w:r>
                </w:p>
                <w:p w14:paraId="3CEB9710">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6.含VOCs产品的使用过程中，应采取废气收集措施，提高废气收集效率，减少废气的无组织排放与逸散，并对收集后的废气进行回收或处理后达标排放</w:t>
                  </w:r>
                </w:p>
              </w:tc>
              <w:tc>
                <w:tcPr>
                  <w:tcW w:w="1398" w:type="dxa"/>
                  <w:tcBorders>
                    <w:tl2br w:val="nil"/>
                    <w:tr2bl w:val="nil"/>
                  </w:tcBorders>
                  <w:noWrap w:val="0"/>
                  <w:vAlign w:val="center"/>
                </w:tcPr>
                <w:p w14:paraId="24829440">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项目生产工序密闭，挥发的挥发性有机物经三级水喷淋装置处理后经15m高排气筒排放</w:t>
                  </w:r>
                  <w:r>
                    <w:rPr>
                      <w:rFonts w:hint="default"/>
                      <w:color w:val="auto"/>
                    </w:rPr>
                    <w:t>，不存在露天喷涂作业的问题</w:t>
                  </w:r>
                </w:p>
              </w:tc>
              <w:tc>
                <w:tcPr>
                  <w:tcW w:w="758" w:type="dxa"/>
                  <w:tcBorders>
                    <w:tl2br w:val="nil"/>
                    <w:tr2bl w:val="nil"/>
                  </w:tcBorders>
                  <w:noWrap w:val="0"/>
                  <w:vAlign w:val="center"/>
                </w:tcPr>
                <w:p w14:paraId="51946130">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1FB88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707" w:type="dxa"/>
                  <w:tcBorders>
                    <w:tl2br w:val="nil"/>
                    <w:tr2bl w:val="nil"/>
                  </w:tcBorders>
                  <w:noWrap w:val="0"/>
                  <w:vAlign w:val="center"/>
                </w:tcPr>
                <w:p w14:paraId="38112C41">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三、末端治理与综合利用</w:t>
                  </w:r>
                </w:p>
              </w:tc>
              <w:tc>
                <w:tcPr>
                  <w:tcW w:w="4053" w:type="dxa"/>
                  <w:tcBorders>
                    <w:tl2br w:val="nil"/>
                    <w:tr2bl w:val="nil"/>
                  </w:tcBorders>
                  <w:noWrap w:val="0"/>
                  <w:vAlign w:val="center"/>
                </w:tcPr>
                <w:p w14:paraId="4AA3E54F">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（十二）在工业生产过程中鼓励VOCs的回收利用，并优先鼓励在生产系统内回用。 </w:t>
                  </w:r>
                </w:p>
                <w:p w14:paraId="2B8FEA9A">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（十三）对于含高浓度VOCs的废气，宜优先采用冷凝回收、吸附回收技术进行回收利用，并辅助以其他治理技术实现达标排放。 </w:t>
                  </w:r>
                </w:p>
                <w:p w14:paraId="608B2BA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（十四）对于含中等浓度VOCs的废气，可采用吸附技术回收有机溶剂，或采用催化燃烧和热力焚烧技术净化后达标排放。当采用催化燃烧和热力焚烧技术进行净化时，应进行余热回收利用。 </w:t>
                  </w:r>
                </w:p>
                <w:p w14:paraId="471FA238">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（十五）对于含低浓度VOCs的废气，有回收价值时可采用吸附技术、吸收技术对有机溶剂回收后达标排放；不宜回收时，可采用吸附浓缩燃烧技术、生物技术、吸收技术、</w:t>
                  </w:r>
                  <w:r>
                    <w:rPr>
                      <w:rFonts w:hint="eastAsia"/>
                      <w:color w:val="auto"/>
                    </w:rPr>
                    <w:t>光解</w:t>
                  </w:r>
                  <w:r>
                    <w:rPr>
                      <w:rFonts w:hint="default"/>
                      <w:color w:val="auto"/>
                    </w:rPr>
                    <w:t xml:space="preserve">体技术或紫外光高级氧化技术等净化后达标排放。 </w:t>
                  </w:r>
                </w:p>
                <w:p w14:paraId="1181525F">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（十六）含有有机卤素成分VOCs的废气，宜采用非焚烧技术处理。 </w:t>
                  </w:r>
                </w:p>
                <w:p w14:paraId="2B91530E">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（十七）恶臭气体污染源可采用生物技术、</w:t>
                  </w:r>
                  <w:r>
                    <w:rPr>
                      <w:rFonts w:hint="eastAsia"/>
                      <w:color w:val="auto"/>
                    </w:rPr>
                    <w:t>光解</w:t>
                  </w:r>
                  <w:r>
                    <w:rPr>
                      <w:rFonts w:hint="default"/>
                      <w:color w:val="auto"/>
                    </w:rPr>
                    <w:t xml:space="preserve">体技术、吸附技术、吸收技术、紫外光高级氧化技术或组合技术等进行净化。净化后的恶臭气体除满足达标排放的要求外，还应采取高空排放等措施，避免产生扰民问题。 </w:t>
                  </w:r>
                </w:p>
                <w:p w14:paraId="4010B3C6">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（十九）严格控制VOCs处理过程中产生的二次污染，对于催化燃烧和热力焚烧过程中产生的含硫、氮、氯等无机废气，以及吸附、吸收、冷凝、生物等治理过程中所产生的含有机物废水，应处理后达标排放。 </w:t>
                  </w:r>
                </w:p>
                <w:p w14:paraId="45BE052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 xml:space="preserve">（二十）对于不能再生的过滤材料、吸附剂及催化剂等净化材料，应按照国家固体废物管理的相关规定处理处置。 </w:t>
                  </w:r>
                </w:p>
              </w:tc>
              <w:tc>
                <w:tcPr>
                  <w:tcW w:w="1398" w:type="dxa"/>
                  <w:tcBorders>
                    <w:tl2br w:val="nil"/>
                    <w:tr2bl w:val="nil"/>
                  </w:tcBorders>
                  <w:noWrap w:val="0"/>
                  <w:vAlign w:val="center"/>
                </w:tcPr>
                <w:p w14:paraId="050E9E14">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项目生产工序密闭，挥发的挥发性有机物经三级水喷淋装置处理后经15m高排气筒排放</w:t>
                  </w:r>
                </w:p>
              </w:tc>
              <w:tc>
                <w:tcPr>
                  <w:tcW w:w="758" w:type="dxa"/>
                  <w:tcBorders>
                    <w:tl2br w:val="nil"/>
                    <w:tr2bl w:val="nil"/>
                  </w:tcBorders>
                  <w:noWrap w:val="0"/>
                  <w:vAlign w:val="center"/>
                </w:tcPr>
                <w:p w14:paraId="4CD3445E">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bl>
          <w:p w14:paraId="5EAA6CA1">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eastAsia"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与《固体废物再生利用污染防治技术导则》（HJ1091-2020）相符性分析</w:t>
            </w:r>
          </w:p>
          <w:p w14:paraId="40E365FC">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lang w:val="en-US" w:eastAsia="zh-CN"/>
              </w:rPr>
            </w:pPr>
            <w:bookmarkStart w:id="10" w:name="_Toc28360"/>
            <w:r>
              <w:rPr>
                <w:rFonts w:hint="default" w:ascii="Times New Roman" w:hAnsi="Times New Roman" w:eastAsia="宋体" w:cs="Times New Roman"/>
                <w:color w:val="auto"/>
                <w:lang w:val="en-US" w:eastAsia="zh-CN"/>
              </w:rPr>
              <w:t>与《固体废物再生利用污染防治技术导则》（HJ1091-2020）相符性分</w:t>
            </w:r>
            <w:bookmarkEnd w:id="10"/>
            <w:r>
              <w:rPr>
                <w:rFonts w:hint="default" w:ascii="Times New Roman" w:hAnsi="Times New Roman" w:eastAsia="宋体" w:cs="Times New Roman"/>
                <w:color w:val="auto"/>
                <w:lang w:val="en-US" w:eastAsia="zh-CN"/>
              </w:rPr>
              <w:t>析表。</w:t>
            </w:r>
          </w:p>
          <w:tbl>
            <w:tblPr>
              <w:tblStyle w:val="116"/>
              <w:tblW w:w="6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72"/>
              <w:gridCol w:w="3491"/>
              <w:gridCol w:w="2461"/>
              <w:gridCol w:w="492"/>
            </w:tblGrid>
            <w:tr w14:paraId="567EB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0" w:hRule="atLeast"/>
                <w:jc w:val="center"/>
              </w:trPr>
              <w:tc>
                <w:tcPr>
                  <w:tcW w:w="3873" w:type="dxa"/>
                  <w:gridSpan w:val="2"/>
                  <w:tcBorders>
                    <w:top w:val="single" w:color="auto" w:sz="8" w:space="0"/>
                  </w:tcBorders>
                  <w:vAlign w:val="center"/>
                </w:tcPr>
                <w:p w14:paraId="7AC90492">
                  <w:pPr>
                    <w:pStyle w:val="61"/>
                    <w:bidi w:val="0"/>
                    <w:rPr>
                      <w:rFonts w:hint="default"/>
                      <w:color w:val="auto"/>
                      <w:lang w:eastAsia="zh-CN"/>
                    </w:rPr>
                  </w:pPr>
                  <w:r>
                    <w:rPr>
                      <w:rFonts w:hint="default"/>
                      <w:color w:val="auto"/>
                      <w:lang w:eastAsia="zh-CN"/>
                    </w:rPr>
                    <w:t>导则要求</w:t>
                  </w:r>
                </w:p>
              </w:tc>
              <w:tc>
                <w:tcPr>
                  <w:tcW w:w="2405" w:type="dxa"/>
                  <w:tcBorders>
                    <w:top w:val="single" w:color="auto" w:sz="8" w:space="0"/>
                  </w:tcBorders>
                  <w:vAlign w:val="center"/>
                </w:tcPr>
                <w:p w14:paraId="1A11290F">
                  <w:pPr>
                    <w:pStyle w:val="61"/>
                    <w:bidi w:val="0"/>
                    <w:rPr>
                      <w:rFonts w:hint="default"/>
                      <w:color w:val="auto"/>
                      <w:lang w:eastAsia="zh-CN"/>
                    </w:rPr>
                  </w:pPr>
                  <w:r>
                    <w:rPr>
                      <w:rFonts w:hint="default"/>
                      <w:color w:val="auto"/>
                      <w:lang w:eastAsia="zh-CN"/>
                    </w:rPr>
                    <w:t>本项目情况</w:t>
                  </w:r>
                </w:p>
              </w:tc>
              <w:tc>
                <w:tcPr>
                  <w:tcW w:w="481" w:type="dxa"/>
                  <w:tcBorders>
                    <w:top w:val="single" w:color="auto" w:sz="8" w:space="0"/>
                  </w:tcBorders>
                  <w:vAlign w:val="center"/>
                </w:tcPr>
                <w:p w14:paraId="36AE8907">
                  <w:pPr>
                    <w:pStyle w:val="61"/>
                    <w:bidi w:val="0"/>
                    <w:rPr>
                      <w:rFonts w:hint="default"/>
                      <w:color w:val="auto"/>
                      <w:lang w:eastAsia="zh-CN"/>
                    </w:rPr>
                  </w:pPr>
                  <w:r>
                    <w:rPr>
                      <w:rFonts w:hint="default"/>
                      <w:color w:val="auto"/>
                      <w:lang w:eastAsia="zh-CN"/>
                    </w:rPr>
                    <w:t>相符性</w:t>
                  </w:r>
                </w:p>
              </w:tc>
            </w:tr>
            <w:tr w14:paraId="20B0E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restart"/>
                  <w:textDirection w:val="tbRlV"/>
                  <w:vAlign w:val="center"/>
                </w:tcPr>
                <w:p w14:paraId="6A996495">
                  <w:pPr>
                    <w:pStyle w:val="61"/>
                    <w:bidi w:val="0"/>
                    <w:rPr>
                      <w:rFonts w:hint="default"/>
                      <w:color w:val="auto"/>
                      <w:lang w:eastAsia="zh-CN"/>
                    </w:rPr>
                  </w:pPr>
                  <w:r>
                    <w:rPr>
                      <w:rFonts w:hint="default"/>
                      <w:color w:val="auto"/>
                      <w:lang w:eastAsia="zh-CN"/>
                    </w:rPr>
                    <w:t>总体要求</w:t>
                  </w:r>
                </w:p>
              </w:tc>
              <w:tc>
                <w:tcPr>
                  <w:tcW w:w="3412" w:type="dxa"/>
                  <w:vAlign w:val="center"/>
                </w:tcPr>
                <w:p w14:paraId="3241D1F6">
                  <w:pPr>
                    <w:pStyle w:val="61"/>
                    <w:bidi w:val="0"/>
                    <w:rPr>
                      <w:rFonts w:hint="eastAsia"/>
                      <w:color w:val="auto"/>
                      <w:lang w:eastAsia="zh-CN"/>
                    </w:rPr>
                  </w:pPr>
                  <w:r>
                    <w:rPr>
                      <w:rFonts w:hint="default"/>
                      <w:color w:val="auto"/>
                      <w:lang w:eastAsia="zh-CN"/>
                    </w:rPr>
                    <w:t>固体废物再生利用应遵循环境安全优先的原则，保证固体废物再生利用全过程的环境安全与人体健康</w:t>
                  </w:r>
                  <w:r>
                    <w:rPr>
                      <w:rFonts w:hint="eastAsia"/>
                      <w:color w:val="auto"/>
                      <w:lang w:eastAsia="zh-CN"/>
                    </w:rPr>
                    <w:t>。</w:t>
                  </w:r>
                </w:p>
              </w:tc>
              <w:tc>
                <w:tcPr>
                  <w:tcW w:w="2405" w:type="dxa"/>
                  <w:vAlign w:val="center"/>
                </w:tcPr>
                <w:p w14:paraId="441B804D">
                  <w:pPr>
                    <w:pStyle w:val="61"/>
                    <w:bidi w:val="0"/>
                    <w:rPr>
                      <w:rFonts w:hint="eastAsia" w:ascii="Times New Roman" w:hAnsi="Times New Roman" w:cs="Times New Roman"/>
                      <w:color w:val="auto"/>
                      <w:lang w:eastAsia="zh-CN"/>
                    </w:rPr>
                  </w:pPr>
                  <w:r>
                    <w:rPr>
                      <w:rFonts w:hint="default" w:ascii="Times New Roman" w:hAnsi="Times New Roman" w:cs="Times New Roman"/>
                      <w:color w:val="auto"/>
                      <w:lang w:eastAsia="zh-CN"/>
                    </w:rPr>
                    <w:t>本项目</w:t>
                  </w:r>
                  <w:r>
                    <w:rPr>
                      <w:rFonts w:hint="eastAsia" w:cs="Times New Roman"/>
                      <w:color w:val="auto"/>
                      <w:lang w:val="en-US" w:eastAsia="zh-CN"/>
                    </w:rPr>
                    <w:t>不合格品回用</w:t>
                  </w:r>
                  <w:r>
                    <w:rPr>
                      <w:rFonts w:hint="default" w:ascii="Times New Roman" w:hAnsi="Times New Roman" w:cs="Times New Roman"/>
                      <w:color w:val="auto"/>
                      <w:lang w:eastAsia="zh-CN"/>
                    </w:rPr>
                    <w:t>，</w:t>
                  </w:r>
                  <w:r>
                    <w:rPr>
                      <w:rFonts w:hint="eastAsia" w:ascii="Times New Roman" w:hAnsi="Times New Roman" w:cs="Times New Roman"/>
                      <w:color w:val="auto"/>
                      <w:lang w:val="en-US" w:eastAsia="zh-CN"/>
                    </w:rPr>
                    <w:t>不会对人体健康产生不利影响</w:t>
                  </w:r>
                  <w:r>
                    <w:rPr>
                      <w:rFonts w:hint="eastAsia" w:ascii="Times New Roman" w:hAnsi="Times New Roman" w:cs="Times New Roman"/>
                      <w:color w:val="auto"/>
                      <w:lang w:eastAsia="zh-CN"/>
                    </w:rPr>
                    <w:t>。</w:t>
                  </w:r>
                </w:p>
              </w:tc>
              <w:tc>
                <w:tcPr>
                  <w:tcW w:w="481" w:type="dxa"/>
                  <w:vAlign w:val="center"/>
                </w:tcPr>
                <w:p w14:paraId="4B940C1A">
                  <w:pPr>
                    <w:pStyle w:val="61"/>
                    <w:bidi w:val="0"/>
                    <w:rPr>
                      <w:rFonts w:hint="default"/>
                      <w:color w:val="auto"/>
                      <w:lang w:eastAsia="zh-CN"/>
                    </w:rPr>
                  </w:pPr>
                  <w:r>
                    <w:rPr>
                      <w:rFonts w:hint="default"/>
                      <w:color w:val="auto"/>
                      <w:lang w:eastAsia="zh-CN"/>
                    </w:rPr>
                    <w:t>相符</w:t>
                  </w:r>
                </w:p>
              </w:tc>
            </w:tr>
            <w:tr w14:paraId="659F8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0" w:hRule="atLeast"/>
                <w:jc w:val="center"/>
              </w:trPr>
              <w:tc>
                <w:tcPr>
                  <w:tcW w:w="461" w:type="dxa"/>
                  <w:vMerge w:val="continue"/>
                  <w:textDirection w:val="tbRlV"/>
                  <w:vAlign w:val="top"/>
                </w:tcPr>
                <w:p w14:paraId="224AD6FE">
                  <w:pPr>
                    <w:pStyle w:val="61"/>
                    <w:bidi w:val="0"/>
                    <w:rPr>
                      <w:rFonts w:hint="default"/>
                      <w:color w:val="auto"/>
                      <w:lang w:eastAsia="zh-CN"/>
                    </w:rPr>
                  </w:pPr>
                </w:p>
              </w:tc>
              <w:tc>
                <w:tcPr>
                  <w:tcW w:w="3412" w:type="dxa"/>
                  <w:vAlign w:val="center"/>
                </w:tcPr>
                <w:p w14:paraId="0BCCBBF5">
                  <w:pPr>
                    <w:pStyle w:val="61"/>
                    <w:bidi w:val="0"/>
                    <w:rPr>
                      <w:rFonts w:hint="eastAsia"/>
                      <w:color w:val="auto"/>
                      <w:lang w:eastAsia="zh-CN"/>
                    </w:rPr>
                  </w:pPr>
                  <w:r>
                    <w:rPr>
                      <w:rFonts w:hint="default"/>
                      <w:color w:val="auto"/>
                      <w:lang w:eastAsia="zh-CN"/>
                    </w:rPr>
                    <w:t>进行固体废物再生利用技术选择时，应在固体废物再生利用技术生命周期评价结果的基础上，结合相关法规及行业的产业政策要求</w:t>
                  </w:r>
                  <w:r>
                    <w:rPr>
                      <w:rFonts w:hint="eastAsia"/>
                      <w:color w:val="auto"/>
                      <w:lang w:eastAsia="zh-CN"/>
                    </w:rPr>
                    <w:t>。</w:t>
                  </w:r>
                </w:p>
              </w:tc>
              <w:tc>
                <w:tcPr>
                  <w:tcW w:w="2405" w:type="dxa"/>
                  <w:vAlign w:val="center"/>
                </w:tcPr>
                <w:p w14:paraId="055D156D">
                  <w:pPr>
                    <w:pStyle w:val="61"/>
                    <w:bidi w:val="0"/>
                    <w:rPr>
                      <w:rFonts w:hint="eastAsia" w:ascii="Times New Roman" w:hAnsi="Times New Roman" w:cs="Times New Roman"/>
                      <w:color w:val="auto"/>
                      <w:lang w:eastAsia="zh-CN"/>
                    </w:rPr>
                  </w:pPr>
                  <w:r>
                    <w:rPr>
                      <w:rFonts w:hint="default" w:ascii="Times New Roman" w:hAnsi="Times New Roman" w:cs="Times New Roman"/>
                      <w:color w:val="auto"/>
                      <w:lang w:eastAsia="zh-CN"/>
                    </w:rPr>
                    <w:t>本项目</w:t>
                  </w:r>
                  <w:r>
                    <w:rPr>
                      <w:rFonts w:hint="eastAsia" w:cs="Times New Roman"/>
                      <w:color w:val="auto"/>
                      <w:lang w:val="en-US" w:eastAsia="zh-CN"/>
                    </w:rPr>
                    <w:t>不合格品回用</w:t>
                  </w:r>
                  <w:r>
                    <w:rPr>
                      <w:rFonts w:hint="eastAsia" w:ascii="Times New Roman" w:hAnsi="Times New Roman" w:cs="Times New Roman"/>
                      <w:color w:val="auto"/>
                      <w:lang w:val="en-US" w:eastAsia="zh-CN"/>
                    </w:rPr>
                    <w:t>符合</w:t>
                  </w:r>
                  <w:r>
                    <w:rPr>
                      <w:rFonts w:hint="default" w:ascii="Times New Roman" w:hAnsi="Times New Roman" w:cs="Times New Roman"/>
                      <w:color w:val="auto"/>
                      <w:lang w:eastAsia="zh-CN"/>
                    </w:rPr>
                    <w:t>相关规范</w:t>
                  </w:r>
                </w:p>
              </w:tc>
              <w:tc>
                <w:tcPr>
                  <w:tcW w:w="481" w:type="dxa"/>
                  <w:vAlign w:val="center"/>
                </w:tcPr>
                <w:p w14:paraId="518AC25D">
                  <w:pPr>
                    <w:pStyle w:val="61"/>
                    <w:bidi w:val="0"/>
                    <w:rPr>
                      <w:rFonts w:hint="default"/>
                      <w:color w:val="auto"/>
                      <w:lang w:eastAsia="zh-CN"/>
                    </w:rPr>
                  </w:pPr>
                  <w:r>
                    <w:rPr>
                      <w:rFonts w:hint="default"/>
                      <w:color w:val="auto"/>
                      <w:lang w:eastAsia="zh-CN"/>
                    </w:rPr>
                    <w:t>相符</w:t>
                  </w:r>
                </w:p>
              </w:tc>
            </w:tr>
            <w:tr w14:paraId="38AF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continue"/>
                  <w:textDirection w:val="tbRlV"/>
                  <w:vAlign w:val="top"/>
                </w:tcPr>
                <w:p w14:paraId="57ABBF93">
                  <w:pPr>
                    <w:pStyle w:val="61"/>
                    <w:bidi w:val="0"/>
                    <w:rPr>
                      <w:rFonts w:hint="default"/>
                      <w:color w:val="auto"/>
                      <w:lang w:eastAsia="zh-CN"/>
                    </w:rPr>
                  </w:pPr>
                </w:p>
              </w:tc>
              <w:tc>
                <w:tcPr>
                  <w:tcW w:w="3412" w:type="dxa"/>
                  <w:vAlign w:val="center"/>
                </w:tcPr>
                <w:p w14:paraId="002C50E9">
                  <w:pPr>
                    <w:pStyle w:val="61"/>
                    <w:bidi w:val="0"/>
                    <w:rPr>
                      <w:rFonts w:hint="eastAsia"/>
                      <w:color w:val="auto"/>
                      <w:lang w:eastAsia="zh-CN"/>
                    </w:rPr>
                  </w:pPr>
                  <w:r>
                    <w:rPr>
                      <w:rFonts w:hint="default"/>
                      <w:color w:val="auto"/>
                      <w:lang w:eastAsia="zh-CN"/>
                    </w:rPr>
                    <w:t>固体废物再生利用建设项目的选址应符合区域性环境保护规划和当地的城乡总体规划</w:t>
                  </w:r>
                  <w:r>
                    <w:rPr>
                      <w:rFonts w:hint="eastAsia"/>
                      <w:color w:val="auto"/>
                      <w:lang w:eastAsia="zh-CN"/>
                    </w:rPr>
                    <w:t>。</w:t>
                  </w:r>
                </w:p>
              </w:tc>
              <w:tc>
                <w:tcPr>
                  <w:tcW w:w="2405" w:type="dxa"/>
                  <w:vAlign w:val="top"/>
                </w:tcPr>
                <w:p w14:paraId="68CF1CC4">
                  <w:pPr>
                    <w:pStyle w:val="61"/>
                    <w:bidi w:val="0"/>
                    <w:rPr>
                      <w:rFonts w:hint="eastAsia"/>
                      <w:color w:val="auto"/>
                      <w:lang w:eastAsia="zh-CN"/>
                    </w:rPr>
                  </w:pPr>
                  <w:r>
                    <w:rPr>
                      <w:rFonts w:hint="default"/>
                      <w:color w:val="auto"/>
                      <w:lang w:eastAsia="zh-CN"/>
                    </w:rPr>
                    <w:t>本项目建设满足</w:t>
                  </w:r>
                  <w:r>
                    <w:rPr>
                      <w:rFonts w:hint="eastAsia"/>
                      <w:color w:val="auto"/>
                      <w:lang w:eastAsia="zh-CN"/>
                    </w:rPr>
                    <w:t>高安市</w:t>
                  </w:r>
                  <w:r>
                    <w:rPr>
                      <w:rFonts w:hint="default"/>
                      <w:color w:val="auto"/>
                      <w:lang w:eastAsia="zh-CN"/>
                    </w:rPr>
                    <w:t>国土空间规划要求</w:t>
                  </w:r>
                </w:p>
              </w:tc>
              <w:tc>
                <w:tcPr>
                  <w:tcW w:w="481" w:type="dxa"/>
                  <w:vAlign w:val="center"/>
                </w:tcPr>
                <w:p w14:paraId="489A84A7">
                  <w:pPr>
                    <w:pStyle w:val="61"/>
                    <w:bidi w:val="0"/>
                    <w:rPr>
                      <w:rFonts w:hint="default"/>
                      <w:color w:val="auto"/>
                      <w:lang w:eastAsia="zh-CN"/>
                    </w:rPr>
                  </w:pPr>
                  <w:r>
                    <w:rPr>
                      <w:rFonts w:hint="default"/>
                      <w:color w:val="auto"/>
                      <w:lang w:eastAsia="zh-CN"/>
                    </w:rPr>
                    <w:t>相符</w:t>
                  </w:r>
                </w:p>
              </w:tc>
            </w:tr>
            <w:tr w14:paraId="63FBA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76" w:hRule="atLeast"/>
                <w:jc w:val="center"/>
              </w:trPr>
              <w:tc>
                <w:tcPr>
                  <w:tcW w:w="461" w:type="dxa"/>
                  <w:vMerge w:val="continue"/>
                  <w:textDirection w:val="tbRlV"/>
                  <w:vAlign w:val="top"/>
                </w:tcPr>
                <w:p w14:paraId="07078E5E">
                  <w:pPr>
                    <w:pStyle w:val="61"/>
                    <w:bidi w:val="0"/>
                    <w:rPr>
                      <w:rFonts w:hint="default"/>
                      <w:color w:val="auto"/>
                      <w:lang w:eastAsia="zh-CN"/>
                    </w:rPr>
                  </w:pPr>
                </w:p>
              </w:tc>
              <w:tc>
                <w:tcPr>
                  <w:tcW w:w="3412" w:type="dxa"/>
                  <w:vAlign w:val="center"/>
                </w:tcPr>
                <w:p w14:paraId="3A5F1216">
                  <w:pPr>
                    <w:pStyle w:val="61"/>
                    <w:bidi w:val="0"/>
                    <w:rPr>
                      <w:rFonts w:hint="eastAsia"/>
                      <w:color w:val="auto"/>
                      <w:lang w:eastAsia="zh-CN"/>
                    </w:rPr>
                  </w:pPr>
                  <w:r>
                    <w:rPr>
                      <w:rFonts w:hint="default"/>
                      <w:color w:val="auto"/>
                      <w:lang w:eastAsia="zh-CN"/>
                    </w:rPr>
                    <w:t>固体废物再生利用建设项目的设计、施工、验收和运行应遵守国家现行的相关法规的规定，同时建立完善的环境管理制度，包括环境影响评价、环境管理计划、环境保护责任、排污许可、监测、信息公开、环境应急预案和环境保护档案管理等制度</w:t>
                  </w:r>
                  <w:r>
                    <w:rPr>
                      <w:rFonts w:hint="eastAsia"/>
                      <w:color w:val="auto"/>
                      <w:lang w:eastAsia="zh-CN"/>
                    </w:rPr>
                    <w:t>。</w:t>
                  </w:r>
                </w:p>
              </w:tc>
              <w:tc>
                <w:tcPr>
                  <w:tcW w:w="2405" w:type="dxa"/>
                  <w:vAlign w:val="center"/>
                </w:tcPr>
                <w:p w14:paraId="45794C98">
                  <w:pPr>
                    <w:pStyle w:val="61"/>
                    <w:bidi w:val="0"/>
                    <w:rPr>
                      <w:rFonts w:hint="eastAsia"/>
                      <w:color w:val="auto"/>
                      <w:lang w:eastAsia="zh-CN"/>
                    </w:rPr>
                  </w:pPr>
                  <w:r>
                    <w:rPr>
                      <w:rFonts w:hint="default"/>
                      <w:color w:val="auto"/>
                      <w:lang w:eastAsia="zh-CN"/>
                    </w:rPr>
                    <w:t>本项目正处于环境影响评价阶段，并将遵循</w:t>
                  </w:r>
                  <w:r>
                    <w:rPr>
                      <w:rFonts w:hint="eastAsia"/>
                      <w:color w:val="auto"/>
                      <w:lang w:eastAsia="zh-CN"/>
                    </w:rPr>
                    <w:t>相关</w:t>
                  </w:r>
                  <w:r>
                    <w:rPr>
                      <w:rFonts w:hint="default"/>
                      <w:color w:val="auto"/>
                      <w:lang w:eastAsia="zh-CN"/>
                    </w:rPr>
                    <w:t>法规要求</w:t>
                  </w:r>
                  <w:r>
                    <w:rPr>
                      <w:rFonts w:hint="eastAsia"/>
                      <w:color w:val="auto"/>
                      <w:lang w:val="en-US" w:eastAsia="zh-CN"/>
                    </w:rPr>
                    <w:t>建立其他环境</w:t>
                  </w:r>
                  <w:r>
                    <w:rPr>
                      <w:rFonts w:hint="default"/>
                      <w:color w:val="auto"/>
                      <w:lang w:eastAsia="zh-CN"/>
                    </w:rPr>
                    <w:t>管理制度</w:t>
                  </w:r>
                  <w:r>
                    <w:rPr>
                      <w:rFonts w:hint="eastAsia"/>
                      <w:color w:val="auto"/>
                      <w:lang w:eastAsia="zh-CN"/>
                    </w:rPr>
                    <w:t>。</w:t>
                  </w:r>
                </w:p>
              </w:tc>
              <w:tc>
                <w:tcPr>
                  <w:tcW w:w="481" w:type="dxa"/>
                  <w:vAlign w:val="center"/>
                </w:tcPr>
                <w:p w14:paraId="7185E0AF">
                  <w:pPr>
                    <w:pStyle w:val="61"/>
                    <w:bidi w:val="0"/>
                    <w:rPr>
                      <w:rFonts w:hint="default"/>
                      <w:color w:val="auto"/>
                      <w:lang w:eastAsia="zh-CN"/>
                    </w:rPr>
                  </w:pPr>
                  <w:r>
                    <w:rPr>
                      <w:rFonts w:hint="default"/>
                      <w:color w:val="auto"/>
                      <w:lang w:eastAsia="zh-CN"/>
                    </w:rPr>
                    <w:t>相符</w:t>
                  </w:r>
                </w:p>
              </w:tc>
            </w:tr>
            <w:tr w14:paraId="6E1D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5" w:hRule="atLeast"/>
                <w:jc w:val="center"/>
              </w:trPr>
              <w:tc>
                <w:tcPr>
                  <w:tcW w:w="461" w:type="dxa"/>
                  <w:vMerge w:val="continue"/>
                  <w:textDirection w:val="tbRlV"/>
                  <w:vAlign w:val="top"/>
                </w:tcPr>
                <w:p w14:paraId="13D6E724">
                  <w:pPr>
                    <w:pStyle w:val="61"/>
                    <w:bidi w:val="0"/>
                    <w:rPr>
                      <w:rFonts w:hint="default"/>
                      <w:color w:val="auto"/>
                      <w:lang w:eastAsia="zh-CN"/>
                    </w:rPr>
                  </w:pPr>
                </w:p>
              </w:tc>
              <w:tc>
                <w:tcPr>
                  <w:tcW w:w="3412" w:type="dxa"/>
                  <w:vAlign w:val="center"/>
                </w:tcPr>
                <w:p w14:paraId="39632867">
                  <w:pPr>
                    <w:pStyle w:val="61"/>
                    <w:bidi w:val="0"/>
                    <w:rPr>
                      <w:rFonts w:hint="default"/>
                      <w:color w:val="auto"/>
                      <w:lang w:eastAsia="zh-CN"/>
                    </w:rPr>
                  </w:pPr>
                  <w:r>
                    <w:rPr>
                      <w:rFonts w:hint="default"/>
                      <w:color w:val="auto"/>
                      <w:lang w:eastAsia="zh-CN"/>
                    </w:rPr>
                    <w:t>应对固体废物再生利用各技术环节的环境污染因子进行识别，采取有效污染控制措施，配备污染物监测设备设施，避免污染物的无组织排放，防止发生二次污染，妥善处置产生的废物。</w:t>
                  </w:r>
                </w:p>
              </w:tc>
              <w:tc>
                <w:tcPr>
                  <w:tcW w:w="2405" w:type="dxa"/>
                  <w:vAlign w:val="center"/>
                </w:tcPr>
                <w:p w14:paraId="71DCC36A">
                  <w:pPr>
                    <w:pStyle w:val="61"/>
                    <w:bidi w:val="0"/>
                    <w:rPr>
                      <w:rFonts w:hint="default"/>
                      <w:color w:val="auto"/>
                      <w:lang w:eastAsia="zh-CN"/>
                    </w:rPr>
                  </w:pPr>
                  <w:r>
                    <w:rPr>
                      <w:rFonts w:hint="default"/>
                      <w:color w:val="auto"/>
                      <w:lang w:eastAsia="zh-CN"/>
                    </w:rPr>
                    <w:t>本项目废气污染因子主要为</w:t>
                  </w:r>
                  <w:r>
                    <w:rPr>
                      <w:rFonts w:hint="eastAsia"/>
                      <w:color w:val="auto"/>
                      <w:lang w:val="en-US" w:eastAsia="zh-CN"/>
                    </w:rPr>
                    <w:t>颗粒物、挥发性有机物</w:t>
                  </w:r>
                  <w:r>
                    <w:rPr>
                      <w:rFonts w:hint="default"/>
                      <w:color w:val="auto"/>
                      <w:lang w:eastAsia="zh-CN"/>
                    </w:rPr>
                    <w:t>等，经处理后可达标排放，正常运行情况下不会发生二次污染。</w:t>
                  </w:r>
                </w:p>
              </w:tc>
              <w:tc>
                <w:tcPr>
                  <w:tcW w:w="481" w:type="dxa"/>
                  <w:vAlign w:val="center"/>
                </w:tcPr>
                <w:p w14:paraId="7E52678F">
                  <w:pPr>
                    <w:pStyle w:val="61"/>
                    <w:bidi w:val="0"/>
                    <w:rPr>
                      <w:rFonts w:hint="default"/>
                      <w:color w:val="auto"/>
                      <w:lang w:eastAsia="zh-CN"/>
                    </w:rPr>
                  </w:pPr>
                  <w:r>
                    <w:rPr>
                      <w:rFonts w:hint="default"/>
                      <w:color w:val="auto"/>
                      <w:lang w:eastAsia="zh-CN"/>
                    </w:rPr>
                    <w:t>相符</w:t>
                  </w:r>
                </w:p>
              </w:tc>
            </w:tr>
            <w:tr w14:paraId="3FC7A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1" w:hRule="atLeast"/>
                <w:jc w:val="center"/>
              </w:trPr>
              <w:tc>
                <w:tcPr>
                  <w:tcW w:w="461" w:type="dxa"/>
                  <w:vMerge w:val="restart"/>
                  <w:vAlign w:val="center"/>
                </w:tcPr>
                <w:p w14:paraId="7912FC67">
                  <w:pPr>
                    <w:pStyle w:val="61"/>
                    <w:bidi w:val="0"/>
                    <w:rPr>
                      <w:rFonts w:hint="default"/>
                      <w:color w:val="auto"/>
                      <w:lang w:eastAsia="zh-CN"/>
                    </w:rPr>
                  </w:pPr>
                  <w:r>
                    <w:rPr>
                      <w:rFonts w:hint="default"/>
                      <w:color w:val="auto"/>
                      <w:lang w:eastAsia="zh-CN"/>
                    </w:rPr>
                    <w:t>主要工艺单元污染防治技术要求</w:t>
                  </w:r>
                </w:p>
              </w:tc>
              <w:tc>
                <w:tcPr>
                  <w:tcW w:w="3412" w:type="dxa"/>
                  <w:vAlign w:val="center"/>
                </w:tcPr>
                <w:p w14:paraId="6EFEEBF0">
                  <w:pPr>
                    <w:pStyle w:val="61"/>
                    <w:bidi w:val="0"/>
                    <w:rPr>
                      <w:rFonts w:hint="eastAsia"/>
                      <w:color w:val="auto"/>
                      <w:lang w:eastAsia="zh-CN"/>
                    </w:rPr>
                  </w:pPr>
                  <w:r>
                    <w:rPr>
                      <w:rFonts w:hint="default"/>
                      <w:color w:val="auto"/>
                      <w:lang w:eastAsia="zh-CN"/>
                    </w:rPr>
                    <w:t>进行再生利用作业前，应明确固体废物的理化特性，并采取相应的安全防护措施，以防止固体废物在清洗、破碎、中和反应等过程中引起有毒有害物质的释放</w:t>
                  </w:r>
                  <w:r>
                    <w:rPr>
                      <w:rFonts w:hint="eastAsia"/>
                      <w:color w:val="auto"/>
                      <w:lang w:eastAsia="zh-CN"/>
                    </w:rPr>
                    <w:t>。</w:t>
                  </w:r>
                </w:p>
              </w:tc>
              <w:tc>
                <w:tcPr>
                  <w:tcW w:w="2405" w:type="dxa"/>
                  <w:vAlign w:val="center"/>
                </w:tcPr>
                <w:p w14:paraId="1534565D">
                  <w:pPr>
                    <w:pStyle w:val="61"/>
                    <w:bidi w:val="0"/>
                    <w:rPr>
                      <w:rFonts w:hint="eastAsia"/>
                      <w:color w:val="auto"/>
                      <w:lang w:eastAsia="zh-CN"/>
                    </w:rPr>
                  </w:pPr>
                  <w:r>
                    <w:rPr>
                      <w:rFonts w:hint="default"/>
                      <w:color w:val="auto"/>
                      <w:lang w:eastAsia="zh-CN"/>
                    </w:rPr>
                    <w:t>本项目无清洗、</w:t>
                  </w:r>
                  <w:r>
                    <w:rPr>
                      <w:rFonts w:hint="eastAsia"/>
                      <w:color w:val="auto"/>
                      <w:lang w:val="en-US" w:eastAsia="zh-CN"/>
                    </w:rPr>
                    <w:t>无</w:t>
                  </w:r>
                  <w:r>
                    <w:rPr>
                      <w:rFonts w:hint="default"/>
                      <w:color w:val="auto"/>
                      <w:lang w:eastAsia="zh-CN"/>
                    </w:rPr>
                    <w:t>中和反应工序，破碎过程中的污染因子主要为颗粒物，无有毒有害物质</w:t>
                  </w:r>
                  <w:r>
                    <w:rPr>
                      <w:rFonts w:hint="eastAsia"/>
                      <w:color w:val="auto"/>
                      <w:lang w:eastAsia="zh-CN"/>
                    </w:rPr>
                    <w:t>。</w:t>
                  </w:r>
                </w:p>
              </w:tc>
              <w:tc>
                <w:tcPr>
                  <w:tcW w:w="481" w:type="dxa"/>
                  <w:vAlign w:val="center"/>
                </w:tcPr>
                <w:p w14:paraId="1803358B">
                  <w:pPr>
                    <w:pStyle w:val="61"/>
                    <w:bidi w:val="0"/>
                    <w:rPr>
                      <w:rFonts w:hint="default"/>
                      <w:color w:val="auto"/>
                      <w:lang w:eastAsia="zh-CN"/>
                    </w:rPr>
                  </w:pPr>
                  <w:r>
                    <w:rPr>
                      <w:rFonts w:hint="default"/>
                      <w:color w:val="auto"/>
                      <w:lang w:eastAsia="zh-CN"/>
                    </w:rPr>
                    <w:t>相符</w:t>
                  </w:r>
                </w:p>
              </w:tc>
            </w:tr>
            <w:tr w14:paraId="259B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0" w:hRule="atLeast"/>
                <w:jc w:val="center"/>
              </w:trPr>
              <w:tc>
                <w:tcPr>
                  <w:tcW w:w="461" w:type="dxa"/>
                  <w:vMerge w:val="continue"/>
                  <w:textDirection w:val="tbRlV"/>
                  <w:vAlign w:val="top"/>
                </w:tcPr>
                <w:p w14:paraId="1DFED132">
                  <w:pPr>
                    <w:pStyle w:val="61"/>
                    <w:bidi w:val="0"/>
                    <w:rPr>
                      <w:rFonts w:hint="default"/>
                      <w:color w:val="auto"/>
                      <w:lang w:eastAsia="zh-CN"/>
                    </w:rPr>
                  </w:pPr>
                </w:p>
              </w:tc>
              <w:tc>
                <w:tcPr>
                  <w:tcW w:w="3412" w:type="dxa"/>
                  <w:vAlign w:val="center"/>
                </w:tcPr>
                <w:p w14:paraId="6BBBC7A0">
                  <w:pPr>
                    <w:pStyle w:val="61"/>
                    <w:bidi w:val="0"/>
                    <w:rPr>
                      <w:rFonts w:hint="default"/>
                      <w:color w:val="auto"/>
                      <w:lang w:eastAsia="zh-CN"/>
                    </w:rPr>
                  </w:pPr>
                  <w:r>
                    <w:rPr>
                      <w:rFonts w:hint="default"/>
                      <w:color w:val="auto"/>
                      <w:lang w:eastAsia="zh-CN"/>
                    </w:rPr>
                    <w:t>具有物理化学危险特性的固体废物，应首先进行稳定化处理。</w:t>
                  </w:r>
                </w:p>
              </w:tc>
              <w:tc>
                <w:tcPr>
                  <w:tcW w:w="2405" w:type="dxa"/>
                  <w:vAlign w:val="center"/>
                </w:tcPr>
                <w:p w14:paraId="1CF36EF2">
                  <w:pPr>
                    <w:pStyle w:val="61"/>
                    <w:bidi w:val="0"/>
                    <w:rPr>
                      <w:rFonts w:hint="default"/>
                      <w:color w:val="auto"/>
                      <w:lang w:eastAsia="zh-CN"/>
                    </w:rPr>
                  </w:pPr>
                  <w:r>
                    <w:rPr>
                      <w:rFonts w:hint="default"/>
                      <w:color w:val="auto"/>
                      <w:lang w:eastAsia="zh-CN"/>
                    </w:rPr>
                    <w:t>本项目</w:t>
                  </w:r>
                  <w:r>
                    <w:rPr>
                      <w:rFonts w:hint="eastAsia"/>
                      <w:color w:val="auto"/>
                      <w:lang w:val="en-US" w:eastAsia="zh-CN"/>
                    </w:rPr>
                    <w:t>回用废物主要成分为蛋白质、脂肪</w:t>
                  </w:r>
                  <w:r>
                    <w:rPr>
                      <w:rFonts w:hint="default"/>
                      <w:color w:val="auto"/>
                      <w:lang w:eastAsia="zh-CN"/>
                    </w:rPr>
                    <w:t>等，不涉及具有物理化学危险特性的固体废物。</w:t>
                  </w:r>
                </w:p>
              </w:tc>
              <w:tc>
                <w:tcPr>
                  <w:tcW w:w="481" w:type="dxa"/>
                  <w:vAlign w:val="center"/>
                </w:tcPr>
                <w:p w14:paraId="09FC422C">
                  <w:pPr>
                    <w:pStyle w:val="61"/>
                    <w:bidi w:val="0"/>
                    <w:rPr>
                      <w:rFonts w:hint="default"/>
                      <w:color w:val="auto"/>
                      <w:lang w:eastAsia="zh-CN"/>
                    </w:rPr>
                  </w:pPr>
                  <w:r>
                    <w:rPr>
                      <w:rFonts w:hint="default"/>
                      <w:color w:val="auto"/>
                      <w:lang w:eastAsia="zh-CN"/>
                    </w:rPr>
                    <w:t>相符</w:t>
                  </w:r>
                </w:p>
              </w:tc>
            </w:tr>
            <w:tr w14:paraId="11E3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1" w:hRule="atLeast"/>
                <w:jc w:val="center"/>
              </w:trPr>
              <w:tc>
                <w:tcPr>
                  <w:tcW w:w="461" w:type="dxa"/>
                  <w:vMerge w:val="continue"/>
                  <w:textDirection w:val="tbRlV"/>
                  <w:vAlign w:val="top"/>
                </w:tcPr>
                <w:p w14:paraId="2D6E87C4">
                  <w:pPr>
                    <w:pStyle w:val="61"/>
                    <w:bidi w:val="0"/>
                    <w:rPr>
                      <w:rFonts w:hint="default"/>
                      <w:color w:val="auto"/>
                      <w:lang w:eastAsia="zh-CN"/>
                    </w:rPr>
                  </w:pPr>
                </w:p>
              </w:tc>
              <w:tc>
                <w:tcPr>
                  <w:tcW w:w="3412" w:type="dxa"/>
                  <w:vAlign w:val="center"/>
                </w:tcPr>
                <w:p w14:paraId="50EF382D">
                  <w:pPr>
                    <w:pStyle w:val="61"/>
                    <w:bidi w:val="0"/>
                    <w:rPr>
                      <w:rFonts w:hint="eastAsia"/>
                      <w:color w:val="auto"/>
                      <w:lang w:eastAsia="zh-CN"/>
                    </w:rPr>
                  </w:pPr>
                  <w:r>
                    <w:rPr>
                      <w:rFonts w:hint="default"/>
                      <w:color w:val="auto"/>
                      <w:lang w:eastAsia="zh-CN"/>
                    </w:rPr>
                    <w:t>应根据固体废物的特性设置必要的防扬撒、防渗漏、防腐蚀设施，配备废气处理、废水处理、噪声控制等污染防治设施，按要求对主要环境影响指标进行在线监测</w:t>
                  </w:r>
                  <w:r>
                    <w:rPr>
                      <w:rFonts w:hint="eastAsia"/>
                      <w:color w:val="auto"/>
                      <w:lang w:eastAsia="zh-CN"/>
                    </w:rPr>
                    <w:t>。</w:t>
                  </w:r>
                </w:p>
              </w:tc>
              <w:tc>
                <w:tcPr>
                  <w:tcW w:w="2405" w:type="dxa"/>
                  <w:vAlign w:val="top"/>
                </w:tcPr>
                <w:p w14:paraId="144DFF98">
                  <w:pPr>
                    <w:pStyle w:val="61"/>
                    <w:bidi w:val="0"/>
                    <w:rPr>
                      <w:rFonts w:hint="eastAsia"/>
                      <w:color w:val="auto"/>
                      <w:lang w:eastAsia="zh-CN"/>
                    </w:rPr>
                  </w:pPr>
                  <w:r>
                    <w:rPr>
                      <w:rFonts w:hint="default"/>
                      <w:color w:val="auto"/>
                      <w:lang w:eastAsia="zh-CN"/>
                    </w:rPr>
                    <w:t>本项目固体废物原料</w:t>
                  </w:r>
                  <w:r>
                    <w:rPr>
                      <w:rFonts w:hint="eastAsia"/>
                      <w:color w:val="auto"/>
                      <w:lang w:val="en-US" w:eastAsia="zh-CN"/>
                    </w:rPr>
                    <w:t>主要成分为蛋白质、脂肪等，</w:t>
                  </w:r>
                  <w:r>
                    <w:rPr>
                      <w:rFonts w:hint="default"/>
                      <w:color w:val="auto"/>
                      <w:lang w:eastAsia="zh-CN"/>
                    </w:rPr>
                    <w:t>不涉及渗漏、腐蚀情况，不含挥发性气体</w:t>
                  </w:r>
                  <w:r>
                    <w:rPr>
                      <w:rFonts w:hint="eastAsia"/>
                      <w:color w:val="auto"/>
                      <w:lang w:eastAsia="zh-CN"/>
                    </w:rPr>
                    <w:t>。</w:t>
                  </w:r>
                </w:p>
              </w:tc>
              <w:tc>
                <w:tcPr>
                  <w:tcW w:w="481" w:type="dxa"/>
                  <w:vAlign w:val="center"/>
                </w:tcPr>
                <w:p w14:paraId="0AF5D4C1">
                  <w:pPr>
                    <w:pStyle w:val="61"/>
                    <w:bidi w:val="0"/>
                    <w:rPr>
                      <w:rFonts w:hint="default"/>
                      <w:color w:val="auto"/>
                      <w:lang w:eastAsia="zh-CN"/>
                    </w:rPr>
                  </w:pPr>
                  <w:r>
                    <w:rPr>
                      <w:rFonts w:hint="default"/>
                      <w:color w:val="auto"/>
                      <w:lang w:eastAsia="zh-CN"/>
                    </w:rPr>
                    <w:t>相符</w:t>
                  </w:r>
                </w:p>
              </w:tc>
            </w:tr>
            <w:tr w14:paraId="42EFA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1" w:hRule="atLeast"/>
                <w:jc w:val="center"/>
              </w:trPr>
              <w:tc>
                <w:tcPr>
                  <w:tcW w:w="461" w:type="dxa"/>
                  <w:vMerge w:val="continue"/>
                  <w:textDirection w:val="tbRlV"/>
                  <w:vAlign w:val="top"/>
                </w:tcPr>
                <w:p w14:paraId="59361784">
                  <w:pPr>
                    <w:pStyle w:val="61"/>
                    <w:bidi w:val="0"/>
                    <w:rPr>
                      <w:rFonts w:hint="default"/>
                      <w:color w:val="auto"/>
                      <w:lang w:eastAsia="zh-CN"/>
                    </w:rPr>
                  </w:pPr>
                </w:p>
              </w:tc>
              <w:tc>
                <w:tcPr>
                  <w:tcW w:w="3412" w:type="dxa"/>
                  <w:vAlign w:val="center"/>
                </w:tcPr>
                <w:p w14:paraId="702F49AC">
                  <w:pPr>
                    <w:pStyle w:val="61"/>
                    <w:bidi w:val="0"/>
                    <w:rPr>
                      <w:rFonts w:hint="eastAsia"/>
                      <w:color w:val="auto"/>
                      <w:lang w:eastAsia="zh-CN"/>
                    </w:rPr>
                  </w:pPr>
                  <w:r>
                    <w:rPr>
                      <w:rFonts w:hint="default"/>
                      <w:color w:val="auto"/>
                      <w:lang w:eastAsia="zh-CN"/>
                    </w:rPr>
                    <w:t>产生粉尘和有毒有害气体的作业区应采取除尘和有毒有害气体收集措施。扬尘点应设置吸尘罩和收尘设备，有毒有害气体逸散区应设置吸附（吸收）转化装置，保证作业区粉尘、有害气体浓度满足GBZ2.1的要求</w:t>
                  </w:r>
                  <w:r>
                    <w:rPr>
                      <w:rFonts w:hint="eastAsia"/>
                      <w:color w:val="auto"/>
                      <w:lang w:eastAsia="zh-CN"/>
                    </w:rPr>
                    <w:t>。</w:t>
                  </w:r>
                </w:p>
              </w:tc>
              <w:tc>
                <w:tcPr>
                  <w:tcW w:w="2405" w:type="dxa"/>
                  <w:vAlign w:val="center"/>
                </w:tcPr>
                <w:p w14:paraId="61C21A58">
                  <w:pPr>
                    <w:pStyle w:val="61"/>
                    <w:bidi w:val="0"/>
                    <w:rPr>
                      <w:rFonts w:hint="eastAsia"/>
                      <w:color w:val="auto"/>
                      <w:lang w:eastAsia="zh-CN"/>
                    </w:rPr>
                  </w:pPr>
                  <w:r>
                    <w:rPr>
                      <w:rFonts w:hint="default"/>
                      <w:color w:val="auto"/>
                      <w:lang w:eastAsia="zh-CN"/>
                    </w:rPr>
                    <w:t>本项目生产工艺废气主要为粉尘</w:t>
                  </w:r>
                  <w:r>
                    <w:rPr>
                      <w:rFonts w:hint="eastAsia"/>
                      <w:color w:val="auto"/>
                      <w:lang w:eastAsia="zh-CN"/>
                    </w:rPr>
                    <w:t>、</w:t>
                  </w:r>
                  <w:r>
                    <w:rPr>
                      <w:rFonts w:hint="eastAsia"/>
                      <w:color w:val="auto"/>
                      <w:lang w:val="en-US" w:eastAsia="zh-CN"/>
                    </w:rPr>
                    <w:t>挥发性有机物</w:t>
                  </w:r>
                  <w:r>
                    <w:rPr>
                      <w:rFonts w:hint="default"/>
                      <w:color w:val="auto"/>
                      <w:lang w:eastAsia="zh-CN"/>
                    </w:rPr>
                    <w:t>，粉尘经收集采用袋式除尘器处理，处理后的粉尘可达标排放，</w:t>
                  </w:r>
                  <w:r>
                    <w:rPr>
                      <w:rFonts w:hint="eastAsia"/>
                      <w:color w:val="auto"/>
                      <w:lang w:val="en-US" w:eastAsia="zh-CN"/>
                    </w:rPr>
                    <w:t>挥发性有机物经三级水喷淋装置处理后达标排放</w:t>
                  </w:r>
                  <w:r>
                    <w:rPr>
                      <w:rFonts w:hint="eastAsia"/>
                      <w:color w:val="auto"/>
                      <w:lang w:eastAsia="zh-CN"/>
                    </w:rPr>
                    <w:t>，</w:t>
                  </w:r>
                  <w:r>
                    <w:rPr>
                      <w:rFonts w:hint="default"/>
                      <w:color w:val="auto"/>
                      <w:lang w:eastAsia="zh-CN"/>
                    </w:rPr>
                    <w:t>作业区粉尘</w:t>
                  </w:r>
                  <w:r>
                    <w:rPr>
                      <w:rFonts w:hint="eastAsia"/>
                      <w:color w:val="auto"/>
                      <w:lang w:eastAsia="zh-CN"/>
                    </w:rPr>
                    <w:t>、</w:t>
                  </w:r>
                  <w:r>
                    <w:rPr>
                      <w:rFonts w:hint="eastAsia"/>
                      <w:color w:val="auto"/>
                      <w:lang w:val="en-US" w:eastAsia="zh-CN"/>
                    </w:rPr>
                    <w:t>挥发性有机物</w:t>
                  </w:r>
                  <w:r>
                    <w:rPr>
                      <w:rFonts w:hint="default"/>
                      <w:color w:val="auto"/>
                      <w:lang w:eastAsia="zh-CN"/>
                    </w:rPr>
                    <w:t>浓度满足GBZ2.1的要求</w:t>
                  </w:r>
                  <w:r>
                    <w:rPr>
                      <w:rFonts w:hint="eastAsia"/>
                      <w:color w:val="auto"/>
                      <w:lang w:eastAsia="zh-CN"/>
                    </w:rPr>
                    <w:t>。</w:t>
                  </w:r>
                </w:p>
              </w:tc>
              <w:tc>
                <w:tcPr>
                  <w:tcW w:w="481" w:type="dxa"/>
                  <w:vAlign w:val="center"/>
                </w:tcPr>
                <w:p w14:paraId="1D04C87B">
                  <w:pPr>
                    <w:pStyle w:val="61"/>
                    <w:bidi w:val="0"/>
                    <w:rPr>
                      <w:rFonts w:hint="default"/>
                      <w:color w:val="auto"/>
                      <w:lang w:eastAsia="zh-CN"/>
                    </w:rPr>
                  </w:pPr>
                  <w:r>
                    <w:rPr>
                      <w:rFonts w:hint="default"/>
                      <w:color w:val="auto"/>
                      <w:lang w:eastAsia="zh-CN"/>
                    </w:rPr>
                    <w:t>相符</w:t>
                  </w:r>
                </w:p>
              </w:tc>
            </w:tr>
            <w:tr w14:paraId="3E759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4" w:hRule="atLeast"/>
                <w:jc w:val="center"/>
              </w:trPr>
              <w:tc>
                <w:tcPr>
                  <w:tcW w:w="461" w:type="dxa"/>
                  <w:vMerge w:val="restart"/>
                  <w:vAlign w:val="top"/>
                </w:tcPr>
                <w:p w14:paraId="50C955CE">
                  <w:pPr>
                    <w:pStyle w:val="61"/>
                    <w:bidi w:val="0"/>
                    <w:rPr>
                      <w:rFonts w:hint="default"/>
                      <w:color w:val="auto"/>
                      <w:lang w:eastAsia="zh-CN"/>
                    </w:rPr>
                  </w:pPr>
                </w:p>
              </w:tc>
              <w:tc>
                <w:tcPr>
                  <w:tcW w:w="3412" w:type="dxa"/>
                  <w:vAlign w:val="center"/>
                </w:tcPr>
                <w:p w14:paraId="242EF83B">
                  <w:pPr>
                    <w:pStyle w:val="61"/>
                    <w:bidi w:val="0"/>
                    <w:rPr>
                      <w:rFonts w:hint="eastAsia"/>
                      <w:color w:val="auto"/>
                      <w:lang w:eastAsia="zh-CN"/>
                    </w:rPr>
                  </w:pPr>
                  <w:r>
                    <w:rPr>
                      <w:rFonts w:hint="default"/>
                      <w:color w:val="auto"/>
                      <w:lang w:eastAsia="zh-CN"/>
                    </w:rPr>
                    <w:t>应采取大气污染控制措施，大气污染物排放应满足特定行业排放（控制）标准的要求。没有特定行业污染排放（控制）标准的，应满足GB16297的要求，特征污染物排放（控制）应满足环境影响评价要求</w:t>
                  </w:r>
                  <w:r>
                    <w:rPr>
                      <w:rFonts w:hint="eastAsia"/>
                      <w:color w:val="auto"/>
                      <w:lang w:eastAsia="zh-CN"/>
                    </w:rPr>
                    <w:t>。</w:t>
                  </w:r>
                </w:p>
              </w:tc>
              <w:tc>
                <w:tcPr>
                  <w:tcW w:w="2405" w:type="dxa"/>
                  <w:vAlign w:val="center"/>
                </w:tcPr>
                <w:p w14:paraId="06C79D43">
                  <w:pPr>
                    <w:pStyle w:val="61"/>
                    <w:bidi w:val="0"/>
                    <w:rPr>
                      <w:rFonts w:hint="eastAsia" w:ascii="Times New Roman" w:hAnsi="Times New Roman" w:cs="Times New Roman"/>
                      <w:color w:val="auto"/>
                      <w:lang w:val="en-US" w:eastAsia="zh-CN"/>
                    </w:rPr>
                  </w:pPr>
                  <w:r>
                    <w:rPr>
                      <w:rFonts w:hint="default" w:ascii="Times New Roman" w:hAnsi="Times New Roman" w:cs="Times New Roman"/>
                      <w:color w:val="auto"/>
                      <w:lang w:eastAsia="zh-CN"/>
                    </w:rPr>
                    <w:t>本项目粉尘经收集采用袋式除尘器处理，处理后的粉尘可达标排放，</w:t>
                  </w:r>
                  <w:r>
                    <w:rPr>
                      <w:rFonts w:hint="eastAsia" w:ascii="Times New Roman" w:hAnsi="Times New Roman" w:cs="Times New Roman"/>
                      <w:color w:val="auto"/>
                      <w:lang w:val="en-US" w:eastAsia="zh-CN"/>
                    </w:rPr>
                    <w:t>挥发性有机物经</w:t>
                  </w:r>
                  <w:r>
                    <w:rPr>
                      <w:rFonts w:hint="eastAsia" w:cs="Times New Roman"/>
                      <w:color w:val="auto"/>
                      <w:lang w:val="en-US" w:eastAsia="zh-CN"/>
                    </w:rPr>
                    <w:t>三级水喷淋装置</w:t>
                  </w:r>
                  <w:r>
                    <w:rPr>
                      <w:rFonts w:hint="eastAsia" w:ascii="Times New Roman" w:hAnsi="Times New Roman" w:cs="Times New Roman"/>
                      <w:color w:val="auto"/>
                      <w:lang w:val="en-US" w:eastAsia="zh-CN"/>
                    </w:rPr>
                    <w:t>处理后达标排放</w:t>
                  </w:r>
                </w:p>
              </w:tc>
              <w:tc>
                <w:tcPr>
                  <w:tcW w:w="481" w:type="dxa"/>
                  <w:vAlign w:val="center"/>
                </w:tcPr>
                <w:p w14:paraId="2ADCFA8E">
                  <w:pPr>
                    <w:pStyle w:val="61"/>
                    <w:bidi w:val="0"/>
                    <w:rPr>
                      <w:rFonts w:hint="default"/>
                      <w:color w:val="auto"/>
                      <w:lang w:eastAsia="zh-CN"/>
                    </w:rPr>
                  </w:pPr>
                  <w:r>
                    <w:rPr>
                      <w:rFonts w:hint="default"/>
                      <w:color w:val="auto"/>
                      <w:lang w:eastAsia="zh-CN"/>
                    </w:rPr>
                    <w:t>相符</w:t>
                  </w:r>
                </w:p>
              </w:tc>
            </w:tr>
            <w:tr w14:paraId="0B4D6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continue"/>
                  <w:vAlign w:val="top"/>
                </w:tcPr>
                <w:p w14:paraId="5A03687B">
                  <w:pPr>
                    <w:pStyle w:val="61"/>
                    <w:bidi w:val="0"/>
                    <w:rPr>
                      <w:rFonts w:hint="default"/>
                      <w:color w:val="auto"/>
                      <w:lang w:eastAsia="zh-CN"/>
                    </w:rPr>
                  </w:pPr>
                </w:p>
              </w:tc>
              <w:tc>
                <w:tcPr>
                  <w:tcW w:w="3412" w:type="dxa"/>
                  <w:vAlign w:val="center"/>
                </w:tcPr>
                <w:p w14:paraId="3BE621C0">
                  <w:pPr>
                    <w:pStyle w:val="61"/>
                    <w:bidi w:val="0"/>
                    <w:rPr>
                      <w:rFonts w:hint="eastAsia"/>
                      <w:color w:val="auto"/>
                      <w:lang w:eastAsia="zh-CN"/>
                    </w:rPr>
                  </w:pPr>
                  <w:r>
                    <w:rPr>
                      <w:rFonts w:hint="default"/>
                      <w:color w:val="auto"/>
                      <w:lang w:eastAsia="zh-CN"/>
                    </w:rPr>
                    <w:t>应采取必要的措施防止恶臭物质扩散，周界恶臭污染物浓度应符合GB14554的要求</w:t>
                  </w:r>
                  <w:r>
                    <w:rPr>
                      <w:rFonts w:hint="eastAsia"/>
                      <w:color w:val="auto"/>
                      <w:lang w:eastAsia="zh-CN"/>
                    </w:rPr>
                    <w:t>。</w:t>
                  </w:r>
                </w:p>
              </w:tc>
              <w:tc>
                <w:tcPr>
                  <w:tcW w:w="2405" w:type="dxa"/>
                  <w:vAlign w:val="top"/>
                </w:tcPr>
                <w:p w14:paraId="7C7A8066">
                  <w:pPr>
                    <w:pStyle w:val="6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恶</w:t>
                  </w:r>
                  <w:r>
                    <w:rPr>
                      <w:rFonts w:hint="default" w:ascii="Times New Roman" w:hAnsi="Times New Roman" w:cs="Times New Roman"/>
                      <w:color w:val="auto"/>
                      <w:lang w:val="en-US" w:eastAsia="zh-CN"/>
                    </w:rPr>
                    <w:t>臭气</w:t>
                  </w:r>
                  <w:r>
                    <w:rPr>
                      <w:rFonts w:hint="eastAsia" w:ascii="Times New Roman" w:hAnsi="Times New Roman" w:cs="Times New Roman"/>
                      <w:color w:val="auto"/>
                      <w:lang w:val="en-US" w:eastAsia="zh-CN"/>
                    </w:rPr>
                    <w:t>体经活</w:t>
                  </w:r>
                  <w:r>
                    <w:rPr>
                      <w:rFonts w:hint="default" w:ascii="Times New Roman" w:hAnsi="Times New Roman" w:cs="Times New Roman"/>
                      <w:color w:val="auto"/>
                      <w:lang w:val="en-US" w:eastAsia="zh-CN"/>
                    </w:rPr>
                    <w:t>性污泥</w:t>
                  </w:r>
                  <w:r>
                    <w:rPr>
                      <w:rFonts w:hint="eastAsia" w:ascii="Times New Roman" w:hAnsi="Times New Roman" w:cs="Times New Roman"/>
                      <w:color w:val="auto"/>
                      <w:lang w:val="en-US" w:eastAsia="zh-CN"/>
                    </w:rPr>
                    <w:t>脱臭</w:t>
                  </w:r>
                  <w:r>
                    <w:rPr>
                      <w:rFonts w:hint="default" w:ascii="Times New Roman" w:hAnsi="Times New Roman" w:cs="Times New Roman"/>
                      <w:color w:val="auto"/>
                      <w:lang w:val="en-US" w:eastAsia="zh-CN"/>
                    </w:rPr>
                    <w:t>法</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曝气氧化法</w:t>
                  </w:r>
                  <w:r>
                    <w:rPr>
                      <w:rFonts w:hint="eastAsia" w:ascii="Times New Roman" w:hAnsi="Times New Roman" w:cs="Times New Roman"/>
                      <w:color w:val="auto"/>
                      <w:lang w:val="en-US" w:eastAsia="zh-CN"/>
                    </w:rPr>
                    <w:t>）+污泥脱水法处理后无组织排放，满足</w:t>
                  </w:r>
                  <w:r>
                    <w:rPr>
                      <w:rFonts w:hint="default" w:ascii="Times New Roman" w:hAnsi="Times New Roman" w:cs="Times New Roman"/>
                      <w:color w:val="auto"/>
                      <w:lang w:eastAsia="zh-CN"/>
                    </w:rPr>
                    <w:t>GB14554的要求</w:t>
                  </w:r>
                </w:p>
              </w:tc>
              <w:tc>
                <w:tcPr>
                  <w:tcW w:w="481" w:type="dxa"/>
                  <w:vAlign w:val="center"/>
                </w:tcPr>
                <w:p w14:paraId="066DD975">
                  <w:pPr>
                    <w:pStyle w:val="61"/>
                    <w:bidi w:val="0"/>
                    <w:rPr>
                      <w:rFonts w:hint="default"/>
                      <w:color w:val="auto"/>
                      <w:lang w:eastAsia="zh-CN"/>
                    </w:rPr>
                  </w:pPr>
                  <w:r>
                    <w:rPr>
                      <w:rFonts w:hint="default"/>
                      <w:color w:val="auto"/>
                      <w:lang w:eastAsia="zh-CN"/>
                    </w:rPr>
                    <w:t>/</w:t>
                  </w:r>
                </w:p>
              </w:tc>
            </w:tr>
            <w:tr w14:paraId="1F0E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8" w:hRule="atLeast"/>
                <w:jc w:val="center"/>
              </w:trPr>
              <w:tc>
                <w:tcPr>
                  <w:tcW w:w="461" w:type="dxa"/>
                  <w:vMerge w:val="continue"/>
                  <w:vAlign w:val="top"/>
                </w:tcPr>
                <w:p w14:paraId="2309A9F3">
                  <w:pPr>
                    <w:pStyle w:val="61"/>
                    <w:bidi w:val="0"/>
                    <w:rPr>
                      <w:rFonts w:hint="default"/>
                      <w:color w:val="auto"/>
                      <w:lang w:eastAsia="zh-CN"/>
                    </w:rPr>
                  </w:pPr>
                </w:p>
              </w:tc>
              <w:tc>
                <w:tcPr>
                  <w:tcW w:w="3412" w:type="dxa"/>
                  <w:vAlign w:val="center"/>
                </w:tcPr>
                <w:p w14:paraId="2109384E">
                  <w:pPr>
                    <w:pStyle w:val="61"/>
                    <w:bidi w:val="0"/>
                    <w:rPr>
                      <w:rFonts w:hint="eastAsia"/>
                      <w:color w:val="auto"/>
                      <w:lang w:eastAsia="zh-CN"/>
                    </w:rPr>
                  </w:pPr>
                  <w:r>
                    <w:rPr>
                      <w:rFonts w:hint="default"/>
                      <w:color w:val="auto"/>
                      <w:lang w:eastAsia="zh-CN"/>
                    </w:rPr>
                    <w:t>产生的冷凝液、浓缩液、渗滤液等废液应进行有效收集后集中处理。处理后产生的废水应优先考虑循环利用；排放时应满足特定行业排放（控制）标准的要求；没有特定行业污染排放（控制）标准的，应满足GB8978的要求，特征污染物排放（控制）应满足环境影响评价要求</w:t>
                  </w:r>
                  <w:r>
                    <w:rPr>
                      <w:rFonts w:hint="eastAsia"/>
                      <w:color w:val="auto"/>
                      <w:lang w:eastAsia="zh-CN"/>
                    </w:rPr>
                    <w:t>。</w:t>
                  </w:r>
                </w:p>
              </w:tc>
              <w:tc>
                <w:tcPr>
                  <w:tcW w:w="2405" w:type="dxa"/>
                  <w:vAlign w:val="center"/>
                </w:tcPr>
                <w:p w14:paraId="5E5007F7">
                  <w:pPr>
                    <w:pStyle w:val="61"/>
                    <w:bidi w:val="0"/>
                    <w:rPr>
                      <w:rFonts w:hint="default"/>
                      <w:color w:val="auto"/>
                      <w:lang w:val="en-US" w:eastAsia="zh-CN"/>
                    </w:rPr>
                  </w:pPr>
                  <w:r>
                    <w:rPr>
                      <w:rFonts w:hint="default"/>
                      <w:color w:val="auto"/>
                      <w:lang w:eastAsia="zh-CN"/>
                    </w:rPr>
                    <w:t>本项目</w:t>
                  </w:r>
                  <w:r>
                    <w:rPr>
                      <w:rFonts w:hint="eastAsia"/>
                      <w:color w:val="auto"/>
                      <w:lang w:val="en-US" w:eastAsia="zh-CN"/>
                    </w:rPr>
                    <w:t>蒸馏乙醇冷凝后循环使用</w:t>
                  </w:r>
                </w:p>
              </w:tc>
              <w:tc>
                <w:tcPr>
                  <w:tcW w:w="481" w:type="dxa"/>
                  <w:vAlign w:val="center"/>
                </w:tcPr>
                <w:p w14:paraId="27EFF33D">
                  <w:pPr>
                    <w:pStyle w:val="61"/>
                    <w:bidi w:val="0"/>
                    <w:rPr>
                      <w:rFonts w:hint="default"/>
                      <w:color w:val="auto"/>
                      <w:lang w:eastAsia="zh-CN"/>
                    </w:rPr>
                  </w:pPr>
                  <w:r>
                    <w:rPr>
                      <w:rFonts w:hint="default"/>
                      <w:color w:val="auto"/>
                      <w:lang w:eastAsia="zh-CN"/>
                    </w:rPr>
                    <w:t>/</w:t>
                  </w:r>
                </w:p>
              </w:tc>
            </w:tr>
            <w:tr w14:paraId="23617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continue"/>
                  <w:vAlign w:val="top"/>
                </w:tcPr>
                <w:p w14:paraId="68D762F3">
                  <w:pPr>
                    <w:pStyle w:val="61"/>
                    <w:bidi w:val="0"/>
                    <w:rPr>
                      <w:rFonts w:hint="default"/>
                      <w:color w:val="auto"/>
                      <w:lang w:eastAsia="zh-CN"/>
                    </w:rPr>
                  </w:pPr>
                </w:p>
              </w:tc>
              <w:tc>
                <w:tcPr>
                  <w:tcW w:w="3412" w:type="dxa"/>
                  <w:vAlign w:val="center"/>
                </w:tcPr>
                <w:p w14:paraId="783001DF">
                  <w:pPr>
                    <w:pStyle w:val="61"/>
                    <w:bidi w:val="0"/>
                    <w:rPr>
                      <w:rFonts w:hint="eastAsia"/>
                      <w:color w:val="auto"/>
                      <w:lang w:eastAsia="zh-CN"/>
                    </w:rPr>
                  </w:pPr>
                  <w:r>
                    <w:rPr>
                      <w:rFonts w:hint="default"/>
                      <w:color w:val="auto"/>
                      <w:lang w:eastAsia="zh-CN"/>
                    </w:rPr>
                    <w:t>应防止噪声污染。设备运转时厂界噪声应符合GB12348的要求，作业车间噪声应符合GBZ2.2的要求</w:t>
                  </w:r>
                  <w:r>
                    <w:rPr>
                      <w:rFonts w:hint="eastAsia"/>
                      <w:color w:val="auto"/>
                      <w:lang w:eastAsia="zh-CN"/>
                    </w:rPr>
                    <w:t>。</w:t>
                  </w:r>
                </w:p>
              </w:tc>
              <w:tc>
                <w:tcPr>
                  <w:tcW w:w="2405" w:type="dxa"/>
                  <w:vAlign w:val="top"/>
                </w:tcPr>
                <w:p w14:paraId="5A718BC8">
                  <w:pPr>
                    <w:pStyle w:val="61"/>
                    <w:bidi w:val="0"/>
                    <w:rPr>
                      <w:rFonts w:hint="eastAsia"/>
                      <w:color w:val="auto"/>
                      <w:lang w:eastAsia="zh-CN"/>
                    </w:rPr>
                  </w:pPr>
                  <w:r>
                    <w:rPr>
                      <w:rFonts w:hint="default"/>
                      <w:color w:val="auto"/>
                      <w:lang w:eastAsia="zh-CN"/>
                    </w:rPr>
                    <w:t>本项目对设备噪声采取隔声</w:t>
                  </w:r>
                  <w:r>
                    <w:rPr>
                      <w:rFonts w:hint="eastAsia"/>
                      <w:color w:val="auto"/>
                      <w:lang w:eastAsia="zh-CN"/>
                    </w:rPr>
                    <w:t>减振</w:t>
                  </w:r>
                  <w:r>
                    <w:rPr>
                      <w:rFonts w:hint="default"/>
                      <w:color w:val="auto"/>
                      <w:lang w:eastAsia="zh-CN"/>
                    </w:rPr>
                    <w:t>等措施，厂界噪声可满足相关标准要求</w:t>
                  </w:r>
                  <w:r>
                    <w:rPr>
                      <w:rFonts w:hint="eastAsia"/>
                      <w:color w:val="auto"/>
                      <w:lang w:eastAsia="zh-CN"/>
                    </w:rPr>
                    <w:t>。</w:t>
                  </w:r>
                </w:p>
              </w:tc>
              <w:tc>
                <w:tcPr>
                  <w:tcW w:w="481" w:type="dxa"/>
                  <w:vAlign w:val="center"/>
                </w:tcPr>
                <w:p w14:paraId="451F04E2">
                  <w:pPr>
                    <w:pStyle w:val="61"/>
                    <w:bidi w:val="0"/>
                    <w:rPr>
                      <w:rFonts w:hint="default"/>
                      <w:color w:val="auto"/>
                      <w:lang w:eastAsia="zh-CN"/>
                    </w:rPr>
                  </w:pPr>
                  <w:r>
                    <w:rPr>
                      <w:rFonts w:hint="default"/>
                      <w:color w:val="auto"/>
                      <w:lang w:eastAsia="zh-CN"/>
                    </w:rPr>
                    <w:t>相符</w:t>
                  </w:r>
                </w:p>
              </w:tc>
            </w:tr>
            <w:tr w14:paraId="22752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5" w:hRule="atLeast"/>
                <w:jc w:val="center"/>
              </w:trPr>
              <w:tc>
                <w:tcPr>
                  <w:tcW w:w="461" w:type="dxa"/>
                  <w:vMerge w:val="continue"/>
                  <w:vAlign w:val="top"/>
                </w:tcPr>
                <w:p w14:paraId="76F8471F">
                  <w:pPr>
                    <w:pStyle w:val="61"/>
                    <w:bidi w:val="0"/>
                    <w:rPr>
                      <w:rFonts w:hint="default"/>
                      <w:color w:val="auto"/>
                      <w:lang w:eastAsia="zh-CN"/>
                    </w:rPr>
                  </w:pPr>
                </w:p>
              </w:tc>
              <w:tc>
                <w:tcPr>
                  <w:tcW w:w="3412" w:type="dxa"/>
                  <w:vAlign w:val="center"/>
                </w:tcPr>
                <w:p w14:paraId="2951346A">
                  <w:pPr>
                    <w:pStyle w:val="61"/>
                    <w:bidi w:val="0"/>
                    <w:rPr>
                      <w:rFonts w:hint="eastAsia"/>
                      <w:color w:val="auto"/>
                      <w:lang w:eastAsia="zh-CN"/>
                    </w:rPr>
                  </w:pPr>
                  <w:r>
                    <w:rPr>
                      <w:rFonts w:hint="default"/>
                      <w:color w:val="auto"/>
                      <w:lang w:eastAsia="zh-CN"/>
                    </w:rPr>
                    <w:t>产生的污泥、底渣、废油类等固体废物应按照其管理属性分别处置。不能自行综合利用或处置的，应交给有相应资质和处理能力的企业进行综合利用或处置</w:t>
                  </w:r>
                  <w:r>
                    <w:rPr>
                      <w:rFonts w:hint="eastAsia"/>
                      <w:color w:val="auto"/>
                      <w:lang w:eastAsia="zh-CN"/>
                    </w:rPr>
                    <w:t>。</w:t>
                  </w:r>
                </w:p>
              </w:tc>
              <w:tc>
                <w:tcPr>
                  <w:tcW w:w="2405" w:type="dxa"/>
                  <w:vAlign w:val="center"/>
                </w:tcPr>
                <w:p w14:paraId="1A9A69CE">
                  <w:pPr>
                    <w:pStyle w:val="61"/>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w:t>
                  </w:r>
                  <w:r>
                    <w:rPr>
                      <w:rFonts w:hint="eastAsia" w:ascii="Times New Roman" w:hAnsi="Times New Roman" w:cs="Times New Roman"/>
                      <w:color w:val="auto"/>
                      <w:lang w:val="en-US" w:eastAsia="zh-CN"/>
                    </w:rPr>
                    <w:t>废液</w:t>
                  </w:r>
                  <w:r>
                    <w:rPr>
                      <w:rFonts w:hint="default" w:ascii="Times New Roman" w:hAnsi="Times New Roman" w:cs="Times New Roman"/>
                      <w:color w:val="auto"/>
                      <w:lang w:eastAsia="zh-CN"/>
                    </w:rPr>
                    <w:t>等固体废物按照其管理属性分别处置，并定期委托有危废资质单位进行清运处置。</w:t>
                  </w:r>
                </w:p>
              </w:tc>
              <w:tc>
                <w:tcPr>
                  <w:tcW w:w="481" w:type="dxa"/>
                  <w:vAlign w:val="center"/>
                </w:tcPr>
                <w:p w14:paraId="2ACEFB81">
                  <w:pPr>
                    <w:pStyle w:val="61"/>
                    <w:bidi w:val="0"/>
                    <w:rPr>
                      <w:rFonts w:hint="default"/>
                      <w:color w:val="auto"/>
                      <w:lang w:eastAsia="zh-CN"/>
                    </w:rPr>
                  </w:pPr>
                  <w:r>
                    <w:rPr>
                      <w:rFonts w:hint="default"/>
                      <w:color w:val="auto"/>
                      <w:lang w:eastAsia="zh-CN"/>
                    </w:rPr>
                    <w:t>/</w:t>
                  </w:r>
                </w:p>
              </w:tc>
            </w:tr>
            <w:tr w14:paraId="48B68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0" w:hRule="atLeast"/>
                <w:jc w:val="center"/>
              </w:trPr>
              <w:tc>
                <w:tcPr>
                  <w:tcW w:w="461" w:type="dxa"/>
                  <w:vMerge w:val="continue"/>
                  <w:vAlign w:val="top"/>
                </w:tcPr>
                <w:p w14:paraId="798EEE68">
                  <w:pPr>
                    <w:pStyle w:val="61"/>
                    <w:bidi w:val="0"/>
                    <w:rPr>
                      <w:rFonts w:hint="default"/>
                      <w:color w:val="auto"/>
                      <w:lang w:eastAsia="zh-CN"/>
                    </w:rPr>
                  </w:pPr>
                </w:p>
              </w:tc>
              <w:tc>
                <w:tcPr>
                  <w:tcW w:w="3412" w:type="dxa"/>
                  <w:vAlign w:val="center"/>
                </w:tcPr>
                <w:p w14:paraId="4A0A110E">
                  <w:pPr>
                    <w:pStyle w:val="61"/>
                    <w:bidi w:val="0"/>
                    <w:rPr>
                      <w:rFonts w:hint="eastAsia"/>
                      <w:color w:val="auto"/>
                      <w:lang w:eastAsia="zh-CN"/>
                    </w:rPr>
                  </w:pPr>
                  <w:r>
                    <w:rPr>
                      <w:rFonts w:hint="default"/>
                      <w:color w:val="auto"/>
                      <w:lang w:eastAsia="zh-CN"/>
                    </w:rPr>
                    <w:t>危险废物的贮存、包装、处置等应符合GB18597、HJ2042等危险废物专用标准的要求</w:t>
                  </w:r>
                  <w:r>
                    <w:rPr>
                      <w:rFonts w:hint="eastAsia"/>
                      <w:color w:val="auto"/>
                      <w:lang w:eastAsia="zh-CN"/>
                    </w:rPr>
                    <w:t>。</w:t>
                  </w:r>
                </w:p>
              </w:tc>
              <w:tc>
                <w:tcPr>
                  <w:tcW w:w="2405" w:type="dxa"/>
                  <w:vAlign w:val="center"/>
                </w:tcPr>
                <w:p w14:paraId="48B805FD">
                  <w:pPr>
                    <w:pStyle w:val="61"/>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项目产生的</w:t>
                  </w:r>
                  <w:r>
                    <w:rPr>
                      <w:rFonts w:hint="eastAsia" w:ascii="Times New Roman" w:hAnsi="Times New Roman" w:cs="Times New Roman"/>
                      <w:color w:val="auto"/>
                      <w:lang w:val="en-US" w:eastAsia="zh-CN"/>
                    </w:rPr>
                    <w:t>废液</w:t>
                  </w:r>
                  <w:r>
                    <w:rPr>
                      <w:rFonts w:hint="default" w:ascii="Times New Roman" w:hAnsi="Times New Roman" w:cs="Times New Roman"/>
                      <w:color w:val="auto"/>
                      <w:lang w:eastAsia="zh-CN"/>
                    </w:rPr>
                    <w:t>贮存、包装、处置等应符合GB18597、HJ204</w:t>
                  </w:r>
                  <w:r>
                    <w:rPr>
                      <w:rFonts w:hint="eastAsia" w:cs="Times New Roman"/>
                      <w:color w:val="auto"/>
                      <w:lang w:val="en-US" w:eastAsia="zh-CN"/>
                    </w:rPr>
                    <w:t>2</w:t>
                  </w:r>
                  <w:r>
                    <w:rPr>
                      <w:rFonts w:hint="default" w:ascii="Times New Roman" w:hAnsi="Times New Roman" w:cs="Times New Roman"/>
                      <w:color w:val="auto"/>
                      <w:lang w:eastAsia="zh-CN"/>
                    </w:rPr>
                    <w:t>等危险废物专用标准的要求。</w:t>
                  </w:r>
                </w:p>
              </w:tc>
              <w:tc>
                <w:tcPr>
                  <w:tcW w:w="481" w:type="dxa"/>
                  <w:vAlign w:val="center"/>
                </w:tcPr>
                <w:p w14:paraId="61E57CDF">
                  <w:pPr>
                    <w:pStyle w:val="61"/>
                    <w:bidi w:val="0"/>
                    <w:rPr>
                      <w:rFonts w:hint="default"/>
                      <w:color w:val="auto"/>
                      <w:lang w:eastAsia="zh-CN"/>
                    </w:rPr>
                  </w:pPr>
                  <w:r>
                    <w:rPr>
                      <w:rFonts w:hint="default"/>
                      <w:color w:val="auto"/>
                      <w:lang w:eastAsia="zh-CN"/>
                    </w:rPr>
                    <w:t>/</w:t>
                  </w:r>
                </w:p>
              </w:tc>
            </w:tr>
            <w:tr w14:paraId="1B97B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5" w:hRule="atLeast"/>
                <w:jc w:val="center"/>
              </w:trPr>
              <w:tc>
                <w:tcPr>
                  <w:tcW w:w="461" w:type="dxa"/>
                  <w:vMerge w:val="restart"/>
                  <w:textDirection w:val="tbRlV"/>
                  <w:vAlign w:val="center"/>
                </w:tcPr>
                <w:p w14:paraId="596183A1">
                  <w:pPr>
                    <w:pStyle w:val="61"/>
                    <w:bidi w:val="0"/>
                    <w:rPr>
                      <w:rFonts w:hint="default"/>
                      <w:color w:val="auto"/>
                      <w:lang w:eastAsia="zh-CN"/>
                    </w:rPr>
                  </w:pPr>
                  <w:r>
                    <w:rPr>
                      <w:rFonts w:hint="default"/>
                      <w:color w:val="auto"/>
                      <w:lang w:eastAsia="zh-CN"/>
                    </w:rPr>
                    <w:t>干燥技术要求</w:t>
                  </w:r>
                </w:p>
              </w:tc>
              <w:tc>
                <w:tcPr>
                  <w:tcW w:w="3412" w:type="dxa"/>
                  <w:vAlign w:val="center"/>
                </w:tcPr>
                <w:p w14:paraId="42C121F1">
                  <w:pPr>
                    <w:pStyle w:val="61"/>
                    <w:bidi w:val="0"/>
                    <w:rPr>
                      <w:rFonts w:hint="eastAsia"/>
                      <w:color w:val="auto"/>
                      <w:lang w:eastAsia="zh-CN"/>
                    </w:rPr>
                  </w:pPr>
                  <w:r>
                    <w:rPr>
                      <w:rFonts w:hint="default"/>
                      <w:color w:val="auto"/>
                      <w:lang w:eastAsia="zh-CN"/>
                    </w:rPr>
                    <w:t>干燥是用热空气、烟道气、红外线、水蒸气、导热油等热源加热烘干固体废物，除去其中所含的水分等溶剂，以达到减容、减量，便于处理、处置和再利用目的的过程</w:t>
                  </w:r>
                  <w:r>
                    <w:rPr>
                      <w:rFonts w:hint="eastAsia"/>
                      <w:color w:val="auto"/>
                      <w:lang w:eastAsia="zh-CN"/>
                    </w:rPr>
                    <w:t>。</w:t>
                  </w:r>
                </w:p>
              </w:tc>
              <w:tc>
                <w:tcPr>
                  <w:tcW w:w="2405" w:type="dxa"/>
                  <w:vAlign w:val="center"/>
                </w:tcPr>
                <w:p w14:paraId="33DEA4CD">
                  <w:pPr>
                    <w:pStyle w:val="61"/>
                    <w:bidi w:val="0"/>
                    <w:rPr>
                      <w:rFonts w:hint="default"/>
                      <w:color w:val="auto"/>
                      <w:lang w:val="en-US" w:eastAsia="zh-CN"/>
                    </w:rPr>
                  </w:pPr>
                  <w:r>
                    <w:rPr>
                      <w:rFonts w:hint="default"/>
                      <w:color w:val="auto"/>
                      <w:lang w:eastAsia="zh-CN"/>
                    </w:rPr>
                    <w:t>本项目</w:t>
                  </w:r>
                  <w:r>
                    <w:rPr>
                      <w:rFonts w:hint="eastAsia"/>
                      <w:color w:val="auto"/>
                      <w:lang w:val="en-US" w:eastAsia="zh-CN"/>
                    </w:rPr>
                    <w:t>固废不涉及干燥</w:t>
                  </w:r>
                </w:p>
              </w:tc>
              <w:tc>
                <w:tcPr>
                  <w:tcW w:w="481" w:type="dxa"/>
                  <w:vAlign w:val="center"/>
                </w:tcPr>
                <w:p w14:paraId="69880BC1">
                  <w:pPr>
                    <w:pStyle w:val="61"/>
                    <w:bidi w:val="0"/>
                    <w:rPr>
                      <w:rFonts w:hint="default"/>
                      <w:color w:val="auto"/>
                      <w:lang w:eastAsia="zh-CN"/>
                    </w:rPr>
                  </w:pPr>
                  <w:r>
                    <w:rPr>
                      <w:rFonts w:hint="default"/>
                      <w:color w:val="auto"/>
                      <w:lang w:eastAsia="zh-CN"/>
                    </w:rPr>
                    <w:t>相符</w:t>
                  </w:r>
                </w:p>
              </w:tc>
            </w:tr>
            <w:tr w14:paraId="1AC53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continue"/>
                  <w:textDirection w:val="tbRlV"/>
                  <w:vAlign w:val="top"/>
                </w:tcPr>
                <w:p w14:paraId="0F75B065">
                  <w:pPr>
                    <w:pStyle w:val="61"/>
                    <w:bidi w:val="0"/>
                    <w:rPr>
                      <w:rFonts w:hint="default"/>
                      <w:color w:val="auto"/>
                      <w:lang w:eastAsia="zh-CN"/>
                    </w:rPr>
                  </w:pPr>
                </w:p>
              </w:tc>
              <w:tc>
                <w:tcPr>
                  <w:tcW w:w="3412" w:type="dxa"/>
                  <w:vAlign w:val="center"/>
                </w:tcPr>
                <w:p w14:paraId="048534A2">
                  <w:pPr>
                    <w:pStyle w:val="61"/>
                    <w:bidi w:val="0"/>
                    <w:rPr>
                      <w:rFonts w:hint="eastAsia"/>
                      <w:color w:val="auto"/>
                      <w:lang w:eastAsia="zh-CN"/>
                    </w:rPr>
                  </w:pPr>
                  <w:r>
                    <w:rPr>
                      <w:rFonts w:hint="default"/>
                      <w:color w:val="auto"/>
                      <w:lang w:eastAsia="zh-CN"/>
                    </w:rPr>
                    <w:t>固体废物干燥技术包括喷雾干燥、流化床干燥、气流干燥、回转圆筒干燥、厢式干燥等技术</w:t>
                  </w:r>
                  <w:r>
                    <w:rPr>
                      <w:rFonts w:hint="eastAsia"/>
                      <w:color w:val="auto"/>
                      <w:lang w:eastAsia="zh-CN"/>
                    </w:rPr>
                    <w:t>。</w:t>
                  </w:r>
                </w:p>
              </w:tc>
              <w:tc>
                <w:tcPr>
                  <w:tcW w:w="2405" w:type="dxa"/>
                  <w:vAlign w:val="center"/>
                </w:tcPr>
                <w:p w14:paraId="7BAD9C31">
                  <w:pPr>
                    <w:pStyle w:val="61"/>
                    <w:bidi w:val="0"/>
                    <w:rPr>
                      <w:rFonts w:hint="default"/>
                      <w:color w:val="auto"/>
                      <w:lang w:eastAsia="zh-CN"/>
                    </w:rPr>
                  </w:pPr>
                  <w:r>
                    <w:rPr>
                      <w:rFonts w:hint="default"/>
                      <w:color w:val="auto"/>
                      <w:lang w:eastAsia="zh-CN"/>
                    </w:rPr>
                    <w:t>本项目</w:t>
                  </w:r>
                  <w:r>
                    <w:rPr>
                      <w:rFonts w:hint="eastAsia"/>
                      <w:color w:val="auto"/>
                      <w:lang w:val="en-US" w:eastAsia="zh-CN"/>
                    </w:rPr>
                    <w:t>固废不涉及干燥</w:t>
                  </w:r>
                </w:p>
              </w:tc>
              <w:tc>
                <w:tcPr>
                  <w:tcW w:w="481" w:type="dxa"/>
                  <w:vAlign w:val="center"/>
                </w:tcPr>
                <w:p w14:paraId="42B8EAA3">
                  <w:pPr>
                    <w:pStyle w:val="61"/>
                    <w:bidi w:val="0"/>
                    <w:rPr>
                      <w:rFonts w:hint="default"/>
                      <w:color w:val="auto"/>
                      <w:lang w:eastAsia="zh-CN"/>
                    </w:rPr>
                  </w:pPr>
                  <w:r>
                    <w:rPr>
                      <w:rFonts w:hint="default"/>
                      <w:color w:val="auto"/>
                      <w:lang w:eastAsia="zh-CN"/>
                    </w:rPr>
                    <w:t>相符</w:t>
                  </w:r>
                </w:p>
              </w:tc>
            </w:tr>
            <w:tr w14:paraId="11B57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3" w:hRule="atLeast"/>
                <w:jc w:val="center"/>
              </w:trPr>
              <w:tc>
                <w:tcPr>
                  <w:tcW w:w="461" w:type="dxa"/>
                  <w:vMerge w:val="continue"/>
                  <w:textDirection w:val="tbRlV"/>
                  <w:vAlign w:val="top"/>
                </w:tcPr>
                <w:p w14:paraId="76829D61">
                  <w:pPr>
                    <w:pStyle w:val="61"/>
                    <w:bidi w:val="0"/>
                    <w:rPr>
                      <w:rFonts w:hint="default"/>
                      <w:color w:val="auto"/>
                      <w:lang w:eastAsia="zh-CN"/>
                    </w:rPr>
                  </w:pPr>
                </w:p>
              </w:tc>
              <w:tc>
                <w:tcPr>
                  <w:tcW w:w="3412" w:type="dxa"/>
                  <w:vAlign w:val="center"/>
                </w:tcPr>
                <w:p w14:paraId="7D688FBD">
                  <w:pPr>
                    <w:pStyle w:val="61"/>
                    <w:bidi w:val="0"/>
                    <w:rPr>
                      <w:rFonts w:hint="eastAsia"/>
                      <w:color w:val="auto"/>
                      <w:lang w:eastAsia="zh-CN"/>
                    </w:rPr>
                  </w:pPr>
                  <w:r>
                    <w:rPr>
                      <w:rFonts w:hint="default"/>
                      <w:color w:val="auto"/>
                      <w:lang w:eastAsia="zh-CN"/>
                    </w:rPr>
                    <w:t>应根据固体废物的物理性质、化学性质及其它性质，结合干燥技术的适用性合理选择干燥技术。溶液、悬浮液或泥浆状废物的干燥宜选择喷雾干燥技术；无凝聚作用的散粒状废物的干燥宜选择流化床干燥技术；粉粒状废物的干燥宜选择气流干燥技术；粒状或小块状废物的干燥宜选择回转圆筒干燥技术；少量热敏性、易氧化废物的干燥宜选择厢式干燥技术</w:t>
                  </w:r>
                  <w:r>
                    <w:rPr>
                      <w:rFonts w:hint="eastAsia"/>
                      <w:color w:val="auto"/>
                      <w:lang w:eastAsia="zh-CN"/>
                    </w:rPr>
                    <w:t>。</w:t>
                  </w:r>
                </w:p>
              </w:tc>
              <w:tc>
                <w:tcPr>
                  <w:tcW w:w="2405" w:type="dxa"/>
                  <w:vAlign w:val="center"/>
                </w:tcPr>
                <w:p w14:paraId="7D4A3E9B">
                  <w:pPr>
                    <w:pStyle w:val="61"/>
                    <w:bidi w:val="0"/>
                    <w:rPr>
                      <w:rFonts w:hint="default"/>
                      <w:color w:val="auto"/>
                      <w:lang w:eastAsia="zh-CN"/>
                    </w:rPr>
                  </w:pPr>
                  <w:r>
                    <w:rPr>
                      <w:rFonts w:hint="default"/>
                      <w:color w:val="auto"/>
                      <w:lang w:eastAsia="zh-CN"/>
                    </w:rPr>
                    <w:t>本项目</w:t>
                  </w:r>
                  <w:r>
                    <w:rPr>
                      <w:rFonts w:hint="eastAsia"/>
                      <w:color w:val="auto"/>
                      <w:lang w:val="en-US" w:eastAsia="zh-CN"/>
                    </w:rPr>
                    <w:t>固废不涉及干燥</w:t>
                  </w:r>
                </w:p>
              </w:tc>
              <w:tc>
                <w:tcPr>
                  <w:tcW w:w="481" w:type="dxa"/>
                  <w:vAlign w:val="center"/>
                </w:tcPr>
                <w:p w14:paraId="72AEF075">
                  <w:pPr>
                    <w:pStyle w:val="61"/>
                    <w:bidi w:val="0"/>
                    <w:rPr>
                      <w:rFonts w:hint="default"/>
                      <w:color w:val="auto"/>
                      <w:lang w:eastAsia="zh-CN"/>
                    </w:rPr>
                  </w:pPr>
                  <w:r>
                    <w:rPr>
                      <w:rFonts w:hint="default"/>
                      <w:color w:val="auto"/>
                      <w:lang w:eastAsia="zh-CN"/>
                    </w:rPr>
                    <w:t>符合</w:t>
                  </w:r>
                </w:p>
              </w:tc>
            </w:tr>
            <w:tr w14:paraId="309B6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9" w:hRule="atLeast"/>
                <w:jc w:val="center"/>
              </w:trPr>
              <w:tc>
                <w:tcPr>
                  <w:tcW w:w="461" w:type="dxa"/>
                  <w:vMerge w:val="continue"/>
                  <w:textDirection w:val="tbRlV"/>
                  <w:vAlign w:val="top"/>
                </w:tcPr>
                <w:p w14:paraId="6015501E">
                  <w:pPr>
                    <w:pStyle w:val="61"/>
                    <w:bidi w:val="0"/>
                    <w:rPr>
                      <w:rFonts w:hint="default"/>
                      <w:color w:val="auto"/>
                      <w:lang w:eastAsia="zh-CN"/>
                    </w:rPr>
                  </w:pPr>
                </w:p>
              </w:tc>
              <w:tc>
                <w:tcPr>
                  <w:tcW w:w="3412" w:type="dxa"/>
                  <w:vAlign w:val="center"/>
                </w:tcPr>
                <w:p w14:paraId="0CE5CDD8">
                  <w:pPr>
                    <w:pStyle w:val="61"/>
                    <w:bidi w:val="0"/>
                    <w:rPr>
                      <w:rFonts w:hint="default"/>
                      <w:color w:val="auto"/>
                      <w:lang w:eastAsia="zh-CN"/>
                    </w:rPr>
                  </w:pPr>
                  <w:r>
                    <w:rPr>
                      <w:rFonts w:hint="default"/>
                      <w:color w:val="auto"/>
                      <w:lang w:eastAsia="zh-CN"/>
                    </w:rPr>
                    <w:t>喷雾干燥系统配备的风机及各类泵，应采取有效减振措施。</w:t>
                  </w:r>
                </w:p>
              </w:tc>
              <w:tc>
                <w:tcPr>
                  <w:tcW w:w="2405" w:type="dxa"/>
                  <w:vAlign w:val="center"/>
                </w:tcPr>
                <w:p w14:paraId="3767450D">
                  <w:pPr>
                    <w:pStyle w:val="61"/>
                    <w:bidi w:val="0"/>
                    <w:rPr>
                      <w:rFonts w:hint="default"/>
                      <w:color w:val="auto"/>
                      <w:lang w:eastAsia="zh-CN"/>
                    </w:rPr>
                  </w:pPr>
                  <w:r>
                    <w:rPr>
                      <w:rFonts w:hint="default"/>
                      <w:color w:val="auto"/>
                      <w:lang w:eastAsia="zh-CN"/>
                    </w:rPr>
                    <w:t>本项目</w:t>
                  </w:r>
                  <w:r>
                    <w:rPr>
                      <w:rFonts w:hint="eastAsia"/>
                      <w:color w:val="auto"/>
                      <w:lang w:val="en-US" w:eastAsia="zh-CN"/>
                    </w:rPr>
                    <w:t>固废不涉及干燥</w:t>
                  </w:r>
                </w:p>
              </w:tc>
              <w:tc>
                <w:tcPr>
                  <w:tcW w:w="481" w:type="dxa"/>
                  <w:vAlign w:val="top"/>
                </w:tcPr>
                <w:p w14:paraId="2A95569E">
                  <w:pPr>
                    <w:pStyle w:val="61"/>
                    <w:bidi w:val="0"/>
                    <w:rPr>
                      <w:rFonts w:hint="default"/>
                      <w:color w:val="auto"/>
                      <w:lang w:eastAsia="zh-CN"/>
                    </w:rPr>
                  </w:pPr>
                </w:p>
                <w:p w14:paraId="2615A74A">
                  <w:pPr>
                    <w:pStyle w:val="61"/>
                    <w:bidi w:val="0"/>
                    <w:rPr>
                      <w:rFonts w:hint="default"/>
                      <w:color w:val="auto"/>
                      <w:lang w:eastAsia="zh-CN"/>
                    </w:rPr>
                  </w:pPr>
                  <w:r>
                    <w:rPr>
                      <w:rFonts w:hint="default"/>
                      <w:color w:val="auto"/>
                      <w:lang w:eastAsia="zh-CN"/>
                    </w:rPr>
                    <w:t>符合</w:t>
                  </w:r>
                </w:p>
              </w:tc>
            </w:tr>
            <w:tr w14:paraId="3B00E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9" w:hRule="atLeast"/>
                <w:jc w:val="center"/>
              </w:trPr>
              <w:tc>
                <w:tcPr>
                  <w:tcW w:w="461" w:type="dxa"/>
                  <w:vMerge w:val="continue"/>
                  <w:textDirection w:val="tbRlV"/>
                  <w:vAlign w:val="top"/>
                </w:tcPr>
                <w:p w14:paraId="066BDDF8">
                  <w:pPr>
                    <w:pStyle w:val="61"/>
                    <w:bidi w:val="0"/>
                    <w:rPr>
                      <w:rFonts w:hint="default"/>
                      <w:color w:val="auto"/>
                      <w:lang w:eastAsia="zh-CN"/>
                    </w:rPr>
                  </w:pPr>
                </w:p>
              </w:tc>
              <w:tc>
                <w:tcPr>
                  <w:tcW w:w="3412" w:type="dxa"/>
                  <w:vAlign w:val="center"/>
                </w:tcPr>
                <w:p w14:paraId="61719B68">
                  <w:pPr>
                    <w:pStyle w:val="61"/>
                    <w:bidi w:val="0"/>
                    <w:rPr>
                      <w:rFonts w:hint="default"/>
                      <w:color w:val="auto"/>
                      <w:lang w:eastAsia="zh-CN"/>
                    </w:rPr>
                  </w:pPr>
                  <w:r>
                    <w:rPr>
                      <w:rFonts w:hint="default"/>
                      <w:color w:val="auto"/>
                      <w:lang w:eastAsia="zh-CN"/>
                    </w:rPr>
                    <w:t>干燥设备应按要求定期停机，排空并清理设备内残余物。</w:t>
                  </w:r>
                </w:p>
              </w:tc>
              <w:tc>
                <w:tcPr>
                  <w:tcW w:w="2405" w:type="dxa"/>
                  <w:vAlign w:val="center"/>
                </w:tcPr>
                <w:p w14:paraId="66E74E89">
                  <w:pPr>
                    <w:pStyle w:val="61"/>
                    <w:bidi w:val="0"/>
                    <w:rPr>
                      <w:rFonts w:hint="default"/>
                      <w:color w:val="auto"/>
                      <w:lang w:eastAsia="zh-CN"/>
                    </w:rPr>
                  </w:pPr>
                  <w:r>
                    <w:rPr>
                      <w:rFonts w:hint="default"/>
                      <w:color w:val="auto"/>
                      <w:lang w:eastAsia="zh-CN"/>
                    </w:rPr>
                    <w:t>本项目</w:t>
                  </w:r>
                  <w:r>
                    <w:rPr>
                      <w:rFonts w:hint="eastAsia"/>
                      <w:color w:val="auto"/>
                      <w:lang w:val="en-US" w:eastAsia="zh-CN"/>
                    </w:rPr>
                    <w:t>固废不涉及干燥</w:t>
                  </w:r>
                </w:p>
              </w:tc>
              <w:tc>
                <w:tcPr>
                  <w:tcW w:w="481" w:type="dxa"/>
                  <w:vAlign w:val="top"/>
                </w:tcPr>
                <w:p w14:paraId="048230B8">
                  <w:pPr>
                    <w:pStyle w:val="61"/>
                    <w:bidi w:val="0"/>
                    <w:rPr>
                      <w:rFonts w:hint="default"/>
                      <w:color w:val="auto"/>
                      <w:lang w:eastAsia="zh-CN"/>
                    </w:rPr>
                  </w:pPr>
                  <w:r>
                    <w:rPr>
                      <w:rFonts w:hint="default"/>
                      <w:color w:val="auto"/>
                      <w:lang w:eastAsia="zh-CN"/>
                    </w:rPr>
                    <w:t>符合</w:t>
                  </w:r>
                </w:p>
              </w:tc>
            </w:tr>
            <w:tr w14:paraId="4A231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0" w:hRule="atLeast"/>
                <w:jc w:val="center"/>
              </w:trPr>
              <w:tc>
                <w:tcPr>
                  <w:tcW w:w="461" w:type="dxa"/>
                  <w:vMerge w:val="continue"/>
                  <w:textDirection w:val="tbRlV"/>
                  <w:vAlign w:val="top"/>
                </w:tcPr>
                <w:p w14:paraId="03BC0B3A">
                  <w:pPr>
                    <w:pStyle w:val="61"/>
                    <w:bidi w:val="0"/>
                    <w:rPr>
                      <w:rFonts w:hint="default"/>
                      <w:color w:val="auto"/>
                      <w:lang w:eastAsia="zh-CN"/>
                    </w:rPr>
                  </w:pPr>
                </w:p>
              </w:tc>
              <w:tc>
                <w:tcPr>
                  <w:tcW w:w="3412" w:type="dxa"/>
                  <w:vAlign w:val="center"/>
                </w:tcPr>
                <w:p w14:paraId="050076BD">
                  <w:pPr>
                    <w:pStyle w:val="61"/>
                    <w:bidi w:val="0"/>
                    <w:rPr>
                      <w:rFonts w:hint="default"/>
                      <w:color w:val="auto"/>
                      <w:lang w:eastAsia="zh-CN"/>
                    </w:rPr>
                  </w:pPr>
                  <w:r>
                    <w:rPr>
                      <w:rFonts w:hint="default"/>
                      <w:color w:val="auto"/>
                      <w:lang w:eastAsia="zh-CN"/>
                    </w:rPr>
                    <w:t>固体废物干燥工艺单元独立排放污染物时，应配备废气收集和处理设施，防止粉尘、恶臭、有毒有害气体等逸出引起二次污染。</w:t>
                  </w:r>
                </w:p>
              </w:tc>
              <w:tc>
                <w:tcPr>
                  <w:tcW w:w="2405" w:type="dxa"/>
                  <w:vAlign w:val="center"/>
                </w:tcPr>
                <w:p w14:paraId="2AC122D9">
                  <w:pPr>
                    <w:pStyle w:val="61"/>
                    <w:bidi w:val="0"/>
                    <w:rPr>
                      <w:rFonts w:hint="default"/>
                      <w:color w:val="auto"/>
                      <w:lang w:eastAsia="zh-CN"/>
                    </w:rPr>
                  </w:pPr>
                  <w:r>
                    <w:rPr>
                      <w:rFonts w:hint="default"/>
                      <w:color w:val="auto"/>
                      <w:lang w:eastAsia="zh-CN"/>
                    </w:rPr>
                    <w:t>本项目</w:t>
                  </w:r>
                  <w:r>
                    <w:rPr>
                      <w:rFonts w:hint="eastAsia"/>
                      <w:color w:val="auto"/>
                      <w:lang w:val="en-US" w:eastAsia="zh-CN"/>
                    </w:rPr>
                    <w:t>固废不涉及干燥</w:t>
                  </w:r>
                </w:p>
              </w:tc>
              <w:tc>
                <w:tcPr>
                  <w:tcW w:w="481" w:type="dxa"/>
                  <w:vAlign w:val="top"/>
                </w:tcPr>
                <w:p w14:paraId="6D732A02">
                  <w:pPr>
                    <w:pStyle w:val="61"/>
                    <w:bidi w:val="0"/>
                    <w:rPr>
                      <w:rFonts w:hint="default"/>
                      <w:color w:val="auto"/>
                      <w:lang w:eastAsia="zh-CN"/>
                    </w:rPr>
                  </w:pPr>
                </w:p>
                <w:p w14:paraId="5F104BFF">
                  <w:pPr>
                    <w:pStyle w:val="61"/>
                    <w:bidi w:val="0"/>
                    <w:rPr>
                      <w:rFonts w:hint="default"/>
                      <w:color w:val="auto"/>
                      <w:lang w:eastAsia="zh-CN"/>
                    </w:rPr>
                  </w:pPr>
                  <w:r>
                    <w:rPr>
                      <w:rFonts w:hint="default"/>
                      <w:color w:val="auto"/>
                      <w:lang w:eastAsia="zh-CN"/>
                    </w:rPr>
                    <w:t>符合</w:t>
                  </w:r>
                </w:p>
              </w:tc>
            </w:tr>
            <w:tr w14:paraId="453FD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6" w:hRule="atLeast"/>
                <w:jc w:val="center"/>
              </w:trPr>
              <w:tc>
                <w:tcPr>
                  <w:tcW w:w="461" w:type="dxa"/>
                  <w:textDirection w:val="tbRlV"/>
                  <w:vAlign w:val="center"/>
                </w:tcPr>
                <w:p w14:paraId="1038E4C7">
                  <w:pPr>
                    <w:pStyle w:val="61"/>
                    <w:bidi w:val="0"/>
                    <w:rPr>
                      <w:rFonts w:hint="default"/>
                      <w:color w:val="auto"/>
                      <w:lang w:eastAsia="zh-CN"/>
                    </w:rPr>
                  </w:pPr>
                  <w:r>
                    <w:rPr>
                      <w:rFonts w:hint="default"/>
                      <w:color w:val="auto"/>
                      <w:lang w:eastAsia="zh-CN"/>
                    </w:rPr>
                    <w:t>破碎技术</w:t>
                  </w:r>
                </w:p>
              </w:tc>
              <w:tc>
                <w:tcPr>
                  <w:tcW w:w="3412" w:type="dxa"/>
                  <w:vAlign w:val="center"/>
                </w:tcPr>
                <w:p w14:paraId="623E5000">
                  <w:pPr>
                    <w:pStyle w:val="61"/>
                    <w:bidi w:val="0"/>
                    <w:rPr>
                      <w:rFonts w:hint="eastAsia"/>
                      <w:color w:val="auto"/>
                      <w:lang w:eastAsia="zh-CN"/>
                    </w:rPr>
                  </w:pPr>
                  <w:r>
                    <w:rPr>
                      <w:rFonts w:hint="default"/>
                      <w:color w:val="auto"/>
                      <w:lang w:eastAsia="zh-CN"/>
                    </w:rPr>
                    <w:t>易燃易爆或易释放挥发性毒性物质的固体废物，不应直接进行破碎处理。为防止爆燃，内部含有液体的固体废物（如废铅酸蓄电池、废溶剂桶等）在破碎处理前，应采用有效措施将液体清空，再进行破碎处理。含有不相容成分的固体废物不应进行混合</w:t>
                  </w:r>
                  <w:r>
                    <w:rPr>
                      <w:rFonts w:hint="eastAsia"/>
                      <w:color w:val="auto"/>
                      <w:lang w:eastAsia="zh-CN"/>
                    </w:rPr>
                    <w:t>。</w:t>
                  </w:r>
                </w:p>
              </w:tc>
              <w:tc>
                <w:tcPr>
                  <w:tcW w:w="2405" w:type="dxa"/>
                  <w:vAlign w:val="center"/>
                </w:tcPr>
                <w:p w14:paraId="209ED8DD">
                  <w:pPr>
                    <w:pStyle w:val="61"/>
                    <w:bidi w:val="0"/>
                    <w:rPr>
                      <w:rFonts w:hint="eastAsia"/>
                      <w:color w:val="auto"/>
                      <w:lang w:eastAsia="zh-CN"/>
                    </w:rPr>
                  </w:pPr>
                  <w:r>
                    <w:rPr>
                      <w:rFonts w:hint="default"/>
                      <w:color w:val="auto"/>
                      <w:lang w:eastAsia="zh-CN"/>
                    </w:rPr>
                    <w:t>本项目</w:t>
                  </w:r>
                  <w:r>
                    <w:rPr>
                      <w:rFonts w:hint="eastAsia"/>
                      <w:color w:val="auto"/>
                      <w:lang w:val="en-US" w:eastAsia="zh-CN"/>
                    </w:rPr>
                    <w:t>回用</w:t>
                  </w:r>
                  <w:r>
                    <w:rPr>
                      <w:rFonts w:hint="default"/>
                      <w:color w:val="auto"/>
                      <w:lang w:eastAsia="zh-CN"/>
                    </w:rPr>
                    <w:t>物料不涉及易燃易爆或易释放挥发性毒性物质</w:t>
                  </w:r>
                  <w:r>
                    <w:rPr>
                      <w:rFonts w:hint="eastAsia"/>
                      <w:color w:val="auto"/>
                      <w:lang w:eastAsia="zh-CN"/>
                    </w:rPr>
                    <w:t>。</w:t>
                  </w:r>
                </w:p>
              </w:tc>
              <w:tc>
                <w:tcPr>
                  <w:tcW w:w="481" w:type="dxa"/>
                  <w:vAlign w:val="top"/>
                </w:tcPr>
                <w:p w14:paraId="2E83F66E">
                  <w:pPr>
                    <w:pStyle w:val="61"/>
                    <w:bidi w:val="0"/>
                    <w:rPr>
                      <w:rFonts w:hint="default"/>
                      <w:color w:val="auto"/>
                      <w:lang w:eastAsia="zh-CN"/>
                    </w:rPr>
                  </w:pPr>
                </w:p>
                <w:p w14:paraId="7C0753F6">
                  <w:pPr>
                    <w:pStyle w:val="61"/>
                    <w:bidi w:val="0"/>
                    <w:rPr>
                      <w:rFonts w:hint="default"/>
                      <w:color w:val="auto"/>
                      <w:lang w:eastAsia="zh-CN"/>
                    </w:rPr>
                  </w:pPr>
                </w:p>
                <w:p w14:paraId="38CB337C">
                  <w:pPr>
                    <w:pStyle w:val="61"/>
                    <w:bidi w:val="0"/>
                    <w:rPr>
                      <w:rFonts w:hint="default"/>
                      <w:color w:val="auto"/>
                      <w:lang w:eastAsia="zh-CN"/>
                    </w:rPr>
                  </w:pPr>
                  <w:r>
                    <w:rPr>
                      <w:rFonts w:hint="default"/>
                      <w:color w:val="auto"/>
                      <w:lang w:eastAsia="zh-CN"/>
                    </w:rPr>
                    <w:t>/</w:t>
                  </w:r>
                </w:p>
              </w:tc>
            </w:tr>
            <w:tr w14:paraId="2BF3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461" w:type="dxa"/>
                  <w:vMerge w:val="restart"/>
                  <w:textDirection w:val="tbRlV"/>
                  <w:vAlign w:val="center"/>
                </w:tcPr>
                <w:p w14:paraId="3CC1A55A">
                  <w:pPr>
                    <w:pStyle w:val="61"/>
                    <w:bidi w:val="0"/>
                    <w:rPr>
                      <w:rFonts w:hint="default"/>
                      <w:color w:val="auto"/>
                      <w:lang w:eastAsia="zh-CN"/>
                    </w:rPr>
                  </w:pPr>
                  <w:r>
                    <w:rPr>
                      <w:rFonts w:hint="default"/>
                      <w:color w:val="auto"/>
                      <w:lang w:eastAsia="zh-CN"/>
                    </w:rPr>
                    <w:t>要求</w:t>
                  </w:r>
                </w:p>
              </w:tc>
              <w:tc>
                <w:tcPr>
                  <w:tcW w:w="3412" w:type="dxa"/>
                  <w:vAlign w:val="center"/>
                </w:tcPr>
                <w:p w14:paraId="4608C10A">
                  <w:pPr>
                    <w:pStyle w:val="61"/>
                    <w:bidi w:val="0"/>
                    <w:jc w:val="center"/>
                    <w:rPr>
                      <w:rFonts w:hint="default"/>
                      <w:color w:val="auto"/>
                      <w:lang w:eastAsia="zh-CN"/>
                    </w:rPr>
                  </w:pPr>
                  <w:r>
                    <w:rPr>
                      <w:rFonts w:hint="default"/>
                      <w:color w:val="auto"/>
                      <w:lang w:eastAsia="zh-CN"/>
                    </w:rPr>
                    <w:t>破碎处理。</w:t>
                  </w:r>
                </w:p>
              </w:tc>
              <w:tc>
                <w:tcPr>
                  <w:tcW w:w="2405" w:type="dxa"/>
                  <w:vAlign w:val="center"/>
                </w:tcPr>
                <w:p w14:paraId="677FBA0D">
                  <w:pPr>
                    <w:pStyle w:val="61"/>
                    <w:bidi w:val="0"/>
                    <w:jc w:val="center"/>
                    <w:rPr>
                      <w:rFonts w:hint="default"/>
                      <w:color w:val="auto"/>
                      <w:lang w:val="en-US" w:eastAsia="zh-CN"/>
                    </w:rPr>
                  </w:pPr>
                  <w:r>
                    <w:rPr>
                      <w:rFonts w:hint="eastAsia"/>
                      <w:color w:val="auto"/>
                      <w:lang w:val="en-US" w:eastAsia="zh-CN"/>
                    </w:rPr>
                    <w:t>本项目固废不涉及破碎处理</w:t>
                  </w:r>
                </w:p>
              </w:tc>
              <w:tc>
                <w:tcPr>
                  <w:tcW w:w="481" w:type="dxa"/>
                  <w:vAlign w:val="top"/>
                </w:tcPr>
                <w:p w14:paraId="4AD3541C">
                  <w:pPr>
                    <w:pStyle w:val="61"/>
                    <w:bidi w:val="0"/>
                    <w:rPr>
                      <w:rFonts w:hint="default"/>
                      <w:color w:val="auto"/>
                      <w:lang w:eastAsia="zh-CN"/>
                    </w:rPr>
                  </w:pPr>
                </w:p>
              </w:tc>
            </w:tr>
            <w:tr w14:paraId="44BD2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jc w:val="center"/>
              </w:trPr>
              <w:tc>
                <w:tcPr>
                  <w:tcW w:w="461" w:type="dxa"/>
                  <w:vMerge w:val="continue"/>
                  <w:textDirection w:val="tbRlV"/>
                  <w:vAlign w:val="top"/>
                </w:tcPr>
                <w:p w14:paraId="4A2CBB72">
                  <w:pPr>
                    <w:pStyle w:val="61"/>
                    <w:bidi w:val="0"/>
                    <w:rPr>
                      <w:rFonts w:hint="default"/>
                      <w:color w:val="auto"/>
                      <w:lang w:eastAsia="zh-CN"/>
                    </w:rPr>
                  </w:pPr>
                </w:p>
              </w:tc>
              <w:tc>
                <w:tcPr>
                  <w:tcW w:w="3412" w:type="dxa"/>
                  <w:vAlign w:val="top"/>
                </w:tcPr>
                <w:p w14:paraId="77A6BF2F">
                  <w:pPr>
                    <w:pStyle w:val="61"/>
                    <w:bidi w:val="0"/>
                    <w:rPr>
                      <w:rFonts w:hint="default"/>
                      <w:color w:val="auto"/>
                      <w:lang w:eastAsia="zh-CN"/>
                    </w:rPr>
                  </w:pPr>
                  <w:r>
                    <w:rPr>
                      <w:rFonts w:hint="default"/>
                      <w:color w:val="auto"/>
                      <w:lang w:eastAsia="zh-CN"/>
                    </w:rPr>
                    <w:t>废塑料、废橡胶等固体废物的破碎宜采用干法破碎；铬渣、硼泥等固体废物的破碎宜采用湿法破碎。</w:t>
                  </w:r>
                </w:p>
              </w:tc>
              <w:tc>
                <w:tcPr>
                  <w:tcW w:w="2405" w:type="dxa"/>
                  <w:vAlign w:val="center"/>
                </w:tcPr>
                <w:p w14:paraId="323E4799">
                  <w:pPr>
                    <w:pStyle w:val="61"/>
                    <w:bidi w:val="0"/>
                    <w:rPr>
                      <w:rFonts w:hint="eastAsia"/>
                      <w:color w:val="auto"/>
                      <w:lang w:eastAsia="zh-CN"/>
                    </w:rPr>
                  </w:pPr>
                  <w:r>
                    <w:rPr>
                      <w:rFonts w:hint="default"/>
                      <w:color w:val="auto"/>
                      <w:lang w:eastAsia="zh-CN"/>
                    </w:rPr>
                    <w:t>本项目物料不涉及废塑料、废橡胶、铬渣、硼泥等</w:t>
                  </w:r>
                  <w:r>
                    <w:rPr>
                      <w:rFonts w:hint="eastAsia"/>
                      <w:color w:val="auto"/>
                      <w:lang w:eastAsia="zh-CN"/>
                    </w:rPr>
                    <w:t>。</w:t>
                  </w:r>
                </w:p>
              </w:tc>
              <w:tc>
                <w:tcPr>
                  <w:tcW w:w="481" w:type="dxa"/>
                  <w:vAlign w:val="top"/>
                </w:tcPr>
                <w:p w14:paraId="77CE9FC3">
                  <w:pPr>
                    <w:pStyle w:val="61"/>
                    <w:bidi w:val="0"/>
                    <w:rPr>
                      <w:rFonts w:hint="default"/>
                      <w:color w:val="auto"/>
                      <w:lang w:eastAsia="zh-CN"/>
                    </w:rPr>
                  </w:pPr>
                  <w:r>
                    <w:rPr>
                      <w:rFonts w:hint="default"/>
                      <w:color w:val="auto"/>
                      <w:lang w:eastAsia="zh-CN"/>
                    </w:rPr>
                    <w:t>/</w:t>
                  </w:r>
                </w:p>
              </w:tc>
            </w:tr>
            <w:tr w14:paraId="5060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9" w:hRule="atLeast"/>
                <w:jc w:val="center"/>
              </w:trPr>
              <w:tc>
                <w:tcPr>
                  <w:tcW w:w="461" w:type="dxa"/>
                  <w:vMerge w:val="continue"/>
                  <w:textDirection w:val="tbRlV"/>
                  <w:vAlign w:val="top"/>
                </w:tcPr>
                <w:p w14:paraId="59E74829">
                  <w:pPr>
                    <w:pStyle w:val="61"/>
                    <w:bidi w:val="0"/>
                    <w:rPr>
                      <w:rFonts w:hint="default"/>
                      <w:color w:val="auto"/>
                      <w:lang w:eastAsia="zh-CN"/>
                    </w:rPr>
                  </w:pPr>
                </w:p>
              </w:tc>
              <w:tc>
                <w:tcPr>
                  <w:tcW w:w="3412" w:type="dxa"/>
                  <w:vAlign w:val="top"/>
                </w:tcPr>
                <w:p w14:paraId="3006E860">
                  <w:pPr>
                    <w:pStyle w:val="61"/>
                    <w:bidi w:val="0"/>
                    <w:rPr>
                      <w:rFonts w:hint="default"/>
                      <w:color w:val="auto"/>
                      <w:lang w:eastAsia="zh-CN"/>
                    </w:rPr>
                  </w:pPr>
                  <w:r>
                    <w:rPr>
                      <w:rFonts w:hint="default"/>
                      <w:color w:val="auto"/>
                      <w:lang w:eastAsia="zh-CN"/>
                    </w:rPr>
                    <w:t>固体废物破碎处理前应对其进行预处理，以保证给料的均匀性，防止非破碎物混入，引起破碎机械的过载损坏。</w:t>
                  </w:r>
                </w:p>
              </w:tc>
              <w:tc>
                <w:tcPr>
                  <w:tcW w:w="2405" w:type="dxa"/>
                  <w:vAlign w:val="top"/>
                </w:tcPr>
                <w:p w14:paraId="69969BDB">
                  <w:pPr>
                    <w:pStyle w:val="61"/>
                    <w:bidi w:val="0"/>
                    <w:rPr>
                      <w:rFonts w:hint="eastAsia"/>
                      <w:color w:val="auto"/>
                      <w:lang w:eastAsia="zh-CN"/>
                    </w:rPr>
                  </w:pPr>
                  <w:r>
                    <w:rPr>
                      <w:rFonts w:hint="default"/>
                      <w:color w:val="auto"/>
                      <w:lang w:eastAsia="zh-CN"/>
                    </w:rPr>
                    <w:t>本项目</w:t>
                  </w:r>
                  <w:r>
                    <w:rPr>
                      <w:rFonts w:hint="eastAsia"/>
                      <w:color w:val="auto"/>
                      <w:lang w:val="en-US" w:eastAsia="zh-CN"/>
                    </w:rPr>
                    <w:t>不合格品直接回用</w:t>
                  </w:r>
                  <w:r>
                    <w:rPr>
                      <w:rFonts w:hint="default"/>
                      <w:color w:val="auto"/>
                      <w:lang w:eastAsia="zh-CN"/>
                    </w:rPr>
                    <w:t>，无需进行预处理</w:t>
                  </w:r>
                  <w:r>
                    <w:rPr>
                      <w:rFonts w:hint="eastAsia"/>
                      <w:color w:val="auto"/>
                      <w:lang w:eastAsia="zh-CN"/>
                    </w:rPr>
                    <w:t>。</w:t>
                  </w:r>
                </w:p>
              </w:tc>
              <w:tc>
                <w:tcPr>
                  <w:tcW w:w="481" w:type="dxa"/>
                  <w:vAlign w:val="top"/>
                </w:tcPr>
                <w:p w14:paraId="3C7D2D4E">
                  <w:pPr>
                    <w:pStyle w:val="61"/>
                    <w:bidi w:val="0"/>
                    <w:rPr>
                      <w:rFonts w:hint="default"/>
                      <w:color w:val="auto"/>
                      <w:lang w:eastAsia="zh-CN"/>
                    </w:rPr>
                  </w:pPr>
                  <w:r>
                    <w:rPr>
                      <w:rFonts w:hint="default"/>
                      <w:color w:val="auto"/>
                      <w:lang w:eastAsia="zh-CN"/>
                    </w:rPr>
                    <w:t>相符</w:t>
                  </w:r>
                </w:p>
              </w:tc>
            </w:tr>
            <w:tr w14:paraId="3FDD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6" w:hRule="atLeast"/>
                <w:jc w:val="center"/>
              </w:trPr>
              <w:tc>
                <w:tcPr>
                  <w:tcW w:w="461" w:type="dxa"/>
                  <w:vMerge w:val="continue"/>
                  <w:tcBorders>
                    <w:bottom w:val="single" w:color="auto" w:sz="8" w:space="0"/>
                  </w:tcBorders>
                  <w:textDirection w:val="tbRlV"/>
                  <w:vAlign w:val="top"/>
                </w:tcPr>
                <w:p w14:paraId="61CE4416">
                  <w:pPr>
                    <w:pStyle w:val="61"/>
                    <w:bidi w:val="0"/>
                    <w:rPr>
                      <w:rFonts w:hint="default"/>
                      <w:color w:val="auto"/>
                      <w:lang w:eastAsia="zh-CN"/>
                    </w:rPr>
                  </w:pPr>
                </w:p>
              </w:tc>
              <w:tc>
                <w:tcPr>
                  <w:tcW w:w="3412" w:type="dxa"/>
                  <w:tcBorders>
                    <w:bottom w:val="single" w:color="auto" w:sz="8" w:space="0"/>
                  </w:tcBorders>
                  <w:vAlign w:val="center"/>
                </w:tcPr>
                <w:p w14:paraId="412E065E">
                  <w:pPr>
                    <w:pStyle w:val="61"/>
                    <w:bidi w:val="0"/>
                    <w:rPr>
                      <w:rFonts w:hint="default"/>
                      <w:color w:val="auto"/>
                      <w:lang w:eastAsia="zh-CN"/>
                    </w:rPr>
                  </w:pPr>
                  <w:r>
                    <w:rPr>
                      <w:rFonts w:hint="default"/>
                      <w:color w:val="auto"/>
                      <w:lang w:eastAsia="zh-CN"/>
                    </w:rPr>
                    <w:t>固体废物粉磨过程应严格控制粉尘的颗粒度、挥发性和火源等，防止发生粉尘爆炸。</w:t>
                  </w:r>
                </w:p>
              </w:tc>
              <w:tc>
                <w:tcPr>
                  <w:tcW w:w="2405" w:type="dxa"/>
                  <w:tcBorders>
                    <w:bottom w:val="single" w:color="auto" w:sz="8" w:space="0"/>
                  </w:tcBorders>
                  <w:vAlign w:val="center"/>
                </w:tcPr>
                <w:p w14:paraId="155C6D31">
                  <w:pPr>
                    <w:pStyle w:val="61"/>
                    <w:bidi w:val="0"/>
                    <w:rPr>
                      <w:rFonts w:hint="default"/>
                      <w:color w:val="auto"/>
                      <w:lang w:eastAsia="zh-CN"/>
                    </w:rPr>
                  </w:pPr>
                  <w:r>
                    <w:rPr>
                      <w:rFonts w:hint="default"/>
                      <w:color w:val="auto"/>
                      <w:lang w:eastAsia="zh-CN"/>
                    </w:rPr>
                    <w:t>本项目</w:t>
                  </w:r>
                  <w:r>
                    <w:rPr>
                      <w:rFonts w:hint="eastAsia"/>
                      <w:color w:val="auto"/>
                      <w:lang w:val="en-US" w:eastAsia="zh-CN"/>
                    </w:rPr>
                    <w:t>不合格品不涉及</w:t>
                  </w:r>
                  <w:r>
                    <w:rPr>
                      <w:rFonts w:hint="default"/>
                      <w:color w:val="auto"/>
                      <w:lang w:eastAsia="zh-CN"/>
                    </w:rPr>
                    <w:t>粉磨过程。</w:t>
                  </w:r>
                </w:p>
              </w:tc>
              <w:tc>
                <w:tcPr>
                  <w:tcW w:w="481" w:type="dxa"/>
                  <w:tcBorders>
                    <w:bottom w:val="single" w:color="auto" w:sz="8" w:space="0"/>
                  </w:tcBorders>
                  <w:vAlign w:val="center"/>
                </w:tcPr>
                <w:p w14:paraId="2CBF4330">
                  <w:pPr>
                    <w:pStyle w:val="61"/>
                    <w:bidi w:val="0"/>
                    <w:rPr>
                      <w:rFonts w:hint="default"/>
                      <w:color w:val="auto"/>
                      <w:lang w:eastAsia="zh-CN"/>
                    </w:rPr>
                  </w:pPr>
                  <w:r>
                    <w:rPr>
                      <w:rFonts w:hint="default"/>
                      <w:color w:val="auto"/>
                      <w:lang w:eastAsia="zh-CN"/>
                    </w:rPr>
                    <w:t>相符</w:t>
                  </w:r>
                </w:p>
              </w:tc>
            </w:tr>
          </w:tbl>
          <w:p w14:paraId="6E9C7297">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default" w:ascii="Times New Roman" w:hAnsi="Times New Roman" w:eastAsia="宋体" w:cs="Times New Roman"/>
                <w:snapToGrid/>
                <w:color w:val="auto"/>
                <w:kern w:val="2"/>
                <w:sz w:val="24"/>
                <w:szCs w:val="24"/>
                <w:lang w:val="zh-CN" w:eastAsia="zh-CN"/>
              </w:rPr>
            </w:pPr>
            <w:r>
              <w:rPr>
                <w:rFonts w:hint="default" w:ascii="Times New Roman" w:hAnsi="Times New Roman" w:eastAsia="宋体" w:cs="Times New Roman"/>
                <w:snapToGrid/>
                <w:color w:val="auto"/>
                <w:kern w:val="2"/>
                <w:sz w:val="24"/>
                <w:szCs w:val="24"/>
                <w:lang w:val="zh-CN" w:eastAsia="zh-CN"/>
              </w:rPr>
              <w:t>与《</w:t>
            </w:r>
            <w:r>
              <w:rPr>
                <w:rFonts w:hint="eastAsia" w:ascii="Times New Roman" w:hAnsi="Times New Roman" w:eastAsia="宋体" w:cs="Times New Roman"/>
                <w:snapToGrid/>
                <w:color w:val="auto"/>
                <w:kern w:val="2"/>
                <w:sz w:val="24"/>
                <w:szCs w:val="24"/>
                <w:lang w:val="en-US" w:eastAsia="zh-CN"/>
              </w:rPr>
              <w:t>江西省湿地公园管理办法</w:t>
            </w:r>
            <w:r>
              <w:rPr>
                <w:rFonts w:hint="default" w:ascii="Times New Roman" w:hAnsi="Times New Roman" w:eastAsia="宋体" w:cs="Times New Roman"/>
                <w:snapToGrid/>
                <w:color w:val="auto"/>
                <w:kern w:val="2"/>
                <w:sz w:val="24"/>
                <w:szCs w:val="24"/>
                <w:lang w:val="zh-CN" w:eastAsia="zh-CN"/>
              </w:rPr>
              <w:t>》</w:t>
            </w:r>
            <w:r>
              <w:rPr>
                <w:rFonts w:hint="eastAsia" w:ascii="Times New Roman" w:hAnsi="Times New Roman" w:eastAsia="宋体" w:cs="Times New Roman"/>
                <w:snapToGrid/>
                <w:color w:val="auto"/>
                <w:kern w:val="2"/>
                <w:sz w:val="24"/>
                <w:szCs w:val="24"/>
                <w:lang w:val="en-US" w:eastAsia="zh-CN"/>
              </w:rPr>
              <w:t>相符性分析</w:t>
            </w:r>
          </w:p>
          <w:p w14:paraId="5A2F3E37">
            <w:pPr>
              <w:keepNext w:val="0"/>
              <w:keepLines w:val="0"/>
              <w:suppressLineNumbers w:val="0"/>
              <w:bidi w:val="0"/>
              <w:spacing w:before="0" w:beforeAutospacing="0" w:after="0" w:afterAutospacing="0"/>
              <w:ind w:left="0" w:right="0"/>
              <w:rPr>
                <w:rFonts w:hint="default"/>
                <w:color w:val="auto"/>
              </w:rPr>
            </w:pPr>
            <w:r>
              <w:rPr>
                <w:rFonts w:hint="default"/>
                <w:color w:val="auto"/>
              </w:rPr>
              <w:t>与</w:t>
            </w:r>
            <w:r>
              <w:rPr>
                <w:rFonts w:hint="default"/>
                <w:color w:val="auto"/>
                <w:lang w:val="zh-CN"/>
              </w:rPr>
              <w:t>《</w:t>
            </w:r>
            <w:r>
              <w:rPr>
                <w:rFonts w:hint="eastAsia"/>
                <w:color w:val="auto"/>
                <w:lang w:val="en-US" w:eastAsia="zh-CN"/>
              </w:rPr>
              <w:t>江西省湿地公园管理办法</w:t>
            </w:r>
            <w:r>
              <w:rPr>
                <w:rFonts w:hint="default"/>
                <w:color w:val="auto"/>
                <w:lang w:val="zh-CN"/>
              </w:rPr>
              <w:t>》</w:t>
            </w:r>
            <w:r>
              <w:rPr>
                <w:rFonts w:hint="default"/>
                <w:color w:val="auto"/>
              </w:rPr>
              <w:t>的相符性分析见表</w:t>
            </w:r>
            <w:r>
              <w:rPr>
                <w:rFonts w:hint="eastAsia"/>
                <w:color w:val="auto"/>
              </w:rPr>
              <w:t>1</w:t>
            </w:r>
            <w:r>
              <w:rPr>
                <w:rFonts w:hint="eastAsia"/>
                <w:color w:val="auto"/>
                <w:lang w:val="en-US" w:eastAsia="zh-CN"/>
              </w:rPr>
              <w:t>-13</w:t>
            </w:r>
            <w:r>
              <w:rPr>
                <w:rFonts w:hint="default"/>
                <w:color w:val="auto"/>
              </w:rPr>
              <w:t>。</w:t>
            </w:r>
          </w:p>
          <w:p w14:paraId="7EF3238A">
            <w:pPr>
              <w:pStyle w:val="131"/>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Lines="0" w:beforeAutospacing="0" w:after="0" w:afterAutospacing="0"/>
              <w:ind w:left="425" w:leftChars="0" w:right="0" w:hanging="425" w:firstLineChars="0"/>
              <w:textAlignment w:val="auto"/>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与《</w:t>
            </w:r>
            <w:r>
              <w:rPr>
                <w:rFonts w:hint="eastAsia" w:ascii="Times New Roman" w:hAnsi="Times New Roman" w:eastAsia="宋体" w:cs="Times New Roman"/>
                <w:snapToGrid/>
                <w:color w:val="auto"/>
                <w:kern w:val="2"/>
                <w:sz w:val="24"/>
                <w:szCs w:val="24"/>
                <w:lang w:val="en-US" w:eastAsia="zh-CN"/>
              </w:rPr>
              <w:t>江西省湿地公园管理办法</w:t>
            </w:r>
            <w:r>
              <w:rPr>
                <w:rFonts w:hint="default" w:ascii="Times New Roman" w:hAnsi="Times New Roman" w:eastAsia="宋体" w:cs="Times New Roman"/>
                <w:color w:val="auto"/>
                <w:sz w:val="24"/>
                <w:szCs w:val="24"/>
                <w:lang w:val="zh-CN" w:eastAsia="zh-CN"/>
              </w:rPr>
              <w:t>》符合性分析表</w:t>
            </w:r>
          </w:p>
          <w:tbl>
            <w:tblPr>
              <w:tblStyle w:val="29"/>
              <w:tblW w:w="6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1544"/>
              <w:gridCol w:w="757"/>
            </w:tblGrid>
            <w:tr w14:paraId="199A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855" w:type="dxa"/>
                  <w:tcBorders>
                    <w:tl2br w:val="nil"/>
                    <w:tr2bl w:val="nil"/>
                  </w:tcBorders>
                  <w:noWrap w:val="0"/>
                  <w:vAlign w:val="center"/>
                </w:tcPr>
                <w:p w14:paraId="7171E713">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要求</w:t>
                  </w:r>
                </w:p>
              </w:tc>
              <w:tc>
                <w:tcPr>
                  <w:tcW w:w="1616" w:type="dxa"/>
                  <w:tcBorders>
                    <w:tl2br w:val="nil"/>
                    <w:tr2bl w:val="nil"/>
                  </w:tcBorders>
                  <w:noWrap w:val="0"/>
                  <w:vAlign w:val="center"/>
                </w:tcPr>
                <w:p w14:paraId="57D729EA">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采取措施</w:t>
                  </w:r>
                </w:p>
              </w:tc>
              <w:tc>
                <w:tcPr>
                  <w:tcW w:w="786" w:type="dxa"/>
                  <w:tcBorders>
                    <w:tl2br w:val="nil"/>
                    <w:tr2bl w:val="nil"/>
                  </w:tcBorders>
                  <w:noWrap w:val="0"/>
                  <w:vAlign w:val="center"/>
                </w:tcPr>
                <w:p w14:paraId="33E00E9B">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符合性</w:t>
                  </w:r>
                </w:p>
              </w:tc>
            </w:tr>
            <w:tr w14:paraId="5FA2D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2" w:hRule="atLeast"/>
                <w:jc w:val="center"/>
              </w:trPr>
              <w:tc>
                <w:tcPr>
                  <w:tcW w:w="4855" w:type="dxa"/>
                  <w:tcBorders>
                    <w:tl2br w:val="nil"/>
                    <w:tr2bl w:val="nil"/>
                  </w:tcBorders>
                  <w:noWrap w:val="0"/>
                  <w:vAlign w:val="center"/>
                </w:tcPr>
                <w:p w14:paraId="0357C489">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第十六条在湿地公园内从事生产经营活动，应当符合湿地公园总体规划，维护湿地资源的可持续利用，不得影响湿地生态系统基本功能和超出湿地资源的再生能力或者给野生动植物造成破坏性损害。</w:t>
                  </w:r>
                </w:p>
              </w:tc>
              <w:tc>
                <w:tcPr>
                  <w:tcW w:w="1616" w:type="dxa"/>
                  <w:tcBorders>
                    <w:tl2br w:val="nil"/>
                    <w:tr2bl w:val="nil"/>
                  </w:tcBorders>
                  <w:noWrap w:val="0"/>
                  <w:vAlign w:val="center"/>
                </w:tcPr>
                <w:p w14:paraId="198D0860">
                  <w:pPr>
                    <w:pStyle w:val="6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本项目位于</w:t>
                  </w:r>
                  <w:r>
                    <w:rPr>
                      <w:rFonts w:hint="default"/>
                      <w:color w:val="auto"/>
                      <w:lang w:val="zh-CN" w:eastAsia="zh-CN"/>
                    </w:rPr>
                    <w:t>江西省高安市蓝坊镇湾头，</w:t>
                  </w:r>
                  <w:r>
                    <w:rPr>
                      <w:rFonts w:hint="default"/>
                      <w:color w:val="auto"/>
                      <w:lang w:val="en-US" w:eastAsia="zh-CN"/>
                    </w:rPr>
                    <w:t>根据《江西高安锦江国家湿地公园总体规划（2016-2020年）》功能分区图（见附图12）以及林业局证明（见附件8），本项目不在湿地公园范围内。</w:t>
                  </w:r>
                </w:p>
              </w:tc>
              <w:tc>
                <w:tcPr>
                  <w:tcW w:w="786" w:type="dxa"/>
                  <w:tcBorders>
                    <w:tl2br w:val="nil"/>
                    <w:tr2bl w:val="nil"/>
                  </w:tcBorders>
                  <w:noWrap w:val="0"/>
                  <w:vAlign w:val="center"/>
                </w:tcPr>
                <w:p w14:paraId="1AFC0EA6">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1A682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4855" w:type="dxa"/>
                  <w:tcBorders>
                    <w:tl2br w:val="nil"/>
                    <w:tr2bl w:val="nil"/>
                  </w:tcBorders>
                  <w:noWrap w:val="0"/>
                  <w:vAlign w:val="center"/>
                </w:tcPr>
                <w:p w14:paraId="14E4E5AC">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第十七条禁止擅自征收、占用湿地公园的土地。因工程建设确需征收或者占用湿地公园内土地的，应当符合土地利用总体规划，依法征求林业主管部门的意见后，方可办理相关用地审批手续。征收、占用国家湿地公园的土地，还应当按照有关规定由省林业主管部门报国家林业主管部门备案。</w:t>
                  </w:r>
                </w:p>
              </w:tc>
              <w:tc>
                <w:tcPr>
                  <w:tcW w:w="1616" w:type="dxa"/>
                  <w:tcBorders>
                    <w:tl2br w:val="nil"/>
                    <w:tr2bl w:val="nil"/>
                  </w:tcBorders>
                  <w:noWrap w:val="0"/>
                  <w:vAlign w:val="center"/>
                </w:tcPr>
                <w:p w14:paraId="114630EB">
                  <w:pPr>
                    <w:pStyle w:val="6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本项目不在湿地公园范围内。</w:t>
                  </w:r>
                </w:p>
              </w:tc>
              <w:tc>
                <w:tcPr>
                  <w:tcW w:w="786" w:type="dxa"/>
                  <w:tcBorders>
                    <w:tl2br w:val="nil"/>
                    <w:tr2bl w:val="nil"/>
                  </w:tcBorders>
                  <w:noWrap w:val="0"/>
                  <w:vAlign w:val="center"/>
                </w:tcPr>
                <w:p w14:paraId="202D5E74">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18325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4" w:hRule="atLeast"/>
                <w:jc w:val="center"/>
              </w:trPr>
              <w:tc>
                <w:tcPr>
                  <w:tcW w:w="4855" w:type="dxa"/>
                  <w:tcBorders>
                    <w:tl2br w:val="nil"/>
                    <w:tr2bl w:val="nil"/>
                  </w:tcBorders>
                  <w:noWrap w:val="0"/>
                  <w:vAlign w:val="center"/>
                </w:tcPr>
                <w:p w14:paraId="5FA89DE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第十八条除法律法规另有规定外，湿地公园内禁止下列行为</w:t>
                  </w:r>
                  <w:r>
                    <w:rPr>
                      <w:rFonts w:hint="eastAsia"/>
                      <w:color w:val="auto"/>
                      <w:lang w:eastAsia="zh-CN"/>
                    </w:rPr>
                    <w:t>：（</w:t>
                  </w:r>
                  <w:r>
                    <w:rPr>
                      <w:rFonts w:hint="default"/>
                      <w:color w:val="auto"/>
                    </w:rPr>
                    <w:t>一</w:t>
                  </w:r>
                  <w:r>
                    <w:rPr>
                      <w:rFonts w:hint="eastAsia"/>
                      <w:color w:val="auto"/>
                      <w:lang w:eastAsia="zh-CN"/>
                    </w:rPr>
                    <w:t>）</w:t>
                  </w:r>
                  <w:r>
                    <w:rPr>
                      <w:rFonts w:hint="default"/>
                      <w:color w:val="auto"/>
                    </w:rPr>
                    <w:t>开</w:t>
                  </w:r>
                  <w:r>
                    <w:rPr>
                      <w:rFonts w:hint="eastAsia"/>
                      <w:color w:val="auto"/>
                      <w:lang w:eastAsia="zh-CN"/>
                    </w:rPr>
                    <w:t>（</w:t>
                  </w:r>
                  <w:r>
                    <w:rPr>
                      <w:rFonts w:hint="default"/>
                      <w:color w:val="auto"/>
                    </w:rPr>
                    <w:t>围</w:t>
                  </w:r>
                  <w:r>
                    <w:rPr>
                      <w:rFonts w:hint="eastAsia"/>
                      <w:color w:val="auto"/>
                      <w:lang w:eastAsia="zh-CN"/>
                    </w:rPr>
                    <w:t>）</w:t>
                  </w:r>
                  <w:r>
                    <w:rPr>
                      <w:rFonts w:hint="default"/>
                      <w:color w:val="auto"/>
                    </w:rPr>
                    <w:t>垦、填埋或者排干湿地。</w:t>
                  </w:r>
                </w:p>
                <w:p w14:paraId="00D44936">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w:t>
                  </w:r>
                  <w:r>
                    <w:rPr>
                      <w:rFonts w:hint="default"/>
                      <w:color w:val="auto"/>
                    </w:rPr>
                    <w:t>二</w:t>
                  </w:r>
                  <w:r>
                    <w:rPr>
                      <w:rFonts w:hint="eastAsia"/>
                      <w:color w:val="auto"/>
                      <w:lang w:eastAsia="zh-CN"/>
                    </w:rPr>
                    <w:t>）</w:t>
                  </w:r>
                  <w:r>
                    <w:rPr>
                      <w:rFonts w:hint="default"/>
                      <w:color w:val="auto"/>
                    </w:rPr>
                    <w:t>截断湿地水源。</w:t>
                  </w:r>
                  <w:r>
                    <w:rPr>
                      <w:rFonts w:hint="eastAsia"/>
                      <w:color w:val="auto"/>
                      <w:lang w:eastAsia="zh-CN"/>
                    </w:rPr>
                    <w:t>（</w:t>
                  </w:r>
                  <w:r>
                    <w:rPr>
                      <w:rFonts w:hint="default"/>
                      <w:color w:val="auto"/>
                    </w:rPr>
                    <w:t>三</w:t>
                  </w:r>
                  <w:r>
                    <w:rPr>
                      <w:rFonts w:hint="eastAsia"/>
                      <w:color w:val="auto"/>
                      <w:lang w:eastAsia="zh-CN"/>
                    </w:rPr>
                    <w:t>）</w:t>
                  </w:r>
                  <w:r>
                    <w:rPr>
                      <w:rFonts w:hint="default"/>
                      <w:color w:val="auto"/>
                    </w:rPr>
                    <w:t>挖沙、采矿。</w:t>
                  </w:r>
                  <w:r>
                    <w:rPr>
                      <w:rFonts w:hint="eastAsia"/>
                      <w:color w:val="auto"/>
                      <w:lang w:eastAsia="zh-CN"/>
                    </w:rPr>
                    <w:t>（</w:t>
                  </w:r>
                  <w:r>
                    <w:rPr>
                      <w:rFonts w:hint="default"/>
                      <w:color w:val="auto"/>
                    </w:rPr>
                    <w:t>四</w:t>
                  </w:r>
                  <w:r>
                    <w:rPr>
                      <w:rFonts w:hint="eastAsia"/>
                      <w:color w:val="auto"/>
                      <w:lang w:eastAsia="zh-CN"/>
                    </w:rPr>
                    <w:t>）</w:t>
                  </w:r>
                  <w:r>
                    <w:rPr>
                      <w:rFonts w:hint="default"/>
                      <w:color w:val="auto"/>
                    </w:rPr>
                    <w:t>倾倒有毒有害物质、废弃物、垃圾。</w:t>
                  </w:r>
                  <w:r>
                    <w:rPr>
                      <w:rFonts w:hint="eastAsia"/>
                      <w:color w:val="auto"/>
                      <w:lang w:eastAsia="zh-CN"/>
                    </w:rPr>
                    <w:t>（</w:t>
                  </w:r>
                  <w:r>
                    <w:rPr>
                      <w:rFonts w:hint="default"/>
                      <w:color w:val="auto"/>
                    </w:rPr>
                    <w:t>五</w:t>
                  </w:r>
                  <w:r>
                    <w:rPr>
                      <w:rFonts w:hint="eastAsia"/>
                      <w:color w:val="auto"/>
                      <w:lang w:eastAsia="zh-CN"/>
                    </w:rPr>
                    <w:t>）</w:t>
                  </w:r>
                  <w:r>
                    <w:rPr>
                      <w:rFonts w:hint="default"/>
                      <w:color w:val="auto"/>
                    </w:rPr>
                    <w:t>从事房地产、度假村、高尔夫球场、风力发电、光伏发电等任何不符合主体功能定位的建设项目和开发活动。</w:t>
                  </w:r>
                </w:p>
                <w:p w14:paraId="2225B88E">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w:t>
                  </w:r>
                  <w:r>
                    <w:rPr>
                      <w:rFonts w:hint="default"/>
                      <w:color w:val="auto"/>
                    </w:rPr>
                    <w:t>六</w:t>
                  </w:r>
                  <w:r>
                    <w:rPr>
                      <w:rFonts w:hint="eastAsia"/>
                      <w:color w:val="auto"/>
                      <w:lang w:eastAsia="zh-CN"/>
                    </w:rPr>
                    <w:t>）</w:t>
                  </w:r>
                  <w:r>
                    <w:rPr>
                      <w:rFonts w:hint="default"/>
                      <w:color w:val="auto"/>
                    </w:rPr>
                    <w:t>破坏野生动物栖息地和迁徙通道、鱼类洄游通道，滥采滥捕野生动植物。</w:t>
                  </w:r>
                  <w:r>
                    <w:rPr>
                      <w:rFonts w:hint="eastAsia"/>
                      <w:color w:val="auto"/>
                      <w:lang w:eastAsia="zh-CN"/>
                    </w:rPr>
                    <w:t>（</w:t>
                  </w:r>
                  <w:r>
                    <w:rPr>
                      <w:rFonts w:hint="default"/>
                      <w:color w:val="auto"/>
                    </w:rPr>
                    <w:t>七</w:t>
                  </w:r>
                  <w:r>
                    <w:rPr>
                      <w:rFonts w:hint="eastAsia"/>
                      <w:color w:val="auto"/>
                      <w:lang w:eastAsia="zh-CN"/>
                    </w:rPr>
                    <w:t>）</w:t>
                  </w:r>
                  <w:r>
                    <w:rPr>
                      <w:rFonts w:hint="default"/>
                      <w:color w:val="auto"/>
                    </w:rPr>
                    <w:t>引入外来物种。</w:t>
                  </w:r>
                </w:p>
                <w:p w14:paraId="080242E0">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w:t>
                  </w:r>
                  <w:r>
                    <w:rPr>
                      <w:rFonts w:hint="default"/>
                      <w:color w:val="auto"/>
                    </w:rPr>
                    <w:t>八</w:t>
                  </w:r>
                  <w:r>
                    <w:rPr>
                      <w:rFonts w:hint="eastAsia"/>
                      <w:color w:val="auto"/>
                      <w:lang w:eastAsia="zh-CN"/>
                    </w:rPr>
                    <w:t>）</w:t>
                  </w:r>
                  <w:r>
                    <w:rPr>
                      <w:rFonts w:hint="default"/>
                      <w:color w:val="auto"/>
                    </w:rPr>
                    <w:t>擅自放牧、捕捞、取土、取水、排污、放生。</w:t>
                  </w:r>
                </w:p>
                <w:p w14:paraId="4880240F">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w:t>
                  </w:r>
                  <w:r>
                    <w:rPr>
                      <w:rFonts w:hint="default"/>
                      <w:color w:val="auto"/>
                    </w:rPr>
                    <w:t>九</w:t>
                  </w:r>
                  <w:r>
                    <w:rPr>
                      <w:rFonts w:hint="eastAsia"/>
                      <w:color w:val="auto"/>
                      <w:lang w:eastAsia="zh-CN"/>
                    </w:rPr>
                    <w:t>）</w:t>
                  </w:r>
                  <w:r>
                    <w:rPr>
                      <w:rFonts w:hint="default"/>
                      <w:color w:val="auto"/>
                    </w:rPr>
                    <w:t>其他破坏湿地及其生态功能的活动。</w:t>
                  </w:r>
                </w:p>
              </w:tc>
              <w:tc>
                <w:tcPr>
                  <w:tcW w:w="1616" w:type="dxa"/>
                  <w:tcBorders>
                    <w:tl2br w:val="nil"/>
                    <w:tr2bl w:val="nil"/>
                  </w:tcBorders>
                  <w:noWrap w:val="0"/>
                  <w:vAlign w:val="center"/>
                </w:tcPr>
                <w:p w14:paraId="4D2BABD4">
                  <w:pPr>
                    <w:pStyle w:val="6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项目已经取得关于《江西金穗丰糖业有限公司2000t/d项目入河排污口设置论证报告书》的批复（高水字</w:t>
                  </w:r>
                  <w:r>
                    <w:rPr>
                      <w:rFonts w:hint="eastAsia"/>
                      <w:color w:val="auto"/>
                      <w:lang w:val="en-US" w:eastAsia="zh-CN"/>
                    </w:rPr>
                    <w:t>〔2018〕35号</w:t>
                  </w:r>
                  <w:r>
                    <w:rPr>
                      <w:rFonts w:hint="default"/>
                      <w:color w:val="auto"/>
                      <w:lang w:val="en-US" w:eastAsia="zh-CN"/>
                    </w:rPr>
                    <w:t>）。项目排放口位于高安市蓝坊镇湾头村湾头大桥锦河右岸东经115°28'4.8</w:t>
                  </w:r>
                  <w:r>
                    <w:rPr>
                      <w:rFonts w:hint="eastAsia" w:cs="Times New Roman"/>
                      <w:color w:val="auto"/>
                      <w:lang w:val="en-US" w:eastAsia="zh-CN"/>
                    </w:rPr>
                    <w:t>″</w:t>
                  </w:r>
                  <w:r>
                    <w:rPr>
                      <w:rFonts w:hint="default"/>
                      <w:color w:val="auto"/>
                      <w:lang w:val="en-US" w:eastAsia="zh-CN"/>
                    </w:rPr>
                    <w:t>、北纬 28°25'42.3</w:t>
                  </w:r>
                  <w:r>
                    <w:rPr>
                      <w:rFonts w:hint="eastAsia" w:cs="Times New Roman"/>
                      <w:color w:val="auto"/>
                      <w:lang w:val="en-US" w:eastAsia="zh-CN"/>
                    </w:rPr>
                    <w:t>″</w:t>
                  </w:r>
                  <w:r>
                    <w:rPr>
                      <w:rFonts w:hint="default"/>
                      <w:color w:val="auto"/>
                      <w:lang w:val="en-US" w:eastAsia="zh-CN"/>
                    </w:rPr>
                    <w:t>，见附图10，项目污水合法排放</w:t>
                  </w:r>
                  <w:r>
                    <w:rPr>
                      <w:rFonts w:hint="eastAsia"/>
                      <w:color w:val="auto"/>
                      <w:lang w:val="en-US" w:eastAsia="zh-CN"/>
                    </w:rPr>
                    <w:t>，</w:t>
                  </w:r>
                  <w:r>
                    <w:rPr>
                      <w:rFonts w:hint="default"/>
                      <w:color w:val="auto"/>
                      <w:lang w:val="en-US" w:eastAsia="zh-CN"/>
                    </w:rPr>
                    <w:t>项目技改后，污水量减少，废水中水质中无对湿地公园有毒害作用的物质， 因此项目对湿地公园的影响更小，不对破坏湿地及其生态功能。</w:t>
                  </w:r>
                </w:p>
              </w:tc>
              <w:tc>
                <w:tcPr>
                  <w:tcW w:w="786" w:type="dxa"/>
                  <w:tcBorders>
                    <w:tl2br w:val="nil"/>
                    <w:tr2bl w:val="nil"/>
                  </w:tcBorders>
                  <w:noWrap w:val="0"/>
                  <w:vAlign w:val="center"/>
                </w:tcPr>
                <w:p w14:paraId="0E4F0006">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bl>
          <w:p w14:paraId="07E528F5">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default" w:ascii="Times New Roman" w:hAnsi="Times New Roman" w:eastAsia="宋体" w:cs="Times New Roman"/>
                <w:snapToGrid/>
                <w:color w:val="auto"/>
                <w:kern w:val="2"/>
                <w:sz w:val="24"/>
                <w:szCs w:val="24"/>
                <w:lang w:val="en-US" w:eastAsia="zh-CN"/>
              </w:rPr>
            </w:pPr>
            <w:r>
              <w:rPr>
                <w:rFonts w:hint="default" w:ascii="Times New Roman" w:hAnsi="Times New Roman" w:eastAsia="宋体" w:cs="Times New Roman"/>
                <w:snapToGrid/>
                <w:color w:val="auto"/>
                <w:kern w:val="2"/>
                <w:sz w:val="24"/>
                <w:szCs w:val="24"/>
                <w:lang w:val="en-US" w:eastAsia="zh-CN"/>
              </w:rPr>
              <w:t>与《江西省城镇开发边界管理实施细则（试行）》</w:t>
            </w:r>
          </w:p>
          <w:p w14:paraId="5E73CFDA">
            <w:pPr>
              <w:keepNext w:val="0"/>
              <w:keepLines w:val="0"/>
              <w:suppressLineNumbers w:val="0"/>
              <w:bidi w:val="0"/>
              <w:spacing w:before="0" w:beforeAutospacing="0" w:after="0" w:afterAutospacing="0"/>
              <w:ind w:left="0" w:right="0"/>
              <w:rPr>
                <w:rFonts w:hint="default"/>
                <w:color w:val="auto"/>
              </w:rPr>
            </w:pPr>
            <w:r>
              <w:rPr>
                <w:rFonts w:hint="default"/>
                <w:color w:val="auto"/>
              </w:rPr>
              <w:t>根据“江西省城镇开发边界管理实施细则（试行）”第四章 城镇开发边界调整与局部优化</w:t>
            </w:r>
            <w:r>
              <w:rPr>
                <w:rFonts w:hint="eastAsia"/>
                <w:color w:val="auto"/>
                <w:lang w:val="en-US" w:eastAsia="zh-CN"/>
              </w:rPr>
              <w:t xml:space="preserve"> 第二十一条在严格落实耕地保护优先序，确保城镇建设用地规模和城镇开发边界扩展倍数不突破的前提下，可对以下几种情形的城镇开发边界进行局部优化：</w:t>
            </w:r>
            <w:r>
              <w:rPr>
                <w:rFonts w:hint="default"/>
                <w:color w:val="auto"/>
              </w:rPr>
              <w:t>已依法依规批准且完成备案的工业用地，已办理划拨或出让手续，已核发工业用地使用权权属证书，确需纳入城镇开发边界的</w:t>
            </w:r>
            <w:r>
              <w:rPr>
                <w:rFonts w:hint="eastAsia"/>
                <w:color w:val="auto"/>
                <w:lang w:eastAsia="zh-CN"/>
              </w:rPr>
              <w:t>，</w:t>
            </w:r>
            <w:r>
              <w:rPr>
                <w:rFonts w:hint="default"/>
                <w:color w:val="auto"/>
              </w:rPr>
              <w:t>本项目为高安市</w:t>
            </w:r>
            <w:r>
              <w:rPr>
                <w:rFonts w:hint="eastAsia"/>
                <w:color w:val="auto"/>
                <w:lang w:val="en-US" w:eastAsia="zh-CN"/>
              </w:rPr>
              <w:t>蓝坊</w:t>
            </w:r>
            <w:r>
              <w:rPr>
                <w:rFonts w:hint="default"/>
                <w:color w:val="auto"/>
              </w:rPr>
              <w:t>镇的建设用地，根据土地不动产权证书（附件</w:t>
            </w:r>
            <w:r>
              <w:rPr>
                <w:rFonts w:hint="eastAsia"/>
                <w:color w:val="auto"/>
                <w:lang w:val="en-US" w:eastAsia="zh-CN"/>
              </w:rPr>
              <w:t>11</w:t>
            </w:r>
            <w:r>
              <w:rPr>
                <w:rFonts w:hint="default"/>
                <w:color w:val="auto"/>
              </w:rPr>
              <w:t>），土地用途为</w:t>
            </w:r>
            <w:r>
              <w:rPr>
                <w:rFonts w:hint="eastAsia"/>
                <w:color w:val="auto"/>
                <w:lang w:val="en-US" w:eastAsia="zh-CN"/>
              </w:rPr>
              <w:t>工业</w:t>
            </w:r>
            <w:r>
              <w:rPr>
                <w:rFonts w:hint="default"/>
                <w:color w:val="auto"/>
              </w:rPr>
              <w:t>用地且已完成备案。故本</w:t>
            </w:r>
            <w:r>
              <w:rPr>
                <w:rFonts w:hint="eastAsia"/>
                <w:color w:val="auto"/>
                <w:lang w:eastAsia="zh-CN"/>
              </w:rPr>
              <w:t>项目</w:t>
            </w:r>
            <w:r>
              <w:rPr>
                <w:rFonts w:hint="default"/>
                <w:color w:val="auto"/>
              </w:rPr>
              <w:t>符合纳入城镇开发边界的情形。</w:t>
            </w:r>
          </w:p>
          <w:p w14:paraId="1AD9C668">
            <w:pPr>
              <w:keepNext w:val="0"/>
              <w:keepLines w:val="0"/>
              <w:suppressLineNumbers w:val="0"/>
              <w:bidi w:val="0"/>
              <w:spacing w:before="0" w:beforeAutospacing="0" w:after="0" w:afterAutospacing="0"/>
              <w:ind w:left="0" w:right="0"/>
              <w:rPr>
                <w:rFonts w:hint="default"/>
                <w:color w:val="auto"/>
              </w:rPr>
            </w:pPr>
            <w:r>
              <w:rPr>
                <w:rFonts w:hint="default"/>
                <w:color w:val="auto"/>
              </w:rPr>
              <w:t>综上分析，本项目与《江西省城镇开发边界管理实施细则》相符。</w:t>
            </w:r>
          </w:p>
          <w:p w14:paraId="0F903FE2">
            <w:pPr>
              <w:pStyle w:val="78"/>
              <w:keepNext w:val="0"/>
              <w:keepLines w:val="0"/>
              <w:widowControl w:val="0"/>
              <w:numPr>
                <w:ilvl w:val="0"/>
                <w:numId w:val="6"/>
              </w:numPr>
              <w:suppressLineNumbers w:val="0"/>
              <w:kinsoku/>
              <w:autoSpaceDE/>
              <w:autoSpaceDN/>
              <w:spacing w:before="0" w:beforeAutospacing="0" w:after="0" w:afterAutospacing="0"/>
              <w:ind w:left="0" w:right="0"/>
              <w:jc w:val="both"/>
              <w:textAlignment w:val="auto"/>
              <w:rPr>
                <w:rFonts w:hint="default" w:ascii="Times New Roman" w:hAnsi="Times New Roman" w:eastAsia="宋体" w:cs="Times New Roman"/>
                <w:snapToGrid/>
                <w:color w:val="auto"/>
                <w:kern w:val="2"/>
                <w:sz w:val="24"/>
                <w:szCs w:val="24"/>
                <w:lang w:val="en-US" w:eastAsia="zh-CN"/>
              </w:rPr>
            </w:pPr>
            <w:r>
              <w:rPr>
                <w:rFonts w:hint="eastAsia" w:ascii="Times New Roman" w:hAnsi="Times New Roman" w:eastAsia="宋体" w:cs="Times New Roman"/>
                <w:snapToGrid/>
                <w:color w:val="auto"/>
                <w:kern w:val="2"/>
                <w:sz w:val="24"/>
                <w:szCs w:val="24"/>
                <w:lang w:val="en-US" w:eastAsia="zh-CN"/>
              </w:rPr>
              <w:t>总平面布置合理性分析</w:t>
            </w:r>
          </w:p>
          <w:p w14:paraId="2768F4FF">
            <w:pPr>
              <w:pStyle w:val="78"/>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项目位于江西省高安市蓝坊镇湾头（经度115度28分9.606秒，纬度28度25分35.226秒），厂房办公区与生产区等分隔，功能分区明确。生产区域各环节连接紧凑，物料输送距离短，便于节能降耗，提高生产效率，并减轻厂区内主要生产设备噪声对厂区附近声环境的影响。项目厂房建设满足《食品生产通用卫生规范》（GB 14881-2025），从总体上讲，厂房功能区划分明确，各功能区平面布置充分考虑安全间距，避免相互影响，项目平面布置较为合理。</w:t>
            </w:r>
          </w:p>
          <w:p w14:paraId="7CADA204">
            <w:pPr>
              <w:pStyle w:val="78"/>
              <w:keepNext w:val="0"/>
              <w:keepLines w:val="0"/>
              <w:numPr>
                <w:ilvl w:val="0"/>
                <w:numId w:val="0"/>
              </w:numPr>
              <w:suppressLineNumbers w:val="0"/>
              <w:spacing w:before="0" w:beforeAutospacing="0" w:after="0" w:afterAutospacing="0"/>
              <w:ind w:left="0" w:right="0" w:rightChars="0" w:firstLine="480" w:firstLineChars="200"/>
              <w:rPr>
                <w:rFonts w:hint="default"/>
                <w:color w:val="auto"/>
                <w:lang w:val="en-US" w:eastAsia="zh-CN"/>
              </w:rPr>
            </w:pPr>
          </w:p>
        </w:tc>
      </w:tr>
    </w:tbl>
    <w:p w14:paraId="1E63EC8F">
      <w:pPr>
        <w:spacing w:line="360" w:lineRule="auto"/>
        <w:outlineLvl w:val="0"/>
        <w:rPr>
          <w:rFonts w:eastAsia="黑体"/>
          <w:color w:val="auto"/>
          <w:sz w:val="30"/>
        </w:rPr>
        <w:sectPr>
          <w:pgSz w:w="11906" w:h="16838"/>
          <w:pgMar w:top="1440" w:right="1800" w:bottom="1440" w:left="1800" w:header="851" w:footer="1077" w:gutter="0"/>
          <w:pgBorders w:offsetFrom="page">
            <w:top w:val="none" w:sz="0" w:space="0"/>
            <w:left w:val="none" w:sz="0" w:space="0"/>
            <w:bottom w:val="none" w:sz="0" w:space="0"/>
            <w:right w:val="none" w:sz="0" w:space="0"/>
          </w:pgBorders>
          <w:cols w:space="720" w:num="1"/>
          <w:docGrid w:linePitch="312" w:charSpace="0"/>
        </w:sectPr>
      </w:pPr>
    </w:p>
    <w:p w14:paraId="66F1AACF">
      <w:pPr>
        <w:pStyle w:val="25"/>
        <w:numPr>
          <w:ilvl w:val="0"/>
          <w:numId w:val="0"/>
        </w:numPr>
        <w:ind w:firstLine="600" w:firstLineChars="200"/>
        <w:jc w:val="center"/>
        <w:outlineLvl w:val="0"/>
        <w:rPr>
          <w:rFonts w:hint="eastAsia" w:ascii="黑体" w:hAnsi="黑体" w:eastAsia="黑体" w:cs="Times New Roman"/>
          <w:snapToGrid w:val="0"/>
          <w:color w:val="auto"/>
          <w:sz w:val="30"/>
          <w:szCs w:val="30"/>
        </w:rPr>
      </w:pPr>
      <w:bookmarkStart w:id="11" w:name="_Toc11440"/>
      <w:r>
        <w:rPr>
          <w:rFonts w:hint="eastAsia" w:ascii="黑体" w:hAnsi="黑体" w:eastAsia="黑体" w:cs="Times New Roman"/>
          <w:snapToGrid w:val="0"/>
          <w:color w:val="auto"/>
          <w:kern w:val="0"/>
          <w:sz w:val="30"/>
          <w:szCs w:val="30"/>
          <w:lang w:val="en-US" w:eastAsia="zh-CN" w:bidi="ar-SA"/>
        </w:rPr>
        <w:t>二、</w:t>
      </w:r>
      <w:r>
        <w:rPr>
          <w:rFonts w:hint="eastAsia" w:ascii="黑体" w:hAnsi="黑体" w:eastAsia="黑体" w:cs="Times New Roman"/>
          <w:snapToGrid w:val="0"/>
          <w:color w:val="auto"/>
          <w:sz w:val="30"/>
          <w:szCs w:val="30"/>
        </w:rPr>
        <w:t>建设项目工程分析</w:t>
      </w:r>
      <w:bookmarkEnd w:id="11"/>
    </w:p>
    <w:tbl>
      <w:tblPr>
        <w:tblStyle w:val="30"/>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174"/>
      </w:tblGrid>
      <w:tr w14:paraId="4E98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 w:type="dxa"/>
            <w:vAlign w:val="center"/>
          </w:tcPr>
          <w:p w14:paraId="3B54CD00">
            <w:pPr>
              <w:pStyle w:val="25"/>
              <w:keepNext w:val="0"/>
              <w:keepLines w:val="0"/>
              <w:numPr>
                <w:ilvl w:val="0"/>
                <w:numId w:val="0"/>
              </w:numPr>
              <w:suppressLineNumbers w:val="0"/>
              <w:spacing w:before="0" w:after="0"/>
              <w:ind w:left="0" w:right="0"/>
              <w:jc w:val="center"/>
              <w:outlineLvl w:val="0"/>
              <w:rPr>
                <w:rFonts w:hint="default" w:ascii="Times New Roman" w:hAnsi="Times New Roman" w:eastAsia="宋体" w:cs="Times New Roman"/>
                <w:snapToGrid w:val="0"/>
                <w:color w:val="auto"/>
                <w:sz w:val="24"/>
                <w:szCs w:val="24"/>
                <w:vertAlign w:val="baseline"/>
                <w:lang w:val="en-US" w:eastAsia="zh-CN"/>
              </w:rPr>
            </w:pPr>
            <w:bookmarkStart w:id="12" w:name="_Toc6421"/>
            <w:r>
              <w:rPr>
                <w:rFonts w:hint="default" w:ascii="Times New Roman" w:hAnsi="Times New Roman" w:eastAsia="宋体" w:cs="Times New Roman"/>
                <w:snapToGrid w:val="0"/>
                <w:color w:val="auto"/>
                <w:sz w:val="24"/>
                <w:szCs w:val="24"/>
                <w:vertAlign w:val="baseline"/>
                <w:lang w:val="en-US" w:eastAsia="zh-CN"/>
              </w:rPr>
              <w:t>建设内容</w:t>
            </w:r>
            <w:bookmarkEnd w:id="12"/>
          </w:p>
          <w:p w14:paraId="1BDB1319">
            <w:pPr>
              <w:pStyle w:val="25"/>
              <w:keepNext w:val="0"/>
              <w:keepLines w:val="0"/>
              <w:numPr>
                <w:ilvl w:val="0"/>
                <w:numId w:val="0"/>
              </w:numPr>
              <w:suppressLineNumbers w:val="0"/>
              <w:spacing w:before="0" w:after="0"/>
              <w:ind w:left="0" w:right="0"/>
              <w:jc w:val="center"/>
              <w:outlineLvl w:val="0"/>
              <w:rPr>
                <w:rFonts w:hint="default" w:ascii="Times New Roman" w:hAnsi="Times New Roman" w:eastAsia="宋体" w:cs="Times New Roman"/>
                <w:snapToGrid w:val="0"/>
                <w:color w:val="auto"/>
                <w:sz w:val="24"/>
                <w:szCs w:val="24"/>
                <w:vertAlign w:val="baseline"/>
              </w:rPr>
            </w:pPr>
          </w:p>
        </w:tc>
        <w:tc>
          <w:tcPr>
            <w:tcW w:w="8174" w:type="dxa"/>
            <w:vAlign w:val="top"/>
          </w:tcPr>
          <w:p w14:paraId="6191268D">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lang w:eastAsia="zh-CN"/>
              </w:rPr>
              <w:t>1.</w:t>
            </w:r>
            <w:r>
              <w:rPr>
                <w:rFonts w:hint="default" w:ascii="Times New Roman" w:hAnsi="Times New Roman" w:cs="Times New Roman"/>
                <w:b/>
                <w:color w:val="auto"/>
                <w:sz w:val="24"/>
                <w:szCs w:val="24"/>
              </w:rPr>
              <w:t>项目由来</w:t>
            </w:r>
          </w:p>
          <w:p w14:paraId="4AF9E07F">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bookmarkStart w:id="13" w:name="OLE_LINK10"/>
            <w:r>
              <w:rPr>
                <w:rFonts w:hint="default" w:ascii="Times New Roman" w:hAnsi="Times New Roman" w:cs="Times New Roman"/>
                <w:color w:val="auto"/>
                <w:sz w:val="24"/>
                <w:szCs w:val="24"/>
                <w:lang w:val="en-US" w:eastAsia="zh-CN"/>
              </w:rPr>
              <w:t>江西金穗丰糖业有限公司位于江西省高安市蓝坊镇湾头，2008年编制《江西金穗丰糖业有限公司年产5万吨高麦糖浆及3万吨果葡糖浆项目环境影响报告书》并于2008年9月19日取得批复（宜环督字〔2008〕198号），在2011年完成验收并取得验收批复（宜环评字〔2011〕96号）。</w:t>
            </w:r>
          </w:p>
          <w:p w14:paraId="6193CCEC">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江西金穗丰糖业有限公司于2018年3月12日取得高安市水利局关于《江西金穗丰糖业有限公司2000t/d项目入河排污口设置论证报告书》的批复（高水字〔2018〕35号）。</w:t>
            </w:r>
          </w:p>
          <w:p w14:paraId="0DBF357E">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江西金穗丰糖业有限公司于2021年申请取得排污许可</w:t>
            </w:r>
            <w:r>
              <w:rPr>
                <w:rFonts w:hint="default" w:ascii="Times New Roman" w:hAnsi="Times New Roman" w:cs="Times New Roman"/>
                <w:color w:val="auto"/>
                <w:lang w:val="en-US" w:eastAsia="zh-CN"/>
              </w:rPr>
              <w:t>证</w:t>
            </w:r>
            <w:r>
              <w:rPr>
                <w:rFonts w:hint="default" w:ascii="Times New Roman" w:hAnsi="Times New Roman" w:cs="Times New Roman"/>
                <w:color w:val="auto"/>
                <w:sz w:val="24"/>
                <w:szCs w:val="24"/>
                <w:lang w:val="en-US" w:eastAsia="zh-CN"/>
              </w:rPr>
              <w:t>，有效期2021-12-14至2026-12-13，许可证编号为：91360983667467039C001Y。</w:t>
            </w:r>
          </w:p>
          <w:p w14:paraId="162C4C1C">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根据市场需求延伸产品产业链，提高产品附加值，江西金穗丰糖业有限公司拟投资3000万元利用现有厂房建设一条食用大米蛋白粉生产线。本次技改项目高麦糖浆与果葡糖浆项目产能不变，新增色选工艺；</w:t>
            </w:r>
            <w:bookmarkEnd w:id="13"/>
            <w:r>
              <w:rPr>
                <w:rFonts w:hint="default" w:ascii="Times New Roman" w:hAnsi="Times New Roman" w:cs="Times New Roman"/>
                <w:color w:val="auto"/>
                <w:sz w:val="24"/>
                <w:szCs w:val="24"/>
                <w:lang w:val="en-US" w:eastAsia="zh-CN"/>
              </w:rPr>
              <w:t>高麦糖浆与果葡糖浆生产过程中饲用蛋白粉原有产量为4000吨，本项目将其中2309.239吨饲用蛋白粉加工制成副产品2000吨食用大米蛋白粉，另外1690.761吨饲用蛋白粉仍作为产品外售。</w:t>
            </w:r>
          </w:p>
          <w:p w14:paraId="70FDFC27">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根据《中华人民共和国环境保护法》《中华人民共和国环境影响评价法》、国务院682号令颁布的《建设项目环境保护管理条例》（修订版）的有关规定，本项目应执行环境影响评价制度。根据《建设项目环境影响评价分类管理名录（2021年版）》，本项目属于“十一、食品制造业14；24.其他食品制造149－其他未列明食品制造”应编制环境影响报告表。江西金穗丰糖业有限公司现委托我公司承担“江西金穗丰糖业有限公司年产2000吨食用大米蛋白粉改造项目”的环境影响评价工作。我公司接受委托后，立即组织人员到项目所在地及其周围进行了实地调查与踏勘，详细了解与收集了本项目的有关资料，根据《建设项目环境影响报告表编制技术指南（污染影响类）（试行）》及有关规范要求，编制了本项目环境影响报告表，以作为管理部门决策参考。</w:t>
            </w:r>
          </w:p>
          <w:p w14:paraId="4571F004">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2、建设内容及规模</w:t>
            </w:r>
          </w:p>
          <w:p w14:paraId="25A018D7">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本项目属于技改项目，利用现有厂房建设一条食用大米蛋白粉生产线。</w:t>
            </w:r>
          </w:p>
          <w:p w14:paraId="26A083AF">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项目组成主要为主体工程、辅助工程、储运工程、公用工程及环保工程。项目组成及主要建设内容见表2-1。</w:t>
            </w:r>
          </w:p>
          <w:p w14:paraId="5E608E08">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cs="Times New Roman"/>
                <w:b/>
                <w:color w:val="auto"/>
                <w:kern w:val="0"/>
                <w:sz w:val="21"/>
                <w:szCs w:val="21"/>
                <w:lang w:val="en-US" w:eastAsia="zh-CN"/>
              </w:rPr>
            </w:pPr>
            <w:r>
              <w:rPr>
                <w:rFonts w:hint="default" w:ascii="Times New Roman" w:hAnsi="Times New Roman" w:eastAsia="宋体" w:cs="Times New Roman"/>
                <w:b/>
                <w:color w:val="auto"/>
                <w:kern w:val="0"/>
                <w:sz w:val="24"/>
                <w:szCs w:val="24"/>
                <w:lang w:val="en-US" w:eastAsia="zh-CN" w:bidi="ar-SA"/>
              </w:rPr>
              <w:t>项目主要建设内容一览表</w:t>
            </w:r>
          </w:p>
          <w:tbl>
            <w:tblPr>
              <w:tblStyle w:val="29"/>
              <w:tblW w:w="4981"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30"/>
              <w:gridCol w:w="525"/>
              <w:gridCol w:w="985"/>
              <w:gridCol w:w="1533"/>
              <w:gridCol w:w="2157"/>
              <w:gridCol w:w="2292"/>
            </w:tblGrid>
            <w:tr w14:paraId="5F4707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tblHeader/>
                <w:jc w:val="center"/>
              </w:trPr>
              <w:tc>
                <w:tcPr>
                  <w:tcW w:w="602"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2BC9086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项目名称</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28F8CB5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技改前建设内容</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FE564D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技改项目</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E6A57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建设完成后</w:t>
                  </w:r>
                </w:p>
              </w:tc>
            </w:tr>
            <w:tr w14:paraId="041225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tblHeader/>
                <w:jc w:val="center"/>
              </w:trPr>
              <w:tc>
                <w:tcPr>
                  <w:tcW w:w="271" w:type="pct"/>
                  <w:vMerge w:val="restart"/>
                  <w:tcBorders>
                    <w:top w:val="single" w:color="auto" w:sz="2" w:space="0"/>
                    <w:left w:val="single" w:color="auto" w:sz="2" w:space="0"/>
                    <w:right w:val="single" w:color="auto" w:sz="2" w:space="0"/>
                    <w:tl2br w:val="nil"/>
                    <w:tr2bl w:val="nil"/>
                  </w:tcBorders>
                  <w:noWrap w:val="0"/>
                  <w:vAlign w:val="center"/>
                </w:tcPr>
                <w:p w14:paraId="6EACE8A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主体</w:t>
                  </w:r>
                </w:p>
                <w:p w14:paraId="48BDE7E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工程</w:t>
                  </w: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A50A2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1#糖浆生产线</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DC2F8C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rPr>
                  </w:pPr>
                  <w:r>
                    <w:rPr>
                      <w:rFonts w:hint="default" w:ascii="Times New Roman" w:hAnsi="Times New Roman" w:cs="Times New Roman"/>
                      <w:color w:val="auto"/>
                      <w:lang w:val="en-US" w:eastAsia="zh-CN"/>
                    </w:rPr>
                    <w:t>占地面积2880m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1F，砖混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AD5CC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糖浆生产线增加色选工艺，其他工序不变。占地面积2880m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，1F，砖混</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3958A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糖浆生产线增加色选工艺，占地面积2880m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，1F，砖混</w:t>
                  </w:r>
                </w:p>
              </w:tc>
            </w:tr>
            <w:tr w14:paraId="426970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tblHeader/>
                <w:jc w:val="center"/>
              </w:trPr>
              <w:tc>
                <w:tcPr>
                  <w:tcW w:w="271" w:type="pct"/>
                  <w:vMerge w:val="continue"/>
                  <w:tcBorders>
                    <w:left w:val="single" w:color="auto" w:sz="2" w:space="0"/>
                    <w:right w:val="single" w:color="auto" w:sz="2" w:space="0"/>
                    <w:tl2br w:val="nil"/>
                    <w:tr2bl w:val="nil"/>
                  </w:tcBorders>
                  <w:noWrap w:val="0"/>
                  <w:vAlign w:val="center"/>
                </w:tcPr>
                <w:p w14:paraId="0A41E3D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B34924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蛋白粉生产车间</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65648E4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技改前为成品仓库，占地面积为1300m</w:t>
                  </w:r>
                  <w:r>
                    <w:rPr>
                      <w:rFonts w:hint="default" w:ascii="Times New Roman" w:hAnsi="Times New Roman" w:cs="Times New Roman"/>
                      <w:color w:val="auto"/>
                      <w:vertAlign w:val="superscript"/>
                      <w:lang w:val="en-US" w:eastAsia="zh-CN"/>
                    </w:rPr>
                    <w:t>2</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019812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新增1条全封闭蛋白粉生产线，主要内容为1栋建筑面积为925m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高8m的成品仓库，2条建筑面积为337m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两层高4m的生产线，其中F1生产线主要设沉淀釜以及储存罐，F2生产线主要为乙醇回收装置。在F1建设1栋建筑面积为146m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的原料仓库等其他配套设施。</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95A65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新增1条全封闭蛋白粉生产线，主要内容为1栋建筑面积为925m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高8m的成品仓库，2条建筑面积为337m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两层高4m的生产线，其中F1生产线主要设沉淀釜以及储存罐，F2生产线主要为乙醇回收装置。在F1建设1栋建筑面积为146m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的原料仓库等其他配套设施。</w:t>
                  </w:r>
                </w:p>
              </w:tc>
            </w:tr>
            <w:tr w14:paraId="5729FC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4" w:hRule="atLeast"/>
                <w:tblHeader/>
                <w:jc w:val="center"/>
              </w:trPr>
              <w:tc>
                <w:tcPr>
                  <w:tcW w:w="271" w:type="pct"/>
                  <w:vMerge w:val="continue"/>
                  <w:tcBorders>
                    <w:left w:val="single" w:color="auto" w:sz="2" w:space="0"/>
                    <w:right w:val="single" w:color="auto" w:sz="2" w:space="0"/>
                    <w:tl2br w:val="nil"/>
                    <w:tr2bl w:val="nil"/>
                  </w:tcBorders>
                  <w:noWrap w:val="0"/>
                  <w:vAlign w:val="center"/>
                </w:tcPr>
                <w:p w14:paraId="2BAA367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43C9E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2#糖浆生产线</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30BCF34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占地面积1080m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，1F，砖混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05C01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原有项目不变</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9E90D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占地面积1080m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，1F，砖混</w:t>
                  </w:r>
                </w:p>
              </w:tc>
            </w:tr>
            <w:tr w14:paraId="748BD27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4" w:hRule="atLeast"/>
                <w:tblHeader/>
                <w:jc w:val="center"/>
              </w:trPr>
              <w:tc>
                <w:tcPr>
                  <w:tcW w:w="271" w:type="pct"/>
                  <w:tcBorders>
                    <w:left w:val="single" w:color="auto" w:sz="2" w:space="0"/>
                    <w:right w:val="single" w:color="auto" w:sz="2" w:space="0"/>
                    <w:tl2br w:val="nil"/>
                    <w:tr2bl w:val="nil"/>
                  </w:tcBorders>
                  <w:noWrap w:val="0"/>
                  <w:vAlign w:val="center"/>
                </w:tcPr>
                <w:p w14:paraId="76F35C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储运工程</w:t>
                  </w:r>
                </w:p>
              </w:tc>
              <w:tc>
                <w:tcPr>
                  <w:tcW w:w="33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05CF08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原料仓库</w:t>
                  </w:r>
                </w:p>
              </w:tc>
              <w:tc>
                <w:tcPr>
                  <w:tcW w:w="1589" w:type="pct"/>
                  <w:gridSpan w:val="2"/>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725723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2304m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F1，砖混</w:t>
                  </w:r>
                </w:p>
              </w:tc>
              <w:tc>
                <w:tcPr>
                  <w:tcW w:w="136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88AE41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原有项目不变</w:t>
                  </w:r>
                </w:p>
              </w:tc>
              <w:tc>
                <w:tcPr>
                  <w:tcW w:w="144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E6D8C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占地面积2304m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r>
            <w:tr w14:paraId="3630F9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3" w:hRule="atLeast"/>
                <w:jc w:val="center"/>
              </w:trPr>
              <w:tc>
                <w:tcPr>
                  <w:tcW w:w="271" w:type="pct"/>
                  <w:vMerge w:val="restart"/>
                  <w:tcBorders>
                    <w:top w:val="single" w:color="auto" w:sz="2" w:space="0"/>
                    <w:left w:val="single" w:color="auto" w:sz="2" w:space="0"/>
                    <w:right w:val="single" w:color="auto" w:sz="2" w:space="0"/>
                    <w:tl2br w:val="nil"/>
                    <w:tr2bl w:val="nil"/>
                  </w:tcBorders>
                  <w:noWrap w:val="0"/>
                  <w:vAlign w:val="center"/>
                </w:tcPr>
                <w:p w14:paraId="1B37B9C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辅助</w:t>
                  </w:r>
                </w:p>
                <w:p w14:paraId="5A8C2DD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工程</w:t>
                  </w:r>
                </w:p>
              </w:tc>
              <w:tc>
                <w:tcPr>
                  <w:tcW w:w="331" w:type="pct"/>
                  <w:tcBorders>
                    <w:top w:val="single" w:color="auto" w:sz="2" w:space="0"/>
                    <w:left w:val="single" w:color="auto" w:sz="2" w:space="0"/>
                    <w:right w:val="single" w:color="auto" w:sz="2" w:space="0"/>
                    <w:tl2br w:val="nil"/>
                    <w:tr2bl w:val="nil"/>
                  </w:tcBorders>
                  <w:noWrap w:val="0"/>
                  <w:vAlign w:val="center"/>
                </w:tcPr>
                <w:p w14:paraId="7CD79E6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rPr>
                    <w:t>办公</w:t>
                  </w:r>
                  <w:r>
                    <w:rPr>
                      <w:rFonts w:hint="default" w:ascii="Times New Roman" w:hAnsi="Times New Roman" w:cs="Times New Roman"/>
                      <w:color w:val="auto"/>
                      <w:lang w:val="en-US" w:eastAsia="zh-CN"/>
                    </w:rPr>
                    <w:t>楼</w:t>
                  </w:r>
                </w:p>
              </w:tc>
              <w:tc>
                <w:tcPr>
                  <w:tcW w:w="1589" w:type="pct"/>
                  <w:gridSpan w:val="2"/>
                  <w:tcBorders>
                    <w:top w:val="single" w:color="auto" w:sz="2" w:space="0"/>
                    <w:left w:val="single" w:color="auto" w:sz="2" w:space="0"/>
                    <w:right w:val="single" w:color="auto" w:sz="2" w:space="0"/>
                    <w:tl2br w:val="nil"/>
                    <w:tr2bl w:val="nil"/>
                  </w:tcBorders>
                  <w:noWrap w:val="0"/>
                  <w:vAlign w:val="center"/>
                </w:tcPr>
                <w:p w14:paraId="26F98C8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办公楼兼职工宿舍，占地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5161C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7D307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办公楼兼职工宿舍，占地面积280m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，砖混</w:t>
                  </w:r>
                </w:p>
              </w:tc>
            </w:tr>
            <w:tr w14:paraId="33F60CF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303265B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E61047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食堂</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AC8F53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F2，砖混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73691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1050C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F2，砖混</w:t>
                  </w:r>
                </w:p>
              </w:tc>
            </w:tr>
            <w:tr w14:paraId="04BC64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4B5E088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D83A5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车棚</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4C333E6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85m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F1，钢架结构</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F4163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52AB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85m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F1，钢架结构</w:t>
                  </w:r>
                </w:p>
              </w:tc>
            </w:tr>
            <w:tr w14:paraId="547981D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16FA05F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1EF09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门卫</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7A886B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占地面积20m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12B1F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D9C55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占地面积20m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r>
            <w:tr w14:paraId="71F7B0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1AEC39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BD3FA1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公共厕所</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1308369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占地面积54m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C39317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F2E777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占地面积54m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r>
            <w:tr w14:paraId="535F71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bottom w:val="single" w:color="auto" w:sz="2" w:space="0"/>
                    <w:right w:val="single" w:color="auto" w:sz="2" w:space="0"/>
                    <w:tl2br w:val="nil"/>
                    <w:tr2bl w:val="nil"/>
                  </w:tcBorders>
                  <w:noWrap w:val="0"/>
                  <w:vAlign w:val="center"/>
                </w:tcPr>
                <w:p w14:paraId="03DB13C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82C4D7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实验室</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364DFF6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占地面积20m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0331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1E5B3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占地面积20m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，F1，砖混</w:t>
                  </w:r>
                </w:p>
              </w:tc>
            </w:tr>
            <w:tr w14:paraId="13ABDA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57E58F0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公用</w:t>
                  </w:r>
                </w:p>
                <w:p w14:paraId="333616F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工程</w:t>
                  </w: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0F19D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锅炉车间</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C2F104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2190m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F1，砖混</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9A0B7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7770D5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2190m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F1，砖混</w:t>
                  </w:r>
                </w:p>
              </w:tc>
            </w:tr>
            <w:tr w14:paraId="3B3463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4DCB7FD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816BDE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rPr>
                    <w:t>给水</w:t>
                  </w:r>
                </w:p>
              </w:tc>
              <w:tc>
                <w:tcPr>
                  <w:tcW w:w="1589" w:type="pct"/>
                  <w:gridSpan w:val="2"/>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B7A245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rPr>
                    <w:t>由市政供</w:t>
                  </w:r>
                  <w:r>
                    <w:rPr>
                      <w:rFonts w:hint="default" w:ascii="Times New Roman" w:hAnsi="Times New Roman" w:cs="Times New Roman"/>
                      <w:color w:val="auto"/>
                      <w:lang w:val="en-US" w:eastAsia="zh-CN"/>
                    </w:rPr>
                    <w:t>水</w:t>
                  </w:r>
                  <w:r>
                    <w:rPr>
                      <w:rFonts w:hint="default" w:ascii="Times New Roman" w:hAnsi="Times New Roman" w:cs="Times New Roman"/>
                      <w:color w:val="auto"/>
                      <w:lang w:val="zh-CN"/>
                    </w:rPr>
                    <w:t>系统供给</w:t>
                  </w:r>
                </w:p>
              </w:tc>
              <w:tc>
                <w:tcPr>
                  <w:tcW w:w="136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E166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801C24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rPr>
                    <w:t>由市政供</w:t>
                  </w:r>
                  <w:r>
                    <w:rPr>
                      <w:rFonts w:hint="default" w:ascii="Times New Roman" w:hAnsi="Times New Roman" w:cs="Times New Roman"/>
                      <w:color w:val="auto"/>
                      <w:lang w:val="en-US" w:eastAsia="zh-CN"/>
                    </w:rPr>
                    <w:t>水</w:t>
                  </w:r>
                  <w:r>
                    <w:rPr>
                      <w:rFonts w:hint="default" w:ascii="Times New Roman" w:hAnsi="Times New Roman" w:cs="Times New Roman"/>
                      <w:color w:val="auto"/>
                      <w:lang w:val="zh-CN"/>
                    </w:rPr>
                    <w:t>系统供给</w:t>
                  </w:r>
                </w:p>
              </w:tc>
            </w:tr>
            <w:tr w14:paraId="371BC1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jc w:val="center"/>
              </w:trPr>
              <w:tc>
                <w:tcPr>
                  <w:tcW w:w="271"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4F5CB92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4677C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排水</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63455C1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zh-CN"/>
                    </w:rPr>
                    <w:t>生产和辅助车间废水及生活污水</w:t>
                  </w:r>
                  <w:r>
                    <w:rPr>
                      <w:rFonts w:hint="default" w:ascii="Times New Roman" w:hAnsi="Times New Roman" w:cs="Times New Roman"/>
                      <w:color w:val="auto"/>
                      <w:lang w:val="en-US" w:eastAsia="zh-CN"/>
                    </w:rPr>
                    <w:t>经过</w:t>
                  </w:r>
                  <w:r>
                    <w:rPr>
                      <w:rFonts w:hint="default" w:ascii="Times New Roman" w:hAnsi="Times New Roman" w:cs="Times New Roman"/>
                      <w:color w:val="auto"/>
                      <w:lang w:val="zh-CN"/>
                    </w:rPr>
                    <w:t>污水处理</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6092B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rPr>
                  </w:pPr>
                  <w:r>
                    <w:rPr>
                      <w:rFonts w:hint="default" w:ascii="Times New Roman" w:hAnsi="Times New Roman" w:cs="Times New Roman"/>
                      <w:color w:val="auto"/>
                      <w:lang w:val="en-US" w:eastAsia="zh-CN"/>
                    </w:rPr>
                    <w:t>生活污水、水环真空泵废水经</w:t>
                  </w:r>
                  <w:r>
                    <w:rPr>
                      <w:rFonts w:hint="default" w:ascii="Times New Roman" w:hAnsi="Times New Roman" w:cs="Times New Roman"/>
                      <w:color w:val="auto"/>
                      <w:lang w:val="zh-CN"/>
                    </w:rPr>
                    <w:t>污水处理</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6ABCA0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rPr>
                    <w:t>生产和辅助车间废水及生活污水</w:t>
                  </w:r>
                  <w:r>
                    <w:rPr>
                      <w:rFonts w:hint="default" w:ascii="Times New Roman" w:hAnsi="Times New Roman" w:cs="Times New Roman"/>
                      <w:color w:val="auto"/>
                      <w:lang w:val="en-US" w:eastAsia="zh-CN"/>
                    </w:rPr>
                    <w:t>经过</w:t>
                  </w:r>
                  <w:r>
                    <w:rPr>
                      <w:rFonts w:hint="default" w:ascii="Times New Roman" w:hAnsi="Times New Roman" w:cs="Times New Roman"/>
                      <w:color w:val="auto"/>
                      <w:lang w:val="zh-CN"/>
                    </w:rPr>
                    <w:t>污水</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p>
              </w:tc>
            </w:tr>
            <w:tr w14:paraId="7A3185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4309AF7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FD684B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供电</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097397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zh-CN"/>
                    </w:rPr>
                    <w:t>由市政供电系统供给</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6EBAF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A2051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rPr>
                    <w:t>由市政供电系统供给</w:t>
                  </w:r>
                </w:p>
              </w:tc>
            </w:tr>
            <w:tr w14:paraId="07BF52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0" w:hRule="atLeast"/>
                <w:jc w:val="center"/>
              </w:trPr>
              <w:tc>
                <w:tcPr>
                  <w:tcW w:w="271" w:type="pct"/>
                  <w:vMerge w:val="restart"/>
                  <w:tcBorders>
                    <w:top w:val="single" w:color="auto" w:sz="2" w:space="0"/>
                    <w:left w:val="single" w:color="auto" w:sz="2" w:space="0"/>
                    <w:right w:val="single" w:color="auto" w:sz="2" w:space="0"/>
                    <w:tl2br w:val="nil"/>
                    <w:tr2bl w:val="nil"/>
                  </w:tcBorders>
                  <w:noWrap w:val="0"/>
                  <w:vAlign w:val="center"/>
                </w:tcPr>
                <w:p w14:paraId="201E573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环保</w:t>
                  </w:r>
                </w:p>
                <w:p w14:paraId="3617B03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工程</w:t>
                  </w:r>
                </w:p>
              </w:tc>
              <w:tc>
                <w:tcPr>
                  <w:tcW w:w="331" w:type="pct"/>
                  <w:vMerge w:val="restart"/>
                  <w:tcBorders>
                    <w:top w:val="single" w:color="auto" w:sz="2" w:space="0"/>
                    <w:left w:val="single" w:color="auto" w:sz="2" w:space="0"/>
                    <w:right w:val="single" w:color="auto" w:sz="2" w:space="0"/>
                    <w:tl2br w:val="nil"/>
                    <w:tr2bl w:val="nil"/>
                  </w:tcBorders>
                  <w:noWrap w:val="0"/>
                  <w:vAlign w:val="center"/>
                </w:tcPr>
                <w:p w14:paraId="1B7195B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废气收集处理设施</w:t>
                  </w: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0AF974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破碎粉尘</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ADA69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15F656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破碎粉尘经布袋除尘器处理后无组织排放</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796BF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破碎粉尘经布袋除尘器处理后无组织排放</w:t>
                  </w:r>
                </w:p>
              </w:tc>
            </w:tr>
            <w:tr w14:paraId="55D41C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0" w:hRule="atLeast"/>
                <w:jc w:val="center"/>
              </w:trPr>
              <w:tc>
                <w:tcPr>
                  <w:tcW w:w="271" w:type="pct"/>
                  <w:vMerge w:val="continue"/>
                  <w:tcBorders>
                    <w:left w:val="single" w:color="auto" w:sz="2" w:space="0"/>
                    <w:right w:val="single" w:color="auto" w:sz="2" w:space="0"/>
                    <w:tl2br w:val="nil"/>
                    <w:tr2bl w:val="nil"/>
                  </w:tcBorders>
                  <w:noWrap w:val="0"/>
                  <w:vAlign w:val="center"/>
                </w:tcPr>
                <w:p w14:paraId="62D0FE3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vMerge w:val="continue"/>
                  <w:tcBorders>
                    <w:left w:val="single" w:color="auto" w:sz="2" w:space="0"/>
                    <w:right w:val="single" w:color="auto" w:sz="2" w:space="0"/>
                    <w:tl2br w:val="nil"/>
                    <w:tr2bl w:val="nil"/>
                  </w:tcBorders>
                  <w:noWrap w:val="0"/>
                  <w:vAlign w:val="center"/>
                </w:tcPr>
                <w:p w14:paraId="1E68D86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87223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上料粉尘</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6BE9A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2F837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上料粉尘经布袋除尘器处理后无组织排放</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808F9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上料粉尘经布袋除尘器处理后无组织排放</w:t>
                  </w:r>
                </w:p>
              </w:tc>
            </w:tr>
            <w:tr w14:paraId="29C9EC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0" w:hRule="atLeast"/>
                <w:jc w:val="center"/>
              </w:trPr>
              <w:tc>
                <w:tcPr>
                  <w:tcW w:w="271" w:type="pct"/>
                  <w:vMerge w:val="continue"/>
                  <w:tcBorders>
                    <w:left w:val="single" w:color="auto" w:sz="2" w:space="0"/>
                    <w:right w:val="single" w:color="auto" w:sz="2" w:space="0"/>
                    <w:tl2br w:val="nil"/>
                    <w:tr2bl w:val="nil"/>
                  </w:tcBorders>
                  <w:noWrap w:val="0"/>
                  <w:vAlign w:val="center"/>
                </w:tcPr>
                <w:p w14:paraId="7781C70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vMerge w:val="continue"/>
                  <w:tcBorders>
                    <w:left w:val="single" w:color="auto" w:sz="2" w:space="0"/>
                    <w:right w:val="single" w:color="auto" w:sz="2" w:space="0"/>
                    <w:tl2br w:val="nil"/>
                    <w:tr2bl w:val="nil"/>
                  </w:tcBorders>
                  <w:noWrap w:val="0"/>
                  <w:vAlign w:val="center"/>
                </w:tcPr>
                <w:p w14:paraId="7FD3F22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BD26F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沉淀、过滤</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F3B1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3F765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集气罩+</w:t>
                  </w: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19287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集气罩+</w:t>
                  </w: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r>
            <w:tr w14:paraId="63F4AB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90" w:hRule="atLeast"/>
                <w:jc w:val="center"/>
              </w:trPr>
              <w:tc>
                <w:tcPr>
                  <w:tcW w:w="271" w:type="pct"/>
                  <w:vMerge w:val="continue"/>
                  <w:tcBorders>
                    <w:left w:val="single" w:color="auto" w:sz="2" w:space="0"/>
                    <w:right w:val="single" w:color="auto" w:sz="2" w:space="0"/>
                    <w:tl2br w:val="nil"/>
                    <w:tr2bl w:val="nil"/>
                  </w:tcBorders>
                  <w:noWrap w:val="0"/>
                  <w:vAlign w:val="center"/>
                </w:tcPr>
                <w:p w14:paraId="6388561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vMerge w:val="continue"/>
                  <w:tcBorders>
                    <w:left w:val="single" w:color="auto" w:sz="2" w:space="0"/>
                    <w:right w:val="single" w:color="auto" w:sz="2" w:space="0"/>
                    <w:tl2br w:val="nil"/>
                    <w:tr2bl w:val="nil"/>
                  </w:tcBorders>
                  <w:noWrap w:val="0"/>
                  <w:vAlign w:val="center"/>
                </w:tcPr>
                <w:p w14:paraId="5A6272F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2DDF3E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冷凝废气</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9F28B1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87C46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布袋除尘器+</w:t>
                  </w: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91653C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布袋除尘器+</w:t>
                  </w: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r>
            <w:tr w14:paraId="4DD447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71" w:type="pct"/>
                  <w:vMerge w:val="continue"/>
                  <w:tcBorders>
                    <w:left w:val="single" w:color="auto" w:sz="2" w:space="0"/>
                    <w:right w:val="single" w:color="auto" w:sz="2" w:space="0"/>
                    <w:tl2br w:val="nil"/>
                    <w:tr2bl w:val="nil"/>
                  </w:tcBorders>
                  <w:noWrap w:val="0"/>
                  <w:vAlign w:val="center"/>
                </w:tcPr>
                <w:p w14:paraId="35AAB43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vMerge w:val="continue"/>
                  <w:tcBorders>
                    <w:left w:val="single" w:color="auto" w:sz="2" w:space="0"/>
                    <w:right w:val="single" w:color="auto" w:sz="2" w:space="0"/>
                    <w:tl2br w:val="nil"/>
                    <w:tr2bl w:val="nil"/>
                  </w:tcBorders>
                  <w:noWrap w:val="0"/>
                  <w:vAlign w:val="center"/>
                </w:tcPr>
                <w:p w14:paraId="54DD787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2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31511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锅炉废气</w:t>
                  </w:r>
                </w:p>
              </w:tc>
              <w:tc>
                <w:tcPr>
                  <w:tcW w:w="9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50CBB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锅炉废气经布袋除尘+</w:t>
                  </w:r>
                  <w:r>
                    <w:rPr>
                      <w:rFonts w:hint="eastAsia" w:cs="Times New Roman"/>
                      <w:color w:val="auto"/>
                      <w:lang w:val="en-US" w:eastAsia="zh-CN"/>
                    </w:rPr>
                    <w:t>40</w:t>
                  </w:r>
                  <w:r>
                    <w:rPr>
                      <w:rFonts w:hint="default" w:ascii="Times New Roman" w:hAnsi="Times New Roman" w:cs="Times New Roman"/>
                      <w:color w:val="auto"/>
                      <w:lang w:val="en-US" w:eastAsia="zh-CN"/>
                    </w:rPr>
                    <w:t>m排气筒（DA001）排放</w:t>
                  </w:r>
                </w:p>
              </w:tc>
              <w:tc>
                <w:tcPr>
                  <w:tcW w:w="136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46C0A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锅炉废气经布袋除尘+</w:t>
                  </w:r>
                  <w:r>
                    <w:rPr>
                      <w:rFonts w:hint="eastAsia" w:cs="Times New Roman"/>
                      <w:color w:val="auto"/>
                      <w:lang w:val="en-US" w:eastAsia="zh-CN"/>
                    </w:rPr>
                    <w:t>40</w:t>
                  </w:r>
                  <w:r>
                    <w:rPr>
                      <w:rFonts w:hint="default" w:ascii="Times New Roman" w:hAnsi="Times New Roman" w:cs="Times New Roman"/>
                      <w:color w:val="auto"/>
                      <w:lang w:val="en-US" w:eastAsia="zh-CN"/>
                    </w:rPr>
                    <w:t>m排气筒（DA001）排放</w:t>
                  </w:r>
                </w:p>
              </w:tc>
              <w:tc>
                <w:tcPr>
                  <w:tcW w:w="144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AFB52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不变</w:t>
                  </w:r>
                </w:p>
              </w:tc>
            </w:tr>
            <w:tr w14:paraId="0EAB742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6" w:hRule="atLeast"/>
                <w:jc w:val="center"/>
              </w:trPr>
              <w:tc>
                <w:tcPr>
                  <w:tcW w:w="271" w:type="pct"/>
                  <w:vMerge w:val="continue"/>
                  <w:tcBorders>
                    <w:left w:val="single" w:color="auto" w:sz="2" w:space="0"/>
                    <w:right w:val="single" w:color="auto" w:sz="2" w:space="0"/>
                    <w:tl2br w:val="nil"/>
                    <w:tr2bl w:val="nil"/>
                  </w:tcBorders>
                  <w:noWrap w:val="0"/>
                  <w:vAlign w:val="center"/>
                </w:tcPr>
                <w:p w14:paraId="5FD460B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vMerge w:val="continue"/>
                  <w:tcBorders>
                    <w:left w:val="single" w:color="auto" w:sz="2" w:space="0"/>
                    <w:right w:val="single" w:color="auto" w:sz="2" w:space="0"/>
                    <w:tl2br w:val="nil"/>
                    <w:tr2bl w:val="nil"/>
                  </w:tcBorders>
                  <w:noWrap w:val="0"/>
                  <w:vAlign w:val="center"/>
                </w:tcPr>
                <w:p w14:paraId="33BA7CD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6CF1A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恶臭气体</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06D30C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恶臭气体经活性污泥脱臭法（曝气氧化法）+污泥脱水法处理后无组织排放</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AB54E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6CD05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恶臭气体经活性污泥脱臭法（曝气氧化法）+污泥脱水法处理后无组织排放</w:t>
                  </w:r>
                </w:p>
              </w:tc>
            </w:tr>
            <w:tr w14:paraId="13E41FF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271" w:type="pct"/>
                  <w:vMerge w:val="continue"/>
                  <w:tcBorders>
                    <w:left w:val="single" w:color="auto" w:sz="2" w:space="0"/>
                    <w:right w:val="single" w:color="auto" w:sz="2" w:space="0"/>
                    <w:tl2br w:val="nil"/>
                    <w:tr2bl w:val="nil"/>
                  </w:tcBorders>
                  <w:noWrap w:val="0"/>
                  <w:vAlign w:val="center"/>
                </w:tcPr>
                <w:p w14:paraId="5F026D0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right w:val="single" w:color="auto" w:sz="2" w:space="0"/>
                    <w:tl2br w:val="nil"/>
                    <w:tr2bl w:val="nil"/>
                  </w:tcBorders>
                  <w:noWrap w:val="0"/>
                  <w:vAlign w:val="center"/>
                </w:tcPr>
                <w:p w14:paraId="44FA68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污水处理设施</w:t>
                  </w:r>
                </w:p>
              </w:tc>
              <w:tc>
                <w:tcPr>
                  <w:tcW w:w="62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6A6458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生活污水与生产废水</w:t>
                  </w:r>
                </w:p>
              </w:tc>
              <w:tc>
                <w:tcPr>
                  <w:tcW w:w="9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FED03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zh-CN"/>
                    </w:rPr>
                    <w:t>生产和辅助车间废水及生活污水</w:t>
                  </w:r>
                  <w:r>
                    <w:rPr>
                      <w:rFonts w:hint="default" w:ascii="Times New Roman" w:hAnsi="Times New Roman" w:cs="Times New Roman"/>
                      <w:color w:val="auto"/>
                      <w:lang w:val="en-US" w:eastAsia="zh-CN"/>
                    </w:rPr>
                    <w:t>经过</w:t>
                  </w:r>
                  <w:r>
                    <w:rPr>
                      <w:rFonts w:hint="default" w:ascii="Times New Roman" w:hAnsi="Times New Roman" w:cs="Times New Roman"/>
                      <w:color w:val="auto"/>
                      <w:lang w:val="zh-CN"/>
                    </w:rPr>
                    <w:t>污水处理</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A1F9A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生活污水、水环真空泵废水经过</w:t>
                  </w:r>
                  <w:r>
                    <w:rPr>
                      <w:rFonts w:hint="default" w:ascii="Times New Roman" w:hAnsi="Times New Roman" w:cs="Times New Roman"/>
                      <w:color w:val="auto"/>
                      <w:lang w:val="zh-CN"/>
                    </w:rPr>
                    <w:t>污水处理</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r>
                    <w:rPr>
                      <w:rFonts w:hint="default" w:ascii="Times New Roman" w:hAnsi="Times New Roman" w:cs="Times New Roman"/>
                      <w:color w:val="auto"/>
                      <w:lang w:val="en-US" w:eastAsia="zh-CN"/>
                    </w:rPr>
                    <w:t>项目新建一座备用污水处理站（处理能力1800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val="en-US" w:eastAsia="zh-CN"/>
                    </w:rPr>
                    <w:t>/d）</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C570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zh-CN"/>
                    </w:rPr>
                    <w:t>生产和辅助车间废水及生活污水</w:t>
                  </w:r>
                  <w:r>
                    <w:rPr>
                      <w:rFonts w:hint="default" w:ascii="Times New Roman" w:hAnsi="Times New Roman" w:cs="Times New Roman"/>
                      <w:color w:val="auto"/>
                      <w:lang w:val="en-US" w:eastAsia="zh-CN"/>
                    </w:rPr>
                    <w:t>经过</w:t>
                  </w:r>
                  <w:r>
                    <w:rPr>
                      <w:rFonts w:hint="default" w:ascii="Times New Roman" w:hAnsi="Times New Roman" w:cs="Times New Roman"/>
                      <w:color w:val="auto"/>
                      <w:lang w:val="zh-CN"/>
                    </w:rPr>
                    <w:t>污水处理</w:t>
                  </w:r>
                  <w:r>
                    <w:rPr>
                      <w:rFonts w:hint="default" w:ascii="Times New Roman" w:hAnsi="Times New Roman" w:cs="Times New Roman"/>
                      <w:color w:val="auto"/>
                      <w:lang w:val="en-US" w:eastAsia="zh-CN"/>
                    </w:rPr>
                    <w:t>站处理合格后</w:t>
                  </w:r>
                  <w:r>
                    <w:rPr>
                      <w:rFonts w:hint="default" w:ascii="Times New Roman" w:hAnsi="Times New Roman" w:cs="Times New Roman"/>
                      <w:color w:val="auto"/>
                      <w:lang w:val="zh-CN"/>
                    </w:rPr>
                    <w:t>排入锦江，</w:t>
                  </w:r>
                  <w:r>
                    <w:rPr>
                      <w:rFonts w:hint="default" w:ascii="Times New Roman" w:hAnsi="Times New Roman" w:cs="Times New Roman"/>
                      <w:color w:val="auto"/>
                      <w:lang w:val="en-US" w:eastAsia="zh-CN"/>
                    </w:rPr>
                    <w:t>项目新建一座备用污水处理站（处理能力1800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val="en-US" w:eastAsia="zh-CN"/>
                    </w:rPr>
                    <w:t>/d）</w:t>
                  </w:r>
                </w:p>
              </w:tc>
            </w:tr>
            <w:tr w14:paraId="2BFA41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67" w:hRule="atLeast"/>
                <w:jc w:val="center"/>
              </w:trPr>
              <w:tc>
                <w:tcPr>
                  <w:tcW w:w="271" w:type="pct"/>
                  <w:vMerge w:val="continue"/>
                  <w:tcBorders>
                    <w:left w:val="single" w:color="auto" w:sz="2" w:space="0"/>
                    <w:right w:val="single" w:color="auto" w:sz="2" w:space="0"/>
                    <w:tl2br w:val="nil"/>
                    <w:tr2bl w:val="nil"/>
                  </w:tcBorders>
                  <w:noWrap w:val="0"/>
                  <w:vAlign w:val="center"/>
                </w:tcPr>
                <w:p w14:paraId="71BD8B7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right w:val="single" w:color="auto" w:sz="2" w:space="0"/>
                    <w:tl2br w:val="nil"/>
                    <w:tr2bl w:val="nil"/>
                  </w:tcBorders>
                  <w:noWrap w:val="0"/>
                  <w:vAlign w:val="center"/>
                </w:tcPr>
                <w:p w14:paraId="55DD881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噪声</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88BA94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合理布局、基础减振、墙体衰减。</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BA582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部分依托现有项目，部分新建。</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04B3B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部分依托现有项目，部分新建。</w:t>
                  </w:r>
                </w:p>
              </w:tc>
            </w:tr>
            <w:tr w14:paraId="6E91566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jc w:val="center"/>
              </w:trPr>
              <w:tc>
                <w:tcPr>
                  <w:tcW w:w="271" w:type="pct"/>
                  <w:vMerge w:val="continue"/>
                  <w:tcBorders>
                    <w:left w:val="single" w:color="auto" w:sz="2" w:space="0"/>
                    <w:right w:val="single" w:color="auto" w:sz="2" w:space="0"/>
                    <w:tl2br w:val="nil"/>
                    <w:tr2bl w:val="nil"/>
                  </w:tcBorders>
                  <w:noWrap w:val="0"/>
                  <w:vAlign w:val="center"/>
                </w:tcPr>
                <w:p w14:paraId="4092C56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48067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危废暂存库</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FE6E49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危险废物</w:t>
                  </w:r>
                  <w:r>
                    <w:rPr>
                      <w:rFonts w:hint="default" w:ascii="Times New Roman" w:hAnsi="Times New Roman" w:cs="Times New Roman"/>
                      <w:color w:val="auto"/>
                      <w:lang w:val="en-US" w:eastAsia="zh-CN"/>
                    </w:rPr>
                    <w:t>暂存</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位于厂区北侧，占地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5</w:t>
                  </w:r>
                  <w:r>
                    <w:rPr>
                      <w:rFonts w:hint="default" w:ascii="Times New Roman" w:hAnsi="Times New Roman" w:cs="Times New Roman"/>
                      <w:color w:val="auto"/>
                    </w:rPr>
                    <w:t>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A34AD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zh-CN"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DB941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rPr>
                    <w:t>危险废物</w:t>
                  </w:r>
                  <w:r>
                    <w:rPr>
                      <w:rFonts w:hint="default" w:ascii="Times New Roman" w:hAnsi="Times New Roman" w:cs="Times New Roman"/>
                      <w:color w:val="auto"/>
                      <w:lang w:val="en-US" w:eastAsia="zh-CN"/>
                    </w:rPr>
                    <w:t>暂存</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位于厂区北侧，占地</w:t>
                  </w:r>
                  <w:r>
                    <w:rPr>
                      <w:rFonts w:hint="default" w:ascii="Times New Roman" w:hAnsi="Times New Roman" w:cs="Times New Roman"/>
                      <w:color w:val="auto"/>
                    </w:rPr>
                    <w:t>面积</w:t>
                  </w:r>
                  <w:r>
                    <w:rPr>
                      <w:rFonts w:hint="default" w:ascii="Times New Roman" w:hAnsi="Times New Roman" w:cs="Times New Roman"/>
                      <w:color w:val="auto"/>
                      <w:lang w:val="en-US" w:eastAsia="zh-CN"/>
                    </w:rPr>
                    <w:t>5</w:t>
                  </w:r>
                  <w:r>
                    <w:rPr>
                      <w:rFonts w:hint="default" w:ascii="Times New Roman" w:hAnsi="Times New Roman" w:cs="Times New Roman"/>
                      <w:color w:val="auto"/>
                    </w:rPr>
                    <w:t>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w:t>
                  </w:r>
                </w:p>
              </w:tc>
            </w:tr>
            <w:tr w14:paraId="0434FD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1" w:hRule="atLeast"/>
                <w:jc w:val="center"/>
              </w:trPr>
              <w:tc>
                <w:tcPr>
                  <w:tcW w:w="271" w:type="pct"/>
                  <w:vMerge w:val="continue"/>
                  <w:tcBorders>
                    <w:left w:val="single" w:color="auto" w:sz="2" w:space="0"/>
                    <w:right w:val="single" w:color="auto" w:sz="2" w:space="0"/>
                    <w:tl2br w:val="nil"/>
                    <w:tr2bl w:val="nil"/>
                  </w:tcBorders>
                  <w:noWrap w:val="0"/>
                  <w:vAlign w:val="center"/>
                </w:tcPr>
                <w:p w14:paraId="1D3A327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533BBA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一般固废暂存库</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479C39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一般固废暂存</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位于厂区北侧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占地</w:t>
                  </w:r>
                  <w:r>
                    <w:rPr>
                      <w:rFonts w:hint="default" w:ascii="Times New Roman" w:hAnsi="Times New Roman" w:cs="Times New Roman"/>
                      <w:color w:val="auto"/>
                    </w:rPr>
                    <w:t>面积50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6CD444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zh-CN"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0720EA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rPr>
                    <w:t>一般固废暂存</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位于厂区北侧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占地</w:t>
                  </w:r>
                  <w:r>
                    <w:rPr>
                      <w:rFonts w:hint="default" w:ascii="Times New Roman" w:hAnsi="Times New Roman" w:cs="Times New Roman"/>
                      <w:color w:val="auto"/>
                    </w:rPr>
                    <w:t>面积50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w:t>
                  </w:r>
                </w:p>
              </w:tc>
            </w:tr>
            <w:tr w14:paraId="07FD55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1" w:hRule="atLeast"/>
                <w:jc w:val="center"/>
              </w:trPr>
              <w:tc>
                <w:tcPr>
                  <w:tcW w:w="271" w:type="pct"/>
                  <w:vMerge w:val="continue"/>
                  <w:tcBorders>
                    <w:left w:val="single" w:color="auto" w:sz="2" w:space="0"/>
                    <w:right w:val="single" w:color="auto" w:sz="2" w:space="0"/>
                    <w:tl2br w:val="nil"/>
                    <w:tr2bl w:val="nil"/>
                  </w:tcBorders>
                  <w:noWrap w:val="0"/>
                  <w:vAlign w:val="center"/>
                </w:tcPr>
                <w:p w14:paraId="11103E0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3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C0543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初期雨水</w:t>
                  </w:r>
                </w:p>
              </w:tc>
              <w:tc>
                <w:tcPr>
                  <w:tcW w:w="158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7DF57AAF">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初期雨水收集池（</w:t>
                  </w:r>
                  <w:r>
                    <w:rPr>
                      <w:rFonts w:hint="eastAsia" w:ascii="Times New Roman" w:hAnsi="Times New Roman" w:cs="Times New Roman"/>
                      <w:color w:val="auto"/>
                      <w:lang w:val="en-US" w:eastAsia="zh-CN"/>
                    </w:rPr>
                    <w:t>300</w:t>
                  </w:r>
                  <w:r>
                    <w:rPr>
                      <w:rFonts w:hint="default" w:ascii="Times New Roman" w:hAnsi="Times New Roman" w:cs="Times New Roman"/>
                      <w:color w:val="auto"/>
                      <w:lang w:val="en-US" w:eastAsia="zh-CN"/>
                    </w:rPr>
                    <w:t>m</w:t>
                  </w:r>
                  <w:r>
                    <w:rPr>
                      <w:rFonts w:hint="eastAsia" w:ascii="Times New Roman" w:hAnsi="Times New Roman" w:cs="Times New Roman"/>
                      <w:color w:val="auto"/>
                      <w:vertAlign w:val="superscript"/>
                      <w:lang w:val="en-US" w:eastAsia="zh-CN"/>
                    </w:rPr>
                    <w:t>3</w:t>
                  </w:r>
                  <w:r>
                    <w:rPr>
                      <w:rFonts w:hint="eastAsia" w:cs="Times New Roman"/>
                      <w:color w:val="auto"/>
                      <w:lang w:val="en-US" w:eastAsia="zh-CN"/>
                    </w:rPr>
                    <w:t>）</w:t>
                  </w:r>
                </w:p>
              </w:tc>
              <w:tc>
                <w:tcPr>
                  <w:tcW w:w="136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690436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依托现有</w:t>
                  </w:r>
                </w:p>
              </w:tc>
              <w:tc>
                <w:tcPr>
                  <w:tcW w:w="14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48373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eastAsia" w:ascii="Times New Roman" w:hAnsi="Times New Roman" w:eastAsia="宋体" w:cs="Times New Roman"/>
                      <w:color w:val="auto"/>
                      <w:lang w:val="en-US" w:eastAsia="zh-CN"/>
                    </w:rPr>
                    <w:t>初期雨水收集池</w:t>
                  </w:r>
                  <w:r>
                    <w:rPr>
                      <w:rFonts w:hint="eastAsia" w:cs="Times New Roman"/>
                      <w:color w:val="auto"/>
                      <w:lang w:val="en-US" w:eastAsia="zh-CN"/>
                    </w:rPr>
                    <w:t>（</w:t>
                  </w:r>
                  <w:r>
                    <w:rPr>
                      <w:rFonts w:hint="eastAsia" w:ascii="Times New Roman" w:hAnsi="Times New Roman" w:cs="Times New Roman"/>
                      <w:color w:val="auto"/>
                      <w:lang w:val="en-US" w:eastAsia="zh-CN"/>
                    </w:rPr>
                    <w:t>300</w:t>
                  </w:r>
                  <w:r>
                    <w:rPr>
                      <w:rFonts w:hint="default" w:ascii="Times New Roman" w:hAnsi="Times New Roman" w:cs="Times New Roman"/>
                      <w:color w:val="auto"/>
                      <w:lang w:val="en-US" w:eastAsia="zh-CN"/>
                    </w:rPr>
                    <w:t>m</w:t>
                  </w:r>
                  <w:r>
                    <w:rPr>
                      <w:rFonts w:hint="eastAsia" w:ascii="Times New Roman" w:hAnsi="Times New Roman" w:cs="Times New Roman"/>
                      <w:color w:val="auto"/>
                      <w:vertAlign w:val="superscript"/>
                      <w:lang w:val="en-US" w:eastAsia="zh-CN"/>
                    </w:rPr>
                    <w:t>3</w:t>
                  </w:r>
                  <w:r>
                    <w:rPr>
                      <w:rFonts w:hint="eastAsia" w:cs="Times New Roman"/>
                      <w:color w:val="auto"/>
                      <w:lang w:val="en-US" w:eastAsia="zh-CN"/>
                    </w:rPr>
                    <w:t>）</w:t>
                  </w:r>
                </w:p>
              </w:tc>
            </w:tr>
          </w:tbl>
          <w:p w14:paraId="0E6F09C3">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依托可行性分析表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1357"/>
              <w:gridCol w:w="1256"/>
              <w:gridCol w:w="1423"/>
              <w:gridCol w:w="1827"/>
            </w:tblGrid>
            <w:tr w14:paraId="6B23D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955" w:type="dxa"/>
                </w:tcPr>
                <w:p w14:paraId="77B815E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依托设备</w:t>
                  </w:r>
                </w:p>
              </w:tc>
              <w:tc>
                <w:tcPr>
                  <w:tcW w:w="1357" w:type="dxa"/>
                </w:tcPr>
                <w:p w14:paraId="7A69207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设备规格</w:t>
                  </w:r>
                </w:p>
              </w:tc>
              <w:tc>
                <w:tcPr>
                  <w:tcW w:w="1256" w:type="dxa"/>
                </w:tcPr>
                <w:p w14:paraId="36F4638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原有项目使用量</w:t>
                  </w:r>
                </w:p>
              </w:tc>
              <w:tc>
                <w:tcPr>
                  <w:tcW w:w="1423" w:type="dxa"/>
                </w:tcPr>
                <w:p w14:paraId="1DF1160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技改后全厂使用量</w:t>
                  </w:r>
                </w:p>
              </w:tc>
              <w:tc>
                <w:tcPr>
                  <w:tcW w:w="1827" w:type="dxa"/>
                </w:tcPr>
                <w:p w14:paraId="1DF4CF4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是否可行</w:t>
                  </w:r>
                </w:p>
              </w:tc>
            </w:tr>
            <w:tr w14:paraId="1814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955" w:type="dxa"/>
                </w:tcPr>
                <w:p w14:paraId="1E943F3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w:t>
                  </w:r>
                </w:p>
              </w:tc>
              <w:tc>
                <w:tcPr>
                  <w:tcW w:w="1357" w:type="dxa"/>
                </w:tcPr>
                <w:p w14:paraId="564C84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10th</w:t>
                  </w:r>
                </w:p>
              </w:tc>
              <w:tc>
                <w:tcPr>
                  <w:tcW w:w="1256" w:type="dxa"/>
                </w:tcPr>
                <w:p w14:paraId="459D6A5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10th</w:t>
                  </w:r>
                </w:p>
              </w:tc>
              <w:tc>
                <w:tcPr>
                  <w:tcW w:w="1423" w:type="dxa"/>
                </w:tcPr>
                <w:p w14:paraId="5FABFDD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9.7t/h</w:t>
                  </w:r>
                </w:p>
              </w:tc>
              <w:tc>
                <w:tcPr>
                  <w:tcW w:w="1827" w:type="dxa"/>
                </w:tcPr>
                <w:p w14:paraId="6B37596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可行</w:t>
                  </w:r>
                </w:p>
              </w:tc>
            </w:tr>
            <w:tr w14:paraId="548F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955" w:type="dxa"/>
                </w:tcPr>
                <w:p w14:paraId="7E7AAE9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污水处理站</w:t>
                  </w:r>
                </w:p>
              </w:tc>
              <w:tc>
                <w:tcPr>
                  <w:tcW w:w="1357" w:type="dxa"/>
                </w:tcPr>
                <w:p w14:paraId="099E91C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2000t/d</w:t>
                  </w:r>
                </w:p>
              </w:tc>
              <w:tc>
                <w:tcPr>
                  <w:tcW w:w="1256" w:type="dxa"/>
                </w:tcPr>
                <w:p w14:paraId="0794131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1965.3t/d</w:t>
                  </w:r>
                </w:p>
              </w:tc>
              <w:tc>
                <w:tcPr>
                  <w:tcW w:w="1423" w:type="dxa"/>
                </w:tcPr>
                <w:p w14:paraId="1B9DC72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1707.2894t/d</w:t>
                  </w:r>
                </w:p>
              </w:tc>
              <w:tc>
                <w:tcPr>
                  <w:tcW w:w="1827" w:type="dxa"/>
                </w:tcPr>
                <w:p w14:paraId="43E3B6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可行</w:t>
                  </w:r>
                </w:p>
              </w:tc>
            </w:tr>
          </w:tbl>
          <w:p w14:paraId="457F1423">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lang w:val="en-US" w:eastAsia="zh-CN"/>
              </w:rPr>
            </w:pPr>
            <w:r>
              <w:rPr>
                <w:rFonts w:hint="default" w:ascii="Times New Roman" w:hAnsi="Times New Roman" w:cs="Times New Roman"/>
                <w:color w:val="auto"/>
                <w:lang w:val="en-US" w:eastAsia="zh-CN"/>
              </w:rPr>
              <w:t>原有高麦糖浆与果葡糖浆生产线投料前增加色选工艺，企业通过色选工艺提前去除不合格中碎米，不合格品率约为5%，企业技改前需加工96000吨中碎米，增加色选后，高麦糖浆与果葡糖浆生产线仅需加工91320t精选中碎米，因为浓缩等工序加工物料减少约5%，项目所需蒸汽量减少0.5t/h，本项目食用蛋白粉加工工序中烘干、蒸馏工序由蒸汽供热，项目烘干、蒸馏工序需要蒸汽0.2t/h，技改后全厂需要蒸汽9.7t/h。</w:t>
            </w:r>
          </w:p>
          <w:p w14:paraId="6F5C41DC">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lang w:val="en-US" w:eastAsia="zh-CN"/>
              </w:r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7"/>
              <w:gridCol w:w="3927"/>
            </w:tblGrid>
            <w:tr w14:paraId="5F220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7" w:type="dxa"/>
                </w:tcPr>
                <w:p w14:paraId="4DFAA500">
                  <w:pPr>
                    <w:pStyle w:val="37"/>
                    <w:keepNext w:val="0"/>
                    <w:keepLines w:val="0"/>
                    <w:suppressLineNumbers w:val="0"/>
                    <w:spacing w:before="0" w:beforeAutospacing="0" w:after="0" w:afterAutospacing="0"/>
                    <w:ind w:left="0" w:right="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drawing>
                      <wp:inline distT="0" distB="0" distL="114300" distR="114300">
                        <wp:extent cx="1827530" cy="1767840"/>
                        <wp:effectExtent l="0" t="0" r="0" b="0"/>
                        <wp:docPr id="5" name="图片 5" descr="5245ede0a6d80cfad5e48b344f07d2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245ede0a6d80cfad5e48b344f07d2a1"/>
                                <pic:cNvPicPr>
                                  <a:picLocks noChangeAspect="1"/>
                                </pic:cNvPicPr>
                              </pic:nvPicPr>
                              <pic:blipFill>
                                <a:blip r:embed="rId8"/>
                                <a:srcRect r="-7268" b="22213"/>
                                <a:stretch>
                                  <a:fillRect/>
                                </a:stretch>
                              </pic:blipFill>
                              <pic:spPr>
                                <a:xfrm>
                                  <a:off x="0" y="0"/>
                                  <a:ext cx="1827530" cy="1767840"/>
                                </a:xfrm>
                                <a:prstGeom prst="rect">
                                  <a:avLst/>
                                </a:prstGeom>
                              </pic:spPr>
                            </pic:pic>
                          </a:graphicData>
                        </a:graphic>
                      </wp:inline>
                    </w:drawing>
                  </w:r>
                </w:p>
              </w:tc>
              <w:tc>
                <w:tcPr>
                  <w:tcW w:w="3927" w:type="dxa"/>
                </w:tcPr>
                <w:p w14:paraId="59E334CC">
                  <w:pPr>
                    <w:pStyle w:val="37"/>
                    <w:keepNext w:val="0"/>
                    <w:keepLines w:val="0"/>
                    <w:suppressLineNumbers w:val="0"/>
                    <w:spacing w:before="0" w:beforeAutospacing="0" w:after="0" w:afterAutospacing="0"/>
                    <w:ind w:left="0" w:right="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drawing>
                      <wp:inline distT="0" distB="0" distL="114300" distR="114300">
                        <wp:extent cx="2356485" cy="1766570"/>
                        <wp:effectExtent l="0" t="0" r="5715" b="5080"/>
                        <wp:docPr id="6" name="图片 6" descr="6d7c55295e06087bd147a5cd4022b4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d7c55295e06087bd147a5cd4022b4d8"/>
                                <pic:cNvPicPr>
                                  <a:picLocks noChangeAspect="1"/>
                                </pic:cNvPicPr>
                              </pic:nvPicPr>
                              <pic:blipFill>
                                <a:blip r:embed="rId9"/>
                                <a:stretch>
                                  <a:fillRect/>
                                </a:stretch>
                              </pic:blipFill>
                              <pic:spPr>
                                <a:xfrm>
                                  <a:off x="0" y="0"/>
                                  <a:ext cx="2356485" cy="1766570"/>
                                </a:xfrm>
                                <a:prstGeom prst="rect">
                                  <a:avLst/>
                                </a:prstGeom>
                              </pic:spPr>
                            </pic:pic>
                          </a:graphicData>
                        </a:graphic>
                      </wp:inline>
                    </w:drawing>
                  </w:r>
                </w:p>
              </w:tc>
            </w:tr>
            <w:tr w14:paraId="2E71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3927" w:type="dxa"/>
                </w:tcPr>
                <w:p w14:paraId="24AF9BE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检验化验室</w:t>
                  </w:r>
                </w:p>
              </w:tc>
              <w:tc>
                <w:tcPr>
                  <w:tcW w:w="3927" w:type="dxa"/>
                </w:tcPr>
                <w:p w14:paraId="465FB22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污水处理站</w:t>
                  </w:r>
                </w:p>
              </w:tc>
            </w:tr>
            <w:tr w14:paraId="395AF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7" w:type="dxa"/>
                </w:tcPr>
                <w:p w14:paraId="03C12553">
                  <w:pPr>
                    <w:pStyle w:val="37"/>
                    <w:keepNext w:val="0"/>
                    <w:keepLines w:val="0"/>
                    <w:suppressLineNumbers w:val="0"/>
                    <w:spacing w:before="0" w:beforeAutospacing="0" w:after="0" w:afterAutospacing="0"/>
                    <w:ind w:left="0" w:right="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drawing>
                      <wp:inline distT="0" distB="0" distL="114300" distR="114300">
                        <wp:extent cx="2046605" cy="1817370"/>
                        <wp:effectExtent l="0" t="0" r="0" b="0"/>
                        <wp:docPr id="3" name="图片 3" descr="571e58cb632f387fffcb3e457eaaf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71e58cb632f387fffcb3e457eaaf955"/>
                                <pic:cNvPicPr>
                                  <a:picLocks noChangeAspect="1"/>
                                </pic:cNvPicPr>
                              </pic:nvPicPr>
                              <pic:blipFill>
                                <a:blip r:embed="rId10"/>
                                <a:srcRect t="8902" r="-3721" b="22049"/>
                                <a:stretch>
                                  <a:fillRect/>
                                </a:stretch>
                              </pic:blipFill>
                              <pic:spPr>
                                <a:xfrm>
                                  <a:off x="0" y="0"/>
                                  <a:ext cx="2046605" cy="1817370"/>
                                </a:xfrm>
                                <a:prstGeom prst="rect">
                                  <a:avLst/>
                                </a:prstGeom>
                              </pic:spPr>
                            </pic:pic>
                          </a:graphicData>
                        </a:graphic>
                      </wp:inline>
                    </w:drawing>
                  </w:r>
                </w:p>
              </w:tc>
              <w:tc>
                <w:tcPr>
                  <w:tcW w:w="3927" w:type="dxa"/>
                </w:tcPr>
                <w:p w14:paraId="6AFF3E03">
                  <w:pPr>
                    <w:pStyle w:val="37"/>
                    <w:keepNext w:val="0"/>
                    <w:keepLines w:val="0"/>
                    <w:suppressLineNumbers w:val="0"/>
                    <w:spacing w:before="0" w:beforeAutospacing="0" w:after="0" w:afterAutospacing="0"/>
                    <w:ind w:left="0" w:right="0"/>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drawing>
                      <wp:inline distT="0" distB="0" distL="114300" distR="114300">
                        <wp:extent cx="2356485" cy="1766570"/>
                        <wp:effectExtent l="0" t="0" r="5715" b="5080"/>
                        <wp:docPr id="4" name="图片 4" descr="f59bbbad89fbf462b14175ea0eba67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59bbbad89fbf462b14175ea0eba673b"/>
                                <pic:cNvPicPr>
                                  <a:picLocks noChangeAspect="1"/>
                                </pic:cNvPicPr>
                              </pic:nvPicPr>
                              <pic:blipFill>
                                <a:blip r:embed="rId11"/>
                                <a:stretch>
                                  <a:fillRect/>
                                </a:stretch>
                              </pic:blipFill>
                              <pic:spPr>
                                <a:xfrm>
                                  <a:off x="0" y="0"/>
                                  <a:ext cx="2356485" cy="1766570"/>
                                </a:xfrm>
                                <a:prstGeom prst="rect">
                                  <a:avLst/>
                                </a:prstGeom>
                              </pic:spPr>
                            </pic:pic>
                          </a:graphicData>
                        </a:graphic>
                      </wp:inline>
                    </w:drawing>
                  </w:r>
                </w:p>
              </w:tc>
            </w:tr>
            <w:tr w14:paraId="5F094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3927" w:type="dxa"/>
                  <w:vAlign w:val="center"/>
                </w:tcPr>
                <w:p w14:paraId="3852813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锅炉布袋除尘器</w:t>
                  </w:r>
                </w:p>
              </w:tc>
              <w:tc>
                <w:tcPr>
                  <w:tcW w:w="3927" w:type="dxa"/>
                  <w:vAlign w:val="center"/>
                </w:tcPr>
                <w:p w14:paraId="0150B35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w:t>
                  </w:r>
                </w:p>
              </w:tc>
            </w:tr>
          </w:tbl>
          <w:p w14:paraId="57E12AE1">
            <w:pPr>
              <w:keepNext w:val="0"/>
              <w:keepLines w:val="0"/>
              <w:pageBreakBefore/>
              <w:widowControl/>
              <w:suppressLineNumbers w:val="0"/>
              <w:spacing w:before="0" w:beforeLines="0" w:beforeAutospacing="0" w:after="0" w:afterLines="0" w:afterAutospacing="0"/>
              <w:ind w:left="0" w:right="0" w:firstLine="3132" w:firstLineChars="1300"/>
              <w:rPr>
                <w:rFonts w:hint="default" w:ascii="Times New Roman" w:hAnsi="Times New Roman" w:eastAsia="宋体" w:cs="Times New Roman"/>
                <w:b/>
                <w:color w:val="auto"/>
                <w:sz w:val="24"/>
                <w:szCs w:val="24"/>
                <w:lang w:val="en-US" w:eastAsia="zh-CN"/>
              </w:rPr>
            </w:pPr>
            <w:r>
              <w:rPr>
                <w:rFonts w:hint="default" w:ascii="Times New Roman" w:hAnsi="Times New Roman" w:cs="Times New Roman"/>
                <w:b/>
                <w:color w:val="auto"/>
                <w:sz w:val="24"/>
                <w:szCs w:val="24"/>
                <w:lang w:val="en-US" w:eastAsia="zh-CN"/>
              </w:rPr>
              <w:t>图2-1依托设备照片</w:t>
            </w:r>
          </w:p>
          <w:p w14:paraId="136A6AAC">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3、产品方案</w:t>
            </w:r>
          </w:p>
          <w:p w14:paraId="412C3094">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rPr>
            </w:pPr>
            <w:r>
              <w:rPr>
                <w:rFonts w:hint="default" w:ascii="Times New Roman" w:hAnsi="Times New Roman" w:cs="Times New Roman"/>
                <w:color w:val="auto"/>
                <w:sz w:val="24"/>
                <w:szCs w:val="24"/>
                <w:lang w:val="en-US" w:eastAsia="zh-CN"/>
              </w:rPr>
              <w:t>本项目对生产过程中产生的副产品饲用蛋白粉经进一步加工生产为食用级大米蛋白粉，具体情况如下表：</w:t>
            </w:r>
          </w:p>
          <w:p w14:paraId="175DE1D5">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产品方案</w:t>
            </w:r>
          </w:p>
          <w:tbl>
            <w:tblPr>
              <w:tblStyle w:val="29"/>
              <w:tblW w:w="789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11"/>
              <w:gridCol w:w="818"/>
              <w:gridCol w:w="818"/>
              <w:gridCol w:w="818"/>
              <w:gridCol w:w="1275"/>
              <w:gridCol w:w="1275"/>
              <w:gridCol w:w="1275"/>
            </w:tblGrid>
            <w:tr w14:paraId="1225A4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trPr>
              <w:tc>
                <w:tcPr>
                  <w:tcW w:w="1020" w:type="pct"/>
                  <w:vMerge w:val="restart"/>
                  <w:tcBorders>
                    <w:top w:val="single" w:color="auto" w:sz="2" w:space="0"/>
                    <w:left w:val="single" w:color="auto" w:sz="2" w:space="0"/>
                    <w:right w:val="single" w:color="auto" w:sz="2" w:space="0"/>
                    <w:tl2br w:val="nil"/>
                    <w:tr2bl w:val="nil"/>
                  </w:tcBorders>
                  <w:noWrap w:val="0"/>
                  <w:vAlign w:val="center"/>
                </w:tcPr>
                <w:p w14:paraId="6883BC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产品</w:t>
                  </w:r>
                </w:p>
              </w:tc>
              <w:tc>
                <w:tcPr>
                  <w:tcW w:w="1555" w:type="pct"/>
                  <w:gridSpan w:val="3"/>
                  <w:tcBorders>
                    <w:top w:val="single" w:color="auto" w:sz="2" w:space="0"/>
                    <w:left w:val="single" w:color="auto" w:sz="2" w:space="0"/>
                    <w:bottom w:val="single" w:color="auto" w:sz="2" w:space="0"/>
                    <w:right w:val="single" w:color="auto" w:sz="2" w:space="0"/>
                    <w:tl2br w:val="nil"/>
                    <w:tr2bl w:val="nil"/>
                  </w:tcBorders>
                  <w:noWrap w:val="0"/>
                  <w:vAlign w:val="center"/>
                </w:tcPr>
                <w:p w14:paraId="53EEDD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产能（t/</w:t>
                  </w:r>
                  <w:r>
                    <w:rPr>
                      <w:rFonts w:hint="default" w:ascii="Times New Roman" w:hAnsi="Times New Roman" w:cs="Times New Roman"/>
                      <w:color w:val="auto"/>
                      <w:kern w:val="0"/>
                      <w:sz w:val="21"/>
                      <w:szCs w:val="21"/>
                      <w:lang w:val="en-US" w:eastAsia="zh-CN"/>
                    </w:rPr>
                    <w:t>a</w:t>
                  </w:r>
                  <w:r>
                    <w:rPr>
                      <w:rFonts w:hint="default" w:ascii="Times New Roman" w:hAnsi="Times New Roman" w:cs="Times New Roman"/>
                      <w:color w:val="auto"/>
                      <w:kern w:val="0"/>
                      <w:sz w:val="21"/>
                      <w:szCs w:val="21"/>
                      <w:lang w:val="zh-CN"/>
                    </w:rPr>
                    <w:t>）</w:t>
                  </w:r>
                </w:p>
              </w:tc>
              <w:tc>
                <w:tcPr>
                  <w:tcW w:w="807" w:type="pct"/>
                  <w:vMerge w:val="restart"/>
                  <w:tcBorders>
                    <w:top w:val="single" w:color="auto" w:sz="2" w:space="0"/>
                    <w:left w:val="single" w:color="auto" w:sz="2" w:space="0"/>
                    <w:right w:val="single" w:color="auto" w:sz="2" w:space="0"/>
                    <w:tl2br w:val="nil"/>
                    <w:tr2bl w:val="nil"/>
                  </w:tcBorders>
                  <w:noWrap w:val="0"/>
                  <w:vAlign w:val="center"/>
                </w:tcPr>
                <w:p w14:paraId="383997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变化情况（t/a）</w:t>
                  </w:r>
                </w:p>
              </w:tc>
              <w:tc>
                <w:tcPr>
                  <w:tcW w:w="807" w:type="pct"/>
                  <w:vMerge w:val="restart"/>
                  <w:tcBorders>
                    <w:top w:val="single" w:color="auto" w:sz="2" w:space="0"/>
                    <w:left w:val="single" w:color="auto" w:sz="2" w:space="0"/>
                    <w:right w:val="single" w:color="auto" w:sz="2" w:space="0"/>
                    <w:tl2br w:val="nil"/>
                    <w:tr2bl w:val="nil"/>
                  </w:tcBorders>
                  <w:noWrap w:val="0"/>
                  <w:vAlign w:val="center"/>
                </w:tcPr>
                <w:p w14:paraId="219A7D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包装方式</w:t>
                  </w:r>
                </w:p>
              </w:tc>
              <w:tc>
                <w:tcPr>
                  <w:tcW w:w="807" w:type="pct"/>
                  <w:vMerge w:val="restart"/>
                  <w:tcBorders>
                    <w:top w:val="single" w:color="auto" w:sz="2" w:space="0"/>
                    <w:left w:val="single" w:color="auto" w:sz="2" w:space="0"/>
                    <w:right w:val="single" w:color="auto" w:sz="2" w:space="0"/>
                    <w:tl2br w:val="nil"/>
                    <w:tr2bl w:val="nil"/>
                  </w:tcBorders>
                  <w:noWrap w:val="0"/>
                  <w:vAlign w:val="center"/>
                </w:tcPr>
                <w:p w14:paraId="1723510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备注</w:t>
                  </w:r>
                </w:p>
              </w:tc>
            </w:tr>
            <w:tr w14:paraId="4B5365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020" w:type="pct"/>
                  <w:vMerge w:val="continue"/>
                  <w:tcBorders>
                    <w:left w:val="single" w:color="auto" w:sz="2" w:space="0"/>
                    <w:bottom w:val="single" w:color="auto" w:sz="2" w:space="0"/>
                    <w:right w:val="single" w:color="auto" w:sz="2" w:space="0"/>
                    <w:tl2br w:val="nil"/>
                    <w:tr2bl w:val="nil"/>
                  </w:tcBorders>
                  <w:noWrap w:val="0"/>
                  <w:vAlign w:val="center"/>
                </w:tcPr>
                <w:p w14:paraId="21A3D7C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F3D3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原有项目</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56EE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技改项目</w:t>
                  </w:r>
                </w:p>
              </w:tc>
              <w:tc>
                <w:tcPr>
                  <w:tcW w:w="818" w:type="dxa"/>
                  <w:tcBorders>
                    <w:top w:val="single" w:color="auto" w:sz="2" w:space="0"/>
                    <w:left w:val="single" w:color="auto" w:sz="2" w:space="0"/>
                    <w:bottom w:val="single" w:color="auto" w:sz="2" w:space="0"/>
                    <w:right w:val="single" w:color="auto" w:sz="2" w:space="0"/>
                    <w:tl2br w:val="nil"/>
                    <w:tr2bl w:val="nil"/>
                  </w:tcBorders>
                  <w:noWrap w:val="0"/>
                  <w:vAlign w:val="center"/>
                </w:tcPr>
                <w:p w14:paraId="6A43C3B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技改后</w:t>
                  </w:r>
                  <w:r>
                    <w:rPr>
                      <w:rFonts w:hint="eastAsia" w:cs="Times New Roman"/>
                      <w:color w:val="auto"/>
                      <w:kern w:val="0"/>
                      <w:sz w:val="21"/>
                      <w:szCs w:val="21"/>
                      <w:lang w:val="en-US" w:eastAsia="zh-CN"/>
                    </w:rPr>
                    <w:t>全厂</w:t>
                  </w:r>
                </w:p>
              </w:tc>
              <w:tc>
                <w:tcPr>
                  <w:tcW w:w="807" w:type="pct"/>
                  <w:vMerge w:val="continue"/>
                  <w:tcBorders>
                    <w:left w:val="single" w:color="auto" w:sz="2" w:space="0"/>
                    <w:right w:val="single" w:color="auto" w:sz="2" w:space="0"/>
                    <w:tl2br w:val="nil"/>
                    <w:tr2bl w:val="nil"/>
                  </w:tcBorders>
                  <w:noWrap w:val="0"/>
                  <w:vAlign w:val="center"/>
                </w:tcPr>
                <w:p w14:paraId="09CB25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p>
              </w:tc>
              <w:tc>
                <w:tcPr>
                  <w:tcW w:w="807" w:type="pct"/>
                  <w:vMerge w:val="continue"/>
                  <w:tcBorders>
                    <w:left w:val="single" w:color="auto" w:sz="2" w:space="0"/>
                    <w:right w:val="single" w:color="auto" w:sz="2" w:space="0"/>
                    <w:tl2br w:val="nil"/>
                    <w:tr2bl w:val="nil"/>
                  </w:tcBorders>
                  <w:noWrap w:val="0"/>
                  <w:vAlign w:val="center"/>
                </w:tcPr>
                <w:p w14:paraId="3B8F3C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p>
              </w:tc>
              <w:tc>
                <w:tcPr>
                  <w:tcW w:w="807" w:type="pct"/>
                  <w:vMerge w:val="continue"/>
                  <w:tcBorders>
                    <w:left w:val="single" w:color="auto" w:sz="2" w:space="0"/>
                    <w:right w:val="single" w:color="auto" w:sz="2" w:space="0"/>
                    <w:tl2br w:val="nil"/>
                    <w:tr2bl w:val="nil"/>
                  </w:tcBorders>
                  <w:noWrap w:val="0"/>
                  <w:vAlign w:val="center"/>
                </w:tcPr>
                <w:p w14:paraId="01E8B4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p>
              </w:tc>
            </w:tr>
            <w:tr w14:paraId="049A13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5" w:hRule="atLeast"/>
              </w:trPr>
              <w:tc>
                <w:tcPr>
                  <w:tcW w:w="10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B652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高麦芽糖浆</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4F859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50000</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796E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0</w:t>
                  </w:r>
                </w:p>
              </w:tc>
              <w:tc>
                <w:tcPr>
                  <w:tcW w:w="818" w:type="dxa"/>
                  <w:tcBorders>
                    <w:top w:val="single" w:color="auto" w:sz="2" w:space="0"/>
                    <w:left w:val="single" w:color="auto" w:sz="2" w:space="0"/>
                    <w:bottom w:val="single" w:color="auto" w:sz="2" w:space="0"/>
                    <w:right w:val="single" w:color="auto" w:sz="2" w:space="0"/>
                    <w:tl2br w:val="nil"/>
                    <w:tr2bl w:val="nil"/>
                  </w:tcBorders>
                  <w:noWrap w:val="0"/>
                  <w:vAlign w:val="center"/>
                </w:tcPr>
                <w:p w14:paraId="5D8FF19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50000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B230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360E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罐装</w:t>
                  </w:r>
                </w:p>
              </w:tc>
              <w:tc>
                <w:tcPr>
                  <w:tcW w:w="807" w:type="pct"/>
                  <w:vMerge w:val="restart"/>
                  <w:tcBorders>
                    <w:top w:val="single" w:color="auto" w:sz="2" w:space="0"/>
                    <w:left w:val="single" w:color="auto" w:sz="2" w:space="0"/>
                    <w:right w:val="single" w:color="auto" w:sz="2" w:space="0"/>
                    <w:tl2br w:val="nil"/>
                    <w:tr2bl w:val="nil"/>
                  </w:tcBorders>
                  <w:noWrap w:val="0"/>
                  <w:vAlign w:val="center"/>
                </w:tcPr>
                <w:p w14:paraId="750833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食品及医药行业原料</w:t>
                  </w:r>
                </w:p>
                <w:p w14:paraId="495750E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r>
            <w:tr w14:paraId="70CB71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3" w:hRule="atLeast"/>
              </w:trPr>
              <w:tc>
                <w:tcPr>
                  <w:tcW w:w="10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C74F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果葡萄糖浆</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37FF26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30000</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F4040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0</w:t>
                  </w:r>
                </w:p>
              </w:tc>
              <w:tc>
                <w:tcPr>
                  <w:tcW w:w="818" w:type="dxa"/>
                  <w:tcBorders>
                    <w:top w:val="single" w:color="auto" w:sz="2" w:space="0"/>
                    <w:left w:val="single" w:color="auto" w:sz="2" w:space="0"/>
                    <w:bottom w:val="single" w:color="auto" w:sz="2" w:space="0"/>
                    <w:right w:val="single" w:color="auto" w:sz="2" w:space="0"/>
                    <w:tl2br w:val="nil"/>
                    <w:tr2bl w:val="nil"/>
                  </w:tcBorders>
                  <w:noWrap w:val="0"/>
                  <w:vAlign w:val="center"/>
                </w:tcPr>
                <w:p w14:paraId="535815F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30000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12B3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8AED8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罐装</w:t>
                  </w:r>
                </w:p>
              </w:tc>
              <w:tc>
                <w:tcPr>
                  <w:tcW w:w="807" w:type="pct"/>
                  <w:vMerge w:val="continue"/>
                  <w:tcBorders>
                    <w:left w:val="single" w:color="auto" w:sz="2" w:space="0"/>
                    <w:bottom w:val="single" w:color="auto" w:sz="2" w:space="0"/>
                    <w:right w:val="single" w:color="auto" w:sz="2" w:space="0"/>
                    <w:tl2br w:val="nil"/>
                    <w:tr2bl w:val="nil"/>
                  </w:tcBorders>
                  <w:noWrap w:val="0"/>
                  <w:vAlign w:val="center"/>
                </w:tcPr>
                <w:p w14:paraId="27CC94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r>
            <w:tr w14:paraId="7741D7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10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17E9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饲用蛋白粉</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1C79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4000</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780A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818" w:type="dxa"/>
                  <w:tcBorders>
                    <w:top w:val="single" w:color="auto" w:sz="2" w:space="0"/>
                    <w:left w:val="single" w:color="auto" w:sz="2" w:space="0"/>
                    <w:bottom w:val="single" w:color="auto" w:sz="2" w:space="0"/>
                    <w:right w:val="single" w:color="auto" w:sz="2" w:space="0"/>
                    <w:tl2br w:val="nil"/>
                    <w:tr2bl w:val="nil"/>
                  </w:tcBorders>
                  <w:noWrap w:val="0"/>
                  <w:vAlign w:val="center"/>
                </w:tcPr>
                <w:p w14:paraId="588B3B7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1690.761</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1AFC2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lang w:val="en-US" w:eastAsia="zh-CN"/>
                    </w:rPr>
                    <w:t>-</w:t>
                  </w:r>
                  <w:r>
                    <w:rPr>
                      <w:rFonts w:hint="default" w:ascii="Times New Roman" w:hAnsi="Times New Roman" w:cs="Times New Roman"/>
                      <w:color w:val="auto"/>
                      <w:kern w:val="0"/>
                      <w:sz w:val="21"/>
                      <w:szCs w:val="21"/>
                      <w:lang w:val="en-US" w:eastAsia="zh-CN"/>
                    </w:rPr>
                    <w:t>2309.239</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A272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kern w:val="0"/>
                      <w:sz w:val="21"/>
                      <w:szCs w:val="21"/>
                      <w:lang w:val="en-US" w:eastAsia="zh-CN"/>
                    </w:rPr>
                    <w:t>袋装</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B3FE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lang w:val="en-US" w:eastAsia="zh-CN"/>
                    </w:rPr>
                  </w:pPr>
                  <w:r>
                    <w:rPr>
                      <w:rFonts w:hint="eastAsia" w:cs="Times New Roman"/>
                      <w:color w:val="auto"/>
                      <w:kern w:val="0"/>
                      <w:sz w:val="21"/>
                      <w:szCs w:val="21"/>
                      <w:lang w:val="en-US" w:eastAsia="zh-CN"/>
                    </w:rPr>
                    <w:t>部分</w:t>
                  </w:r>
                  <w:r>
                    <w:rPr>
                      <w:rFonts w:hint="default" w:ascii="Times New Roman" w:hAnsi="Times New Roman" w:cs="Times New Roman"/>
                      <w:color w:val="auto"/>
                      <w:kern w:val="0"/>
                      <w:sz w:val="21"/>
                      <w:szCs w:val="21"/>
                      <w:lang w:val="en-US" w:eastAsia="zh-CN"/>
                    </w:rPr>
                    <w:t>饲用蛋白粉</w:t>
                  </w:r>
                  <w:r>
                    <w:rPr>
                      <w:rFonts w:hint="eastAsia" w:cs="Times New Roman"/>
                      <w:color w:val="auto"/>
                      <w:kern w:val="0"/>
                      <w:sz w:val="21"/>
                      <w:szCs w:val="21"/>
                      <w:lang w:val="en-US" w:eastAsia="zh-CN"/>
                    </w:rPr>
                    <w:t>作为</w:t>
                  </w:r>
                  <w:r>
                    <w:rPr>
                      <w:rFonts w:hint="default" w:ascii="Times New Roman" w:hAnsi="Times New Roman" w:cs="Times New Roman"/>
                      <w:color w:val="auto"/>
                      <w:kern w:val="0"/>
                      <w:sz w:val="21"/>
                      <w:szCs w:val="21"/>
                      <w:lang w:val="en-US" w:eastAsia="zh-CN"/>
                    </w:rPr>
                    <w:t>食用大米蛋白粉</w:t>
                  </w:r>
                  <w:r>
                    <w:rPr>
                      <w:rFonts w:hint="eastAsia" w:cs="Times New Roman"/>
                      <w:color w:val="auto"/>
                      <w:kern w:val="0"/>
                      <w:sz w:val="21"/>
                      <w:szCs w:val="21"/>
                      <w:lang w:val="en-US" w:eastAsia="zh-CN"/>
                    </w:rPr>
                    <w:t>原料</w:t>
                  </w:r>
                </w:p>
              </w:tc>
            </w:tr>
            <w:tr w14:paraId="1A4AA0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trPr>
              <w:tc>
                <w:tcPr>
                  <w:tcW w:w="10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1725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食用大米蛋白粉</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30A7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51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6386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2000</w:t>
                  </w:r>
                </w:p>
              </w:tc>
              <w:tc>
                <w:tcPr>
                  <w:tcW w:w="818" w:type="dxa"/>
                  <w:tcBorders>
                    <w:top w:val="single" w:color="auto" w:sz="2" w:space="0"/>
                    <w:left w:val="single" w:color="auto" w:sz="2" w:space="0"/>
                    <w:bottom w:val="single" w:color="auto" w:sz="2" w:space="0"/>
                    <w:right w:val="single" w:color="auto" w:sz="2" w:space="0"/>
                    <w:tl2br w:val="nil"/>
                    <w:tr2bl w:val="nil"/>
                  </w:tcBorders>
                  <w:noWrap w:val="0"/>
                  <w:vAlign w:val="center"/>
                </w:tcPr>
                <w:p w14:paraId="3950CC7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2000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0517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lang w:val="en-US" w:eastAsia="zh-CN"/>
                    </w:rPr>
                    <w:t>+</w:t>
                  </w:r>
                  <w:r>
                    <w:rPr>
                      <w:rFonts w:hint="default" w:ascii="Times New Roman" w:hAnsi="Times New Roman" w:cs="Times New Roman"/>
                      <w:color w:val="auto"/>
                      <w:kern w:val="0"/>
                      <w:sz w:val="21"/>
                      <w:szCs w:val="21"/>
                      <w:lang w:val="en-US" w:eastAsia="zh-CN"/>
                    </w:rPr>
                    <w:t>2000</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C5D3E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c>
                <w:tcPr>
                  <w:tcW w:w="80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9E26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健康食品及附属产品加工</w:t>
                  </w:r>
                </w:p>
              </w:tc>
            </w:tr>
          </w:tbl>
          <w:p w14:paraId="7683A9C8">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项目产品质量满足《食品安全国家标准食品加工用植物蛋白》（GB 20371-2016）、《食品安全国家标准 食品中污染物限量》（GB 2762-2022）、《食品安全国家标准食品中真菌毒素限量》（GB2761-2017）中相关限值，具体产品标准见下表。</w:t>
            </w:r>
          </w:p>
          <w:p w14:paraId="05781C75">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产品质量标准</w:t>
            </w:r>
          </w:p>
          <w:tbl>
            <w:tblPr>
              <w:tblStyle w:val="30"/>
              <w:tblW w:w="488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1992"/>
              <w:gridCol w:w="1711"/>
              <w:gridCol w:w="2099"/>
            </w:tblGrid>
            <w:tr w14:paraId="02BE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61" w:type="pct"/>
                  <w:vAlign w:val="center"/>
                </w:tcPr>
                <w:p w14:paraId="67C1D6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项目</w:t>
                  </w:r>
                </w:p>
              </w:tc>
              <w:tc>
                <w:tcPr>
                  <w:tcW w:w="1283" w:type="pct"/>
                  <w:vAlign w:val="center"/>
                </w:tcPr>
                <w:p w14:paraId="3FE29FC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产品</w:t>
                  </w:r>
                  <w:r>
                    <w:rPr>
                      <w:rFonts w:hint="default" w:ascii="Times New Roman" w:hAnsi="Times New Roman" w:eastAsia="宋体" w:cs="Times New Roman"/>
                      <w:color w:val="auto"/>
                      <w:kern w:val="0"/>
                      <w:sz w:val="21"/>
                      <w:szCs w:val="21"/>
                      <w:lang w:val="en-US" w:eastAsia="zh-CN"/>
                    </w:rPr>
                    <w:t>指标</w:t>
                  </w:r>
                </w:p>
              </w:tc>
              <w:tc>
                <w:tcPr>
                  <w:tcW w:w="1102" w:type="pct"/>
                  <w:vAlign w:val="center"/>
                </w:tcPr>
                <w:p w14:paraId="57CF3D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质量标准</w:t>
                  </w:r>
                </w:p>
              </w:tc>
              <w:tc>
                <w:tcPr>
                  <w:tcW w:w="1352" w:type="pct"/>
                  <w:vAlign w:val="center"/>
                </w:tcPr>
                <w:p w14:paraId="10C74E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标准名称</w:t>
                  </w:r>
                </w:p>
              </w:tc>
            </w:tr>
            <w:tr w14:paraId="2A099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261" w:type="pct"/>
                  <w:vAlign w:val="center"/>
                </w:tcPr>
                <w:p w14:paraId="759AA0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蛋白质（以干基计）/（g/100g）</w:t>
                  </w:r>
                </w:p>
              </w:tc>
              <w:tc>
                <w:tcPr>
                  <w:tcW w:w="1283" w:type="pct"/>
                  <w:vAlign w:val="center"/>
                </w:tcPr>
                <w:p w14:paraId="2661778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75</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X</w:t>
                  </w:r>
                  <w:r>
                    <w:rPr>
                      <w:rFonts w:hint="default" w:ascii="Times New Roman" w:hAnsi="Times New Roman" w:eastAsia="宋体" w:cs="Times New Roman"/>
                      <w:color w:val="auto"/>
                      <w:kern w:val="0"/>
                      <w:sz w:val="21"/>
                      <w:szCs w:val="21"/>
                      <w:lang w:val="en-US" w:eastAsia="zh-CN"/>
                    </w:rPr>
                    <w:t>&lt;</w:t>
                  </w:r>
                  <w:r>
                    <w:rPr>
                      <w:rFonts w:hint="default" w:ascii="Times New Roman" w:hAnsi="Times New Roman" w:cs="Times New Roman"/>
                      <w:color w:val="auto"/>
                      <w:kern w:val="0"/>
                      <w:sz w:val="21"/>
                      <w:szCs w:val="21"/>
                      <w:lang w:val="en-US" w:eastAsia="zh-CN"/>
                    </w:rPr>
                    <w:t>85</w:t>
                  </w:r>
                </w:p>
              </w:tc>
              <w:tc>
                <w:tcPr>
                  <w:tcW w:w="1102" w:type="pct"/>
                  <w:vAlign w:val="center"/>
                </w:tcPr>
                <w:p w14:paraId="6AFC238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65</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X</w:t>
                  </w:r>
                  <w:r>
                    <w:rPr>
                      <w:rFonts w:hint="default" w:ascii="Times New Roman" w:hAnsi="Times New Roman" w:eastAsia="宋体" w:cs="Times New Roman"/>
                      <w:color w:val="auto"/>
                      <w:kern w:val="0"/>
                      <w:sz w:val="21"/>
                      <w:szCs w:val="21"/>
                      <w:lang w:val="en-US" w:eastAsia="zh-CN"/>
                    </w:rPr>
                    <w:t>&lt;</w:t>
                  </w:r>
                  <w:r>
                    <w:rPr>
                      <w:rFonts w:hint="default" w:ascii="Times New Roman" w:hAnsi="Times New Roman" w:cs="Times New Roman"/>
                      <w:color w:val="auto"/>
                      <w:kern w:val="0"/>
                      <w:sz w:val="21"/>
                      <w:szCs w:val="21"/>
                      <w:lang w:val="en-US" w:eastAsia="zh-CN"/>
                    </w:rPr>
                    <w:t>90</w:t>
                  </w:r>
                </w:p>
              </w:tc>
              <w:tc>
                <w:tcPr>
                  <w:tcW w:w="1352" w:type="pct"/>
                  <w:vMerge w:val="restart"/>
                  <w:vAlign w:val="center"/>
                </w:tcPr>
                <w:p w14:paraId="697EC9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《食品安全国家标准食品加工用植物蛋白》（GB 20371-2016）</w:t>
                  </w:r>
                </w:p>
              </w:tc>
            </w:tr>
            <w:tr w14:paraId="10815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vAlign w:val="center"/>
                </w:tcPr>
                <w:p w14:paraId="0B6CC0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水分/（g/100g）≤</w:t>
                  </w:r>
                </w:p>
              </w:tc>
              <w:tc>
                <w:tcPr>
                  <w:tcW w:w="1283" w:type="pct"/>
                  <w:vAlign w:val="center"/>
                </w:tcPr>
                <w:p w14:paraId="5A6952A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X</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10</w:t>
                  </w:r>
                </w:p>
              </w:tc>
              <w:tc>
                <w:tcPr>
                  <w:tcW w:w="1102" w:type="pct"/>
                  <w:vAlign w:val="center"/>
                </w:tcPr>
                <w:p w14:paraId="138888A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X</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10</w:t>
                  </w:r>
                </w:p>
              </w:tc>
              <w:tc>
                <w:tcPr>
                  <w:tcW w:w="1352" w:type="pct"/>
                  <w:vMerge w:val="continue"/>
                  <w:vAlign w:val="center"/>
                </w:tcPr>
                <w:p w14:paraId="53F70A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2903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3EE46CB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菌落总数（g/</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kern w:val="0"/>
                      <w:sz w:val="21"/>
                      <w:szCs w:val="21"/>
                      <w:lang w:val="en-US" w:eastAsia="zh-CN"/>
                    </w:rPr>
                    <w:t>）</w:t>
                  </w:r>
                </w:p>
              </w:tc>
              <w:tc>
                <w:tcPr>
                  <w:tcW w:w="1283" w:type="pct"/>
                  <w:shd w:val="clear" w:color="auto" w:fill="auto"/>
                  <w:vAlign w:val="center"/>
                </w:tcPr>
                <w:p w14:paraId="75FD0F9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≤30000</w:t>
                  </w:r>
                </w:p>
              </w:tc>
              <w:tc>
                <w:tcPr>
                  <w:tcW w:w="1102" w:type="pct"/>
                  <w:shd w:val="clear" w:color="auto" w:fill="auto"/>
                  <w:vAlign w:val="center"/>
                </w:tcPr>
                <w:p w14:paraId="7895255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≤30000</w:t>
                  </w:r>
                </w:p>
              </w:tc>
              <w:tc>
                <w:tcPr>
                  <w:tcW w:w="1352" w:type="pct"/>
                  <w:vMerge w:val="continue"/>
                  <w:vAlign w:val="center"/>
                </w:tcPr>
                <w:p w14:paraId="1DCA28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44FC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09A5F9C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大肠杆菌（MPN/g</w:t>
                  </w:r>
                  <w:r>
                    <w:rPr>
                      <w:rFonts w:hint="default" w:ascii="Times New Roman" w:hAnsi="Times New Roman" w:cs="Times New Roman"/>
                      <w:color w:val="auto"/>
                      <w:kern w:val="0"/>
                      <w:sz w:val="21"/>
                      <w:szCs w:val="21"/>
                      <w:lang w:val="en-US" w:eastAsia="zh-CN"/>
                    </w:rPr>
                    <w:t>）</w:t>
                  </w:r>
                </w:p>
              </w:tc>
              <w:tc>
                <w:tcPr>
                  <w:tcW w:w="1283" w:type="pct"/>
                  <w:shd w:val="clear" w:color="auto" w:fill="auto"/>
                  <w:vAlign w:val="center"/>
                </w:tcPr>
                <w:p w14:paraId="2BDCF81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1102" w:type="pct"/>
                  <w:shd w:val="clear" w:color="auto" w:fill="auto"/>
                  <w:vAlign w:val="center"/>
                </w:tcPr>
                <w:p w14:paraId="0FCC16E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1352" w:type="pct"/>
                  <w:vMerge w:val="continue"/>
                  <w:vAlign w:val="center"/>
                </w:tcPr>
                <w:p w14:paraId="181CF1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9AB8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528B1BA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色泽</w:t>
                  </w:r>
                </w:p>
              </w:tc>
              <w:tc>
                <w:tcPr>
                  <w:tcW w:w="1283" w:type="pct"/>
                  <w:shd w:val="clear" w:color="auto" w:fill="auto"/>
                  <w:vAlign w:val="center"/>
                </w:tcPr>
                <w:p w14:paraId="461776B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具有产品应有的色泽</w:t>
                  </w:r>
                </w:p>
              </w:tc>
              <w:tc>
                <w:tcPr>
                  <w:tcW w:w="1102" w:type="pct"/>
                  <w:shd w:val="clear" w:color="auto" w:fill="auto"/>
                  <w:vAlign w:val="center"/>
                </w:tcPr>
                <w:p w14:paraId="01F1324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具有产品应有的色泽</w:t>
                  </w:r>
                </w:p>
              </w:tc>
              <w:tc>
                <w:tcPr>
                  <w:tcW w:w="1352" w:type="pct"/>
                  <w:vMerge w:val="continue"/>
                  <w:vAlign w:val="center"/>
                </w:tcPr>
                <w:p w14:paraId="617113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54E7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4F28E62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滋味、气味</w:t>
                  </w:r>
                </w:p>
              </w:tc>
              <w:tc>
                <w:tcPr>
                  <w:tcW w:w="1283" w:type="pct"/>
                  <w:shd w:val="clear" w:color="auto" w:fill="auto"/>
                  <w:vAlign w:val="center"/>
                </w:tcPr>
                <w:p w14:paraId="6993CF9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具有产品应有的滋味和气味，无异味</w:t>
                  </w:r>
                </w:p>
              </w:tc>
              <w:tc>
                <w:tcPr>
                  <w:tcW w:w="1102" w:type="pct"/>
                  <w:shd w:val="clear" w:color="auto" w:fill="auto"/>
                  <w:vAlign w:val="center"/>
                </w:tcPr>
                <w:p w14:paraId="7783F65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具有产品应有的滋味和气味，无异味</w:t>
                  </w:r>
                </w:p>
              </w:tc>
              <w:tc>
                <w:tcPr>
                  <w:tcW w:w="1352" w:type="pct"/>
                  <w:vMerge w:val="continue"/>
                  <w:vAlign w:val="center"/>
                </w:tcPr>
                <w:p w14:paraId="04BCD1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63F7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08507B2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状态</w:t>
                  </w:r>
                </w:p>
              </w:tc>
              <w:tc>
                <w:tcPr>
                  <w:tcW w:w="1283" w:type="pct"/>
                  <w:shd w:val="clear" w:color="auto" w:fill="auto"/>
                  <w:vAlign w:val="center"/>
                </w:tcPr>
                <w:p w14:paraId="503481D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具有产品应有的状态，无正常视力可见外来异物</w:t>
                  </w:r>
                </w:p>
              </w:tc>
              <w:tc>
                <w:tcPr>
                  <w:tcW w:w="1102" w:type="pct"/>
                  <w:shd w:val="clear" w:color="auto" w:fill="auto"/>
                  <w:vAlign w:val="center"/>
                </w:tcPr>
                <w:p w14:paraId="1BEAF69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具有产品应有的状态，无正常视力可见外来异物</w:t>
                  </w:r>
                </w:p>
              </w:tc>
              <w:tc>
                <w:tcPr>
                  <w:tcW w:w="1352" w:type="pct"/>
                  <w:vMerge w:val="continue"/>
                  <w:vAlign w:val="center"/>
                </w:tcPr>
                <w:p w14:paraId="4E529B9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p>
              </w:tc>
            </w:tr>
            <w:tr w14:paraId="5716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321C6CF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铅（mg/kg）</w:t>
                  </w:r>
                </w:p>
              </w:tc>
              <w:tc>
                <w:tcPr>
                  <w:tcW w:w="1283" w:type="pct"/>
                  <w:shd w:val="clear" w:color="auto" w:fill="auto"/>
                  <w:vAlign w:val="center"/>
                </w:tcPr>
                <w:p w14:paraId="6300100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≤0.2</w:t>
                  </w:r>
                </w:p>
              </w:tc>
              <w:tc>
                <w:tcPr>
                  <w:tcW w:w="1102" w:type="pct"/>
                  <w:shd w:val="clear" w:color="auto" w:fill="auto"/>
                  <w:vAlign w:val="center"/>
                </w:tcPr>
                <w:p w14:paraId="3E835D3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≤0.2</w:t>
                  </w:r>
                </w:p>
              </w:tc>
              <w:tc>
                <w:tcPr>
                  <w:tcW w:w="1352" w:type="pct"/>
                  <w:vMerge w:val="restart"/>
                  <w:vAlign w:val="center"/>
                </w:tcPr>
                <w:p w14:paraId="06A7221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《食品安全国家标准 食品中污染物限量》（GB 2762-2022）</w:t>
                  </w:r>
                </w:p>
              </w:tc>
            </w:tr>
            <w:tr w14:paraId="488A8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48B1AD4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锡（mg/kg）</w:t>
                  </w:r>
                </w:p>
              </w:tc>
              <w:tc>
                <w:tcPr>
                  <w:tcW w:w="1283" w:type="pct"/>
                  <w:shd w:val="clear" w:color="auto" w:fill="auto"/>
                  <w:vAlign w:val="center"/>
                </w:tcPr>
                <w:p w14:paraId="20EF073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≤250</w:t>
                  </w:r>
                </w:p>
              </w:tc>
              <w:tc>
                <w:tcPr>
                  <w:tcW w:w="1102" w:type="pct"/>
                  <w:shd w:val="clear" w:color="auto" w:fill="auto"/>
                  <w:vAlign w:val="center"/>
                </w:tcPr>
                <w:p w14:paraId="536D247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≤250</w:t>
                  </w:r>
                </w:p>
              </w:tc>
              <w:tc>
                <w:tcPr>
                  <w:tcW w:w="1352" w:type="pct"/>
                  <w:vMerge w:val="continue"/>
                  <w:vAlign w:val="center"/>
                </w:tcPr>
                <w:p w14:paraId="00AED3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4820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shd w:val="clear" w:color="auto" w:fill="auto"/>
                  <w:vAlign w:val="center"/>
                </w:tcPr>
                <w:p w14:paraId="78BCA80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黄曲霉素B1（μg/kg）</w:t>
                  </w:r>
                </w:p>
              </w:tc>
              <w:tc>
                <w:tcPr>
                  <w:tcW w:w="1283" w:type="pct"/>
                  <w:shd w:val="clear" w:color="auto" w:fill="auto"/>
                  <w:vAlign w:val="center"/>
                </w:tcPr>
                <w:p w14:paraId="1359B91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1102" w:type="pct"/>
                  <w:vAlign w:val="center"/>
                </w:tcPr>
                <w:p w14:paraId="49FCB26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1352" w:type="pct"/>
                  <w:vMerge w:val="restart"/>
                  <w:vAlign w:val="center"/>
                </w:tcPr>
                <w:p w14:paraId="377DE6E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《食品安全国家标准食品中真菌毒素限量》（GB2761-2017）</w:t>
                  </w:r>
                </w:p>
              </w:tc>
            </w:tr>
            <w:tr w14:paraId="75AB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261" w:type="pct"/>
                  <w:vAlign w:val="center"/>
                </w:tcPr>
                <w:p w14:paraId="1593685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脱氧雪腐镰刀菌烯醇（μg/kg）</w:t>
                  </w:r>
                </w:p>
              </w:tc>
              <w:tc>
                <w:tcPr>
                  <w:tcW w:w="1283" w:type="pct"/>
                  <w:vAlign w:val="center"/>
                </w:tcPr>
                <w:p w14:paraId="369E36F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1102" w:type="pct"/>
                  <w:vAlign w:val="center"/>
                </w:tcPr>
                <w:p w14:paraId="2955767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1352" w:type="pct"/>
                  <w:vMerge w:val="continue"/>
                  <w:vAlign w:val="center"/>
                </w:tcPr>
                <w:p w14:paraId="1A495B7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p>
              </w:tc>
            </w:tr>
            <w:tr w14:paraId="151A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61" w:type="pct"/>
                  <w:vAlign w:val="center"/>
                </w:tcPr>
                <w:p w14:paraId="3C5E577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赭曲霉毒素A（μg/kg）</w:t>
                  </w:r>
                </w:p>
              </w:tc>
              <w:tc>
                <w:tcPr>
                  <w:tcW w:w="1283" w:type="pct"/>
                  <w:vAlign w:val="center"/>
                </w:tcPr>
                <w:p w14:paraId="44504E8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102" w:type="pct"/>
                  <w:vAlign w:val="center"/>
                </w:tcPr>
                <w:p w14:paraId="2D01AA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352" w:type="pct"/>
                  <w:vMerge w:val="continue"/>
                  <w:vAlign w:val="center"/>
                </w:tcPr>
                <w:p w14:paraId="6B4F406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p>
              </w:tc>
            </w:tr>
          </w:tbl>
          <w:p w14:paraId="06656303">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项目产品产量2000t（蛋白质1520t、水102t、其他成分（脂肪、灰分、铁等）378t），蛋白质干基含量为80.08%，含水率为5.1%，项目产品符合产品质量标准。</w:t>
            </w:r>
          </w:p>
          <w:p w14:paraId="44185FE1">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项目饲用蛋白粉（自产，质量标准</w:t>
            </w:r>
            <w:r>
              <w:rPr>
                <w:rFonts w:hint="default" w:ascii="Times New Roman" w:hAnsi="Times New Roman" w:cs="Times New Roman"/>
                <w:color w:val="auto"/>
                <w:sz w:val="24"/>
                <w:szCs w:val="24"/>
                <w:lang w:val="en-US" w:eastAsia="zh-CN"/>
              </w:rPr>
              <w:t>见</w:t>
            </w:r>
            <w:r>
              <w:rPr>
                <w:rFonts w:hint="default" w:ascii="Times New Roman" w:hAnsi="Times New Roman" w:eastAsia="宋体" w:cs="Times New Roman"/>
                <w:color w:val="auto"/>
                <w:sz w:val="24"/>
                <w:szCs w:val="24"/>
                <w:lang w:val="en-US" w:eastAsia="zh-CN"/>
              </w:rPr>
              <w:t>表2-</w:t>
            </w:r>
            <w:r>
              <w:rPr>
                <w:rFonts w:hint="default" w:ascii="Times New Roman" w:hAnsi="Times New Roman"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）和乙醇混合后沉淀，脂肪、灰分等</w:t>
            </w:r>
            <w:r>
              <w:rPr>
                <w:rFonts w:hint="default" w:ascii="Times New Roman" w:hAnsi="Times New Roman" w:cs="Times New Roman"/>
                <w:color w:val="auto"/>
                <w:sz w:val="24"/>
                <w:szCs w:val="24"/>
                <w:lang w:val="en-US" w:eastAsia="zh-CN"/>
              </w:rPr>
              <w:t>其他成分</w:t>
            </w:r>
            <w:r>
              <w:rPr>
                <w:rFonts w:hint="default" w:ascii="Times New Roman" w:hAnsi="Times New Roman" w:eastAsia="宋体" w:cs="Times New Roman"/>
                <w:color w:val="auto"/>
                <w:sz w:val="24"/>
                <w:szCs w:val="24"/>
                <w:lang w:val="en-US" w:eastAsia="zh-CN"/>
              </w:rPr>
              <w:t>溶于乙醇，二次沉淀、过滤后的蛋白粉通过烘干、破碎、除铁后食用蛋白粉可以满足表2-4中食用蛋白粉质量标准，项目食用大米蛋白粉已通过食品生产许可认证（见附件1</w:t>
            </w:r>
            <w:r>
              <w:rPr>
                <w:rFonts w:hint="default" w:ascii="Times New Roman" w:hAnsi="Times New Roman" w:cs="Times New Roman"/>
                <w:color w:val="auto"/>
                <w:lang w:val="en-US" w:eastAsia="zh-CN"/>
              </w:rPr>
              <w:t>3</w:t>
            </w:r>
            <w:r>
              <w:rPr>
                <w:rFonts w:hint="default" w:ascii="Times New Roman" w:hAnsi="Times New Roman" w:eastAsia="宋体" w:cs="Times New Roman"/>
                <w:color w:val="auto"/>
                <w:sz w:val="24"/>
                <w:szCs w:val="24"/>
                <w:lang w:val="en-US" w:eastAsia="zh-CN"/>
              </w:rPr>
              <w:t>）。</w:t>
            </w:r>
          </w:p>
          <w:p w14:paraId="2BC010E6">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4、主要原辅材料</w:t>
            </w:r>
          </w:p>
          <w:p w14:paraId="6B8D3856">
            <w:pPr>
              <w:keepNext w:val="0"/>
              <w:keepLines w:val="0"/>
              <w:pageBreakBefore/>
              <w:widowControl/>
              <w:suppressLineNumbers w:val="0"/>
              <w:spacing w:before="0" w:beforeAutospacing="0" w:after="0" w:afterAutospacing="0"/>
              <w:ind w:left="0" w:right="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val="en-US" w:eastAsia="zh-CN"/>
              </w:rPr>
              <w:t>本项目原辅料如下</w:t>
            </w:r>
            <w:r>
              <w:rPr>
                <w:rFonts w:hint="default" w:ascii="Times New Roman" w:hAnsi="Times New Roman" w:cs="Times New Roman"/>
                <w:color w:val="auto"/>
                <w:lang w:eastAsia="zh-CN"/>
              </w:rPr>
              <w:t>：</w:t>
            </w:r>
          </w:p>
          <w:p w14:paraId="23E46E5F">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技改主要原辅材料清单</w:t>
            </w:r>
          </w:p>
          <w:tbl>
            <w:tblPr>
              <w:tblStyle w:val="29"/>
              <w:tblW w:w="4984"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33"/>
              <w:gridCol w:w="1424"/>
              <w:gridCol w:w="825"/>
              <w:gridCol w:w="825"/>
              <w:gridCol w:w="825"/>
              <w:gridCol w:w="826"/>
              <w:gridCol w:w="980"/>
              <w:gridCol w:w="763"/>
              <w:gridCol w:w="828"/>
            </w:tblGrid>
            <w:tr w14:paraId="4C66D2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DF09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序号</w:t>
                  </w:r>
                </w:p>
              </w:tc>
              <w:tc>
                <w:tcPr>
                  <w:tcW w:w="8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2676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名称</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DFC3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原有项目</w:t>
                  </w:r>
                  <w:r>
                    <w:rPr>
                      <w:rFonts w:hint="default" w:ascii="Times New Roman" w:hAnsi="Times New Roman" w:cs="Times New Roman"/>
                      <w:color w:val="auto"/>
                      <w:kern w:val="0"/>
                      <w:sz w:val="21"/>
                      <w:szCs w:val="21"/>
                      <w:lang w:val="zh-CN"/>
                    </w:rPr>
                    <w:t>年用量</w:t>
                  </w:r>
                  <w:r>
                    <w:rPr>
                      <w:rFonts w:hint="default" w:ascii="Times New Roman" w:hAnsi="Times New Roman" w:cs="Times New Roman"/>
                      <w:color w:val="auto"/>
                      <w:kern w:val="0"/>
                      <w:sz w:val="21"/>
                      <w:szCs w:val="21"/>
                      <w:lang w:val="zh-CN" w:eastAsia="zh-CN"/>
                    </w:rPr>
                    <w:t>（</w:t>
                  </w:r>
                  <w:r>
                    <w:rPr>
                      <w:rFonts w:hint="default" w:ascii="Times New Roman" w:hAnsi="Times New Roman" w:cs="Times New Roman"/>
                      <w:color w:val="auto"/>
                      <w:kern w:val="0"/>
                      <w:sz w:val="21"/>
                      <w:szCs w:val="21"/>
                      <w:lang w:val="en-US" w:eastAsia="zh-CN"/>
                    </w:rPr>
                    <w:t>t/a）</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9E7B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en-US" w:eastAsia="zh-CN"/>
                    </w:rPr>
                    <w:t>技改</w:t>
                  </w:r>
                  <w:r>
                    <w:rPr>
                      <w:rFonts w:hint="eastAsia" w:cs="Times New Roman"/>
                      <w:color w:val="auto"/>
                      <w:kern w:val="0"/>
                      <w:sz w:val="21"/>
                      <w:szCs w:val="21"/>
                      <w:lang w:val="en-US" w:eastAsia="zh-CN"/>
                    </w:rPr>
                    <w:t>项目</w:t>
                  </w:r>
                  <w:r>
                    <w:rPr>
                      <w:rFonts w:hint="default" w:ascii="Times New Roman" w:hAnsi="Times New Roman" w:cs="Times New Roman"/>
                      <w:color w:val="auto"/>
                      <w:kern w:val="0"/>
                      <w:sz w:val="21"/>
                      <w:szCs w:val="21"/>
                      <w:lang w:val="zh-CN"/>
                    </w:rPr>
                    <w:t>年用量</w:t>
                  </w:r>
                  <w:r>
                    <w:rPr>
                      <w:rFonts w:hint="default" w:ascii="Times New Roman" w:hAnsi="Times New Roman" w:cs="Times New Roman"/>
                      <w:color w:val="auto"/>
                      <w:kern w:val="0"/>
                      <w:sz w:val="21"/>
                      <w:szCs w:val="21"/>
                      <w:lang w:val="zh-CN" w:eastAsia="zh-CN"/>
                    </w:rPr>
                    <w:t>（</w:t>
                  </w:r>
                  <w:r>
                    <w:rPr>
                      <w:rFonts w:hint="default" w:ascii="Times New Roman" w:hAnsi="Times New Roman" w:cs="Times New Roman"/>
                      <w:color w:val="auto"/>
                      <w:kern w:val="0"/>
                      <w:sz w:val="21"/>
                      <w:szCs w:val="21"/>
                      <w:lang w:val="en-US" w:eastAsia="zh-CN"/>
                    </w:rPr>
                    <w:t>t/a）</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F32A2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技改后</w:t>
                  </w:r>
                  <w:r>
                    <w:rPr>
                      <w:rFonts w:hint="eastAsia" w:cs="Times New Roman"/>
                      <w:color w:val="auto"/>
                      <w:kern w:val="0"/>
                      <w:sz w:val="21"/>
                      <w:szCs w:val="21"/>
                      <w:lang w:val="en-US" w:eastAsia="zh-CN"/>
                    </w:rPr>
                    <w:t>全厂</w:t>
                  </w:r>
                  <w:r>
                    <w:rPr>
                      <w:rFonts w:hint="default" w:ascii="Times New Roman" w:hAnsi="Times New Roman" w:cs="Times New Roman"/>
                      <w:color w:val="auto"/>
                      <w:kern w:val="0"/>
                      <w:sz w:val="21"/>
                      <w:szCs w:val="21"/>
                      <w:lang w:val="zh-CN"/>
                    </w:rPr>
                    <w:t>年用量</w:t>
                  </w:r>
                  <w:r>
                    <w:rPr>
                      <w:rFonts w:hint="default" w:ascii="Times New Roman" w:hAnsi="Times New Roman" w:cs="Times New Roman"/>
                      <w:color w:val="auto"/>
                      <w:kern w:val="0"/>
                      <w:sz w:val="21"/>
                      <w:szCs w:val="21"/>
                      <w:lang w:val="zh-CN" w:eastAsia="zh-CN"/>
                    </w:rPr>
                    <w:t>（</w:t>
                  </w:r>
                  <w:r>
                    <w:rPr>
                      <w:rFonts w:hint="default" w:ascii="Times New Roman" w:hAnsi="Times New Roman" w:cs="Times New Roman"/>
                      <w:color w:val="auto"/>
                      <w:kern w:val="0"/>
                      <w:sz w:val="21"/>
                      <w:szCs w:val="21"/>
                      <w:lang w:val="en-US" w:eastAsia="zh-CN"/>
                    </w:rPr>
                    <w:t>t/a）</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96645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变化量</w:t>
                  </w:r>
                  <w:r>
                    <w:rPr>
                      <w:rFonts w:hint="default" w:ascii="Times New Roman" w:hAnsi="Times New Roman" w:cs="Times New Roman"/>
                      <w:color w:val="auto"/>
                      <w:kern w:val="0"/>
                      <w:sz w:val="21"/>
                      <w:szCs w:val="21"/>
                      <w:lang w:val="zh-CN" w:eastAsia="zh-CN"/>
                    </w:rPr>
                    <w:t>（</w:t>
                  </w:r>
                  <w:r>
                    <w:rPr>
                      <w:rFonts w:hint="default" w:ascii="Times New Roman" w:hAnsi="Times New Roman" w:cs="Times New Roman"/>
                      <w:color w:val="auto"/>
                      <w:kern w:val="0"/>
                      <w:sz w:val="21"/>
                      <w:szCs w:val="21"/>
                      <w:lang w:val="en-US" w:eastAsia="zh-CN"/>
                    </w:rPr>
                    <w:t>t/a）</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59A9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最大储存量（t）</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B7398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来源</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B455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存储方式</w:t>
                  </w:r>
                </w:p>
              </w:tc>
            </w:tr>
            <w:tr w14:paraId="167DBE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70BE9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1</w:t>
                  </w:r>
                </w:p>
              </w:tc>
              <w:tc>
                <w:tcPr>
                  <w:tcW w:w="89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41D9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饲用蛋白粉</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5F366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1CFF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2309.239</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E06C67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2309.239</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1C8BD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+2309.239</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B839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278</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5763C8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自产</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6ABAC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1D27D4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trPr>
              <w:tc>
                <w:tcPr>
                  <w:tcW w:w="399" w:type="pct"/>
                  <w:vMerge w:val="restart"/>
                  <w:tcBorders>
                    <w:top w:val="single" w:color="auto" w:sz="2" w:space="0"/>
                    <w:left w:val="single" w:color="auto" w:sz="2" w:space="0"/>
                    <w:right w:val="single" w:color="auto" w:sz="2" w:space="0"/>
                    <w:tl2br w:val="nil"/>
                    <w:tr2bl w:val="nil"/>
                  </w:tcBorders>
                  <w:noWrap w:val="0"/>
                  <w:vAlign w:val="center"/>
                </w:tcPr>
                <w:p w14:paraId="055B4AD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2</w:t>
                  </w:r>
                </w:p>
              </w:tc>
              <w:tc>
                <w:tcPr>
                  <w:tcW w:w="897" w:type="pct"/>
                  <w:vMerge w:val="restart"/>
                  <w:tcBorders>
                    <w:top w:val="single" w:color="auto" w:sz="2" w:space="0"/>
                    <w:left w:val="single" w:color="auto" w:sz="2" w:space="0"/>
                    <w:right w:val="single" w:color="auto" w:sz="2" w:space="0"/>
                    <w:tl2br w:val="nil"/>
                    <w:tr2bl w:val="nil"/>
                  </w:tcBorders>
                  <w:noWrap w:val="0"/>
                  <w:vAlign w:val="center"/>
                </w:tcPr>
                <w:p w14:paraId="2EEAC6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乙醇（95%的食用酒精）</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66A5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ED11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73.256</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11B2E0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73.256</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BA7B3B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+73.256</w:t>
                  </w:r>
                </w:p>
              </w:tc>
              <w:tc>
                <w:tcPr>
                  <w:tcW w:w="617" w:type="pct"/>
                  <w:vMerge w:val="restart"/>
                  <w:tcBorders>
                    <w:top w:val="single" w:color="auto" w:sz="2" w:space="0"/>
                    <w:left w:val="single" w:color="auto" w:sz="2" w:space="0"/>
                    <w:right w:val="single" w:color="auto" w:sz="2" w:space="0"/>
                    <w:tl2br w:val="nil"/>
                    <w:tr2bl w:val="nil"/>
                  </w:tcBorders>
                  <w:noWrap w:val="0"/>
                  <w:vAlign w:val="center"/>
                </w:tcPr>
                <w:p w14:paraId="66D852D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40</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D4318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A348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罐装</w:t>
                  </w:r>
                </w:p>
              </w:tc>
            </w:tr>
            <w:tr w14:paraId="2DD14E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trPr>
              <w:tc>
                <w:tcPr>
                  <w:tcW w:w="399" w:type="pct"/>
                  <w:vMerge w:val="continue"/>
                  <w:tcBorders>
                    <w:left w:val="single" w:color="auto" w:sz="2" w:space="0"/>
                    <w:bottom w:val="single" w:color="auto" w:sz="2" w:space="0"/>
                    <w:right w:val="single" w:color="auto" w:sz="2" w:space="0"/>
                    <w:tl2br w:val="nil"/>
                    <w:tr2bl w:val="nil"/>
                  </w:tcBorders>
                  <w:noWrap w:val="0"/>
                  <w:vAlign w:val="center"/>
                </w:tcPr>
                <w:p w14:paraId="5F8B45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rPr>
                  </w:pPr>
                </w:p>
              </w:tc>
              <w:tc>
                <w:tcPr>
                  <w:tcW w:w="897" w:type="pct"/>
                  <w:vMerge w:val="continue"/>
                  <w:tcBorders>
                    <w:left w:val="single" w:color="auto" w:sz="2" w:space="0"/>
                    <w:bottom w:val="single" w:color="auto" w:sz="2" w:space="0"/>
                    <w:right w:val="single" w:color="auto" w:sz="2" w:space="0"/>
                    <w:tl2br w:val="nil"/>
                    <w:tr2bl w:val="nil"/>
                  </w:tcBorders>
                  <w:noWrap w:val="0"/>
                  <w:vAlign w:val="center"/>
                </w:tcPr>
                <w:p w14:paraId="5D35FC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rPr>
                  </w:pP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E986A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8542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6576.325</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2DA061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6576.325</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5473F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+6576.325</w:t>
                  </w:r>
                </w:p>
              </w:tc>
              <w:tc>
                <w:tcPr>
                  <w:tcW w:w="617" w:type="pct"/>
                  <w:vMerge w:val="continue"/>
                  <w:tcBorders>
                    <w:left w:val="single" w:color="auto" w:sz="2" w:space="0"/>
                    <w:bottom w:val="single" w:color="auto" w:sz="2" w:space="0"/>
                    <w:right w:val="single" w:color="auto" w:sz="2" w:space="0"/>
                    <w:tl2br w:val="nil"/>
                    <w:tr2bl w:val="nil"/>
                  </w:tcBorders>
                  <w:noWrap w:val="0"/>
                  <w:vAlign w:val="center"/>
                </w:tcPr>
                <w:p w14:paraId="0D3E5D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A5B1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回收系统</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F3AE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罐装</w:t>
                  </w:r>
                </w:p>
              </w:tc>
            </w:tr>
            <w:tr w14:paraId="599909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4C970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C2F8A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中碎米</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2C56E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96000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EC2B3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F7244C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96000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D9CE80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D963C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9000</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5DA12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A921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78E3D3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7764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9F0CA7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淀粉酶</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DE70D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48</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AF075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25FBAA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48</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4DC8F9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5DC9DB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8F7E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993F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694632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5C6C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0D48D9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异构酶</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38F1A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C09E4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CA5944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56B4F7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BBF3B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0.1</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E6E19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EC58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5A64CA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6629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3D4B17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活性炭</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DABCC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EAF6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CEDEE6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240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5CEF1C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8E9EF8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24</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B95C8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5EED1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23A188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6E03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D1F3D9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盐酸（31%）</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61C0A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9CC95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2C652B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10F283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B885D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DCB9D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56EE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7594E3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D5E99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F285A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烧碱</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9517F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3CA80E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72B55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5E3C94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E49A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AF17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47EC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37FF2F7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1F4D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E80B2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碳酸钙</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6A565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375</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B545EE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38B775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375</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9A29EA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B1A4E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35</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434C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DB9D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7644F0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99345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1691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硫酸镁、碳酸钠</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25314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0.3</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A8D36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4D4E73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0.3</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0E6725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5497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0.01</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6AD74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BB8C4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73C66C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DD2C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lang w:val="en-US" w:eastAsia="zh-CN"/>
                    </w:rPr>
                    <w:t>1</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286B96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成型生物质颗粒</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9883B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19200</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46B44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384</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66A04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18624</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373626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w:t>
                  </w:r>
                  <w:r>
                    <w:rPr>
                      <w:rFonts w:hint="eastAsia" w:cs="Times New Roman"/>
                      <w:color w:val="auto"/>
                      <w:kern w:val="0"/>
                      <w:sz w:val="21"/>
                      <w:szCs w:val="21"/>
                      <w:lang w:val="en-US" w:eastAsia="zh-CN"/>
                    </w:rPr>
                    <w:t>576</w:t>
                  </w:r>
                </w:p>
              </w:tc>
              <w:tc>
                <w:tcPr>
                  <w:tcW w:w="61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EEA3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1500</w:t>
                  </w:r>
                </w:p>
              </w:tc>
              <w:tc>
                <w:tcPr>
                  <w:tcW w:w="4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E9FE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外购</w:t>
                  </w:r>
                </w:p>
              </w:tc>
              <w:tc>
                <w:tcPr>
                  <w:tcW w:w="52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0582C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袋装</w:t>
                  </w:r>
                </w:p>
              </w:tc>
            </w:tr>
            <w:tr w14:paraId="1D8971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26B75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r>
                    <w:rPr>
                      <w:rFonts w:hint="eastAsia" w:cs="Times New Roman"/>
                      <w:color w:val="auto"/>
                      <w:kern w:val="0"/>
                      <w:sz w:val="21"/>
                      <w:szCs w:val="21"/>
                      <w:lang w:val="en-US" w:eastAsia="zh-CN"/>
                    </w:rPr>
                    <w:t>2</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9E53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电</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C8F7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300万kW·h</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234C8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260</w:t>
                  </w:r>
                  <w:r>
                    <w:rPr>
                      <w:rFonts w:hint="default" w:ascii="Times New Roman" w:hAnsi="Times New Roman" w:cs="Times New Roman"/>
                      <w:color w:val="auto"/>
                      <w:kern w:val="0"/>
                      <w:sz w:val="21"/>
                      <w:szCs w:val="21"/>
                      <w:lang w:val="en-US" w:eastAsia="zh-CN"/>
                    </w:rPr>
                    <w:t>万kW·h</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92930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560万kW·h</w:t>
                  </w:r>
                </w:p>
              </w:tc>
              <w:tc>
                <w:tcPr>
                  <w:tcW w:w="52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0F2C8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+260万kW·h</w:t>
                  </w:r>
                </w:p>
              </w:tc>
              <w:tc>
                <w:tcPr>
                  <w:tcW w:w="61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1D0A0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4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C033D1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市政电网提供</w:t>
                  </w:r>
                </w:p>
              </w:tc>
              <w:tc>
                <w:tcPr>
                  <w:tcW w:w="522"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4D495E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w:t>
                  </w:r>
                </w:p>
              </w:tc>
            </w:tr>
            <w:tr w14:paraId="02AD34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39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CD65A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lang w:val="en-US" w:eastAsia="zh-CN"/>
                    </w:rPr>
                    <w:t>3</w:t>
                  </w:r>
                </w:p>
              </w:tc>
              <w:tc>
                <w:tcPr>
                  <w:tcW w:w="89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94D148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水</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5C67AA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730424.4</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84378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215972.352</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8ACDB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897905.652</w:t>
                  </w:r>
                </w:p>
              </w:tc>
              <w:tc>
                <w:tcPr>
                  <w:tcW w:w="52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D7536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+167481.252</w:t>
                  </w:r>
                </w:p>
              </w:tc>
              <w:tc>
                <w:tcPr>
                  <w:tcW w:w="61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380FB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4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383ED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市政水网提供</w:t>
                  </w:r>
                </w:p>
              </w:tc>
              <w:tc>
                <w:tcPr>
                  <w:tcW w:w="522"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8C5DF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bl>
          <w:p w14:paraId="0A0CBAFA">
            <w:pPr>
              <w:keepNext w:val="0"/>
              <w:keepLines w:val="0"/>
              <w:pageBreakBefore/>
              <w:widowControl/>
              <w:suppressLineNumbers w:val="0"/>
              <w:spacing w:before="0" w:beforeLines="0" w:beforeAutospacing="0" w:after="0" w:afterLines="0" w:afterAutospacing="0"/>
              <w:ind w:left="0" w:right="0" w:firstLine="482"/>
              <w:rPr>
                <w:rFonts w:hint="eastAsia" w:cs="Times New Roman"/>
                <w:b w:val="0"/>
                <w:bCs/>
                <w:color w:val="auto"/>
                <w:sz w:val="24"/>
                <w:szCs w:val="24"/>
                <w:lang w:val="en-US" w:eastAsia="zh-CN"/>
              </w:rPr>
            </w:pPr>
            <w:r>
              <w:rPr>
                <w:rFonts w:hint="eastAsia" w:ascii="Times New Roman" w:hAnsi="Times New Roman" w:cs="Times New Roman"/>
                <w:b w:val="0"/>
                <w:bCs/>
                <w:color w:val="auto"/>
                <w:sz w:val="24"/>
                <w:szCs w:val="24"/>
                <w:lang w:val="en-US" w:eastAsia="zh-CN"/>
              </w:rPr>
              <w:t>高麦糖浆与果葡糖浆生产线技改</w:t>
            </w:r>
            <w:r>
              <w:rPr>
                <w:rFonts w:hint="eastAsia" w:cs="Times New Roman"/>
                <w:b w:val="0"/>
                <w:bCs/>
                <w:color w:val="auto"/>
                <w:sz w:val="24"/>
                <w:szCs w:val="24"/>
                <w:lang w:val="en-US" w:eastAsia="zh-CN"/>
              </w:rPr>
              <w:t>前</w:t>
            </w:r>
            <w:r>
              <w:rPr>
                <w:rFonts w:hint="default" w:ascii="Times New Roman" w:hAnsi="Times New Roman" w:cs="Times New Roman"/>
                <w:b w:val="0"/>
                <w:bCs/>
                <w:color w:val="auto"/>
                <w:sz w:val="24"/>
                <w:szCs w:val="24"/>
                <w:lang w:val="en-US" w:eastAsia="zh-CN"/>
              </w:rPr>
              <w:t>成型生物质颗粒</w:t>
            </w:r>
            <w:r>
              <w:rPr>
                <w:rFonts w:hint="eastAsia" w:cs="Times New Roman"/>
                <w:b w:val="0"/>
                <w:bCs/>
                <w:color w:val="auto"/>
                <w:sz w:val="24"/>
                <w:szCs w:val="24"/>
                <w:lang w:val="en-US" w:eastAsia="zh-CN"/>
              </w:rPr>
              <w:t>使用量为19200t/a 技</w:t>
            </w:r>
            <w:r>
              <w:rPr>
                <w:rFonts w:hint="eastAsia" w:ascii="Times New Roman" w:hAnsi="Times New Roman" w:cs="Times New Roman"/>
                <w:b w:val="0"/>
                <w:bCs/>
                <w:color w:val="auto"/>
                <w:sz w:val="24"/>
                <w:szCs w:val="24"/>
                <w:lang w:val="en-US" w:eastAsia="zh-CN"/>
              </w:rPr>
              <w:t>改后</w:t>
            </w:r>
            <w:r>
              <w:rPr>
                <w:rFonts w:hint="default" w:ascii="Times New Roman" w:hAnsi="Times New Roman" w:cs="Times New Roman"/>
                <w:b w:val="0"/>
                <w:bCs/>
                <w:color w:val="auto"/>
                <w:sz w:val="24"/>
                <w:szCs w:val="24"/>
                <w:lang w:val="en-US" w:eastAsia="zh-CN"/>
              </w:rPr>
              <w:t>成型生物质颗粒</w:t>
            </w:r>
            <w:r>
              <w:rPr>
                <w:rFonts w:hint="eastAsia" w:cs="Times New Roman"/>
                <w:b w:val="0"/>
                <w:bCs/>
                <w:color w:val="auto"/>
                <w:sz w:val="24"/>
                <w:szCs w:val="24"/>
                <w:lang w:val="en-US" w:eastAsia="zh-CN"/>
              </w:rPr>
              <w:t>使用量为18240t/a，削减量为960t/a，食用</w:t>
            </w:r>
            <w:r>
              <w:rPr>
                <w:rFonts w:hint="default" w:ascii="Times New Roman" w:hAnsi="Times New Roman" w:cs="Times New Roman"/>
                <w:color w:val="auto"/>
                <w:lang w:val="en-US" w:eastAsia="zh-CN"/>
              </w:rPr>
              <w:t>蛋白粉生产</w:t>
            </w:r>
            <w:r>
              <w:rPr>
                <w:rFonts w:hint="eastAsia" w:cs="Times New Roman"/>
                <w:color w:val="auto"/>
                <w:lang w:val="en-US" w:eastAsia="zh-CN"/>
              </w:rPr>
              <w:t>线</w:t>
            </w:r>
            <w:r>
              <w:rPr>
                <w:rFonts w:hint="default" w:ascii="Times New Roman" w:hAnsi="Times New Roman" w:cs="Times New Roman"/>
                <w:b w:val="0"/>
                <w:bCs/>
                <w:color w:val="auto"/>
                <w:sz w:val="24"/>
                <w:szCs w:val="24"/>
                <w:lang w:val="en-US" w:eastAsia="zh-CN"/>
              </w:rPr>
              <w:t>成型生物质颗粒</w:t>
            </w:r>
            <w:r>
              <w:rPr>
                <w:rFonts w:hint="eastAsia" w:cs="Times New Roman"/>
                <w:b w:val="0"/>
                <w:bCs/>
                <w:color w:val="auto"/>
                <w:sz w:val="24"/>
                <w:szCs w:val="24"/>
                <w:lang w:val="en-US" w:eastAsia="zh-CN"/>
              </w:rPr>
              <w:t>使用量为</w:t>
            </w:r>
            <w:r>
              <w:rPr>
                <w:rFonts w:hint="eastAsia" w:cs="Times New Roman"/>
                <w:color w:val="auto"/>
                <w:lang w:val="en-US" w:eastAsia="zh-CN"/>
              </w:rPr>
              <w:t>384</w:t>
            </w:r>
            <w:r>
              <w:rPr>
                <w:rFonts w:hint="eastAsia" w:ascii="Times New Roman" w:hAnsi="Times New Roman" w:cs="Times New Roman"/>
                <w:b w:val="0"/>
                <w:bCs/>
                <w:color w:val="auto"/>
                <w:sz w:val="24"/>
                <w:szCs w:val="24"/>
                <w:lang w:val="en-US" w:eastAsia="zh-CN"/>
              </w:rPr>
              <w:t>t/a，</w:t>
            </w:r>
            <w:r>
              <w:rPr>
                <w:rFonts w:hint="eastAsia" w:cs="Times New Roman"/>
                <w:b w:val="0"/>
                <w:bCs/>
                <w:color w:val="auto"/>
                <w:sz w:val="24"/>
                <w:szCs w:val="24"/>
                <w:lang w:val="en-US" w:eastAsia="zh-CN"/>
              </w:rPr>
              <w:t>技改后全厂</w:t>
            </w:r>
            <w:r>
              <w:rPr>
                <w:rFonts w:hint="default" w:ascii="Times New Roman" w:hAnsi="Times New Roman" w:cs="Times New Roman"/>
                <w:b w:val="0"/>
                <w:bCs/>
                <w:color w:val="auto"/>
                <w:sz w:val="24"/>
                <w:szCs w:val="24"/>
                <w:lang w:val="en-US" w:eastAsia="zh-CN"/>
              </w:rPr>
              <w:t>成型物质颗粒</w:t>
            </w:r>
            <w:r>
              <w:rPr>
                <w:rFonts w:hint="eastAsia" w:cs="Times New Roman"/>
                <w:b w:val="0"/>
                <w:bCs/>
                <w:color w:val="auto"/>
                <w:sz w:val="24"/>
                <w:szCs w:val="24"/>
                <w:lang w:val="en-US" w:eastAsia="zh-CN"/>
              </w:rPr>
              <w:t>量为18624</w:t>
            </w:r>
            <w:r>
              <w:rPr>
                <w:rFonts w:hint="eastAsia" w:ascii="Times New Roman" w:hAnsi="Times New Roman" w:cs="Times New Roman"/>
                <w:b w:val="0"/>
                <w:bCs/>
                <w:color w:val="auto"/>
                <w:sz w:val="24"/>
                <w:szCs w:val="24"/>
                <w:lang w:val="en-US" w:eastAsia="zh-CN"/>
              </w:rPr>
              <w:t>t/a</w:t>
            </w:r>
            <w:r>
              <w:rPr>
                <w:rFonts w:hint="eastAsia" w:cs="Times New Roman"/>
                <w:b w:val="0"/>
                <w:bCs/>
                <w:color w:val="auto"/>
                <w:sz w:val="24"/>
                <w:szCs w:val="24"/>
                <w:lang w:val="en-US" w:eastAsia="zh-CN"/>
              </w:rPr>
              <w:t>。</w:t>
            </w:r>
          </w:p>
          <w:p w14:paraId="0CD5D7F1">
            <w:pPr>
              <w:keepNext w:val="0"/>
              <w:keepLines w:val="0"/>
              <w:pageBreakBefore/>
              <w:widowControl/>
              <w:suppressLineNumbers w:val="0"/>
              <w:spacing w:before="0" w:beforeLines="0" w:beforeAutospacing="0" w:after="0" w:afterLines="0" w:afterAutospacing="0"/>
              <w:ind w:left="0" w:right="0" w:firstLine="482"/>
              <w:rPr>
                <w:rFonts w:hint="eastAsia" w:cs="Times New Roman"/>
                <w:b w:val="0"/>
                <w:bCs/>
                <w:color w:val="auto"/>
                <w:sz w:val="24"/>
                <w:szCs w:val="24"/>
                <w:lang w:val="en-US" w:eastAsia="zh-CN"/>
              </w:rPr>
            </w:pPr>
            <w:r>
              <w:rPr>
                <w:rFonts w:hint="eastAsia" w:ascii="Times New Roman" w:hAnsi="Times New Roman" w:cs="Times New Roman"/>
                <w:b w:val="0"/>
                <w:bCs/>
                <w:color w:val="auto"/>
                <w:sz w:val="24"/>
                <w:szCs w:val="24"/>
                <w:lang w:val="en-US" w:eastAsia="zh-CN"/>
              </w:rPr>
              <w:t>高麦糖浆与果葡糖浆生产线技改</w:t>
            </w:r>
            <w:r>
              <w:rPr>
                <w:rFonts w:hint="eastAsia" w:cs="Times New Roman"/>
                <w:b w:val="0"/>
                <w:bCs/>
                <w:color w:val="auto"/>
                <w:sz w:val="24"/>
                <w:szCs w:val="24"/>
                <w:lang w:val="en-US" w:eastAsia="zh-CN"/>
              </w:rPr>
              <w:t>前新鲜水使用量为730424.4t/a 技</w:t>
            </w:r>
            <w:r>
              <w:rPr>
                <w:rFonts w:hint="eastAsia" w:ascii="Times New Roman" w:hAnsi="Times New Roman" w:cs="Times New Roman"/>
                <w:b w:val="0"/>
                <w:bCs/>
                <w:color w:val="auto"/>
                <w:sz w:val="24"/>
                <w:szCs w:val="24"/>
                <w:lang w:val="en-US" w:eastAsia="zh-CN"/>
              </w:rPr>
              <w:t>改后</w:t>
            </w:r>
            <w:r>
              <w:rPr>
                <w:rFonts w:hint="eastAsia" w:cs="Times New Roman"/>
                <w:b w:val="0"/>
                <w:bCs/>
                <w:color w:val="auto"/>
                <w:sz w:val="24"/>
                <w:szCs w:val="24"/>
                <w:lang w:val="en-US" w:eastAsia="zh-CN"/>
              </w:rPr>
              <w:t>新鲜水使用量为681933.3t/a，削减量为48491.1t/a，食用</w:t>
            </w:r>
            <w:r>
              <w:rPr>
                <w:rFonts w:hint="default" w:ascii="Times New Roman" w:hAnsi="Times New Roman" w:cs="Times New Roman"/>
                <w:color w:val="auto"/>
                <w:lang w:val="en-US" w:eastAsia="zh-CN"/>
              </w:rPr>
              <w:t>蛋白粉生产</w:t>
            </w:r>
            <w:r>
              <w:rPr>
                <w:rFonts w:hint="eastAsia" w:cs="Times New Roman"/>
                <w:color w:val="auto"/>
                <w:lang w:val="en-US" w:eastAsia="zh-CN"/>
              </w:rPr>
              <w:t>线</w:t>
            </w:r>
            <w:r>
              <w:rPr>
                <w:rFonts w:hint="eastAsia" w:cs="Times New Roman"/>
                <w:b w:val="0"/>
                <w:bCs/>
                <w:color w:val="auto"/>
                <w:sz w:val="24"/>
                <w:szCs w:val="24"/>
                <w:lang w:val="en-US" w:eastAsia="zh-CN"/>
              </w:rPr>
              <w:t>新鲜水使用量为</w:t>
            </w:r>
            <w:r>
              <w:rPr>
                <w:rFonts w:hint="eastAsia" w:cs="Times New Roman"/>
                <w:color w:val="auto"/>
                <w:lang w:val="en-US" w:eastAsia="zh-CN"/>
              </w:rPr>
              <w:t>215972.352</w:t>
            </w:r>
            <w:r>
              <w:rPr>
                <w:rFonts w:hint="eastAsia" w:ascii="Times New Roman" w:hAnsi="Times New Roman" w:cs="Times New Roman"/>
                <w:b w:val="0"/>
                <w:bCs/>
                <w:color w:val="auto"/>
                <w:sz w:val="24"/>
                <w:szCs w:val="24"/>
                <w:lang w:val="en-US" w:eastAsia="zh-CN"/>
              </w:rPr>
              <w:t>t/a，</w:t>
            </w:r>
            <w:r>
              <w:rPr>
                <w:rFonts w:hint="eastAsia" w:cs="Times New Roman"/>
                <w:b w:val="0"/>
                <w:bCs/>
                <w:color w:val="auto"/>
                <w:sz w:val="24"/>
                <w:szCs w:val="24"/>
                <w:lang w:val="en-US" w:eastAsia="zh-CN"/>
              </w:rPr>
              <w:t>技改后全厂新鲜水为897905.652</w:t>
            </w:r>
            <w:r>
              <w:rPr>
                <w:rFonts w:hint="eastAsia" w:ascii="Times New Roman" w:hAnsi="Times New Roman" w:cs="Times New Roman"/>
                <w:b w:val="0"/>
                <w:bCs/>
                <w:color w:val="auto"/>
                <w:sz w:val="24"/>
                <w:szCs w:val="24"/>
                <w:lang w:val="en-US" w:eastAsia="zh-CN"/>
              </w:rPr>
              <w:t>t/a</w:t>
            </w:r>
            <w:r>
              <w:rPr>
                <w:rFonts w:hint="eastAsia" w:cs="Times New Roman"/>
                <w:b w:val="0"/>
                <w:bCs/>
                <w:color w:val="auto"/>
                <w:sz w:val="24"/>
                <w:szCs w:val="24"/>
                <w:lang w:val="en-US" w:eastAsia="zh-CN"/>
              </w:rPr>
              <w:t>。</w:t>
            </w:r>
          </w:p>
          <w:p w14:paraId="537B5682">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val="0"/>
                <w:bCs/>
                <w:color w:val="auto"/>
                <w:sz w:val="24"/>
                <w:szCs w:val="24"/>
                <w:lang w:val="en-US" w:eastAsia="zh-CN"/>
              </w:rPr>
            </w:pPr>
            <w:r>
              <w:rPr>
                <w:rFonts w:hint="default" w:ascii="Times New Roman" w:hAnsi="Times New Roman" w:cs="Times New Roman"/>
                <w:b/>
                <w:color w:val="auto"/>
                <w:sz w:val="24"/>
                <w:szCs w:val="24"/>
                <w:lang w:val="en-US" w:eastAsia="zh-CN"/>
              </w:rPr>
              <w:t>乙醇理化性质：</w:t>
            </w:r>
            <w:r>
              <w:rPr>
                <w:rFonts w:hint="default" w:ascii="Times New Roman" w:hAnsi="Times New Roman" w:cs="Times New Roman"/>
                <w:b w:val="0"/>
                <w:bCs/>
                <w:color w:val="auto"/>
                <w:sz w:val="24"/>
                <w:szCs w:val="24"/>
                <w:lang w:val="en-US" w:eastAsia="zh-CN"/>
              </w:rPr>
              <w:t>乙醇在常温常压下是一种易燃、易挥发的无色透明液体，低毒性，纯液体不可直接饮用；具有特殊香味，并略带刺激；微甘，并伴有刺激的辛辣滋味。易燃，其蒸气能与空气形成爆炸性混合物，能与水以任意比互溶。能与氯仿、乙醚、甲醇、丙酮和其他多数有机溶剂混溶。</w:t>
            </w:r>
          </w:p>
          <w:p w14:paraId="2295E7DF">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项目乙醇（95%的食用酒精）满足《食用酒精质量要求》（GB/T10343-2023），具体标准见下表：</w:t>
            </w:r>
          </w:p>
          <w:p w14:paraId="4B8B1738">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饲用蛋白粉成分表</w:t>
            </w:r>
          </w:p>
          <w:tbl>
            <w:tblPr>
              <w:tblStyle w:val="30"/>
              <w:tblW w:w="7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256"/>
              <w:gridCol w:w="1581"/>
              <w:gridCol w:w="2399"/>
            </w:tblGrid>
            <w:tr w14:paraId="5643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8" w:type="dxa"/>
                </w:tcPr>
                <w:p w14:paraId="468DD925">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产品名称</w:t>
                  </w:r>
                </w:p>
              </w:tc>
              <w:tc>
                <w:tcPr>
                  <w:tcW w:w="1256" w:type="dxa"/>
                </w:tcPr>
                <w:p w14:paraId="61565905">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水分</w:t>
                  </w:r>
                </w:p>
              </w:tc>
              <w:tc>
                <w:tcPr>
                  <w:tcW w:w="1581" w:type="dxa"/>
                </w:tcPr>
                <w:p w14:paraId="355E8BA0">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蛋白质</w:t>
                  </w:r>
                </w:p>
              </w:tc>
              <w:tc>
                <w:tcPr>
                  <w:tcW w:w="2399" w:type="dxa"/>
                </w:tcPr>
                <w:p w14:paraId="7E689AE3">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其他成分</w:t>
                  </w:r>
                </w:p>
              </w:tc>
            </w:tr>
            <w:tr w14:paraId="13C91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8" w:type="dxa"/>
                </w:tcPr>
                <w:p w14:paraId="6A1C1F63">
                  <w:pPr>
                    <w:pStyle w:val="28"/>
                    <w:keepNext w:val="0"/>
                    <w:keepLines w:val="0"/>
                    <w:suppressLineNumbers w:val="0"/>
                    <w:spacing w:before="0" w:beforeAutospacing="0" w:afterAutospacing="0"/>
                    <w:ind w:left="0" w:leftChars="0" w:right="0" w:firstLine="0" w:firstLineChars="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饲料原料-大米蛋白粉</w:t>
                  </w:r>
                </w:p>
              </w:tc>
              <w:tc>
                <w:tcPr>
                  <w:tcW w:w="1256" w:type="dxa"/>
                </w:tcPr>
                <w:p w14:paraId="6AE15CF8">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4.39</w:t>
                  </w:r>
                </w:p>
              </w:tc>
              <w:tc>
                <w:tcPr>
                  <w:tcW w:w="1581" w:type="dxa"/>
                </w:tcPr>
                <w:p w14:paraId="760AE75F">
                  <w:pPr>
                    <w:pStyle w:val="28"/>
                    <w:keepNext w:val="0"/>
                    <w:keepLines w:val="0"/>
                    <w:suppressLineNumbers w:val="0"/>
                    <w:spacing w:before="0" w:beforeAutospacing="0" w:afterAutospacing="0"/>
                    <w:ind w:left="0" w:leftChars="0" w:right="0" w:firstLine="420" w:firstLineChars="20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66.05</w:t>
                  </w:r>
                </w:p>
              </w:tc>
              <w:tc>
                <w:tcPr>
                  <w:tcW w:w="2399" w:type="dxa"/>
                </w:tcPr>
                <w:p w14:paraId="3F24B4AB">
                  <w:pPr>
                    <w:pStyle w:val="28"/>
                    <w:keepNext w:val="0"/>
                    <w:keepLines w:val="0"/>
                    <w:suppressLineNumbers w:val="0"/>
                    <w:spacing w:before="0" w:beforeAutospacing="0" w:afterAutospacing="0"/>
                    <w:ind w:left="0" w:leftChars="0" w:right="0" w:firstLine="0" w:firstLineChars="0"/>
                    <w:jc w:val="both"/>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29.56（其中灰分3.65）</w:t>
                  </w:r>
                </w:p>
              </w:tc>
            </w:tr>
          </w:tbl>
          <w:p w14:paraId="7CA13561">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食用酒精质量要求</w:t>
            </w:r>
            <w:r>
              <w:rPr>
                <w:rFonts w:hint="default" w:ascii="Times New Roman" w:hAnsi="Times New Roman" w:cs="Times New Roman"/>
                <w:b/>
                <w:color w:val="auto"/>
                <w:kern w:val="0"/>
                <w:sz w:val="24"/>
                <w:szCs w:val="24"/>
                <w:lang w:val="en-US" w:eastAsia="zh-CN" w:bidi="ar-SA"/>
              </w:rPr>
              <w:t>一览表</w:t>
            </w:r>
          </w:p>
          <w:tbl>
            <w:tblPr>
              <w:tblStyle w:val="30"/>
              <w:tblW w:w="7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2513"/>
              <w:gridCol w:w="4189"/>
            </w:tblGrid>
            <w:tr w14:paraId="6CB72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6860F0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序号</w:t>
                  </w:r>
                </w:p>
              </w:tc>
              <w:tc>
                <w:tcPr>
                  <w:tcW w:w="2513" w:type="dxa"/>
                </w:tcPr>
                <w:p w14:paraId="3B32320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项目</w:t>
                  </w:r>
                </w:p>
              </w:tc>
              <w:tc>
                <w:tcPr>
                  <w:tcW w:w="4189" w:type="dxa"/>
                </w:tcPr>
                <w:p w14:paraId="58DD24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标准要求</w:t>
                  </w:r>
                </w:p>
              </w:tc>
            </w:tr>
            <w:tr w14:paraId="27015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152" w:type="dxa"/>
                </w:tcPr>
                <w:p w14:paraId="42261B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2513" w:type="dxa"/>
                  <w:shd w:val="clear" w:color="auto" w:fill="auto"/>
                  <w:vAlign w:val="top"/>
                </w:tcPr>
                <w:p w14:paraId="2D2AA9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外观</w:t>
                  </w:r>
                </w:p>
              </w:tc>
              <w:tc>
                <w:tcPr>
                  <w:tcW w:w="4189" w:type="dxa"/>
                  <w:shd w:val="clear" w:color="auto" w:fill="auto"/>
                  <w:vAlign w:val="top"/>
                </w:tcPr>
                <w:p w14:paraId="6154D4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无色透明</w:t>
                  </w:r>
                </w:p>
              </w:tc>
            </w:tr>
            <w:tr w14:paraId="60230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114AB1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2513" w:type="dxa"/>
                  <w:shd w:val="clear" w:color="auto" w:fill="auto"/>
                  <w:vAlign w:val="top"/>
                </w:tcPr>
                <w:p w14:paraId="11DB62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气味</w:t>
                  </w:r>
                </w:p>
              </w:tc>
              <w:tc>
                <w:tcPr>
                  <w:tcW w:w="4189" w:type="dxa"/>
                  <w:shd w:val="clear" w:color="auto" w:fill="auto"/>
                  <w:vAlign w:val="top"/>
                </w:tcPr>
                <w:p w14:paraId="079B51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具有乙醇固有香气</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无异臭</w:t>
                  </w:r>
                </w:p>
              </w:tc>
            </w:tr>
            <w:tr w14:paraId="1B05D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52" w:type="dxa"/>
                </w:tcPr>
                <w:p w14:paraId="45684A0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2513" w:type="dxa"/>
                  <w:shd w:val="clear" w:color="auto" w:fill="auto"/>
                  <w:vAlign w:val="top"/>
                </w:tcPr>
                <w:p w14:paraId="223CF3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滋味</w:t>
                  </w:r>
                </w:p>
              </w:tc>
              <w:tc>
                <w:tcPr>
                  <w:tcW w:w="4189" w:type="dxa"/>
                  <w:shd w:val="clear" w:color="auto" w:fill="auto"/>
                  <w:vAlign w:val="top"/>
                </w:tcPr>
                <w:p w14:paraId="1670CC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纯净</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微甜</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无异味</w:t>
                  </w:r>
                </w:p>
              </w:tc>
            </w:tr>
            <w:tr w14:paraId="0EF40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6E49A9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2513" w:type="dxa"/>
                  <w:shd w:val="clear" w:color="auto" w:fill="auto"/>
                  <w:vAlign w:val="center"/>
                </w:tcPr>
                <w:p w14:paraId="64154B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乙醇/</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%vol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6767CE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≥95.0</w:t>
                  </w:r>
                </w:p>
              </w:tc>
            </w:tr>
            <w:tr w14:paraId="54C19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688628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w:t>
                  </w:r>
                </w:p>
              </w:tc>
              <w:tc>
                <w:tcPr>
                  <w:tcW w:w="2513" w:type="dxa"/>
                  <w:shd w:val="clear" w:color="auto" w:fill="auto"/>
                  <w:vAlign w:val="center"/>
                </w:tcPr>
                <w:p w14:paraId="6693D6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硫酸试验色度/号</w:t>
                  </w:r>
                </w:p>
              </w:tc>
              <w:tc>
                <w:tcPr>
                  <w:tcW w:w="4189" w:type="dxa"/>
                  <w:shd w:val="clear" w:color="auto" w:fill="auto"/>
                  <w:vAlign w:val="center"/>
                </w:tcPr>
                <w:p w14:paraId="7D49E3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r>
            <w:tr w14:paraId="0497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7B43BF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w:t>
                  </w:r>
                </w:p>
              </w:tc>
              <w:tc>
                <w:tcPr>
                  <w:tcW w:w="2513" w:type="dxa"/>
                  <w:shd w:val="clear" w:color="auto" w:fill="auto"/>
                  <w:vAlign w:val="center"/>
                </w:tcPr>
                <w:p w14:paraId="2731DB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氧化时间/min</w:t>
                  </w:r>
                </w:p>
              </w:tc>
              <w:tc>
                <w:tcPr>
                  <w:tcW w:w="4189" w:type="dxa"/>
                  <w:shd w:val="clear" w:color="auto" w:fill="auto"/>
                  <w:vAlign w:val="center"/>
                </w:tcPr>
                <w:p w14:paraId="11A653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r>
            <w:tr w14:paraId="5F1D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52" w:type="dxa"/>
                </w:tcPr>
                <w:p w14:paraId="3B82DA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w:t>
                  </w:r>
                </w:p>
              </w:tc>
              <w:tc>
                <w:tcPr>
                  <w:tcW w:w="2513" w:type="dxa"/>
                  <w:shd w:val="clear" w:color="auto" w:fill="auto"/>
                  <w:vAlign w:val="center"/>
                </w:tcPr>
                <w:p w14:paraId="1D531D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正丙醇/</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mg/L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4AC6F8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w:t>
                  </w:r>
                </w:p>
              </w:tc>
            </w:tr>
            <w:tr w14:paraId="1C4D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687900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2513" w:type="dxa"/>
                  <w:shd w:val="clear" w:color="auto" w:fill="auto"/>
                  <w:vAlign w:val="center"/>
                </w:tcPr>
                <w:p w14:paraId="12E0D9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异丁醇+异戊醇/</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mg/L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697C6C4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r>
            <w:tr w14:paraId="0D2DC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34DCEF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w:t>
                  </w:r>
                </w:p>
              </w:tc>
              <w:tc>
                <w:tcPr>
                  <w:tcW w:w="2513" w:type="dxa"/>
                  <w:shd w:val="clear" w:color="auto" w:fill="auto"/>
                  <w:vAlign w:val="center"/>
                </w:tcPr>
                <w:p w14:paraId="52D106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酸</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以乙酸计</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mg/L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2A2617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r>
            <w:tr w14:paraId="7400D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tcPr>
                <w:p w14:paraId="74404F1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513" w:type="dxa"/>
                  <w:shd w:val="clear" w:color="auto" w:fill="auto"/>
                  <w:vAlign w:val="center"/>
                </w:tcPr>
                <w:p w14:paraId="006970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酯</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以乙酸乙酯计</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mg/L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5B9BB9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r>
            <w:tr w14:paraId="36DF9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52" w:type="dxa"/>
                </w:tcPr>
                <w:p w14:paraId="01B924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w:t>
                  </w:r>
                </w:p>
              </w:tc>
              <w:tc>
                <w:tcPr>
                  <w:tcW w:w="2513" w:type="dxa"/>
                  <w:shd w:val="clear" w:color="auto" w:fill="auto"/>
                  <w:vAlign w:val="center"/>
                </w:tcPr>
                <w:p w14:paraId="082742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不挥发物/</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mg/L</w:t>
                  </w:r>
                  <w:r>
                    <w:rPr>
                      <w:rFonts w:hint="default" w:ascii="Times New Roman" w:hAnsi="Times New Roman" w:cs="Times New Roman"/>
                      <w:color w:val="auto"/>
                      <w:kern w:val="0"/>
                      <w:sz w:val="21"/>
                      <w:szCs w:val="21"/>
                      <w:lang w:val="en-US" w:eastAsia="zh-CN"/>
                    </w:rPr>
                    <w:t>）</w:t>
                  </w:r>
                </w:p>
              </w:tc>
              <w:tc>
                <w:tcPr>
                  <w:tcW w:w="4189" w:type="dxa"/>
                  <w:shd w:val="clear" w:color="auto" w:fill="auto"/>
                  <w:vAlign w:val="center"/>
                </w:tcPr>
                <w:p w14:paraId="22EDBA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r>
          </w:tbl>
          <w:p w14:paraId="63D27494">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lang w:val="en-US" w:eastAsia="zh-CN"/>
              </w:rPr>
              <w:t>5、</w:t>
            </w:r>
            <w:r>
              <w:rPr>
                <w:rFonts w:hint="default" w:ascii="Times New Roman" w:hAnsi="Times New Roman" w:cs="Times New Roman"/>
                <w:b/>
                <w:color w:val="auto"/>
                <w:sz w:val="24"/>
                <w:szCs w:val="24"/>
              </w:rPr>
              <w:t>主要生产设备</w:t>
            </w:r>
          </w:p>
          <w:p w14:paraId="211FB78B">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lang w:val="zh-CN"/>
              </w:rPr>
            </w:pPr>
            <w:r>
              <w:rPr>
                <w:rFonts w:hint="default"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lang w:val="zh-CN"/>
              </w:rPr>
              <w:t>生产设备详见下表：</w:t>
            </w:r>
          </w:p>
          <w:p w14:paraId="7389F7E5">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新增主要设备一览表</w:t>
            </w:r>
          </w:p>
          <w:tbl>
            <w:tblPr>
              <w:tblStyle w:val="29"/>
              <w:tblW w:w="490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33"/>
              <w:gridCol w:w="1302"/>
              <w:gridCol w:w="1823"/>
              <w:gridCol w:w="712"/>
              <w:gridCol w:w="712"/>
              <w:gridCol w:w="712"/>
              <w:gridCol w:w="714"/>
              <w:gridCol w:w="1200"/>
            </w:tblGrid>
            <w:tr w14:paraId="2F30EB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tblHeader/>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5C463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序号</w:t>
                  </w:r>
                </w:p>
              </w:tc>
              <w:tc>
                <w:tcPr>
                  <w:tcW w:w="83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543A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设备名称</w:t>
                  </w:r>
                </w:p>
              </w:tc>
              <w:tc>
                <w:tcPr>
                  <w:tcW w:w="11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BD7B7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zh-CN"/>
                    </w:rPr>
                    <w:t>型号、</w:t>
                  </w:r>
                  <w:r>
                    <w:rPr>
                      <w:rFonts w:hint="default" w:ascii="Times New Roman" w:hAnsi="Times New Roman" w:cs="Times New Roman"/>
                      <w:color w:val="auto"/>
                      <w:kern w:val="0"/>
                      <w:sz w:val="21"/>
                      <w:szCs w:val="21"/>
                      <w:lang w:val="en-US" w:eastAsia="zh-CN"/>
                    </w:rPr>
                    <w:t>规格</w:t>
                  </w:r>
                </w:p>
              </w:tc>
              <w:tc>
                <w:tcPr>
                  <w:tcW w:w="45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6741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eastAsia" w:cs="Times New Roman"/>
                      <w:color w:val="auto"/>
                      <w:kern w:val="0"/>
                      <w:sz w:val="21"/>
                      <w:szCs w:val="21"/>
                      <w:lang w:val="en-US" w:eastAsia="zh-CN"/>
                    </w:rPr>
                    <w:t>原有项目</w:t>
                  </w:r>
                  <w:r>
                    <w:rPr>
                      <w:rFonts w:hint="default" w:ascii="Times New Roman" w:hAnsi="Times New Roman" w:cs="Times New Roman"/>
                      <w:color w:val="auto"/>
                      <w:kern w:val="0"/>
                      <w:sz w:val="21"/>
                      <w:szCs w:val="21"/>
                      <w:lang w:val="zh-CN"/>
                    </w:rPr>
                    <w:t>数量（台）</w:t>
                  </w:r>
                </w:p>
              </w:tc>
              <w:tc>
                <w:tcPr>
                  <w:tcW w:w="45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2C5D2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技改项目</w:t>
                  </w:r>
                  <w:r>
                    <w:rPr>
                      <w:rFonts w:hint="default" w:ascii="Times New Roman" w:hAnsi="Times New Roman" w:cs="Times New Roman"/>
                      <w:color w:val="auto"/>
                      <w:kern w:val="0"/>
                      <w:sz w:val="21"/>
                      <w:szCs w:val="21"/>
                      <w:lang w:val="zh-CN"/>
                    </w:rPr>
                    <w:t>数量（台）</w:t>
                  </w:r>
                </w:p>
              </w:tc>
              <w:tc>
                <w:tcPr>
                  <w:tcW w:w="45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20F4F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技改后</w:t>
                  </w:r>
                  <w:r>
                    <w:rPr>
                      <w:rFonts w:hint="eastAsia" w:cs="Times New Roman"/>
                      <w:color w:val="auto"/>
                      <w:kern w:val="0"/>
                      <w:sz w:val="21"/>
                      <w:szCs w:val="21"/>
                      <w:lang w:val="en-US" w:eastAsia="zh-CN"/>
                    </w:rPr>
                    <w:t>全厂</w:t>
                  </w:r>
                  <w:r>
                    <w:rPr>
                      <w:rFonts w:hint="default" w:ascii="Times New Roman" w:hAnsi="Times New Roman" w:cs="Times New Roman"/>
                      <w:color w:val="auto"/>
                      <w:kern w:val="0"/>
                      <w:sz w:val="21"/>
                      <w:szCs w:val="21"/>
                      <w:lang w:val="zh-CN"/>
                    </w:rPr>
                    <w:t>数量（台）</w:t>
                  </w:r>
                </w:p>
              </w:tc>
              <w:tc>
                <w:tcPr>
                  <w:tcW w:w="45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55C6E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增减量</w:t>
                  </w:r>
                  <w:r>
                    <w:rPr>
                      <w:rFonts w:hint="default" w:ascii="Times New Roman" w:hAnsi="Times New Roman" w:cs="Times New Roman"/>
                      <w:color w:val="auto"/>
                      <w:kern w:val="0"/>
                      <w:sz w:val="21"/>
                      <w:szCs w:val="21"/>
                      <w:lang w:val="zh-CN"/>
                    </w:rPr>
                    <w:t>（台）</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C83A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备注</w:t>
                  </w:r>
                </w:p>
              </w:tc>
            </w:tr>
            <w:tr w14:paraId="319C4F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4"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5233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1</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EA13E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反应釜</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45D168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FYH—YD、8000L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B3125E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C96CBB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8</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DD8DD8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8</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3FD6D1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4DF8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59FB16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ED02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2</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7A5D8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储罐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A9E51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WG-ZG、8000L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6318D1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B4790B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4</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69C492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4</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81B239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3EC08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r>
                    <w:rPr>
                      <w:rFonts w:hint="default" w:ascii="Times New Roman" w:hAnsi="Times New Roman" w:cs="Times New Roman"/>
                      <w:color w:val="auto"/>
                      <w:kern w:val="0"/>
                      <w:sz w:val="21"/>
                      <w:szCs w:val="21"/>
                      <w:lang w:val="en-US" w:eastAsia="zh-CN"/>
                    </w:rPr>
                    <w:t>（原酒精储存）</w:t>
                  </w:r>
                </w:p>
              </w:tc>
            </w:tr>
            <w:tr w14:paraId="4C2BB0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0FEC3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3</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395FE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储罐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FD4DEB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LG—ZG、8000L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D0292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B49230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978028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16728B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BD0A3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r>
                    <w:rPr>
                      <w:rFonts w:hint="default" w:ascii="Times New Roman" w:hAnsi="Times New Roman" w:cs="Times New Roman"/>
                      <w:color w:val="auto"/>
                      <w:kern w:val="0"/>
                      <w:sz w:val="21"/>
                      <w:szCs w:val="21"/>
                      <w:lang w:val="en-US" w:eastAsia="zh-CN"/>
                    </w:rPr>
                    <w:t>（过滤周转储存）</w:t>
                  </w:r>
                </w:p>
              </w:tc>
            </w:tr>
            <w:tr w14:paraId="7009A5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2"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AA782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4</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2F4A8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蒸发器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A65ACD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ZFQ-O1、4000L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6E796E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B07B03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D96E7B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00F64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B668F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490AF0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20AA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5</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8EAF4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储罐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7C1966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WG-ZG、3000L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7EE946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2762CC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2A76D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5A539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4C120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r>
                    <w:rPr>
                      <w:rFonts w:hint="default" w:ascii="Times New Roman" w:hAnsi="Times New Roman" w:cs="Times New Roman"/>
                      <w:color w:val="auto"/>
                      <w:kern w:val="0"/>
                      <w:sz w:val="21"/>
                      <w:szCs w:val="21"/>
                      <w:lang w:val="en-US" w:eastAsia="zh-CN"/>
                    </w:rPr>
                    <w:t>（过滤周转储存）</w:t>
                  </w:r>
                </w:p>
              </w:tc>
            </w:tr>
            <w:tr w14:paraId="6E06E6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9D9E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6</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48DD1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回收罐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DF26A8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HS—112、8000L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70AABC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38248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6676F9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BB8861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FFCB26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31DEA3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4"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D318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7</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50523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回收器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E6FEBC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HS—113、50立方米</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5DA28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080EFD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0581F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D68DBF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E67F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4BDCF17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6FA78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8</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03717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过滤器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B742E2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GL-01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C464BD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2F5E36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C0E9F4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606053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CF67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5B7880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5"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F6611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B1CB3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空压机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9E5657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GY-265、55kW</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3A650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799D4F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BC193C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917FE4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4BA5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04632A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B89B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68524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除尘器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413B0E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ZW—067</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AA787D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B4A6A0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C51BE5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678479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F9266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新增</w:t>
                  </w:r>
                </w:p>
              </w:tc>
            </w:tr>
            <w:tr w14:paraId="3A1411F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C960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11</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75C89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粉碎机（内置</w:t>
                  </w:r>
                  <w:r>
                    <w:rPr>
                      <w:rFonts w:hint="default" w:ascii="Times New Roman" w:hAnsi="Times New Roman" w:cs="Times New Roman"/>
                      <w:color w:val="auto"/>
                      <w:kern w:val="0"/>
                      <w:sz w:val="21"/>
                      <w:szCs w:val="21"/>
                      <w:lang w:val="zh-CN" w:eastAsia="zh-CN"/>
                    </w:rPr>
                    <w:t>除铁器</w:t>
                  </w:r>
                  <w:r>
                    <w:rPr>
                      <w:rFonts w:hint="default" w:ascii="Times New Roman" w:hAnsi="Times New Roman" w:cs="Times New Roman"/>
                      <w:color w:val="auto"/>
                      <w:kern w:val="0"/>
                      <w:sz w:val="21"/>
                      <w:szCs w:val="21"/>
                      <w:lang w:val="en-US" w:eastAsia="zh-CN"/>
                    </w:rPr>
                    <w:t>）</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65F47C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FZQ—1600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B4D91E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9553DE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413A62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1818A4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48B0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0A719D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2D050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12</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2F801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振动筛</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2D530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ZD100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B31E4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926C3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36CEBF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247CE5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270A6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58C6C6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EA6AE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13</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5B6ACC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包装机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F31E8A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ZQ—06</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0CF7CC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6F6694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614C26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28CA73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28CBD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214592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0B93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14</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6A301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水环真空泵</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BAC9BB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KWZYW—09、15kW</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91C167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99BB4C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5BFFAC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CEC6EB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0D87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72901DA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31066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15</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DF0FF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冷却塔</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302B1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TW—08、200T</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E38EB7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094C78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7BF3F0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7D8AA7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704B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6D15229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03D5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16</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4A279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水冷式冷水机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568413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SW—009、30kW</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087077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24FA8E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9F139D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559FF3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817F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09FCF9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5"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853EB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17</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44AAE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物料泵</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CC4F22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WSI—989、7.5W</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D560DA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B9014E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C1DFE9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37CB4D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80665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641C43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92EA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18</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2296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冷凝器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775189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LSE—09、160立方米</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28CF0D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03F00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B3ED4A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A3776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2FFB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1FA791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7828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19</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3D39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zh-CN"/>
                    </w:rPr>
                    <w:t>金属探测器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9DD96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JST-089、0.75W</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263535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768119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1A07E5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490AA4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3FF08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30A35E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4D2C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20</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0F840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色选机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DDAC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CC0514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19D044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888E43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837835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B3CA5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新增</w:t>
                  </w:r>
                </w:p>
              </w:tc>
            </w:tr>
            <w:tr w14:paraId="30CA79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6D36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21</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8AB3E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备用</w:t>
                  </w:r>
                  <w:r>
                    <w:rPr>
                      <w:rFonts w:hint="default" w:ascii="Times New Roman" w:hAnsi="Times New Roman" w:cs="Times New Roman"/>
                      <w:color w:val="auto"/>
                      <w:kern w:val="0"/>
                      <w:sz w:val="21"/>
                      <w:szCs w:val="21"/>
                      <w:lang w:val="en-US" w:eastAsia="zh-CN"/>
                    </w:rPr>
                    <w:t>锅炉</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B1818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10t/h</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BEF2F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56D95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876AFB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441883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1CC7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锅炉备用</w:t>
                  </w:r>
                </w:p>
              </w:tc>
            </w:tr>
            <w:tr w14:paraId="657785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5E971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22</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3C9D9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生物质锅炉</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B636F4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10t/h</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5A0D9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32453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7EB4B9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265C4B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DB34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r>
                    <w:rPr>
                      <w:rFonts w:hint="default" w:ascii="Times New Roman" w:hAnsi="Times New Roman" w:cs="Times New Roman"/>
                      <w:color w:val="auto"/>
                      <w:kern w:val="0"/>
                      <w:sz w:val="21"/>
                      <w:szCs w:val="21"/>
                      <w:lang w:val="zh-CN" w:eastAsia="zh-CN"/>
                    </w:rPr>
                    <w:t>（</w:t>
                  </w:r>
                  <w:r>
                    <w:rPr>
                      <w:rFonts w:hint="default" w:ascii="Times New Roman" w:hAnsi="Times New Roman" w:cs="Times New Roman"/>
                      <w:color w:val="auto"/>
                      <w:kern w:val="0"/>
                      <w:sz w:val="21"/>
                      <w:szCs w:val="21"/>
                      <w:lang w:val="en-US" w:eastAsia="zh-CN"/>
                    </w:rPr>
                    <w:t>2021年5月</w:t>
                  </w:r>
                  <w:r>
                    <w:rPr>
                      <w:rFonts w:hint="eastAsia" w:cs="Times New Roman"/>
                      <w:color w:val="auto"/>
                      <w:kern w:val="0"/>
                      <w:sz w:val="21"/>
                      <w:szCs w:val="21"/>
                      <w:lang w:val="en-US" w:eastAsia="zh-CN"/>
                    </w:rPr>
                    <w:t>投入使用</w:t>
                  </w:r>
                  <w:r>
                    <w:rPr>
                      <w:rFonts w:hint="default" w:ascii="Times New Roman" w:hAnsi="Times New Roman" w:cs="Times New Roman"/>
                      <w:color w:val="auto"/>
                      <w:kern w:val="0"/>
                      <w:sz w:val="21"/>
                      <w:szCs w:val="21"/>
                      <w:lang w:val="zh-CN" w:eastAsia="zh-CN"/>
                    </w:rPr>
                    <w:t>）</w:t>
                  </w:r>
                </w:p>
              </w:tc>
            </w:tr>
            <w:tr w14:paraId="023EEF6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6176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81C3CC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半工业自动洗衣机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12A0C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44D0B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34FED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926FB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4242D2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201047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1AA358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C479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BCB31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浸泡罐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781CC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F1600×3200×3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93984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7432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307C3B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81023F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6C97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342760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5CF9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25</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BC2B3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磨碎设备砂盘淀粉磨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C6097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MS-600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C38D1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D1AB8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C3CECB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0C1825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378D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1E5CCA6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3542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26</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0C44D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调浆设备喷射器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6ED7C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25m2/H</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3E0E0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F3DCE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2A185D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3AA0C1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9A6D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093657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7564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27</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772D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液化设备液化罐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1732E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CADB3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79389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B964FF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83C950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44BB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094767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F64B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28</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567DF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糖化设备板式热交换器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D2D1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BRO.3-0.6</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5BDFC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94ED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D66E8D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ED4E6E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B4131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027C55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092C7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29</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1AFC6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糖化罐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10768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5000L</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3775E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16</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A6EC5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297C86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16</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56CCDE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00C98E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1C861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9DE62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F0391B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分离设备箱式压滤机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3299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800XMJ-U</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45D07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A327C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303D19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D20F1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CF0D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6B9BD2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A8FCF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57002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净化设备过滤机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0FD8F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DL1P2S</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58316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8123AB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52F4B1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D061F0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83E6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258D425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E590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32</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C645A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离子交换器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0697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1500.00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6D802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9E194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DCAB5B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8F5710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7CF52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47325B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60CC7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33</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82222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脱水设备降膜蒸发器</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456B3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JMZ-16</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DE499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3255D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4DA0DD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B51B97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93457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3AD2F8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6"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2D76A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34</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D7973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气流干燥机</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CF73F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MOZ-IT/H</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F560DB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0390C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C3FCAF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CB9C16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BEF6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10FB288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285BE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35</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F26C2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定量电子秤</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F4D69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DZG-400A</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DFA19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4707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D3DE3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C45FD1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C750D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2A1C5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797A9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36</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60E97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蒸前罐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52C2A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3500×5000×3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E821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CB89F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278C33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A58B7B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2A7D8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2FC092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E694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37</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A11F2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脱色罐</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3F7F30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2700×2500×3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F6F5A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C2329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286E7D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B3215A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C63D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r w14:paraId="4A37DA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0A886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38</w:t>
                  </w:r>
                </w:p>
              </w:tc>
              <w:tc>
                <w:tcPr>
                  <w:tcW w:w="833"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0A6C2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反应柱</w:t>
                  </w:r>
                </w:p>
              </w:tc>
              <w:tc>
                <w:tcPr>
                  <w:tcW w:w="11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6184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8000×6000×3</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7EB98C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EF5FA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0</w:t>
                  </w:r>
                </w:p>
              </w:tc>
              <w:tc>
                <w:tcPr>
                  <w:tcW w:w="455"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D7156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45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836B3C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6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EC57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不变</w:t>
                  </w:r>
                </w:p>
              </w:tc>
            </w:tr>
          </w:tbl>
          <w:p w14:paraId="18296942">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设备产能匹配分析</w:t>
            </w:r>
          </w:p>
          <w:tbl>
            <w:tblPr>
              <w:tblStyle w:val="29"/>
              <w:tblW w:w="5000" w:type="pct"/>
              <w:tblInd w:w="0" w:type="dxa"/>
              <w:tblLayout w:type="fixed"/>
              <w:tblCellMar>
                <w:top w:w="0" w:type="dxa"/>
                <w:left w:w="108" w:type="dxa"/>
                <w:bottom w:w="0" w:type="dxa"/>
                <w:right w:w="108" w:type="dxa"/>
              </w:tblCellMar>
            </w:tblPr>
            <w:tblGrid>
              <w:gridCol w:w="449"/>
              <w:gridCol w:w="785"/>
              <w:gridCol w:w="1274"/>
              <w:gridCol w:w="962"/>
              <w:gridCol w:w="928"/>
              <w:gridCol w:w="1052"/>
              <w:gridCol w:w="1022"/>
              <w:gridCol w:w="1486"/>
            </w:tblGrid>
            <w:tr w14:paraId="4A93055A">
              <w:tblPrEx>
                <w:tblCellMar>
                  <w:top w:w="0" w:type="dxa"/>
                  <w:left w:w="108" w:type="dxa"/>
                  <w:bottom w:w="0" w:type="dxa"/>
                  <w:right w:w="108" w:type="dxa"/>
                </w:tblCellMar>
              </w:tblPrEx>
              <w:trPr>
                <w:trHeight w:val="522" w:hRule="atLeast"/>
              </w:trPr>
              <w:tc>
                <w:tcPr>
                  <w:tcW w:w="282" w:type="pct"/>
                  <w:tcBorders>
                    <w:top w:val="single" w:color="auto" w:sz="8" w:space="0"/>
                    <w:left w:val="single" w:color="auto" w:sz="8" w:space="0"/>
                    <w:bottom w:val="single" w:color="auto" w:sz="8" w:space="0"/>
                    <w:right w:val="single" w:color="auto" w:sz="8" w:space="0"/>
                  </w:tcBorders>
                  <w:noWrap w:val="0"/>
                  <w:vAlign w:val="center"/>
                </w:tcPr>
                <w:p w14:paraId="574C83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序号</w:t>
                  </w:r>
                </w:p>
              </w:tc>
              <w:tc>
                <w:tcPr>
                  <w:tcW w:w="492" w:type="pct"/>
                  <w:tcBorders>
                    <w:top w:val="single" w:color="auto" w:sz="8" w:space="0"/>
                    <w:left w:val="single" w:color="auto" w:sz="8" w:space="0"/>
                    <w:bottom w:val="single" w:color="auto" w:sz="8" w:space="0"/>
                    <w:right w:val="single" w:color="auto" w:sz="8" w:space="0"/>
                  </w:tcBorders>
                  <w:noWrap w:val="0"/>
                  <w:vAlign w:val="center"/>
                </w:tcPr>
                <w:p w14:paraId="68FE3E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设备名称</w:t>
                  </w:r>
                </w:p>
              </w:tc>
              <w:tc>
                <w:tcPr>
                  <w:tcW w:w="800" w:type="pct"/>
                  <w:tcBorders>
                    <w:top w:val="single" w:color="auto" w:sz="8" w:space="0"/>
                    <w:left w:val="single" w:color="auto" w:sz="8" w:space="0"/>
                    <w:bottom w:val="single" w:color="auto" w:sz="8" w:space="0"/>
                    <w:right w:val="single" w:color="auto" w:sz="8" w:space="0"/>
                  </w:tcBorders>
                  <w:noWrap w:val="0"/>
                  <w:vAlign w:val="center"/>
                </w:tcPr>
                <w:p w14:paraId="468878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物料量（kg</w:t>
                  </w:r>
                  <w:r>
                    <w:rPr>
                      <w:rFonts w:hint="default" w:ascii="Times New Roman" w:hAnsi="Times New Roman" w:cs="Times New Roman"/>
                      <w:color w:val="auto"/>
                      <w:kern w:val="0"/>
                      <w:sz w:val="21"/>
                      <w:szCs w:val="21"/>
                      <w:lang w:val="en-US" w:eastAsia="zh-CN"/>
                    </w:rPr>
                    <w:t>/批次</w:t>
                  </w:r>
                  <w:r>
                    <w:rPr>
                      <w:rFonts w:hint="default" w:ascii="Times New Roman" w:hAnsi="Times New Roman" w:cs="Times New Roman"/>
                      <w:color w:val="auto"/>
                      <w:kern w:val="0"/>
                      <w:sz w:val="21"/>
                      <w:szCs w:val="21"/>
                      <w:lang w:val="zh-CN"/>
                    </w:rPr>
                    <w:t>）</w:t>
                  </w:r>
                </w:p>
              </w:tc>
              <w:tc>
                <w:tcPr>
                  <w:tcW w:w="604" w:type="pct"/>
                  <w:tcBorders>
                    <w:top w:val="single" w:color="auto" w:sz="8" w:space="0"/>
                    <w:left w:val="single" w:color="auto" w:sz="8" w:space="0"/>
                    <w:bottom w:val="single" w:color="auto" w:sz="8" w:space="0"/>
                    <w:right w:val="single" w:color="auto" w:sz="8" w:space="0"/>
                  </w:tcBorders>
                  <w:noWrap w:val="0"/>
                  <w:vAlign w:val="center"/>
                </w:tcPr>
                <w:p w14:paraId="367FD5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料液混合比重（kg</w:t>
                  </w:r>
                  <w:r>
                    <w:rPr>
                      <w:rFonts w:hint="default" w:ascii="Times New Roman" w:hAnsi="Times New Roman" w:cs="Times New Roman"/>
                      <w:color w:val="auto"/>
                      <w:kern w:val="0"/>
                      <w:sz w:val="21"/>
                      <w:szCs w:val="21"/>
                      <w:lang w:val="en-US" w:eastAsia="zh-CN"/>
                    </w:rPr>
                    <w:t>/L</w:t>
                  </w:r>
                  <w:r>
                    <w:rPr>
                      <w:rFonts w:hint="default" w:ascii="Times New Roman" w:hAnsi="Times New Roman" w:cs="Times New Roman"/>
                      <w:color w:val="auto"/>
                      <w:kern w:val="0"/>
                      <w:sz w:val="21"/>
                      <w:szCs w:val="21"/>
                      <w:lang w:val="zh-CN"/>
                    </w:rPr>
                    <w:t>）</w:t>
                  </w:r>
                </w:p>
              </w:tc>
              <w:tc>
                <w:tcPr>
                  <w:tcW w:w="583" w:type="pct"/>
                  <w:tcBorders>
                    <w:top w:val="single" w:color="auto" w:sz="8" w:space="0"/>
                    <w:left w:val="single" w:color="auto" w:sz="8" w:space="0"/>
                    <w:bottom w:val="single" w:color="auto" w:sz="8" w:space="0"/>
                    <w:right w:val="single" w:color="auto" w:sz="8" w:space="0"/>
                  </w:tcBorders>
                  <w:noWrap w:val="0"/>
                  <w:vAlign w:val="center"/>
                </w:tcPr>
                <w:p w14:paraId="0B4E114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装料系数</w:t>
                  </w:r>
                </w:p>
              </w:tc>
              <w:tc>
                <w:tcPr>
                  <w:tcW w:w="660" w:type="pct"/>
                  <w:tcBorders>
                    <w:top w:val="single" w:color="auto" w:sz="8" w:space="0"/>
                    <w:left w:val="single" w:color="auto" w:sz="8" w:space="0"/>
                    <w:bottom w:val="single" w:color="auto" w:sz="8" w:space="0"/>
                    <w:right w:val="single" w:color="auto" w:sz="8" w:space="0"/>
                  </w:tcBorders>
                  <w:noWrap w:val="0"/>
                  <w:vAlign w:val="center"/>
                </w:tcPr>
                <w:p w14:paraId="11BB7E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计算容积（L）</w:t>
                  </w:r>
                </w:p>
              </w:tc>
              <w:tc>
                <w:tcPr>
                  <w:tcW w:w="642" w:type="pct"/>
                  <w:tcBorders>
                    <w:top w:val="single" w:color="auto" w:sz="8" w:space="0"/>
                    <w:left w:val="single" w:color="auto" w:sz="8" w:space="0"/>
                    <w:bottom w:val="single" w:color="auto" w:sz="8" w:space="0"/>
                    <w:right w:val="single" w:color="auto" w:sz="8" w:space="0"/>
                  </w:tcBorders>
                  <w:noWrap w:val="0"/>
                  <w:vAlign w:val="center"/>
                </w:tcPr>
                <w:p w14:paraId="1CAFE8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选用容积（L）</w:t>
                  </w:r>
                </w:p>
              </w:tc>
              <w:tc>
                <w:tcPr>
                  <w:tcW w:w="932" w:type="pct"/>
                  <w:tcBorders>
                    <w:top w:val="single" w:color="auto" w:sz="8" w:space="0"/>
                    <w:left w:val="single" w:color="auto" w:sz="8" w:space="0"/>
                    <w:bottom w:val="single" w:color="auto" w:sz="8" w:space="0"/>
                    <w:right w:val="single" w:color="auto" w:sz="8" w:space="0"/>
                  </w:tcBorders>
                  <w:noWrap w:val="0"/>
                  <w:vAlign w:val="center"/>
                </w:tcPr>
                <w:p w14:paraId="32F4CE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匹配性分析</w:t>
                  </w:r>
                </w:p>
              </w:tc>
            </w:tr>
            <w:tr w14:paraId="0E0E4CD4">
              <w:tblPrEx>
                <w:tblCellMar>
                  <w:top w:w="0" w:type="dxa"/>
                  <w:left w:w="108" w:type="dxa"/>
                  <w:bottom w:w="0" w:type="dxa"/>
                  <w:right w:w="108" w:type="dxa"/>
                </w:tblCellMar>
              </w:tblPrEx>
              <w:trPr>
                <w:trHeight w:val="756" w:hRule="atLeast"/>
              </w:trPr>
              <w:tc>
                <w:tcPr>
                  <w:tcW w:w="282" w:type="pct"/>
                  <w:tcBorders>
                    <w:top w:val="single" w:color="auto" w:sz="8" w:space="0"/>
                    <w:left w:val="single" w:color="auto" w:sz="8" w:space="0"/>
                    <w:bottom w:val="single" w:color="auto" w:sz="8" w:space="0"/>
                    <w:right w:val="single" w:color="auto" w:sz="8" w:space="0"/>
                  </w:tcBorders>
                  <w:noWrap w:val="0"/>
                  <w:vAlign w:val="center"/>
                </w:tcPr>
                <w:p w14:paraId="6410A7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1</w:t>
                  </w:r>
                </w:p>
              </w:tc>
              <w:tc>
                <w:tcPr>
                  <w:tcW w:w="492" w:type="pct"/>
                  <w:tcBorders>
                    <w:top w:val="single" w:color="auto" w:sz="8" w:space="0"/>
                    <w:left w:val="single" w:color="auto" w:sz="8" w:space="0"/>
                    <w:bottom w:val="single" w:color="auto" w:sz="8" w:space="0"/>
                    <w:right w:val="single" w:color="auto" w:sz="8" w:space="0"/>
                  </w:tcBorders>
                  <w:noWrap w:val="0"/>
                  <w:vAlign w:val="center"/>
                </w:tcPr>
                <w:p w14:paraId="2B1B38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eastAsia="zh-CN"/>
                    </w:rPr>
                  </w:pPr>
                  <w:r>
                    <w:rPr>
                      <w:rFonts w:hint="default" w:ascii="Times New Roman" w:hAnsi="Times New Roman" w:cs="Times New Roman"/>
                      <w:color w:val="auto"/>
                      <w:kern w:val="0"/>
                      <w:sz w:val="21"/>
                      <w:szCs w:val="21"/>
                      <w:lang w:val="zh-CN" w:eastAsia="zh-CN"/>
                    </w:rPr>
                    <w:t>反应釜</w:t>
                  </w:r>
                </w:p>
              </w:tc>
              <w:tc>
                <w:tcPr>
                  <w:tcW w:w="800" w:type="pct"/>
                  <w:tcBorders>
                    <w:top w:val="single" w:color="auto" w:sz="8" w:space="0"/>
                    <w:left w:val="single" w:color="auto" w:sz="8" w:space="0"/>
                    <w:bottom w:val="single" w:color="auto" w:sz="8" w:space="0"/>
                    <w:right w:val="single" w:color="auto" w:sz="8" w:space="0"/>
                  </w:tcBorders>
                  <w:noWrap w:val="0"/>
                  <w:vAlign w:val="center"/>
                </w:tcPr>
                <w:p w14:paraId="782A803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3583.527</w:t>
                  </w:r>
                </w:p>
              </w:tc>
              <w:tc>
                <w:tcPr>
                  <w:tcW w:w="604" w:type="pct"/>
                  <w:tcBorders>
                    <w:top w:val="single" w:color="auto" w:sz="8" w:space="0"/>
                    <w:left w:val="single" w:color="auto" w:sz="8" w:space="0"/>
                    <w:bottom w:val="single" w:color="auto" w:sz="8" w:space="0"/>
                    <w:right w:val="single" w:color="auto" w:sz="8" w:space="0"/>
                  </w:tcBorders>
                  <w:noWrap w:val="0"/>
                  <w:vAlign w:val="center"/>
                </w:tcPr>
                <w:p w14:paraId="55FFB4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0.75</w:t>
                  </w:r>
                </w:p>
              </w:tc>
              <w:tc>
                <w:tcPr>
                  <w:tcW w:w="583" w:type="pct"/>
                  <w:tcBorders>
                    <w:top w:val="single" w:color="auto" w:sz="8" w:space="0"/>
                    <w:left w:val="single" w:color="auto" w:sz="8" w:space="0"/>
                    <w:bottom w:val="single" w:color="auto" w:sz="8" w:space="0"/>
                    <w:right w:val="single" w:color="auto" w:sz="8" w:space="0"/>
                  </w:tcBorders>
                  <w:noWrap w:val="0"/>
                  <w:vAlign w:val="center"/>
                </w:tcPr>
                <w:p w14:paraId="27691D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0.90</w:t>
                  </w:r>
                </w:p>
              </w:tc>
              <w:tc>
                <w:tcPr>
                  <w:tcW w:w="660" w:type="pct"/>
                  <w:tcBorders>
                    <w:top w:val="single" w:color="auto" w:sz="8" w:space="0"/>
                    <w:left w:val="single" w:color="auto" w:sz="8" w:space="0"/>
                    <w:bottom w:val="single" w:color="auto" w:sz="8" w:space="0"/>
                    <w:right w:val="single" w:color="auto" w:sz="8" w:space="0"/>
                  </w:tcBorders>
                  <w:noWrap w:val="0"/>
                  <w:vAlign w:val="center"/>
                </w:tcPr>
                <w:p w14:paraId="791995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5308.93</w:t>
                  </w:r>
                </w:p>
              </w:tc>
              <w:tc>
                <w:tcPr>
                  <w:tcW w:w="642" w:type="pct"/>
                  <w:tcBorders>
                    <w:top w:val="single" w:color="auto" w:sz="8" w:space="0"/>
                    <w:left w:val="single" w:color="auto" w:sz="8" w:space="0"/>
                    <w:bottom w:val="single" w:color="auto" w:sz="8" w:space="0"/>
                    <w:right w:val="single" w:color="auto" w:sz="8" w:space="0"/>
                  </w:tcBorders>
                  <w:noWrap w:val="0"/>
                  <w:vAlign w:val="center"/>
                </w:tcPr>
                <w:p w14:paraId="652DAC4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8000</w:t>
                  </w:r>
                </w:p>
              </w:tc>
              <w:tc>
                <w:tcPr>
                  <w:tcW w:w="932" w:type="pct"/>
                  <w:tcBorders>
                    <w:top w:val="single" w:color="auto" w:sz="8" w:space="0"/>
                    <w:left w:val="single" w:color="auto" w:sz="8" w:space="0"/>
                    <w:bottom w:val="single" w:color="auto" w:sz="8" w:space="0"/>
                    <w:right w:val="single" w:color="auto" w:sz="8" w:space="0"/>
                  </w:tcBorders>
                  <w:noWrap w:val="0"/>
                  <w:vAlign w:val="center"/>
                </w:tcPr>
                <w:p w14:paraId="01388A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满足</w:t>
                  </w:r>
                </w:p>
              </w:tc>
            </w:tr>
          </w:tbl>
          <w:p w14:paraId="1203EDF6">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项目设</w:t>
            </w:r>
            <w:r>
              <w:rPr>
                <w:rFonts w:hint="default" w:ascii="Times New Roman" w:hAnsi="Times New Roman" w:cs="Times New Roman"/>
                <w:color w:val="auto"/>
                <w:lang w:val="en-US" w:eastAsia="zh-CN"/>
              </w:rPr>
              <w:t>8台反应釜，年生产2500批次（项目投入反应釜物料总量为8958.82t，每批次投入量为3583.527</w:t>
            </w:r>
            <w:r>
              <w:rPr>
                <w:rFonts w:hint="default" w:ascii="Times New Roman" w:hAnsi="Times New Roman" w:cs="Times New Roman"/>
                <w:color w:val="auto"/>
                <w:lang w:val="zh-CN" w:eastAsia="zh-CN"/>
              </w:rPr>
              <w:t>kg，</w:t>
            </w:r>
            <w:r>
              <w:rPr>
                <w:rFonts w:hint="default" w:ascii="Times New Roman" w:hAnsi="Times New Roman" w:cs="Times New Roman"/>
                <w:color w:val="auto"/>
                <w:lang w:val="en-US" w:eastAsia="zh-CN"/>
              </w:rPr>
              <w:t>每年投入约2500次），每台设备生产约2500÷8=313批次，每批次生产时间约20小时，每台设备年运行时间约313×20h=6260小时。</w:t>
            </w:r>
          </w:p>
          <w:p w14:paraId="0CC06F6E">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根据物料平衡可知，项目年周转</w:t>
            </w:r>
            <w:r>
              <w:rPr>
                <w:rFonts w:hint="default" w:ascii="Times New Roman" w:hAnsi="Times New Roman" w:eastAsia="宋体" w:cs="Times New Roman"/>
                <w:color w:val="auto"/>
                <w:lang w:val="en-US" w:eastAsia="zh-CN"/>
              </w:rPr>
              <w:t>物料</w:t>
            </w:r>
            <w:r>
              <w:rPr>
                <w:rFonts w:hint="default" w:ascii="Times New Roman" w:hAnsi="Times New Roman" w:cs="Times New Roman"/>
                <w:color w:val="auto"/>
                <w:lang w:val="en-US" w:eastAsia="zh-CN"/>
              </w:rPr>
              <w:t>8958.82</w:t>
            </w:r>
            <w:r>
              <w:rPr>
                <w:rFonts w:hint="default" w:ascii="Times New Roman" w:hAnsi="Times New Roman" w:eastAsia="宋体" w:cs="Times New Roman"/>
                <w:color w:val="auto"/>
                <w:lang w:val="en-US" w:eastAsia="zh-CN"/>
              </w:rPr>
              <w:t>t/a</w:t>
            </w:r>
            <w:r>
              <w:rPr>
                <w:rFonts w:hint="default" w:ascii="Times New Roman" w:hAnsi="Times New Roman" w:cs="Times New Roman"/>
                <w:color w:val="auto"/>
                <w:lang w:val="en-US" w:eastAsia="zh-CN"/>
              </w:rPr>
              <w:t>，储罐容积为51</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val="en-US" w:eastAsia="zh-CN"/>
              </w:rPr>
              <w:t>，单次储存量为40t，储罐年周转250次，周转物料10000t/a，符合项目产生要求。</w:t>
            </w:r>
          </w:p>
          <w:p w14:paraId="671CAE66">
            <w:pPr>
              <w:keepNext w:val="0"/>
              <w:keepLines w:val="0"/>
              <w:pageBreakBefore/>
              <w:widowControl/>
              <w:suppressLineNumbers w:val="0"/>
              <w:spacing w:before="0" w:beforeLines="0" w:beforeAutospacing="0" w:after="0" w:afterLines="0" w:afterAutospacing="0"/>
              <w:ind w:left="0" w:leftChars="0" w:right="0" w:firstLine="482" w:firstLineChars="20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lang w:val="en-US" w:eastAsia="zh-CN"/>
              </w:rPr>
              <w:t>6、</w:t>
            </w:r>
            <w:r>
              <w:rPr>
                <w:rFonts w:hint="default" w:ascii="Times New Roman" w:hAnsi="Times New Roman" w:cs="Times New Roman"/>
                <w:b/>
                <w:color w:val="auto"/>
                <w:sz w:val="24"/>
                <w:szCs w:val="24"/>
              </w:rPr>
              <w:t>劳动定员及工作制度</w:t>
            </w:r>
          </w:p>
          <w:p w14:paraId="366ED5CF">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企业现有员工110人，皆为住宿员工。本项目新增4名劳动定员，皆为住宿员工。生产车间实行四班三运转制，每班8小时，年工作时间320天。技改后全厂员工114人，皆为住宿员工，生产车间实行四班三运转制，每班8小时，年工作时间320天。</w:t>
            </w:r>
          </w:p>
          <w:p w14:paraId="66CCD4DD">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lang w:val="en-US" w:eastAsia="zh-CN"/>
              </w:rPr>
              <w:t>7、</w:t>
            </w:r>
            <w:r>
              <w:rPr>
                <w:rFonts w:hint="default" w:ascii="Times New Roman" w:hAnsi="Times New Roman" w:cs="Times New Roman"/>
                <w:b/>
                <w:color w:val="auto"/>
                <w:sz w:val="24"/>
                <w:szCs w:val="24"/>
              </w:rPr>
              <w:t>公用工程</w:t>
            </w:r>
          </w:p>
          <w:p w14:paraId="4322DF4B">
            <w:pPr>
              <w:keepNext w:val="0"/>
              <w:keepLines w:val="0"/>
              <w:pageBreakBefore/>
              <w:widowControl/>
              <w:suppressLineNumbers w:val="0"/>
              <w:spacing w:before="0" w:beforeLines="0" w:beforeAutospacing="0" w:after="0" w:afterLines="0" w:afterAutospacing="0" w:line="360" w:lineRule="auto"/>
              <w:ind w:left="0" w:right="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给排水</w:t>
            </w:r>
          </w:p>
          <w:p w14:paraId="651D17AA">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水喷淋用水：项目采用水喷淋装置处理乙醇废气，共设有三座喷淋塔，单个喷淋塔有效容积为20m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，喷淋废水定期排放（每月排放一次），年排放量约为720m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2.25m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，水喷淋装置循环</w:t>
            </w:r>
            <w:r>
              <w:rPr>
                <w:rFonts w:hint="default" w:ascii="Times New Roman" w:hAnsi="Times New Roman" w:eastAsia="宋体" w:cs="Times New Roman"/>
                <w:color w:val="auto"/>
                <w:sz w:val="24"/>
                <w:szCs w:val="24"/>
                <w:lang w:val="en-US" w:eastAsia="zh-CN"/>
              </w:rPr>
              <w:t>水量</w:t>
            </w:r>
            <w:r>
              <w:rPr>
                <w:rFonts w:hint="eastAsia" w:ascii="Times New Roman" w:hAnsi="Times New Roman" w:eastAsia="宋体" w:cs="Times New Roman"/>
                <w:color w:val="auto"/>
                <w:sz w:val="24"/>
                <w:szCs w:val="24"/>
                <w:lang w:val="en-US" w:eastAsia="zh-CN"/>
              </w:rPr>
              <w:t>12m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h</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年工作7680h</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水喷淋循环</w:t>
            </w:r>
            <w:r>
              <w:rPr>
                <w:rFonts w:hint="default" w:ascii="Times New Roman" w:hAnsi="Times New Roman" w:eastAsia="宋体" w:cs="Times New Roman"/>
                <w:color w:val="auto"/>
                <w:sz w:val="24"/>
                <w:szCs w:val="24"/>
                <w:lang w:val="en-US" w:eastAsia="zh-CN"/>
              </w:rPr>
              <w:t>水量为</w:t>
            </w:r>
            <w:r>
              <w:rPr>
                <w:rFonts w:hint="eastAsia" w:ascii="Times New Roman" w:hAnsi="Times New Roman" w:eastAsia="宋体" w:cs="Times New Roman"/>
                <w:color w:val="auto"/>
                <w:sz w:val="24"/>
                <w:szCs w:val="24"/>
                <w:lang w:val="en-US" w:eastAsia="zh-CN"/>
              </w:rPr>
              <w:t>92160m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288m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损耗水量按照10%计算，水喷淋损耗</w:t>
            </w:r>
            <w:r>
              <w:rPr>
                <w:rFonts w:hint="default" w:ascii="Times New Roman" w:hAnsi="Times New Roman" w:eastAsia="宋体" w:cs="Times New Roman"/>
                <w:color w:val="auto"/>
                <w:sz w:val="24"/>
                <w:szCs w:val="24"/>
                <w:lang w:val="en-US" w:eastAsia="zh-CN"/>
              </w:rPr>
              <w:t>量为</w:t>
            </w:r>
            <w:r>
              <w:rPr>
                <w:rFonts w:hint="eastAsia" w:ascii="Times New Roman" w:hAnsi="Times New Roman" w:eastAsia="宋体" w:cs="Times New Roman"/>
                <w:color w:val="auto"/>
                <w:sz w:val="24"/>
                <w:szCs w:val="24"/>
                <w:lang w:val="en-US" w:eastAsia="zh-CN"/>
              </w:rPr>
              <w:t>9216m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28.8m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，水喷淋用水量为9936m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31.05m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w:t>
            </w:r>
          </w:p>
          <w:p w14:paraId="70D55EF5">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食用蛋白冷却用水：本</w:t>
            </w:r>
            <w:r>
              <w:rPr>
                <w:rFonts w:hint="default" w:ascii="Times New Roman" w:hAnsi="Times New Roman" w:eastAsia="宋体" w:cs="Times New Roman"/>
                <w:color w:val="auto"/>
                <w:sz w:val="24"/>
                <w:szCs w:val="24"/>
                <w:lang w:val="zh-CN" w:eastAsia="zh-CN"/>
              </w:rPr>
              <w:t>技改工程</w:t>
            </w:r>
            <w:r>
              <w:rPr>
                <w:rFonts w:hint="default" w:ascii="Times New Roman" w:hAnsi="Times New Roman" w:eastAsia="宋体" w:cs="Times New Roman"/>
                <w:color w:val="auto"/>
                <w:sz w:val="24"/>
                <w:szCs w:val="24"/>
                <w:lang w:val="en-US" w:eastAsia="zh-CN"/>
              </w:rPr>
              <w:t>中冷凝过程使用冷却用水，根据业主提供资料，冷却水循环量1920000</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/a（6000</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w:t>
            </w:r>
            <w:r>
              <w:rPr>
                <w:rFonts w:hint="eastAsia" w:ascii="Times New Roman" w:hAnsi="Times New Roman" w:cs="Times New Roman"/>
                <w:color w:val="auto"/>
                <w:sz w:val="24"/>
                <w:szCs w:val="24"/>
                <w:lang w:val="en-US" w:eastAsia="zh-CN"/>
              </w:rPr>
              <w:t>根据</w:t>
            </w:r>
            <w:r>
              <w:rPr>
                <w:rFonts w:hint="default" w:ascii="Times New Roman" w:hAnsi="Times New Roman" w:cs="Times New Roman"/>
                <w:color w:val="auto"/>
                <w:sz w:val="24"/>
                <w:szCs w:val="24"/>
                <w:lang w:val="en-US" w:eastAsia="zh-CN"/>
              </w:rPr>
              <w:t>《大气污染治理工程技术导则》（HJ 2000-2010）</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损耗量以10%计算，项目需要补充新鲜水192000</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/a（600</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，冷却水循环使用，不外排</w:t>
            </w:r>
            <w:r>
              <w:rPr>
                <w:rFonts w:hint="default" w:ascii="Times New Roman" w:hAnsi="Times New Roman" w:eastAsia="宋体" w:cs="Times New Roman"/>
                <w:color w:val="auto"/>
                <w:sz w:val="24"/>
                <w:szCs w:val="24"/>
                <w:lang w:val="en-US" w:eastAsia="zh-CN"/>
              </w:rPr>
              <w:t>。</w:t>
            </w:r>
          </w:p>
          <w:p w14:paraId="5E089FFC">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蒸汽用水：</w:t>
            </w:r>
            <w:r>
              <w:rPr>
                <w:rFonts w:hint="default" w:ascii="Times New Roman" w:hAnsi="Times New Roman" w:eastAsia="宋体" w:cs="Times New Roman"/>
                <w:color w:val="auto"/>
                <w:sz w:val="24"/>
                <w:szCs w:val="24"/>
                <w:lang w:val="en-US" w:eastAsia="zh-CN"/>
              </w:rPr>
              <w:t>食用蛋白烘干、乙醇回收采用蒸汽供热，每小时需提供0.2t蒸汽，本项目年工作7680h，蒸汽用水1536</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/a（4.8</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cs="Times New Roman"/>
                <w:color w:val="auto"/>
                <w:sz w:val="24"/>
                <w:szCs w:val="24"/>
                <w:lang w:val="en-US" w:eastAsia="zh-CN"/>
              </w:rPr>
              <w:t>根据</w:t>
            </w:r>
            <w:r>
              <w:rPr>
                <w:rFonts w:hint="default" w:ascii="Times New Roman" w:hAnsi="Times New Roman" w:cs="Times New Roman"/>
                <w:color w:val="auto"/>
                <w:sz w:val="24"/>
                <w:szCs w:val="24"/>
                <w:lang w:val="en-US" w:eastAsia="zh-CN"/>
              </w:rPr>
              <w:t>《大气污染治理工程技术导则》（HJ 2000-2010）</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项目蒸汽供应过程损耗量为10%，</w:t>
            </w:r>
            <w:r>
              <w:rPr>
                <w:rFonts w:hint="eastAsia" w:ascii="Times New Roman" w:hAnsi="Times New Roman" w:cs="Times New Roman"/>
                <w:color w:val="auto"/>
                <w:sz w:val="24"/>
                <w:szCs w:val="24"/>
                <w:lang w:val="en-US" w:eastAsia="zh-CN"/>
              </w:rPr>
              <w:t>损耗量为153.6</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0.48</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蒸汽冷凝水产生量为1382.4</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/a（4.32</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/d）。蒸汽冷凝水回用于洗米工序，不外排。</w:t>
            </w:r>
          </w:p>
          <w:p w14:paraId="371C1DD0">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生活用水：本项目新增员工人数4人，皆为住宿员工</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住宿员工生活用水参考《生活及服务业用水定额第 2 部分：服务业、居民生活和建筑业》（赣府发〔2024〕17号）城镇居民生活用水定额指标用水定额按160L</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人</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d）计。项目年工作320d，生活用水量为204.8</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/a（0.64t/d）。生活污水产物系数取0.8，则项目生活污水排放量为163.84</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/a（0.512t/d）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生活污水经污水处理站处理后达到《淀粉工业水污染物排放标准》（GB 25461-2010）中表2直接排放标准限值后排入锦江。</w:t>
            </w:r>
          </w:p>
          <w:p w14:paraId="0725690B">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水环真空泵用水：项目使用水环式真空泵，真空泵内废水定期更换，项目使用的水环式真空泵水箱规格约1.2m*0.5m*0.6m，储水量</w:t>
            </w:r>
            <w:r>
              <w:rPr>
                <w:rFonts w:hint="eastAsia" w:ascii="Times New Roman" w:hAnsi="Times New Roman" w:eastAsia="宋体" w:cs="Times New Roman"/>
                <w:color w:val="auto"/>
                <w:sz w:val="24"/>
                <w:szCs w:val="24"/>
                <w:lang w:val="en-US" w:eastAsia="zh-CN"/>
              </w:rPr>
              <w:t>按照实际浓度的80%计，</w:t>
            </w:r>
            <w:r>
              <w:rPr>
                <w:rFonts w:hint="default" w:ascii="Times New Roman" w:hAnsi="Times New Roman" w:eastAsia="宋体" w:cs="Times New Roman"/>
                <w:color w:val="auto"/>
                <w:sz w:val="24"/>
                <w:szCs w:val="24"/>
                <w:lang w:val="en-US" w:eastAsia="zh-CN"/>
              </w:rPr>
              <w:t>实际储水量约</w:t>
            </w:r>
            <w:r>
              <w:rPr>
                <w:rFonts w:hint="eastAsia" w:ascii="Times New Roman" w:hAnsi="Times New Roman" w:eastAsia="宋体" w:cs="Times New Roman"/>
                <w:color w:val="auto"/>
                <w:sz w:val="24"/>
                <w:szCs w:val="24"/>
                <w:lang w:val="en-US" w:eastAsia="zh-CN"/>
              </w:rPr>
              <w:t>0.288m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，因真空泵水长期使用会影响真空效果，因此每</w:t>
            </w:r>
            <w:r>
              <w:rPr>
                <w:rFonts w:hint="eastAsia" w:ascii="Times New Roman" w:hAnsi="Times New Roman" w:eastAsia="宋体" w:cs="Times New Roman"/>
                <w:color w:val="auto"/>
                <w:sz w:val="24"/>
                <w:szCs w:val="24"/>
                <w:lang w:val="en-US" w:eastAsia="zh-CN"/>
              </w:rPr>
              <w:t>月</w:t>
            </w:r>
            <w:r>
              <w:rPr>
                <w:rFonts w:hint="default" w:ascii="Times New Roman" w:hAnsi="Times New Roman" w:eastAsia="宋体" w:cs="Times New Roman"/>
                <w:color w:val="auto"/>
                <w:sz w:val="24"/>
                <w:szCs w:val="24"/>
                <w:lang w:val="en-US" w:eastAsia="zh-CN"/>
              </w:rPr>
              <w:t>更换一次，则每台水环式真空泵废水产生量约</w:t>
            </w:r>
            <w:r>
              <w:rPr>
                <w:rFonts w:hint="eastAsia" w:ascii="Times New Roman" w:hAnsi="Times New Roman" w:eastAsia="宋体" w:cs="Times New Roman"/>
                <w:color w:val="auto"/>
                <w:sz w:val="24"/>
                <w:szCs w:val="24"/>
                <w:lang w:val="en-US" w:eastAsia="zh-CN"/>
              </w:rPr>
              <w:t>3.456m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/a，本项目新增2台水环式真空泵，则水环式真空泵废水产生量为</w:t>
            </w:r>
            <w:r>
              <w:rPr>
                <w:rFonts w:hint="eastAsia" w:ascii="Times New Roman" w:hAnsi="Times New Roman" w:eastAsia="宋体" w:cs="Times New Roman"/>
                <w:color w:val="auto"/>
                <w:sz w:val="24"/>
                <w:szCs w:val="24"/>
                <w:lang w:val="en-US" w:eastAsia="zh-CN"/>
              </w:rPr>
              <w:t>6.912m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/a（0.0</w:t>
            </w:r>
            <w:r>
              <w:rPr>
                <w:rFonts w:hint="eastAsia" w:ascii="Times New Roman" w:hAnsi="Times New Roman" w:eastAsia="宋体" w:cs="Times New Roman"/>
                <w:color w:val="auto"/>
                <w:sz w:val="24"/>
                <w:szCs w:val="24"/>
                <w:lang w:val="en-US" w:eastAsia="zh-CN"/>
              </w:rPr>
              <w:t>216m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单台</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循环</w:t>
            </w:r>
            <w:r>
              <w:rPr>
                <w:rFonts w:hint="default" w:ascii="Times New Roman" w:hAnsi="Times New Roman" w:eastAsia="宋体" w:cs="Times New Roman"/>
                <w:color w:val="auto"/>
                <w:sz w:val="24"/>
                <w:szCs w:val="24"/>
                <w:lang w:val="en-US" w:eastAsia="zh-CN"/>
              </w:rPr>
              <w:t>水量</w:t>
            </w:r>
            <w:r>
              <w:rPr>
                <w:rFonts w:hint="eastAsia" w:ascii="Times New Roman" w:hAnsi="Times New Roman" w:eastAsia="宋体" w:cs="Times New Roman"/>
                <w:color w:val="auto"/>
                <w:sz w:val="24"/>
                <w:szCs w:val="24"/>
                <w:lang w:val="en-US" w:eastAsia="zh-CN"/>
              </w:rPr>
              <w:t>8m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h</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年工作7680h</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循环</w:t>
            </w:r>
            <w:r>
              <w:rPr>
                <w:rFonts w:hint="default" w:ascii="Times New Roman" w:hAnsi="Times New Roman" w:eastAsia="宋体" w:cs="Times New Roman"/>
                <w:color w:val="auto"/>
                <w:sz w:val="24"/>
                <w:szCs w:val="24"/>
                <w:lang w:val="en-US" w:eastAsia="zh-CN"/>
              </w:rPr>
              <w:t>水量为</w:t>
            </w:r>
            <w:r>
              <w:rPr>
                <w:rFonts w:hint="eastAsia" w:ascii="Times New Roman" w:hAnsi="Times New Roman" w:eastAsia="宋体" w:cs="Times New Roman"/>
                <w:color w:val="auto"/>
                <w:sz w:val="24"/>
                <w:szCs w:val="24"/>
                <w:lang w:val="en-US" w:eastAsia="zh-CN"/>
              </w:rPr>
              <w:t>122880m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384m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损耗水量按照10%计算，</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损耗</w:t>
            </w:r>
            <w:r>
              <w:rPr>
                <w:rFonts w:hint="default" w:ascii="Times New Roman" w:hAnsi="Times New Roman" w:eastAsia="宋体" w:cs="Times New Roman"/>
                <w:color w:val="auto"/>
                <w:sz w:val="24"/>
                <w:szCs w:val="24"/>
                <w:lang w:val="en-US" w:eastAsia="zh-CN"/>
              </w:rPr>
              <w:t>量为</w:t>
            </w:r>
            <w:r>
              <w:rPr>
                <w:rFonts w:hint="eastAsia" w:ascii="Times New Roman" w:hAnsi="Times New Roman" w:eastAsia="宋体" w:cs="Times New Roman"/>
                <w:color w:val="auto"/>
                <w:sz w:val="24"/>
                <w:szCs w:val="24"/>
                <w:lang w:val="en-US" w:eastAsia="zh-CN"/>
              </w:rPr>
              <w:t>12288m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38.4m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用水量为12294.912m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38.4216m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水环真空泵废水经污水处理站处理后达到《淀粉工业水污染物排放标准》（GB 25461-2010）中表2直接排放标准限值后排入锦江。</w:t>
            </w:r>
          </w:p>
          <w:p w14:paraId="68231828">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项目实验室用水：实验室用水量为0.0</w:t>
            </w:r>
            <w:r>
              <w:rPr>
                <w:rFonts w:hint="eastAsia" w:ascii="Times New Roman" w:hAnsi="Times New Roman" w:cs="Times New Roman"/>
                <w:color w:val="auto"/>
                <w:sz w:val="24"/>
                <w:szCs w:val="24"/>
                <w:lang w:val="en-US" w:eastAsia="zh-CN"/>
              </w:rPr>
              <w:t>02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cs="Times New Roman"/>
                <w:color w:val="auto"/>
                <w:sz w:val="24"/>
                <w:szCs w:val="24"/>
                <w:lang w:val="en-US" w:eastAsia="zh-CN"/>
              </w:rPr>
              <w:t>0.64</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/a，实验室废液产生量为0.0</w:t>
            </w:r>
            <w:r>
              <w:rPr>
                <w:rFonts w:hint="eastAsia" w:ascii="Times New Roman" w:hAnsi="Times New Roman"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1</w:t>
            </w:r>
            <w:r>
              <w:rPr>
                <w:rFonts w:hint="eastAsia" w:ascii="Times New Roman" w:hAnsi="Times New Roman"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cs="Times New Roman"/>
                <w:color w:val="auto"/>
                <w:sz w:val="24"/>
                <w:szCs w:val="24"/>
                <w:lang w:val="en-US" w:eastAsia="zh-CN"/>
              </w:rPr>
              <w:t>0.512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/a，实验室废液集中收集后交由有资质单位处理。</w:t>
            </w:r>
          </w:p>
          <w:p w14:paraId="48D9515A">
            <w:pPr>
              <w:keepNext w:val="0"/>
              <w:keepLines w:val="0"/>
              <w:suppressLineNumbers w:val="0"/>
              <w:spacing w:before="0" w:beforeAutospacing="0" w:after="0" w:afterAutospacing="0" w:line="360" w:lineRule="auto"/>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技改后全厂用水情况如下</w:t>
            </w:r>
          </w:p>
          <w:p w14:paraId="0DAEAE75">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洗米用水量为1815.032</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580810.24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sz w:val="24"/>
                <w:szCs w:val="24"/>
                <w:lang w:val="en-US" w:eastAsia="zh-CN"/>
              </w:rPr>
              <w:t>/a，洗米废水产生量为1633.525</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sz w:val="24"/>
                <w:szCs w:val="24"/>
                <w:lang w:val="en-US" w:eastAsia="zh-CN"/>
              </w:rPr>
              <w:t>/d、522728</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sz w:val="24"/>
                <w:szCs w:val="24"/>
                <w:lang w:val="en-US" w:eastAsia="zh-CN"/>
              </w:rPr>
              <w:t>/a。</w:t>
            </w:r>
          </w:p>
          <w:p w14:paraId="35FE1458">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洗桶（罐）、洗滤布用水量为13.3</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/d，4256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/a，洗桶（罐）、洗滤布废水产生量为11.97</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/d，3830.4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31CAEFF5">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树脂再生用水量为47.5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/d，15200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/a，树脂再生废水产生量为42.75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/d、13680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192DE39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地面冲洗水用水量为5.56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/d，1777.78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/a，地面冲洗废水产生量5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/d、1600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7416F53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生活用水量为17.515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/d，5604.8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/a，生活污水产生量为14.012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/d，4483.84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03438362">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水环真空泵用水量为</w:t>
            </w:r>
            <w:r>
              <w:rPr>
                <w:rFonts w:hint="eastAsia" w:cs="Times New Roman"/>
                <w:color w:val="auto"/>
                <w:sz w:val="24"/>
                <w:szCs w:val="24"/>
                <w:lang w:val="en-US" w:eastAsia="zh-CN"/>
              </w:rPr>
              <w:t>12294.912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/a（38.4216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/d），水环式真空泵废水产生量为6.912t/a（0.0216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循环</w:t>
            </w:r>
            <w:r>
              <w:rPr>
                <w:rFonts w:hint="default" w:ascii="Times New Roman" w:hAnsi="Times New Roman" w:eastAsia="宋体" w:cs="Times New Roman"/>
                <w:color w:val="auto"/>
                <w:sz w:val="24"/>
                <w:szCs w:val="24"/>
                <w:lang w:val="en-US" w:eastAsia="zh-CN"/>
              </w:rPr>
              <w:t>水量为</w:t>
            </w:r>
            <w:r>
              <w:rPr>
                <w:rFonts w:hint="eastAsia" w:ascii="Times New Roman" w:hAnsi="Times New Roman" w:eastAsia="宋体" w:cs="Times New Roman"/>
                <w:color w:val="auto"/>
                <w:sz w:val="24"/>
                <w:szCs w:val="24"/>
                <w:lang w:val="en-US" w:eastAsia="zh-CN"/>
              </w:rPr>
              <w:t>122880m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val="en-US" w:eastAsia="zh-CN"/>
              </w:rPr>
              <w:t>384m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default" w:ascii="Times New Roman" w:hAnsi="Times New Roman" w:cs="Times New Roman"/>
                <w:color w:val="auto"/>
                <w:sz w:val="24"/>
                <w:szCs w:val="24"/>
                <w:lang w:val="en-US" w:eastAsia="zh-CN"/>
              </w:rPr>
              <w:t>，水环真空泵损耗水量为</w:t>
            </w:r>
            <w:r>
              <w:rPr>
                <w:rFonts w:hint="eastAsia" w:cs="Times New Roman"/>
                <w:color w:val="auto"/>
                <w:sz w:val="24"/>
                <w:szCs w:val="24"/>
                <w:lang w:val="en-US" w:eastAsia="zh-CN"/>
              </w:rPr>
              <w:t>12288</w:t>
            </w:r>
            <w:r>
              <w:rPr>
                <w:rFonts w:hint="default" w:ascii="Times New Roman" w:hAnsi="Times New Roman" w:cs="Times New Roman"/>
                <w:color w:val="auto"/>
                <w:sz w:val="24"/>
                <w:szCs w:val="24"/>
                <w:lang w:val="en-US" w:eastAsia="zh-CN"/>
              </w:rPr>
              <w:t>t/a（</w:t>
            </w:r>
            <w:r>
              <w:rPr>
                <w:rFonts w:hint="eastAsia" w:cs="Times New Roman"/>
                <w:color w:val="auto"/>
                <w:sz w:val="24"/>
                <w:szCs w:val="24"/>
                <w:lang w:val="en-US" w:eastAsia="zh-CN"/>
              </w:rPr>
              <w:t>38.4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p>
          <w:p w14:paraId="70559DC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水喷淋用水：喷淋废水排放量约为720m3/a</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2.25m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w:t>
            </w:r>
            <w:r>
              <w:rPr>
                <w:rFonts w:hint="eastAsia" w:ascii="Times New Roman" w:hAnsi="Times New Roman" w:cs="Times New Roman"/>
                <w:color w:val="auto"/>
                <w:sz w:val="24"/>
                <w:szCs w:val="24"/>
                <w:lang w:val="en-US" w:eastAsia="zh-CN"/>
              </w:rPr>
              <w:t>，水喷淋循环</w:t>
            </w:r>
            <w:r>
              <w:rPr>
                <w:rFonts w:hint="default" w:ascii="Times New Roman" w:hAnsi="Times New Roman" w:cs="Times New Roman"/>
                <w:color w:val="auto"/>
                <w:sz w:val="24"/>
                <w:szCs w:val="24"/>
                <w:lang w:val="en-US" w:eastAsia="zh-CN"/>
              </w:rPr>
              <w:t>水量为</w:t>
            </w:r>
            <w:r>
              <w:rPr>
                <w:rFonts w:hint="eastAsia" w:ascii="Times New Roman" w:hAnsi="Times New Roman" w:cs="Times New Roman"/>
                <w:color w:val="auto"/>
                <w:sz w:val="24"/>
                <w:szCs w:val="24"/>
                <w:lang w:val="en-US" w:eastAsia="zh-CN"/>
              </w:rPr>
              <w:t>92160m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/a（</w:t>
            </w:r>
            <w:r>
              <w:rPr>
                <w:rFonts w:hint="eastAsia" w:ascii="Times New Roman" w:hAnsi="Times New Roman" w:cs="Times New Roman"/>
                <w:color w:val="auto"/>
                <w:sz w:val="24"/>
                <w:szCs w:val="24"/>
                <w:lang w:val="en-US" w:eastAsia="zh-CN"/>
              </w:rPr>
              <w:t>288m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w:t>
            </w:r>
            <w:r>
              <w:rPr>
                <w:rFonts w:hint="eastAsia" w:ascii="Times New Roman" w:hAnsi="Times New Roman" w:cs="Times New Roman"/>
                <w:color w:val="auto"/>
                <w:sz w:val="24"/>
                <w:szCs w:val="24"/>
                <w:lang w:val="en-US" w:eastAsia="zh-CN"/>
              </w:rPr>
              <w:t>损耗水量按照10%计算，水喷淋损耗</w:t>
            </w:r>
            <w:r>
              <w:rPr>
                <w:rFonts w:hint="default" w:ascii="Times New Roman" w:hAnsi="Times New Roman" w:cs="Times New Roman"/>
                <w:color w:val="auto"/>
                <w:sz w:val="24"/>
                <w:szCs w:val="24"/>
                <w:lang w:val="en-US" w:eastAsia="zh-CN"/>
              </w:rPr>
              <w:t>量为</w:t>
            </w:r>
            <w:r>
              <w:rPr>
                <w:rFonts w:hint="eastAsia" w:ascii="Times New Roman" w:hAnsi="Times New Roman" w:cs="Times New Roman"/>
                <w:color w:val="auto"/>
                <w:sz w:val="24"/>
                <w:szCs w:val="24"/>
                <w:lang w:val="en-US" w:eastAsia="zh-CN"/>
              </w:rPr>
              <w:t>9216m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/a（</w:t>
            </w:r>
            <w:r>
              <w:rPr>
                <w:rFonts w:hint="eastAsia" w:ascii="Times New Roman" w:hAnsi="Times New Roman" w:cs="Times New Roman"/>
                <w:color w:val="auto"/>
                <w:sz w:val="24"/>
                <w:szCs w:val="24"/>
                <w:lang w:val="en-US" w:eastAsia="zh-CN"/>
              </w:rPr>
              <w:t>28.8m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w:t>
            </w:r>
            <w:r>
              <w:rPr>
                <w:rFonts w:hint="eastAsia" w:ascii="Times New Roman" w:hAnsi="Times New Roman" w:cs="Times New Roman"/>
                <w:color w:val="auto"/>
                <w:sz w:val="24"/>
                <w:szCs w:val="24"/>
                <w:lang w:val="en-US" w:eastAsia="zh-CN"/>
              </w:rPr>
              <w:t>，水喷淋用水量为9936m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/a（</w:t>
            </w:r>
            <w:r>
              <w:rPr>
                <w:rFonts w:hint="eastAsia" w:ascii="Times New Roman" w:hAnsi="Times New Roman" w:cs="Times New Roman"/>
                <w:color w:val="auto"/>
                <w:sz w:val="24"/>
                <w:szCs w:val="24"/>
                <w:lang w:val="en-US" w:eastAsia="zh-CN"/>
              </w:rPr>
              <w:t>31.05m</w:t>
            </w:r>
            <w:r>
              <w:rPr>
                <w:rFonts w:hint="eastAsia"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w:t>
            </w:r>
            <w:r>
              <w:rPr>
                <w:rFonts w:hint="eastAsia" w:ascii="Times New Roman" w:hAnsi="Times New Roman" w:cs="Times New Roman"/>
                <w:color w:val="auto"/>
                <w:sz w:val="24"/>
                <w:szCs w:val="24"/>
                <w:lang w:val="en-US" w:eastAsia="zh-CN"/>
              </w:rPr>
              <w:t>。</w:t>
            </w:r>
          </w:p>
          <w:p w14:paraId="5DC263B3">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项目废水经公司污水处理站处理后排放。</w:t>
            </w:r>
          </w:p>
          <w:p w14:paraId="63BD875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蒸汽冷凝水：蒸汽用水量为232.8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/d、74496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/a，蒸汽冷凝水产生量为209.52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/d、67046.4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/a，回用于洗米工序。</w:t>
            </w:r>
          </w:p>
          <w:p w14:paraId="259C8E0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lang w:val="en-US" w:eastAsia="zh-CN"/>
              </w:rPr>
              <w:drawing>
                <wp:anchor distT="0" distB="0" distL="114300" distR="114300" simplePos="0" relativeHeight="251670528" behindDoc="0" locked="0" layoutInCell="1" allowOverlap="1">
                  <wp:simplePos x="0" y="0"/>
                  <wp:positionH relativeFrom="column">
                    <wp:posOffset>382270</wp:posOffset>
                  </wp:positionH>
                  <wp:positionV relativeFrom="paragraph">
                    <wp:posOffset>777875</wp:posOffset>
                  </wp:positionV>
                  <wp:extent cx="4175760" cy="2679065"/>
                  <wp:effectExtent l="0" t="0" r="15240" b="0"/>
                  <wp:wrapNone/>
                  <wp:docPr id="18" name="ECB019B1-382A-4266-B25C-5B523AA43C14-1" descr="C:/Users/Administrator/AppData/Local/Temp/wps.AHGzC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CB019B1-382A-4266-B25C-5B523AA43C14-1" descr="C:/Users/Administrator/AppData/Local/Temp/wps.AHGzCzwps"/>
                          <pic:cNvPicPr>
                            <a:picLocks noChangeAspect="1"/>
                          </pic:cNvPicPr>
                        </pic:nvPicPr>
                        <pic:blipFill>
                          <a:blip r:embed="rId12"/>
                          <a:stretch>
                            <a:fillRect/>
                          </a:stretch>
                        </pic:blipFill>
                        <pic:spPr>
                          <a:xfrm>
                            <a:off x="0" y="0"/>
                            <a:ext cx="4175760" cy="2679065"/>
                          </a:xfrm>
                          <a:prstGeom prst="rect">
                            <a:avLst/>
                          </a:prstGeom>
                        </pic:spPr>
                      </pic:pic>
                    </a:graphicData>
                  </a:graphic>
                </wp:anchor>
              </w:drawing>
            </w:r>
            <w:r>
              <w:rPr>
                <w:rFonts w:hint="default" w:ascii="Times New Roman" w:hAnsi="Times New Roman" w:cs="Times New Roman"/>
                <w:color w:val="auto"/>
                <w:sz w:val="24"/>
                <w:szCs w:val="24"/>
                <w:lang w:val="en-US" w:eastAsia="zh-CN"/>
              </w:rPr>
              <w:t>设备冷却水用量为</w:t>
            </w:r>
            <w:r>
              <w:rPr>
                <w:rFonts w:hint="eastAsia" w:cs="Times New Roman"/>
                <w:color w:val="auto"/>
                <w:sz w:val="24"/>
                <w:szCs w:val="24"/>
                <w:lang w:val="en-US" w:eastAsia="zh-CN"/>
              </w:rPr>
              <w:t>6047.69</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1935260.8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/a，设备冷却水循环使用不外排，损耗量为</w:t>
            </w:r>
            <w:r>
              <w:rPr>
                <w:rFonts w:hint="eastAsia" w:cs="Times New Roman"/>
                <w:color w:val="auto"/>
                <w:sz w:val="24"/>
                <w:szCs w:val="24"/>
                <w:lang w:val="en-US" w:eastAsia="zh-CN"/>
              </w:rPr>
              <w:t>604.769</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193526.08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/a。新鲜水补充量为</w:t>
            </w:r>
            <w:r>
              <w:rPr>
                <w:rFonts w:hint="eastAsia" w:cs="Times New Roman"/>
                <w:color w:val="auto"/>
                <w:sz w:val="24"/>
                <w:szCs w:val="24"/>
                <w:lang w:val="en-US" w:eastAsia="zh-CN"/>
              </w:rPr>
              <w:t>604.769</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193526.08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5E3AF2C0">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69D7B452">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369AA5C3">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70C3E6C1">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08CDFEFB">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22544A86">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4A1886BC">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6BA8B307">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77DEE567">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1B8248A1">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p>
          <w:p w14:paraId="4A9A91B7">
            <w:pPr>
              <w:keepNext w:val="0"/>
              <w:keepLines w:val="0"/>
              <w:suppressLineNumbers w:val="0"/>
              <w:spacing w:before="0" w:beforeAutospacing="0" w:after="0" w:afterAutospacing="0"/>
              <w:ind w:left="0" w:right="0" w:firstLine="2640" w:firstLineChars="1100"/>
              <w:rPr>
                <w:rFonts w:hint="default" w:ascii="Times New Roman" w:hAnsi="Times New Roman" w:cs="Times New Roman"/>
                <w:b/>
                <w:bCs/>
                <w:color w:val="auto"/>
                <w:lang w:val="en-US" w:eastAsia="zh-CN"/>
              </w:rPr>
            </w:pPr>
            <w:r>
              <w:rPr>
                <w:rFonts w:hint="default" w:ascii="Times New Roman" w:hAnsi="Times New Roman" w:eastAsia="宋体" w:cs="Times New Roman"/>
                <w:color w:val="auto"/>
                <w:sz w:val="24"/>
                <w:szCs w:val="24"/>
                <w:lang w:eastAsia="zh-CN"/>
              </w:rPr>
              <w:drawing>
                <wp:anchor distT="0" distB="0" distL="114300" distR="114300" simplePos="0" relativeHeight="251666432" behindDoc="0" locked="0" layoutInCell="1" allowOverlap="1">
                  <wp:simplePos x="0" y="0"/>
                  <wp:positionH relativeFrom="column">
                    <wp:posOffset>682625</wp:posOffset>
                  </wp:positionH>
                  <wp:positionV relativeFrom="paragraph">
                    <wp:posOffset>185420</wp:posOffset>
                  </wp:positionV>
                  <wp:extent cx="3857625" cy="3397250"/>
                  <wp:effectExtent l="0" t="0" r="0" b="0"/>
                  <wp:wrapNone/>
                  <wp:docPr id="14" name="ECB019B1-382A-4266-B25C-5B523AA43C14-2" descr="C:/Users/Administrator/AppData/Local/Temp/wps.JUChZ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CB019B1-382A-4266-B25C-5B523AA43C14-2" descr="C:/Users/Administrator/AppData/Local/Temp/wps.JUChZcwps"/>
                          <pic:cNvPicPr>
                            <a:picLocks noChangeAspect="1"/>
                          </pic:cNvPicPr>
                        </pic:nvPicPr>
                        <pic:blipFill>
                          <a:blip r:embed="rId13"/>
                          <a:stretch>
                            <a:fillRect/>
                          </a:stretch>
                        </pic:blipFill>
                        <pic:spPr>
                          <a:xfrm>
                            <a:off x="0" y="0"/>
                            <a:ext cx="3857625" cy="3397250"/>
                          </a:xfrm>
                          <a:prstGeom prst="rect">
                            <a:avLst/>
                          </a:prstGeom>
                        </pic:spPr>
                      </pic:pic>
                    </a:graphicData>
                  </a:graphic>
                </wp:anchor>
              </w:drawing>
            </w:r>
            <w:r>
              <w:rPr>
                <w:rFonts w:hint="default" w:ascii="Times New Roman" w:hAnsi="Times New Roman" w:cs="Times New Roman"/>
                <w:b/>
                <w:bCs/>
                <w:color w:val="auto"/>
                <w:lang w:val="en-US" w:eastAsia="zh-CN"/>
              </w:rPr>
              <w:t>图2-2现有项目水平衡图（t/d）</w:t>
            </w:r>
          </w:p>
          <w:p w14:paraId="237FB7A9">
            <w:pPr>
              <w:keepNext w:val="0"/>
              <w:keepLines w:val="0"/>
              <w:suppressLineNumbers w:val="0"/>
              <w:spacing w:before="0" w:beforeAutospacing="0" w:after="0" w:afterAutospacing="0"/>
              <w:ind w:left="0" w:right="0"/>
              <w:rPr>
                <w:rFonts w:hint="default" w:ascii="Times New Roman" w:hAnsi="Times New Roman" w:cs="Times New Roman"/>
                <w:color w:val="auto"/>
                <w:lang w:val="en-US" w:eastAsia="zh-CN"/>
              </w:rPr>
            </w:pPr>
          </w:p>
          <w:p w14:paraId="5973AC69">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4DAF96FE">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65A93141">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35C67E64">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63613ADD">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57F952E4">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5C8ADC95">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17A81D1E">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724E8D0E">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4376A5A3">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2716F2C3">
            <w:pPr>
              <w:keepNext w:val="0"/>
              <w:keepLines w:val="0"/>
              <w:suppressLineNumbers w:val="0"/>
              <w:spacing w:before="0" w:beforeAutospacing="0" w:after="0" w:afterAutospacing="0"/>
              <w:ind w:left="0" w:right="0" w:firstLine="2650" w:firstLineChars="1100"/>
              <w:rPr>
                <w:rFonts w:hint="default" w:ascii="Times New Roman" w:hAnsi="Times New Roman" w:eastAsia="宋体" w:cs="Times New Roman"/>
                <w:b/>
                <w:bCs/>
                <w:color w:val="auto"/>
                <w:lang w:val="en-US" w:eastAsia="zh-CN"/>
              </w:rPr>
            </w:pPr>
          </w:p>
          <w:p w14:paraId="250886F9">
            <w:pPr>
              <w:keepNext w:val="0"/>
              <w:keepLines w:val="0"/>
              <w:suppressLineNumbers w:val="0"/>
              <w:spacing w:before="0" w:beforeAutospacing="0" w:after="0" w:afterAutospacing="0"/>
              <w:ind w:left="0" w:right="0" w:firstLine="2650" w:firstLineChars="1100"/>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lang w:val="en-US" w:eastAsia="zh-CN"/>
              </w:rPr>
              <w:t>图2-</w:t>
            </w:r>
            <w:r>
              <w:rPr>
                <w:rFonts w:hint="default" w:ascii="Times New Roman" w:hAnsi="Times New Roman" w:cs="Times New Roman"/>
                <w:b/>
                <w:bCs/>
                <w:color w:val="auto"/>
                <w:lang w:val="en-US" w:eastAsia="zh-CN"/>
              </w:rPr>
              <w:t>3</w:t>
            </w:r>
            <w:r>
              <w:rPr>
                <w:rFonts w:hint="default" w:ascii="Times New Roman" w:hAnsi="Times New Roman" w:eastAsia="宋体" w:cs="Times New Roman"/>
                <w:b/>
                <w:bCs/>
                <w:color w:val="auto"/>
                <w:lang w:val="en-US" w:eastAsia="zh-CN"/>
              </w:rPr>
              <w:t xml:space="preserve"> </w:t>
            </w:r>
            <w:r>
              <w:rPr>
                <w:rFonts w:hint="default" w:ascii="Times New Roman" w:hAnsi="Times New Roman" w:cs="Times New Roman"/>
                <w:b/>
                <w:bCs/>
                <w:color w:val="auto"/>
                <w:lang w:val="en-US" w:eastAsia="zh-CN"/>
              </w:rPr>
              <w:t>技改后全厂</w:t>
            </w:r>
            <w:r>
              <w:rPr>
                <w:rFonts w:hint="default" w:ascii="Times New Roman" w:hAnsi="Times New Roman" w:eastAsia="宋体" w:cs="Times New Roman"/>
                <w:b/>
                <w:bCs/>
                <w:color w:val="auto"/>
                <w:lang w:val="en-US" w:eastAsia="zh-CN"/>
              </w:rPr>
              <w:t>水平衡图</w:t>
            </w:r>
            <w:r>
              <w:rPr>
                <w:rFonts w:hint="default" w:ascii="Times New Roman" w:hAnsi="Times New Roman" w:cs="Times New Roman"/>
                <w:b/>
                <w:bCs/>
                <w:color w:val="auto"/>
                <w:lang w:val="en-US" w:eastAsia="zh-CN"/>
              </w:rPr>
              <w:t>（t/d）</w:t>
            </w:r>
          </w:p>
          <w:p w14:paraId="481049B0">
            <w:pPr>
              <w:pStyle w:val="9"/>
              <w:keepNext w:val="0"/>
              <w:keepLines w:val="0"/>
              <w:suppressLineNumbers w:val="0"/>
              <w:spacing w:before="0" w:beforeAutospacing="0" w:after="0" w:afterAutospacing="0"/>
              <w:ind w:right="0"/>
              <w:rPr>
                <w:rFonts w:hint="default"/>
                <w:color w:val="auto"/>
                <w:lang w:eastAsia="zh-CN"/>
              </w:rPr>
            </w:pPr>
          </w:p>
          <w:p w14:paraId="6D5B93CF">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35CADA3E">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lang w:eastAsia="zh-CN"/>
              </w:rPr>
              <w:drawing>
                <wp:anchor distT="0" distB="0" distL="114300" distR="114300" simplePos="0" relativeHeight="251671552" behindDoc="0" locked="0" layoutInCell="1" allowOverlap="1">
                  <wp:simplePos x="0" y="0"/>
                  <wp:positionH relativeFrom="column">
                    <wp:posOffset>5715</wp:posOffset>
                  </wp:positionH>
                  <wp:positionV relativeFrom="paragraph">
                    <wp:posOffset>115570</wp:posOffset>
                  </wp:positionV>
                  <wp:extent cx="5028565" cy="1218565"/>
                  <wp:effectExtent l="0" t="0" r="0" b="0"/>
                  <wp:wrapNone/>
                  <wp:docPr id="20" name="ECB019B1-382A-4266-B25C-5B523AA43C14-3" descr="C:/Users/Administrator/AppData/Local/Temp/wps.DfLEU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CB019B1-382A-4266-B25C-5B523AA43C14-3" descr="C:/Users/Administrator/AppData/Local/Temp/wps.DfLEUfwps"/>
                          <pic:cNvPicPr>
                            <a:picLocks noChangeAspect="1"/>
                          </pic:cNvPicPr>
                        </pic:nvPicPr>
                        <pic:blipFill>
                          <a:blip r:embed="rId14"/>
                          <a:stretch>
                            <a:fillRect/>
                          </a:stretch>
                        </pic:blipFill>
                        <pic:spPr>
                          <a:xfrm>
                            <a:off x="0" y="0"/>
                            <a:ext cx="5028565" cy="1218565"/>
                          </a:xfrm>
                          <a:prstGeom prst="rect">
                            <a:avLst/>
                          </a:prstGeom>
                        </pic:spPr>
                      </pic:pic>
                    </a:graphicData>
                  </a:graphic>
                </wp:anchor>
              </w:drawing>
            </w:r>
          </w:p>
          <w:p w14:paraId="14B01C1D">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7DFDF59F">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1555F899">
            <w:pPr>
              <w:keepNext w:val="0"/>
              <w:keepLines w:val="0"/>
              <w:pageBreakBefore/>
              <w:widowControl/>
              <w:suppressLineNumbers w:val="0"/>
              <w:spacing w:before="0" w:beforeLines="0" w:beforeAutospacing="0" w:after="0" w:afterLines="0" w:afterAutospacing="0"/>
              <w:ind w:left="0" w:right="0" w:firstLine="2650" w:firstLineChars="1100"/>
              <w:rPr>
                <w:rFonts w:hint="default" w:ascii="Times New Roman" w:hAnsi="Times New Roman" w:cs="Times New Roman"/>
                <w:b/>
                <w:bCs/>
                <w:color w:val="auto"/>
                <w:sz w:val="24"/>
                <w:szCs w:val="24"/>
                <w:lang w:val="en-US" w:eastAsia="zh-CN"/>
              </w:rPr>
            </w:pPr>
          </w:p>
          <w:p w14:paraId="0043E7EF">
            <w:pPr>
              <w:keepNext w:val="0"/>
              <w:keepLines w:val="0"/>
              <w:pageBreakBefore/>
              <w:widowControl/>
              <w:suppressLineNumbers w:val="0"/>
              <w:spacing w:before="0" w:beforeLines="0" w:beforeAutospacing="0" w:after="0" w:afterLines="0" w:afterAutospacing="0"/>
              <w:ind w:left="0" w:right="0" w:firstLine="2650" w:firstLineChars="1100"/>
              <w:rPr>
                <w:rFonts w:hint="default" w:ascii="Times New Roman" w:hAnsi="Times New Roman" w:cs="Times New Roman"/>
                <w:b/>
                <w:bCs/>
                <w:color w:val="auto"/>
                <w:sz w:val="24"/>
                <w:szCs w:val="24"/>
                <w:lang w:val="en-US" w:eastAsia="zh-CN"/>
              </w:rPr>
            </w:pPr>
          </w:p>
          <w:p w14:paraId="2BCDD164">
            <w:pPr>
              <w:keepNext w:val="0"/>
              <w:keepLines w:val="0"/>
              <w:pageBreakBefore/>
              <w:widowControl/>
              <w:suppressLineNumbers w:val="0"/>
              <w:spacing w:before="0" w:beforeLines="0" w:beforeAutospacing="0" w:after="0" w:afterLines="0" w:afterAutospacing="0"/>
              <w:ind w:left="0" w:right="0" w:firstLine="2640" w:firstLineChars="1100"/>
              <w:rPr>
                <w:rFonts w:hint="default" w:ascii="Times New Roman" w:hAnsi="Times New Roman" w:cs="Times New Roman"/>
                <w:b/>
                <w:bCs/>
                <w:color w:val="auto"/>
                <w:sz w:val="24"/>
                <w:szCs w:val="24"/>
                <w:lang w:val="en-US" w:eastAsia="zh-CN"/>
              </w:rPr>
            </w:pPr>
            <w:r>
              <w:rPr>
                <w:rFonts w:hint="default" w:ascii="Times New Roman" w:hAnsi="Times New Roman" w:cs="Times New Roman"/>
                <w:color w:val="auto"/>
                <w:lang w:val="en-US" w:eastAsia="zh-CN"/>
              </w:rPr>
              <w:drawing>
                <wp:anchor distT="0" distB="0" distL="114300" distR="114300" simplePos="0" relativeHeight="251667456" behindDoc="0" locked="0" layoutInCell="1" allowOverlap="1">
                  <wp:simplePos x="0" y="0"/>
                  <wp:positionH relativeFrom="column">
                    <wp:posOffset>59055</wp:posOffset>
                  </wp:positionH>
                  <wp:positionV relativeFrom="paragraph">
                    <wp:posOffset>199390</wp:posOffset>
                  </wp:positionV>
                  <wp:extent cx="4886960" cy="2224405"/>
                  <wp:effectExtent l="0" t="0" r="0" b="0"/>
                  <wp:wrapNone/>
                  <wp:docPr id="15" name="ECB019B1-382A-4266-B25C-5B523AA43C14-4" descr="C:/Users/Administrator/AppData/Local/Temp/wps.EMkJjl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CB019B1-382A-4266-B25C-5B523AA43C14-4" descr="C:/Users/Administrator/AppData/Local/Temp/wps.EMkJjlwps"/>
                          <pic:cNvPicPr>
                            <a:picLocks noChangeAspect="1"/>
                          </pic:cNvPicPr>
                        </pic:nvPicPr>
                        <pic:blipFill>
                          <a:blip r:embed="rId15"/>
                          <a:stretch>
                            <a:fillRect/>
                          </a:stretch>
                        </pic:blipFill>
                        <pic:spPr>
                          <a:xfrm>
                            <a:off x="0" y="0"/>
                            <a:ext cx="4886960" cy="2224405"/>
                          </a:xfrm>
                          <a:prstGeom prst="rect">
                            <a:avLst/>
                          </a:prstGeom>
                        </pic:spPr>
                      </pic:pic>
                    </a:graphicData>
                  </a:graphic>
                </wp:anchor>
              </w:drawing>
            </w:r>
            <w:r>
              <w:rPr>
                <w:rFonts w:hint="default" w:ascii="Times New Roman" w:hAnsi="Times New Roman" w:cs="Times New Roman"/>
                <w:b/>
                <w:bCs/>
                <w:color w:val="auto"/>
                <w:sz w:val="24"/>
                <w:szCs w:val="24"/>
                <w:lang w:val="en-US" w:eastAsia="zh-CN"/>
              </w:rPr>
              <w:t xml:space="preserve">图2-4 </w:t>
            </w:r>
            <w:r>
              <w:rPr>
                <w:rFonts w:hint="default" w:ascii="Times New Roman" w:hAnsi="Times New Roman" w:cs="Times New Roman"/>
                <w:b/>
                <w:bCs/>
                <w:color w:val="auto"/>
                <w:lang w:val="en-US" w:eastAsia="zh-CN"/>
              </w:rPr>
              <w:t>现有项目</w:t>
            </w:r>
            <w:r>
              <w:rPr>
                <w:rFonts w:hint="default" w:ascii="Times New Roman" w:hAnsi="Times New Roman" w:cs="Times New Roman"/>
                <w:b/>
                <w:bCs/>
                <w:color w:val="auto"/>
                <w:sz w:val="24"/>
                <w:szCs w:val="24"/>
                <w:lang w:val="en-US" w:eastAsia="zh-CN"/>
              </w:rPr>
              <w:t>蒸汽平衡图</w:t>
            </w:r>
            <w:r>
              <w:rPr>
                <w:rFonts w:hint="default" w:ascii="Times New Roman" w:hAnsi="Times New Roman" w:cs="Times New Roman"/>
                <w:b/>
                <w:bCs/>
                <w:color w:val="auto"/>
                <w:lang w:val="en-US" w:eastAsia="zh-CN"/>
              </w:rPr>
              <w:t>（t/d）</w:t>
            </w:r>
          </w:p>
          <w:p w14:paraId="4062E84D">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1705471B">
            <w:pPr>
              <w:pStyle w:val="39"/>
              <w:keepNext w:val="0"/>
              <w:keepLines w:val="0"/>
              <w:suppressLineNumbers w:val="0"/>
              <w:spacing w:before="0" w:beforeAutospacing="0" w:after="0" w:afterAutospacing="0"/>
              <w:ind w:left="0" w:right="0"/>
              <w:rPr>
                <w:rFonts w:hint="default" w:ascii="Times New Roman" w:hAnsi="Times New Roman" w:cs="Times New Roman"/>
                <w:color w:val="auto"/>
                <w:lang w:val="en-US" w:eastAsia="zh-CN"/>
              </w:rPr>
            </w:pPr>
          </w:p>
          <w:p w14:paraId="6A28A67E">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33139B54">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6D9D928B">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579D3CD0">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4F3A1254">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p>
          <w:p w14:paraId="6DE3170C">
            <w:pPr>
              <w:keepNext w:val="0"/>
              <w:keepLines w:val="0"/>
              <w:pageBreakBefore/>
              <w:widowControl/>
              <w:suppressLineNumbers w:val="0"/>
              <w:spacing w:before="0" w:beforeLines="0" w:beforeAutospacing="0" w:after="0" w:afterLines="0" w:afterAutospacing="0"/>
              <w:ind w:left="0" w:right="0" w:firstLine="2640" w:firstLineChars="1100"/>
              <w:rPr>
                <w:rFonts w:hint="default" w:ascii="Times New Roman" w:hAnsi="Times New Roman" w:cs="Times New Roman"/>
                <w:color w:val="auto"/>
                <w:sz w:val="24"/>
                <w:szCs w:val="24"/>
                <w:lang w:val="en-US" w:eastAsia="zh-CN"/>
              </w:rPr>
            </w:pPr>
          </w:p>
          <w:p w14:paraId="1DC9D0CE">
            <w:pPr>
              <w:keepNext w:val="0"/>
              <w:keepLines w:val="0"/>
              <w:pageBreakBefore/>
              <w:widowControl/>
              <w:suppressLineNumbers w:val="0"/>
              <w:spacing w:before="0" w:beforeLines="0" w:beforeAutospacing="0" w:after="0" w:afterLines="0" w:afterAutospacing="0"/>
              <w:ind w:left="0" w:right="0" w:firstLine="2650" w:firstLineChars="11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图2-5 全厂蒸汽平衡图</w:t>
            </w:r>
            <w:r>
              <w:rPr>
                <w:rFonts w:hint="default" w:ascii="Times New Roman" w:hAnsi="Times New Roman" w:cs="Times New Roman"/>
                <w:b/>
                <w:bCs/>
                <w:color w:val="auto"/>
                <w:lang w:val="en-US" w:eastAsia="zh-CN"/>
              </w:rPr>
              <w:t>（t/d）</w:t>
            </w:r>
          </w:p>
          <w:p w14:paraId="7EB15571">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）供电</w:t>
            </w:r>
          </w:p>
          <w:p w14:paraId="66156944">
            <w:pPr>
              <w:keepNext w:val="0"/>
              <w:keepLines w:val="0"/>
              <w:pageBreakBefore/>
              <w:widowControl/>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rPr>
              <w:t>用电由市政电管网供应</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年用电量</w:t>
            </w:r>
            <w:r>
              <w:rPr>
                <w:rFonts w:hint="default" w:ascii="Times New Roman" w:hAnsi="Times New Roman" w:cs="Times New Roman"/>
                <w:color w:val="auto"/>
                <w:sz w:val="24"/>
                <w:szCs w:val="24"/>
                <w:lang w:val="en-US" w:eastAsia="zh-CN"/>
              </w:rPr>
              <w:t>260</w:t>
            </w:r>
            <w:r>
              <w:rPr>
                <w:rFonts w:hint="default" w:ascii="Times New Roman" w:hAnsi="Times New Roman" w:cs="Times New Roman"/>
                <w:color w:val="auto"/>
                <w:sz w:val="24"/>
                <w:szCs w:val="24"/>
              </w:rPr>
              <w:t>万</w:t>
            </w:r>
            <w:r>
              <w:rPr>
                <w:rFonts w:hint="default" w:ascii="Times New Roman" w:hAnsi="Times New Roman" w:cs="Times New Roman"/>
                <w:color w:val="auto"/>
                <w:sz w:val="24"/>
                <w:szCs w:val="24"/>
                <w:lang w:eastAsia="zh-CN"/>
              </w:rPr>
              <w:t>kW</w:t>
            </w:r>
            <w:r>
              <w:rPr>
                <w:rFonts w:hint="default" w:ascii="Times New Roman" w:hAnsi="Times New Roman" w:cs="Times New Roman"/>
                <w:color w:val="auto"/>
                <w:sz w:val="24"/>
                <w:szCs w:val="24"/>
              </w:rPr>
              <w:t>.h。</w:t>
            </w:r>
          </w:p>
          <w:p w14:paraId="5A57E209">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8</w:t>
            </w:r>
            <w:r>
              <w:rPr>
                <w:rFonts w:hint="default" w:ascii="Times New Roman" w:hAnsi="Times New Roman" w:cs="Times New Roman"/>
                <w:b/>
                <w:color w:val="auto"/>
                <w:sz w:val="24"/>
                <w:szCs w:val="24"/>
                <w:lang w:eastAsia="zh-CN"/>
              </w:rPr>
              <w:t>、</w:t>
            </w:r>
            <w:r>
              <w:rPr>
                <w:rFonts w:hint="default" w:ascii="Times New Roman" w:hAnsi="Times New Roman" w:cs="Times New Roman"/>
                <w:b/>
                <w:color w:val="auto"/>
                <w:sz w:val="24"/>
                <w:szCs w:val="24"/>
              </w:rPr>
              <w:t>厂区平面布置</w:t>
            </w:r>
          </w:p>
          <w:p w14:paraId="530C3569">
            <w:pPr>
              <w:keepNext w:val="0"/>
              <w:keepLines w:val="0"/>
              <w:pageBreakBefore/>
              <w:widowControl/>
              <w:suppressLineNumbers w:val="0"/>
              <w:spacing w:before="0" w:beforeLines="0" w:beforeAutospacing="0" w:after="0" w:afterLines="0" w:afterAutospacing="0"/>
              <w:ind w:left="0" w:right="0" w:firstLine="480" w:firstLineChars="200"/>
              <w:rPr>
                <w:rFonts w:hint="default" w:ascii="Times New Roman" w:hAnsi="Times New Roman" w:eastAsia="黑体" w:cs="Times New Roman"/>
                <w:snapToGrid w:val="0"/>
                <w:color w:val="auto"/>
                <w:sz w:val="30"/>
                <w:szCs w:val="30"/>
                <w:vertAlign w:val="baseline"/>
              </w:rPr>
            </w:pPr>
            <w:r>
              <w:rPr>
                <w:rFonts w:hint="default"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rPr>
              <w:t>功能分区明确。生产区域各环节连接紧凑</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物料输送距离短</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便于节能降耗</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提高生产效率</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并减轻厂区内主要生产设备噪声对厂区附近声环境的影响。从总体上讲</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厂房功能区划分明确</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各功能区</w:t>
            </w:r>
            <w:r>
              <w:rPr>
                <w:rFonts w:hint="default" w:ascii="Times New Roman" w:hAnsi="Times New Roman" w:cs="Times New Roman"/>
                <w:color w:val="auto"/>
                <w:sz w:val="24"/>
                <w:szCs w:val="24"/>
                <w:lang w:eastAsia="zh-CN"/>
              </w:rPr>
              <w:t>平面布置</w:t>
            </w:r>
            <w:r>
              <w:rPr>
                <w:rFonts w:hint="default" w:ascii="Times New Roman" w:hAnsi="Times New Roman" w:cs="Times New Roman"/>
                <w:color w:val="auto"/>
                <w:sz w:val="24"/>
                <w:szCs w:val="24"/>
              </w:rPr>
              <w:t>充分考虑安全间距</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避免相互影响</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项目平面布置较为合理。</w:t>
            </w:r>
          </w:p>
        </w:tc>
      </w:tr>
      <w:tr w14:paraId="79395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3" w:hRule="atLeast"/>
        </w:trPr>
        <w:tc>
          <w:tcPr>
            <w:tcW w:w="426" w:type="dxa"/>
            <w:vAlign w:val="center"/>
          </w:tcPr>
          <w:p w14:paraId="258A83D4">
            <w:pPr>
              <w:pStyle w:val="25"/>
              <w:keepNext w:val="0"/>
              <w:keepLines w:val="0"/>
              <w:numPr>
                <w:ilvl w:val="0"/>
                <w:numId w:val="0"/>
              </w:numPr>
              <w:suppressLineNumbers w:val="0"/>
              <w:spacing w:before="0" w:after="0"/>
              <w:ind w:left="0" w:right="0"/>
              <w:jc w:val="center"/>
              <w:outlineLvl w:val="0"/>
              <w:rPr>
                <w:rFonts w:hint="default" w:ascii="Times New Roman" w:hAnsi="Times New Roman" w:eastAsia="黑体" w:cs="Times New Roman"/>
                <w:snapToGrid w:val="0"/>
                <w:color w:val="auto"/>
                <w:sz w:val="24"/>
                <w:szCs w:val="24"/>
                <w:vertAlign w:val="baseline"/>
              </w:rPr>
            </w:pPr>
            <w:bookmarkStart w:id="14" w:name="_Toc11579"/>
            <w:r>
              <w:rPr>
                <w:rFonts w:hint="default" w:ascii="Times New Roman" w:hAnsi="Times New Roman" w:eastAsia="黑体" w:cs="Times New Roman"/>
                <w:snapToGrid w:val="0"/>
                <w:color w:val="auto"/>
                <w:sz w:val="24"/>
                <w:szCs w:val="24"/>
                <w:vertAlign w:val="baseline"/>
                <w:lang w:val="en-US" w:eastAsia="zh-CN"/>
              </w:rPr>
              <w:t>艺流程和产排污环节</w:t>
            </w:r>
            <w:bookmarkEnd w:id="14"/>
          </w:p>
        </w:tc>
        <w:tc>
          <w:tcPr>
            <w:tcW w:w="8174" w:type="dxa"/>
            <w:vAlign w:val="top"/>
          </w:tcPr>
          <w:p w14:paraId="47A74D48">
            <w:pPr>
              <w:keepNext w:val="0"/>
              <w:keepLines w:val="0"/>
              <w:pageBreakBefore/>
              <w:widowControl/>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1.施工期环境影响</w:t>
            </w:r>
          </w:p>
          <w:p w14:paraId="55FDAC54">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default" w:ascii="Times New Roman" w:hAnsi="Times New Roman" w:cs="Times New Roman"/>
                <w:color w:val="auto"/>
                <w:sz w:val="24"/>
                <w:szCs w:val="24"/>
                <w:lang w:val="zh-CN"/>
              </w:rPr>
            </w:pPr>
            <w:r>
              <w:rPr>
                <w:rFonts w:hint="default"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lang w:val="zh-CN"/>
              </w:rPr>
              <w:t>依托现有厂房，施工期主要为安装调试设备，且施工期工期短，不会对周边环境造成长期影响。故本环评不进行详细分析。</w:t>
            </w:r>
          </w:p>
          <w:p w14:paraId="4B2DE148">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2.</w:t>
            </w:r>
            <w:r>
              <w:rPr>
                <w:rFonts w:hint="default" w:ascii="Times New Roman" w:hAnsi="Times New Roman" w:cs="Times New Roman"/>
                <w:b/>
                <w:color w:val="auto"/>
                <w:sz w:val="24"/>
                <w:szCs w:val="24"/>
                <w:lang w:eastAsia="zh-CN"/>
              </w:rPr>
              <w:t>技改项目</w:t>
            </w:r>
            <w:r>
              <w:rPr>
                <w:rFonts w:hint="default" w:ascii="Times New Roman" w:hAnsi="Times New Roman" w:cs="Times New Roman"/>
                <w:b/>
                <w:color w:val="auto"/>
                <w:sz w:val="24"/>
                <w:szCs w:val="24"/>
              </w:rPr>
              <w:t>运营期主要工艺流程及产排污环节</w:t>
            </w:r>
          </w:p>
          <w:p w14:paraId="5E354A90">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default" w:ascii="Times New Roman" w:hAnsi="Times New Roman" w:eastAsia="宋体" w:cs="Times New Roman"/>
                <w:b/>
                <w:color w:val="auto"/>
                <w:sz w:val="21"/>
                <w:szCs w:val="21"/>
                <w:lang w:eastAsia="zh-CN"/>
              </w:rPr>
            </w:pPr>
            <w:r>
              <w:rPr>
                <w:rFonts w:hint="default" w:ascii="Times New Roman" w:hAnsi="Times New Roman" w:cs="Times New Roman"/>
                <w:color w:val="auto"/>
                <w:sz w:val="21"/>
              </w:rPr>
              <mc:AlternateContent>
                <mc:Choice Requires="wps">
                  <w:drawing>
                    <wp:anchor distT="0" distB="0" distL="114300" distR="114300" simplePos="0" relativeHeight="251665408" behindDoc="0" locked="0" layoutInCell="1" allowOverlap="1">
                      <wp:simplePos x="0" y="0"/>
                      <wp:positionH relativeFrom="column">
                        <wp:posOffset>2930525</wp:posOffset>
                      </wp:positionH>
                      <wp:positionV relativeFrom="paragraph">
                        <wp:posOffset>3787775</wp:posOffset>
                      </wp:positionV>
                      <wp:extent cx="2162810" cy="353695"/>
                      <wp:effectExtent l="0" t="0" r="8890" b="8255"/>
                      <wp:wrapNone/>
                      <wp:docPr id="17" name="文本框 17"/>
                      <wp:cNvGraphicFramePr/>
                      <a:graphic xmlns:a="http://schemas.openxmlformats.org/drawingml/2006/main">
                        <a:graphicData uri="http://schemas.microsoft.com/office/word/2010/wordprocessingShape">
                          <wps:wsp>
                            <wps:cNvSpPr txBox="1"/>
                            <wps:spPr>
                              <a:xfrm>
                                <a:off x="3943985" y="6118225"/>
                                <a:ext cx="2162810" cy="3536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20D151D">
                                  <w:pPr>
                                    <w:ind w:left="0" w:leftChars="0" w:firstLine="0" w:firstLineChars="0"/>
                                    <w:rPr>
                                      <w:rFonts w:hint="default" w:eastAsia="宋体"/>
                                      <w:lang w:val="en-US" w:eastAsia="zh-CN"/>
                                    </w:rPr>
                                  </w:pPr>
                                  <w:r>
                                    <w:rPr>
                                      <w:rFonts w:hint="eastAsia"/>
                                      <w:lang w:val="en-US" w:eastAsia="zh-CN"/>
                                    </w:rPr>
                                    <w:t>图例： G废气 S固废W废水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0.75pt;margin-top:298.25pt;height:27.85pt;width:170.3pt;z-index:251665408;mso-width-relative:page;mso-height-relative:page;" fillcolor="#FFFFFF [3201]" filled="t" stroked="f" coordsize="21600,21600" o:gfxdata="UEsDBAoAAAAAAIdO4kAAAAAAAAAAAAAAAAAEAAAAZHJzL1BLAwQUAAAACACHTuJA1d2vPdcAAAAL&#10;AQAADwAAAGRycy9kb3ducmV2LnhtbE2Py07DMBBF90j8gzVI7KjtqIlKiNMFElsk2tK1G5s4wh5H&#10;tvv8eoYV7GY0R3fO7daX4NnJpjxFVCAXApjFIZoJRwW77dvTClguGo32Ea2Cq82w7u/vOt2aeMYP&#10;e9qUkVEI5lYrcKXMLed5cDbovIizRbp9xRR0oTWN3CR9pvDgeSVEw4OekD44PdtXZ4fvzTEo2I/h&#10;tv+Uc3Im+CW+367bXZyUenyQ4gVYsZfyB8OvPqlDT06HeESTmVewbGRNqIL6uaGBiJWoJLCDgqau&#10;KuB9x/936H8AUEsDBBQAAAAIAIdO4kBB8peOXwIAAJ0EAAAOAAAAZHJzL2Uyb0RvYy54bWytVM1u&#10;2zAMvg/YOwi6r46dnyZBnSJrkWFAsRbohp0VWY4FSKImKbG7B9jeoKdddt9z5TlGyUnbdTv0sBwc&#10;SvxM8vtI+uy804rshPMSTEnzkwElwnCopNmU9NPH1ZspJT4wUzEFRpT0Tnh6vnj96qy1c1FAA6oS&#10;jmAQ4+etLWkTgp1nmeeN0MyfgBUGnTU4zQIe3SarHGsxulZZMRhMshZcZR1w4T3eXvZOeojoXhIQ&#10;6lpycQl8q4UJfVQnFAtIyTfSerpI1da14OG6rr0IRJUUmYb0xCRor+MzW5yx+cYx20h+KIG9pIRn&#10;nDSTBpM+hLpkgZGtk3+F0pI78FCHEw4664kkRZBFPnimzW3DrEhcUGpvH0T3/y8s/7C7cURWOAmn&#10;lBimseP7++/7H7/2P78RvEOBWuvniLu1iAzdW+gQfLz3eBl5d7XT8R8ZEfQPZ6PhbDqm5K6kkzyf&#10;FsW4l1p0gXAEFPmkmObYBY6I4Xg4mSVA9hjJOh/eCdAkGiV12MqkMNtd+YBVIfQIiYk9KFmtpFLp&#10;4DbrC+XIjmHbV+kX0+Mrf8CUIS3WNxwPUmQD8f0epwzCI/GeYLRCt+4OaqyhukMxHPTz5C1fSazy&#10;ivlwwxwOEBLDFQvX+KgVYBI4WJQ04L7+6z7isa/opaTFgSyp/7JlTlCi3hvs+CwfjeIEp8NofFrg&#10;wT31rJ96zFZfAJLPcZktT2bEB3U0awf6M27iMmZFFzMcc5c0HM2L0K8JbjIXy2UC4cxaFq7MreUx&#10;dJTawHIboJapJVGmXpuDeji1SfbDhsW1eHpOqMevy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1d2vPdcAAAALAQAADwAAAAAAAAABACAAAAAiAAAAZHJzL2Rvd25yZXYueG1sUEsBAhQAFAAAAAgA&#10;h07iQEHyl45fAgAAnQQAAA4AAAAAAAAAAQAgAAAAJgEAAGRycy9lMm9Eb2MueG1sUEsFBgAAAAAG&#10;AAYAWQEAAPcFAAAAAA==&#10;">
                      <v:fill on="t" focussize="0,0"/>
                      <v:stroke on="f" weight="0.5pt"/>
                      <v:imagedata o:title=""/>
                      <o:lock v:ext="edit" aspectratio="f"/>
                      <v:textbox>
                        <w:txbxContent>
                          <w:p w14:paraId="220D151D">
                            <w:pPr>
                              <w:ind w:left="0" w:leftChars="0" w:firstLine="0" w:firstLineChars="0"/>
                              <w:rPr>
                                <w:rFonts w:hint="default" w:eastAsia="宋体"/>
                                <w:lang w:val="en-US" w:eastAsia="zh-CN"/>
                              </w:rPr>
                            </w:pPr>
                            <w:r>
                              <w:rPr>
                                <w:rFonts w:hint="eastAsia"/>
                                <w:lang w:val="en-US" w:eastAsia="zh-CN"/>
                              </w:rPr>
                              <w:t>图例： G废气 S固废W废水</w:t>
                            </w:r>
                          </w:p>
                        </w:txbxContent>
                      </v:textbox>
                    </v:shape>
                  </w:pict>
                </mc:Fallback>
              </mc:AlternateContent>
            </w:r>
            <w:r>
              <w:rPr>
                <w:rFonts w:hint="default" w:ascii="Times New Roman" w:hAnsi="Times New Roman" w:eastAsia="宋体" w:cs="Times New Roman"/>
                <w:b/>
                <w:color w:val="auto"/>
                <w:sz w:val="21"/>
                <w:szCs w:val="21"/>
                <w:lang w:eastAsia="zh-CN"/>
              </w:rPr>
              <w:drawing>
                <wp:inline distT="0" distB="0" distL="114300" distR="114300">
                  <wp:extent cx="3733800" cy="4142740"/>
                  <wp:effectExtent l="0" t="0" r="0" b="0"/>
                  <wp:docPr id="2" name="ECB019B1-382A-4266-B25C-5B523AA43C14-5" descr="C:/Users/Administrator/AppData/Local/Temp/wps.ctCKF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5" descr="C:/Users/Administrator/AppData/Local/Temp/wps.ctCKFcwps"/>
                          <pic:cNvPicPr>
                            <a:picLocks noChangeAspect="1"/>
                          </pic:cNvPicPr>
                        </pic:nvPicPr>
                        <pic:blipFill>
                          <a:blip r:embed="rId16"/>
                          <a:stretch>
                            <a:fillRect/>
                          </a:stretch>
                        </pic:blipFill>
                        <pic:spPr>
                          <a:xfrm>
                            <a:off x="0" y="0"/>
                            <a:ext cx="3733800" cy="4142740"/>
                          </a:xfrm>
                          <a:prstGeom prst="rect">
                            <a:avLst/>
                          </a:prstGeom>
                        </pic:spPr>
                      </pic:pic>
                    </a:graphicData>
                  </a:graphic>
                </wp:inline>
              </w:drawing>
            </w:r>
          </w:p>
          <w:p w14:paraId="548E345D">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图2-</w:t>
            </w:r>
            <w:r>
              <w:rPr>
                <w:rFonts w:hint="default" w:ascii="Times New Roman" w:hAnsi="Times New Roman" w:cs="Times New Roman"/>
                <w:b/>
                <w:color w:val="auto"/>
                <w:sz w:val="21"/>
                <w:szCs w:val="21"/>
                <w:lang w:val="en-US" w:eastAsia="zh-CN"/>
              </w:rPr>
              <w:t>6</w:t>
            </w:r>
            <w:r>
              <w:rPr>
                <w:rFonts w:hint="default" w:ascii="Times New Roman" w:hAnsi="Times New Roman" w:cs="Times New Roman"/>
                <w:b/>
                <w:color w:val="auto"/>
                <w:sz w:val="21"/>
                <w:szCs w:val="21"/>
              </w:rPr>
              <w:t>工艺流程及污染环节图</w:t>
            </w:r>
          </w:p>
          <w:p w14:paraId="6E54B44B">
            <w:pPr>
              <w:keepNext w:val="0"/>
              <w:keepLines w:val="0"/>
              <w:pageBreakBefore/>
              <w:widowControl/>
              <w:numPr>
                <w:ilvl w:val="0"/>
                <w:numId w:val="0"/>
              </w:numPr>
              <w:suppressLineNumbers w:val="0"/>
              <w:spacing w:before="0" w:beforeLines="0" w:beforeAutospacing="0" w:after="0" w:afterLines="0" w:afterAutospacing="0"/>
              <w:ind w:left="0" w:right="0" w:firstLine="482"/>
              <w:jc w:val="lef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生产工艺流程简述：</w:t>
            </w:r>
          </w:p>
          <w:p w14:paraId="778D4991">
            <w:pPr>
              <w:keepNext w:val="0"/>
              <w:keepLines w:val="0"/>
              <w:pageBreakBefore/>
              <w:widowControl/>
              <w:numPr>
                <w:ilvl w:val="0"/>
                <w:numId w:val="0"/>
              </w:numPr>
              <w:suppressLineNumbers w:val="0"/>
              <w:spacing w:before="0" w:beforeLines="0" w:beforeAutospacing="0" w:after="0" w:afterLines="0" w:afterAutospacing="0" w:line="360" w:lineRule="auto"/>
              <w:ind w:left="0" w:right="0" w:rightChars="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（1）上料</w:t>
            </w:r>
          </w:p>
          <w:p w14:paraId="07FBAEC1">
            <w:pPr>
              <w:keepNext w:val="0"/>
              <w:keepLines w:val="0"/>
              <w:pageBreakBefore/>
              <w:widowControl/>
              <w:numPr>
                <w:ilvl w:val="0"/>
                <w:numId w:val="0"/>
              </w:numPr>
              <w:suppressLineNumbers w:val="0"/>
              <w:spacing w:before="0" w:beforeLines="0" w:beforeAutospacing="0" w:after="0" w:afterLines="0" w:afterAutospacing="0" w:line="360" w:lineRule="auto"/>
              <w:ind w:left="0" w:right="0" w:rightChars="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项目饲用蛋白粉通过负压投料站+真空上料机输送至反应釜中（输送管道密闭），此过程产生上料粉尘及噪声。</w:t>
            </w:r>
          </w:p>
          <w:p w14:paraId="5C89D36F">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产污环节：G1上料粉尘：主要成分颗粒物，上料粉尘经布袋除尘器处理后无组织排放、W1水环真空泵废水。</w:t>
            </w:r>
          </w:p>
          <w:p w14:paraId="2AD04AD1">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rPr>
            </w:pPr>
            <w:r>
              <w:rPr>
                <w:rFonts w:hint="default" w:ascii="Times New Roman" w:hAnsi="Times New Roman" w:cs="Times New Roman"/>
                <w:color w:val="auto"/>
                <w:sz w:val="24"/>
                <w:szCs w:val="24"/>
                <w:lang w:val="en-US" w:eastAsia="zh-CN"/>
              </w:rPr>
              <w:t>（2）一次沉淀</w:t>
            </w:r>
          </w:p>
          <w:p w14:paraId="4E63FFA5">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将酒精储罐内的95%食用酒精通过密闭管道输送到反应釜中，其中饲用蛋白粉与酒精的比例为1:1.5，搅拌5分钟，静置1小时，乙醇是一种亲水性的有机溶剂。它会破坏蛋白质分子表面的水化层，并降低溶液的介电常数。</w:t>
            </w:r>
          </w:p>
          <w:p w14:paraId="6A6F14E8">
            <w:pPr>
              <w:keepNext w:val="0"/>
              <w:keepLines w:val="0"/>
              <w:pageBreakBefore/>
              <w:widowControl/>
              <w:numPr>
                <w:ilvl w:val="0"/>
                <w:numId w:val="0"/>
              </w:numPr>
              <w:suppressLineNumbers w:val="0"/>
              <w:spacing w:before="0" w:beforeLines="0" w:beforeAutospacing="0" w:after="0" w:afterLines="0" w:afterAutospacing="0" w:line="360" w:lineRule="auto"/>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这导致蛋白质分子内部的疏水基团暴露，分子间相互作用增强，从而聚集、凝固并从溶液中沉淀出来。这个过程固定了蛋白质，使其形成固体颗粒。脂类（脂肪、油脂、脂溶性色素）是非极性或弱极性的，根据“相似相溶”原理，它们能很好地溶解在乙醇（本项目采用95%乙醇）中。故脂肪、灰分等其他成分可以溶于酒精中，该工序整个过程会产生乙醇废气。</w:t>
            </w:r>
          </w:p>
          <w:p w14:paraId="4D64185B">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产污环节：G2沉淀废气：主要成分乙醇和水，少量乙醇和水经包围式集气罩收集后经</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处理后经15m高（DA002）排气筒排放。</w:t>
            </w:r>
          </w:p>
          <w:p w14:paraId="44AF4068">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（3）一次过滤</w:t>
            </w:r>
          </w:p>
          <w:p w14:paraId="59B886D1">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反应釜中其他成分溶于酒精后，将原料通过泵打入过滤器（全密闭）进行过滤。过滤蛋白粉进入下一步沉淀工序，其他成分进入滤液，滤液进入车间内的密闭暂存罐</w:t>
            </w:r>
            <w:r>
              <w:rPr>
                <w:rFonts w:hint="default" w:ascii="Times New Roman" w:hAnsi="Times New Roman" w:cs="Times New Roman"/>
                <w:color w:val="auto"/>
                <w:lang w:eastAsia="zh-CN"/>
              </w:rPr>
              <w:t>，</w:t>
            </w:r>
            <w:r>
              <w:rPr>
                <w:rFonts w:hint="default" w:ascii="Times New Roman" w:hAnsi="Times New Roman" w:eastAsia="宋体" w:cs="Times New Roman"/>
                <w:color w:val="auto"/>
                <w:lang w:val="en-US" w:eastAsia="zh-CN"/>
              </w:rPr>
              <w:t>然后经酒精蒸馏釜处理</w:t>
            </w:r>
            <w:r>
              <w:rPr>
                <w:rFonts w:hint="default" w:ascii="Times New Roman" w:hAnsi="Times New Roman" w:cs="Times New Roman"/>
                <w:color w:val="auto"/>
                <w:sz w:val="24"/>
                <w:szCs w:val="24"/>
                <w:lang w:val="en-US" w:eastAsia="zh-CN"/>
              </w:rPr>
              <w:t>。该工序整个过程均在密闭情况下操作，该工序整个过程会产生乙醇废气。</w:t>
            </w:r>
          </w:p>
          <w:p w14:paraId="0A6E42E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产污环节：G3过滤废气：主要成分乙醇和水，少量乙醇和水经包围式集气罩收集后经</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处理后经15m高（DA002）排气筒排放。</w:t>
            </w:r>
          </w:p>
          <w:p w14:paraId="5AF49FA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（4）二次沉淀</w:t>
            </w:r>
          </w:p>
          <w:p w14:paraId="56D5EF71">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将滤渣与95%食用酒精按照1:1.5的比例加入多功能反应釜，搅拌5分钟，静置1小时，使脱除掉的其他成分完全脱离溶于酒精中，该工序整个过程会产生乙醇废气，该工序整个过程会产生乙醇废气。</w:t>
            </w:r>
          </w:p>
          <w:p w14:paraId="0551E980">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产污环节：G4过滤废气：主要成分乙醇和水，少量乙醇和水经包围式集气罩收集后经</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处理后经15m高（DA002）排气筒排放。</w:t>
            </w:r>
          </w:p>
          <w:p w14:paraId="6677029B">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二次过滤</w:t>
            </w:r>
          </w:p>
          <w:p w14:paraId="53F9CF8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反应釜中其他成分溶于酒精后，将原料通过泵打入过滤器（全密闭）进行过滤。过滤蛋白粉进入下一步沉淀工序，其他成分进入滤液，滤液进入车间内的密闭暂存罐</w:t>
            </w:r>
            <w:r>
              <w:rPr>
                <w:rFonts w:hint="default" w:ascii="Times New Roman" w:hAnsi="Times New Roman" w:cs="Times New Roman"/>
                <w:color w:val="auto"/>
                <w:lang w:eastAsia="zh-CN"/>
              </w:rPr>
              <w:t>，</w:t>
            </w:r>
            <w:r>
              <w:rPr>
                <w:rFonts w:hint="default" w:ascii="Times New Roman" w:hAnsi="Times New Roman" w:eastAsia="宋体" w:cs="Times New Roman"/>
                <w:color w:val="auto"/>
                <w:lang w:val="en-US" w:eastAsia="zh-CN"/>
              </w:rPr>
              <w:t>然后经酒精蒸馏釜处理</w:t>
            </w:r>
            <w:r>
              <w:rPr>
                <w:rFonts w:hint="default" w:ascii="Times New Roman" w:hAnsi="Times New Roman" w:cs="Times New Roman"/>
                <w:color w:val="auto"/>
                <w:sz w:val="24"/>
                <w:szCs w:val="24"/>
                <w:lang w:val="en-US" w:eastAsia="zh-CN"/>
              </w:rPr>
              <w:t>。该工序整个过程均在密闭情况下操作，该工序整个过程会产生乙醇废气。</w:t>
            </w:r>
          </w:p>
          <w:p w14:paraId="55878DC1">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产污环节：G5过滤废气：主要成分乙醇和水，少量乙醇和水经包围式集气罩收集后经</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处理后经15m高（DA002）排气筒排放。</w:t>
            </w:r>
          </w:p>
          <w:p w14:paraId="723C2097">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（6）烘干、冷凝、粉碎</w:t>
            </w:r>
          </w:p>
          <w:p w14:paraId="159A54C3">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rPr>
            </w:pPr>
            <w:r>
              <w:rPr>
                <w:rFonts w:hint="default" w:ascii="Times New Roman" w:hAnsi="Times New Roman" w:eastAsia="宋体" w:cs="Times New Roman"/>
                <w:color w:val="auto"/>
                <w:sz w:val="24"/>
                <w:szCs w:val="24"/>
                <w:lang w:val="en-US" w:eastAsia="zh-CN"/>
              </w:rPr>
              <w:t>将蛋白沉淀物倒入烘干机（依托</w:t>
            </w:r>
            <w:r>
              <w:rPr>
                <w:rFonts w:hint="default" w:ascii="Times New Roman" w:hAnsi="Times New Roman" w:cs="Times New Roman"/>
                <w:color w:val="auto"/>
                <w:sz w:val="24"/>
                <w:szCs w:val="24"/>
                <w:lang w:val="en-US" w:eastAsia="zh-CN"/>
              </w:rPr>
              <w:t>现有</w:t>
            </w:r>
            <w:r>
              <w:rPr>
                <w:rFonts w:hint="default" w:ascii="Times New Roman" w:hAnsi="Times New Roman" w:eastAsia="宋体" w:cs="Times New Roman"/>
                <w:color w:val="auto"/>
                <w:sz w:val="24"/>
                <w:szCs w:val="24"/>
                <w:lang w:val="en-US" w:eastAsia="zh-CN"/>
              </w:rPr>
              <w:t>锅炉提供热量）。开启真空并升温</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真空达到</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0.09MPa</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内温升到55℃左右</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后保温2小时左右</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烘干得到食用大米蛋白粉，按照产品要求对食用大米蛋白粉进行粉碎，将干燥后的蛋白粉送入超微粉碎机破碎，破碎粒径大于300目，烘干过程产生的烘干气体经冷凝器冷凝，未被冷凝的烘干气体作为冷凝废气排放，冷凝液收集后转至乙醇回收装置。</w:t>
            </w:r>
          </w:p>
          <w:p w14:paraId="214DF07D">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产污环节：G6破碎粉尘：破碎粉尘经布袋除尘器处理后无组织排放；G7冷凝废气：主要成分乙醇、蛋白质、其他成分，冷凝废气经密闭管道收集经布袋除尘器+</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处理后经15m高排气筒（DA002）排放。</w:t>
            </w:r>
          </w:p>
          <w:p w14:paraId="027C30AF">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（7）除铁</w:t>
            </w:r>
          </w:p>
          <w:p w14:paraId="16020EF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破碎后使用除铁器与金属探测去除铁屑，该工序会产生固废。</w:t>
            </w:r>
          </w:p>
          <w:p w14:paraId="09D1ECE1">
            <w:pPr>
              <w:pStyle w:val="28"/>
              <w:keepNext w:val="0"/>
              <w:keepLines w:val="0"/>
              <w:suppressLineNumbers w:val="0"/>
              <w:spacing w:before="0" w:beforeAutospacing="0" w:afterAutospacing="0" w:line="360" w:lineRule="auto"/>
              <w:ind w:left="0" w:leftChars="0" w:right="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产污环节：S1除铁屑：除铁屑集中收集后外售。</w:t>
            </w:r>
          </w:p>
          <w:p w14:paraId="2E298804">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（8）检验</w:t>
            </w:r>
          </w:p>
          <w:p w14:paraId="6F25930C">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除去铁屑后的蛋白粉抽取部分，去实验室检验，该工序会产生固废。</w:t>
            </w:r>
          </w:p>
          <w:p w14:paraId="41D7BB68">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产污环节：S3不合格品、S4实验室废液、S5实验室废试剂空瓶。</w:t>
            </w:r>
          </w:p>
          <w:p w14:paraId="6DD90160">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（9）包装</w:t>
            </w:r>
          </w:p>
          <w:p w14:paraId="55B2703E">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检验合格的食用蛋白粉经打包机打包，此过程产生废包装材料。</w:t>
            </w:r>
          </w:p>
          <w:p w14:paraId="144834B7">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产污环节：S6产生废包装材料</w:t>
            </w:r>
          </w:p>
          <w:p w14:paraId="6DC7DA7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（10）乙醇回收</w:t>
            </w:r>
          </w:p>
          <w:p w14:paraId="46457997">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废液中含有灰分和脂肪等</w:t>
            </w:r>
            <w:r>
              <w:rPr>
                <w:rFonts w:hint="default" w:ascii="Times New Roman" w:hAnsi="Times New Roman" w:cs="Times New Roman"/>
                <w:color w:val="auto"/>
                <w:sz w:val="24"/>
                <w:szCs w:val="24"/>
                <w:lang w:val="en-US" w:eastAsia="zh-CN"/>
              </w:rPr>
              <w:t>其他成分</w:t>
            </w:r>
            <w:r>
              <w:rPr>
                <w:rFonts w:hint="default" w:ascii="Times New Roman" w:hAnsi="Times New Roman" w:eastAsia="宋体" w:cs="Times New Roman"/>
                <w:color w:val="auto"/>
                <w:sz w:val="24"/>
                <w:szCs w:val="24"/>
                <w:lang w:val="en-US" w:eastAsia="zh-CN"/>
              </w:rPr>
              <w:t>。利用酒精（乙醇）与</w:t>
            </w:r>
            <w:r>
              <w:rPr>
                <w:rFonts w:hint="default" w:ascii="Times New Roman" w:hAnsi="Times New Roman" w:cs="Times New Roman"/>
                <w:color w:val="auto"/>
                <w:sz w:val="24"/>
                <w:szCs w:val="24"/>
                <w:lang w:val="en-US" w:eastAsia="zh-CN"/>
              </w:rPr>
              <w:t>其他成分</w:t>
            </w:r>
            <w:r>
              <w:rPr>
                <w:rFonts w:hint="default" w:ascii="Times New Roman" w:hAnsi="Times New Roman" w:eastAsia="宋体" w:cs="Times New Roman"/>
                <w:color w:val="auto"/>
                <w:sz w:val="24"/>
                <w:szCs w:val="24"/>
                <w:lang w:val="en-US" w:eastAsia="zh-CN"/>
              </w:rPr>
              <w:t>之间挥发性的巨大差异（灰分：完全不挥发，在蒸馏过程中会留在釜底残液中。脂肪：沸点远高于乙醇，在蒸馏温度下基本</w:t>
            </w:r>
            <w:r>
              <w:rPr>
                <w:rFonts w:hint="default" w:ascii="Times New Roman" w:hAnsi="Times New Roman" w:cs="Times New Roman"/>
                <w:color w:val="auto"/>
                <w:sz w:val="24"/>
                <w:szCs w:val="24"/>
                <w:lang w:val="en-US" w:eastAsia="zh-CN"/>
              </w:rPr>
              <w:t>不气化），</w:t>
            </w:r>
            <w:r>
              <w:rPr>
                <w:rFonts w:hint="default" w:ascii="Times New Roman" w:hAnsi="Times New Roman" w:eastAsia="宋体" w:cs="Times New Roman"/>
                <w:color w:val="auto"/>
                <w:sz w:val="24"/>
                <w:szCs w:val="24"/>
                <w:lang w:val="en-US" w:eastAsia="zh-CN"/>
              </w:rPr>
              <w:t>通过加热使乙醇汽化，与不挥发的</w:t>
            </w:r>
            <w:r>
              <w:rPr>
                <w:rFonts w:hint="default" w:ascii="Times New Roman" w:hAnsi="Times New Roman" w:cs="Times New Roman"/>
                <w:color w:val="auto"/>
                <w:sz w:val="24"/>
                <w:szCs w:val="24"/>
                <w:lang w:val="en-US" w:eastAsia="zh-CN"/>
              </w:rPr>
              <w:t>其他成分</w:t>
            </w:r>
            <w:r>
              <w:rPr>
                <w:rFonts w:hint="default" w:ascii="Times New Roman" w:hAnsi="Times New Roman" w:eastAsia="宋体" w:cs="Times New Roman"/>
                <w:color w:val="auto"/>
                <w:sz w:val="24"/>
                <w:szCs w:val="24"/>
                <w:lang w:val="en-US" w:eastAsia="zh-CN"/>
              </w:rPr>
              <w:t>分离，蒸汽经冷凝后得到纯度较高的酒精。二次蒸馏可以进一步提高产品纯度和浓度。通过部分汽化和部分冷凝，在釜内进行多次汽液平衡。挥发度更高的乙醇在</w:t>
            </w:r>
            <w:r>
              <w:rPr>
                <w:rFonts w:hint="default" w:ascii="Times New Roman" w:hAnsi="Times New Roman" w:cs="Times New Roman"/>
                <w:color w:val="auto"/>
                <w:sz w:val="24"/>
                <w:szCs w:val="24"/>
                <w:lang w:val="en-US" w:eastAsia="zh-CN"/>
              </w:rPr>
              <w:t>气相</w:t>
            </w:r>
            <w:r>
              <w:rPr>
                <w:rFonts w:hint="default" w:ascii="Times New Roman" w:hAnsi="Times New Roman" w:eastAsia="宋体" w:cs="Times New Roman"/>
                <w:color w:val="auto"/>
                <w:sz w:val="24"/>
                <w:szCs w:val="24"/>
                <w:lang w:val="en-US" w:eastAsia="zh-CN"/>
              </w:rPr>
              <w:t>中不断富集，从而在塔顶（或釜顶）得到高纯度的乙醇产品。</w:t>
            </w:r>
          </w:p>
          <w:p w14:paraId="1D850F02">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将一次过滤完过滤液、二次过滤的过滤液以及冷凝液泵入酒精蒸馏釜内，装料量为釜容积的80%，防止沸腾时液沫夹带。然后使用0.3-0.6MPa的间接饱和蒸汽，通过釜的夹套进行加热。间接加热可防止蒸汽冷凝水稀释物料。控制釜内温度在85-95°C。此温度高于乙醇的沸点（78.37°C），但远低于水的沸点，能有效蒸出乙醇和部分水。乙醇蒸汽从釜顶排出，进入冷凝器。冷凝器采用冷却水冷却：出口冷凝液温度控制在30-40°C，确保乙醇被完全冷凝，减少挥发损失，冷凝后得到浓度约为</w:t>
            </w:r>
            <w:r>
              <w:rPr>
                <w:rFonts w:hint="default" w:ascii="Times New Roman" w:hAnsi="Times New Roman" w:cs="Times New Roman"/>
                <w:color w:val="auto"/>
                <w:sz w:val="24"/>
                <w:szCs w:val="24"/>
                <w:lang w:val="en-US" w:eastAsia="zh-CN"/>
              </w:rPr>
              <w:t>70%—85%</w:t>
            </w:r>
            <w:r>
              <w:rPr>
                <w:rFonts w:hint="default" w:ascii="Times New Roman" w:hAnsi="Times New Roman" w:eastAsia="宋体" w:cs="Times New Roman"/>
                <w:color w:val="auto"/>
                <w:sz w:val="24"/>
                <w:szCs w:val="24"/>
                <w:lang w:val="en-US" w:eastAsia="zh-CN"/>
              </w:rPr>
              <w:t>的粗酒精，流入酒精周转罐暂存。当釜内温度显著上升或馏出液酒精浓度低于5%时，停止蒸馏，排出釜底残液（主要成分为水、灰分、浓缩的脂肪等）。将一次周转罐中的粗酒精泵入二次蒸馏釜。控制蒸汽量和釜温，缓慢升温至约78-80°C然后：稳定控制温度在78-85°C，此时蒸出的是高浓度的乙醇蒸汽。乙醇蒸汽进入冷凝器，用冷却水冷却，得到纯度更高的酒精。成品酒精浓度可达95%。当釜温再次升高至接近水的沸点，或馏出液浓度下降时，停止收集。排出</w:t>
            </w:r>
            <w:r>
              <w:rPr>
                <w:rFonts w:hint="default" w:ascii="Times New Roman" w:hAnsi="Times New Roman" w:cs="Times New Roman"/>
                <w:color w:val="auto"/>
                <w:sz w:val="24"/>
                <w:szCs w:val="24"/>
                <w:lang w:val="en-US" w:eastAsia="zh-CN"/>
              </w:rPr>
              <w:t>釜底废液</w:t>
            </w:r>
            <w:r>
              <w:rPr>
                <w:rFonts w:hint="default" w:ascii="Times New Roman" w:hAnsi="Times New Roman" w:eastAsia="宋体" w:cs="Times New Roman"/>
                <w:color w:val="auto"/>
                <w:sz w:val="24"/>
                <w:szCs w:val="24"/>
                <w:lang w:val="en-US" w:eastAsia="zh-CN"/>
              </w:rPr>
              <w:t>。项目乙醇回收装置年工作</w:t>
            </w:r>
            <w:r>
              <w:rPr>
                <w:rFonts w:hint="default" w:ascii="Times New Roman" w:hAnsi="Times New Roman" w:cs="Times New Roman"/>
                <w:color w:val="auto"/>
                <w:sz w:val="24"/>
                <w:szCs w:val="24"/>
                <w:lang w:val="en-US" w:eastAsia="zh-CN"/>
              </w:rPr>
              <w:t>7680</w:t>
            </w:r>
            <w:r>
              <w:rPr>
                <w:rFonts w:hint="default" w:ascii="Times New Roman" w:hAnsi="Times New Roman" w:eastAsia="宋体" w:cs="Times New Roman"/>
                <w:color w:val="auto"/>
                <w:sz w:val="24"/>
                <w:szCs w:val="24"/>
                <w:lang w:val="en-US" w:eastAsia="zh-CN"/>
              </w:rPr>
              <w:t>h，仅在停工或者检修时停止运行。该工序整个过程产生不凝气（成分为水、乙醇）、废液（成分水、乙醇、</w:t>
            </w:r>
            <w:r>
              <w:rPr>
                <w:rFonts w:hint="default" w:ascii="Times New Roman" w:hAnsi="Times New Roman" w:cs="Times New Roman"/>
                <w:color w:val="auto"/>
                <w:sz w:val="24"/>
                <w:szCs w:val="24"/>
                <w:lang w:val="en-US" w:eastAsia="zh-CN"/>
              </w:rPr>
              <w:t>其他成分</w:t>
            </w:r>
            <w:r>
              <w:rPr>
                <w:rFonts w:hint="default" w:ascii="Times New Roman" w:hAnsi="Times New Roman" w:eastAsia="宋体" w:cs="Times New Roman"/>
                <w:color w:val="auto"/>
                <w:sz w:val="24"/>
                <w:szCs w:val="24"/>
                <w:lang w:val="en-US" w:eastAsia="zh-CN"/>
              </w:rPr>
              <w:t>、蛋白质）。</w:t>
            </w:r>
          </w:p>
          <w:p w14:paraId="78A90E70">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产污环节：G7冷凝废气：主要成分水、乙醇、其他成分、蛋白质，冷凝废气经密闭管道收集经布袋除尘器+</w:t>
            </w:r>
            <w:r>
              <w:rPr>
                <w:rFonts w:hint="eastAsia" w:cs="Times New Roman"/>
                <w:color w:val="auto"/>
                <w:sz w:val="24"/>
                <w:szCs w:val="24"/>
                <w:lang w:val="en-US" w:eastAsia="zh-CN"/>
              </w:rPr>
              <w:t>三级水喷淋装置</w:t>
            </w:r>
            <w:r>
              <w:rPr>
                <w:rFonts w:hint="default" w:ascii="Times New Roman" w:hAnsi="Times New Roman" w:cs="Times New Roman"/>
                <w:color w:val="auto"/>
                <w:sz w:val="24"/>
                <w:szCs w:val="24"/>
                <w:lang w:val="en-US" w:eastAsia="zh-CN"/>
              </w:rPr>
              <w:t>处理后经15m高排气筒（DA002）排放。S2废液：主要成分水、乙醇、其他成分、蛋白质等，废液作为危险废物暂存于危险废物暂存间，集中收集后交由有资质的单位处置。</w:t>
            </w:r>
          </w:p>
          <w:p w14:paraId="3293EE6D">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采用水清洗设备会导致产品细菌含量指标超标，降低食用蛋白粉的品质。为避免食用蛋白粉质量降低，设备容器检修清洗时，采用酒精清洗。</w:t>
            </w:r>
          </w:p>
          <w:p w14:paraId="041881F8">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项目生产车间满足《食品生产通用卫生规范》，生产车间地面不会存有较大粉尘，项目生产车间采用吸尘器进行日常清理即可。</w:t>
            </w:r>
          </w:p>
          <w:p w14:paraId="668EC1FE">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（11）乙醇储存</w:t>
            </w:r>
          </w:p>
          <w:p w14:paraId="36CB7C7D">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项目乙醇储存于储罐过程中产生少量储罐废气，储罐废气主要成分为水、乙醇。</w:t>
            </w:r>
          </w:p>
          <w:p w14:paraId="1240C5E1">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产污环节：G8储罐废气：主要成分水、乙醇，储罐废气经</w:t>
            </w:r>
            <w:r>
              <w:rPr>
                <w:rFonts w:hint="eastAsia" w:cs="Times New Roman"/>
                <w:color w:val="auto"/>
                <w:sz w:val="24"/>
                <w:szCs w:val="24"/>
                <w:lang w:val="en-US" w:eastAsia="zh-CN"/>
              </w:rPr>
              <w:t>通风排气处理后无组织排放</w:t>
            </w:r>
            <w:r>
              <w:rPr>
                <w:rFonts w:hint="default" w:ascii="Times New Roman" w:hAnsi="Times New Roman" w:cs="Times New Roman"/>
                <w:color w:val="auto"/>
                <w:sz w:val="24"/>
                <w:szCs w:val="24"/>
                <w:lang w:val="en-US" w:eastAsia="zh-CN"/>
              </w:rPr>
              <w:t>。</w:t>
            </w:r>
          </w:p>
          <w:p w14:paraId="49FB0A23">
            <w:pPr>
              <w:keepNext w:val="0"/>
              <w:keepLines w:val="0"/>
              <w:pageBreakBefore/>
              <w:widowControl/>
              <w:numPr>
                <w:ilvl w:val="0"/>
                <w:numId w:val="0"/>
              </w:numPr>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技改后高麦糖浆与果葡糖浆生产线</w:t>
            </w:r>
          </w:p>
          <w:p w14:paraId="7C9B4DD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drawing>
                <wp:anchor distT="0" distB="0" distL="114300" distR="114300" simplePos="0" relativeHeight="251674624" behindDoc="0" locked="0" layoutInCell="1" allowOverlap="1">
                  <wp:simplePos x="0" y="0"/>
                  <wp:positionH relativeFrom="column">
                    <wp:posOffset>226060</wp:posOffset>
                  </wp:positionH>
                  <wp:positionV relativeFrom="paragraph">
                    <wp:posOffset>170815</wp:posOffset>
                  </wp:positionV>
                  <wp:extent cx="4558665" cy="1301115"/>
                  <wp:effectExtent l="0" t="0" r="0" b="0"/>
                  <wp:wrapNone/>
                  <wp:docPr id="27" name="ECB019B1-382A-4266-B25C-5B523AA43C14-6" descr="C:/Users/Administrator/AppData/Local/Temp/wps.ifxXi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6" descr="C:/Users/Administrator/AppData/Local/Temp/wps.ifxXiUwps"/>
                          <pic:cNvPicPr>
                            <a:picLocks noChangeAspect="1"/>
                          </pic:cNvPicPr>
                        </pic:nvPicPr>
                        <pic:blipFill>
                          <a:blip r:embed="rId17"/>
                          <a:stretch>
                            <a:fillRect/>
                          </a:stretch>
                        </pic:blipFill>
                        <pic:spPr>
                          <a:xfrm>
                            <a:off x="0" y="0"/>
                            <a:ext cx="4558665" cy="1301115"/>
                          </a:xfrm>
                          <a:prstGeom prst="rect">
                            <a:avLst/>
                          </a:prstGeom>
                        </pic:spPr>
                      </pic:pic>
                    </a:graphicData>
                  </a:graphic>
                </wp:anchor>
              </w:drawing>
            </w:r>
          </w:p>
          <w:p w14:paraId="2967BB7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66CA4B08">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039002D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7EEECEBD">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6148AEDC">
            <w:pPr>
              <w:keepNext w:val="0"/>
              <w:keepLines w:val="0"/>
              <w:pageBreakBefore/>
              <w:widowControl/>
              <w:numPr>
                <w:ilvl w:val="0"/>
                <w:numId w:val="0"/>
              </w:numPr>
              <w:suppressLineNumbers w:val="0"/>
              <w:spacing w:before="0" w:beforeLines="0" w:beforeAutospacing="0" w:after="0" w:afterLines="0" w:afterAutospacing="0"/>
              <w:ind w:left="0" w:right="0" w:firstLine="42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1"/>
              </w:rPr>
              <mc:AlternateContent>
                <mc:Choice Requires="wps">
                  <w:drawing>
                    <wp:anchor distT="0" distB="0" distL="114300" distR="114300" simplePos="0" relativeHeight="251676672" behindDoc="0" locked="0" layoutInCell="1" allowOverlap="1">
                      <wp:simplePos x="0" y="0"/>
                      <wp:positionH relativeFrom="column">
                        <wp:posOffset>2655570</wp:posOffset>
                      </wp:positionH>
                      <wp:positionV relativeFrom="paragraph">
                        <wp:posOffset>130175</wp:posOffset>
                      </wp:positionV>
                      <wp:extent cx="2162810" cy="353695"/>
                      <wp:effectExtent l="0" t="0" r="8890" b="8255"/>
                      <wp:wrapNone/>
                      <wp:docPr id="28" name="文本框 28"/>
                      <wp:cNvGraphicFramePr/>
                      <a:graphic xmlns:a="http://schemas.openxmlformats.org/drawingml/2006/main">
                        <a:graphicData uri="http://schemas.microsoft.com/office/word/2010/wordprocessingShape">
                          <wps:wsp>
                            <wps:cNvSpPr txBox="1"/>
                            <wps:spPr>
                              <a:xfrm>
                                <a:off x="0" y="0"/>
                                <a:ext cx="2162810" cy="3536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529E16A">
                                  <w:pPr>
                                    <w:ind w:left="0" w:leftChars="0" w:firstLine="0" w:firstLineChars="0"/>
                                    <w:rPr>
                                      <w:rFonts w:hint="default" w:eastAsia="宋体"/>
                                      <w:lang w:val="en-US" w:eastAsia="zh-CN"/>
                                    </w:rPr>
                                  </w:pPr>
                                  <w:r>
                                    <w:rPr>
                                      <w:rFonts w:hint="eastAsia"/>
                                      <w:lang w:val="en-US" w:eastAsia="zh-CN"/>
                                    </w:rPr>
                                    <w:t>图例： G废气 S固废W废水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1pt;margin-top:10.25pt;height:27.85pt;width:170.3pt;z-index:251676672;mso-width-relative:page;mso-height-relative:page;" fillcolor="#FFFFFF [3201]" filled="t" stroked="f" coordsize="21600,21600" o:gfxdata="UEsDBAoAAAAAAIdO4kAAAAAAAAAAAAAAAAAEAAAAZHJzL1BLAwQUAAAACACHTuJA3t1n7tUAAAAJ&#10;AQAADwAAAGRycy9kb3ducmV2LnhtbE2PTU/DMAyG70j8h8hI3FjSahtV13QHJK5IbGPnrDFNtcap&#10;kuzz12NOcLPlR6+ft1lf/SjOGNMQSEMxUyCQumAH6jXstu8vFYiUDVkzBkINN0ywbh8fGlPbcKFP&#10;PG9yLziEUm00uJynWsrUOfQmzcKExLfvEL3JvMZe2mguHO5HWSq1lN4MxB+cmfDNYXfcnLyGfe/v&#10;+69iis76cU4f99t2Fwatn58KtQKR8Zr/YPjVZ3Vo2ekQTmSTGDXMi6pkVEOpFiAYeF1U3OXAw7IE&#10;2Tbyf4P2B1BLAwQUAAAACACHTuJAecBsxVACAACRBAAADgAAAGRycy9lMm9Eb2MueG1srVTNjtMw&#10;EL4j8Q6W72z6z27VdFW6KkKq2JUWxNl1nMaS7TG226Q8ALwBJy7cea59DsZO2i0Lhz3QQzqemXzj&#10;75uZzK4brcheOC/B5LR/0aNEGA6FNNucfvywenVJiQ/MFEyBETk9CE+v5y9fzGo7FQOoQBXCEQQx&#10;flrbnFYh2GmWeV4JzfwFWGEwWILTLODRbbPCsRrRtcoGvd4kq8EV1gEX3qP3pg3SDtE9BxDKUnJx&#10;A3ynhQktqhOKBaTkK2k9nafblqXg4bYsvQhE5RSZhvTEImhv4jObz9h065itJO+uwJ5zhSecNJMG&#10;i56gblhgZOfkX1BacgceynDBQWctkaQIsuj3nmhzXzErEheU2tuT6P7/wfL3+ztHZJHTAfbdMI0d&#10;f/j+7eHHr4efXwn6UKDa+inm3VvMDM0baHBsjn6Pzsi7KZ2O/8iIYBzlPZzkFU0gHJ2D/mRw2ccQ&#10;x9hwPJxcjSNM9vi2dT68FaBJNHLqsH1JVbZf+9CmHlNiMQ9KFiupVDq47WapHNkzbPUq/Tr0P9KU&#10;IXVOJ8NxLyEbiO+30MrgZSLZllS0QrNpOgU2UBxQAAftDHnLVxJvuWY+3DGHQ4PEcK3CLT5KBVgE&#10;OouSCtyXf/ljPvYSo5TUOIQ59Z93zAlK1DuDXb7qj0YIG9JhNH49wIM7j2zOI2anl4Dk+7jAlicz&#10;5gd1NEsH+hNu3yJWxRAzHGvnNBzNZWhXA7eXi8UiJeGcWhbW5t7yCB2lNrDYBShlakmUqdWmUw8n&#10;NTW126q4CufnlPX4JZn/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N7dZ+7VAAAACQEAAA8AAAAA&#10;AAAAAQAgAAAAIgAAAGRycy9kb3ducmV2LnhtbFBLAQIUABQAAAAIAIdO4kB5wGzFUAIAAJEEAAAO&#10;AAAAAAAAAAEAIAAAACQBAABkcnMvZTJvRG9jLnhtbFBLBQYAAAAABgAGAFkBAADmBQAAAAA=&#10;">
                      <v:fill on="t" focussize="0,0"/>
                      <v:stroke on="f" weight="0.5pt"/>
                      <v:imagedata o:title=""/>
                      <o:lock v:ext="edit" aspectratio="f"/>
                      <v:textbox>
                        <w:txbxContent>
                          <w:p w14:paraId="0529E16A">
                            <w:pPr>
                              <w:ind w:left="0" w:leftChars="0" w:firstLine="0" w:firstLineChars="0"/>
                              <w:rPr>
                                <w:rFonts w:hint="default" w:eastAsia="宋体"/>
                                <w:lang w:val="en-US" w:eastAsia="zh-CN"/>
                              </w:rPr>
                            </w:pPr>
                            <w:r>
                              <w:rPr>
                                <w:rFonts w:hint="eastAsia"/>
                                <w:lang w:val="en-US" w:eastAsia="zh-CN"/>
                              </w:rPr>
                              <w:t>图例： G废气 S固废W废水</w:t>
                            </w:r>
                          </w:p>
                        </w:txbxContent>
                      </v:textbox>
                    </v:shape>
                  </w:pict>
                </mc:Fallback>
              </mc:AlternateContent>
            </w:r>
          </w:p>
          <w:p w14:paraId="5213443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41EF68F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p>
          <w:p w14:paraId="4F5BDA4B">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图2-</w:t>
            </w:r>
            <w:r>
              <w:rPr>
                <w:rFonts w:hint="default" w:ascii="Times New Roman" w:hAnsi="Times New Roman" w:cs="Times New Roman"/>
                <w:b/>
                <w:color w:val="auto"/>
                <w:sz w:val="21"/>
                <w:szCs w:val="21"/>
                <w:lang w:val="en-US" w:eastAsia="zh-CN"/>
              </w:rPr>
              <w:t>7技改后高麦糖浆与果葡糖浆</w:t>
            </w:r>
            <w:r>
              <w:rPr>
                <w:rFonts w:hint="default" w:ascii="Times New Roman" w:hAnsi="Times New Roman" w:cs="Times New Roman"/>
                <w:b/>
                <w:color w:val="auto"/>
                <w:sz w:val="21"/>
                <w:szCs w:val="21"/>
              </w:rPr>
              <w:t>工艺流程及污染环节图</w:t>
            </w:r>
          </w:p>
          <w:p w14:paraId="79DDB48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lang w:val="en-US" w:eastAsia="zh-CN"/>
              </w:rPr>
              <w:t>原有高麦糖浆与果葡糖浆生产线投料前增加色选工艺，企业通过色选工艺提前去除不合格中碎米，不合格品率约为5%，企业技改前需加工96000吨中碎米，增加色选后，高麦糖浆与果葡糖浆生产线仅需加工91320t精选中碎米</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lang w:val="en-US" w:eastAsia="zh-CN"/>
              </w:rPr>
              <w:t>因为浓缩等工序加工物料减少约5%，项目所需蒸汽量减少0.5t/h</w:t>
            </w:r>
            <w:r>
              <w:rPr>
                <w:rFonts w:hint="default" w:ascii="Times New Roman" w:hAnsi="Times New Roman" w:cs="Times New Roman"/>
                <w:color w:val="auto"/>
                <w:lang w:eastAsia="zh-CN"/>
              </w:rPr>
              <w:t>，</w:t>
            </w:r>
            <w:r>
              <w:rPr>
                <w:rFonts w:hint="default" w:ascii="Times New Roman" w:hAnsi="Times New Roman" w:cs="Times New Roman"/>
                <w:color w:val="auto"/>
                <w:sz w:val="24"/>
                <w:szCs w:val="24"/>
                <w:lang w:val="en-US" w:eastAsia="zh-CN"/>
              </w:rPr>
              <w:t>减少生产用水及蒸汽使用量。此过程主要产生噪声及中碎米其他成分，后续生产工艺不变。</w:t>
            </w:r>
          </w:p>
          <w:p w14:paraId="785DD501">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技改后糖浆生产线物料平衡表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1623"/>
              <w:gridCol w:w="2797"/>
              <w:gridCol w:w="1698"/>
            </w:tblGrid>
            <w:tr w14:paraId="36AD6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0" w:type="pct"/>
                  <w:gridSpan w:val="2"/>
                  <w:vAlign w:val="center"/>
                </w:tcPr>
                <w:p w14:paraId="763CF52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投入</w:t>
                  </w:r>
                </w:p>
              </w:tc>
              <w:tc>
                <w:tcPr>
                  <w:tcW w:w="2829" w:type="pct"/>
                  <w:gridSpan w:val="2"/>
                  <w:vAlign w:val="center"/>
                </w:tcPr>
                <w:p w14:paraId="60F147C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产出</w:t>
                  </w:r>
                </w:p>
              </w:tc>
            </w:tr>
            <w:tr w14:paraId="5D459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vAlign w:val="center"/>
                </w:tcPr>
                <w:p w14:paraId="1A1B09A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名称</w:t>
                  </w:r>
                </w:p>
              </w:tc>
              <w:tc>
                <w:tcPr>
                  <w:tcW w:w="1021" w:type="pct"/>
                  <w:vAlign w:val="center"/>
                </w:tcPr>
                <w:p w14:paraId="6F5CF19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数量（t/a）</w:t>
                  </w:r>
                </w:p>
              </w:tc>
              <w:tc>
                <w:tcPr>
                  <w:tcW w:w="1760" w:type="pct"/>
                  <w:vAlign w:val="center"/>
                </w:tcPr>
                <w:p w14:paraId="419A055C">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名称</w:t>
                  </w:r>
                </w:p>
              </w:tc>
              <w:tc>
                <w:tcPr>
                  <w:tcW w:w="1069" w:type="pct"/>
                  <w:vAlign w:val="center"/>
                </w:tcPr>
                <w:p w14:paraId="28D44E3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数量（t/a）</w:t>
                  </w:r>
                </w:p>
              </w:tc>
            </w:tr>
            <w:tr w14:paraId="0882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vAlign w:val="center"/>
                </w:tcPr>
                <w:p w14:paraId="0F881B5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中碎米</w:t>
                  </w:r>
                </w:p>
              </w:tc>
              <w:tc>
                <w:tcPr>
                  <w:tcW w:w="1021" w:type="pct"/>
                  <w:vAlign w:val="center"/>
                </w:tcPr>
                <w:p w14:paraId="4DFA14C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96000</w:t>
                  </w:r>
                </w:p>
              </w:tc>
              <w:tc>
                <w:tcPr>
                  <w:tcW w:w="1760" w:type="pct"/>
                  <w:vAlign w:val="center"/>
                </w:tcPr>
                <w:p w14:paraId="4464D8D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高麦芽糖浆</w:t>
                  </w:r>
                </w:p>
              </w:tc>
              <w:tc>
                <w:tcPr>
                  <w:tcW w:w="1069" w:type="pct"/>
                  <w:vAlign w:val="center"/>
                </w:tcPr>
                <w:p w14:paraId="0C9B171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50000</w:t>
                  </w:r>
                </w:p>
              </w:tc>
            </w:tr>
            <w:tr w14:paraId="02825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48" w:type="pct"/>
                  <w:vAlign w:val="center"/>
                </w:tcPr>
                <w:p w14:paraId="58E477C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淀粉酶</w:t>
                  </w:r>
                </w:p>
              </w:tc>
              <w:tc>
                <w:tcPr>
                  <w:tcW w:w="1021" w:type="pct"/>
                  <w:vAlign w:val="center"/>
                </w:tcPr>
                <w:p w14:paraId="510C6C4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48</w:t>
                  </w:r>
                </w:p>
              </w:tc>
              <w:tc>
                <w:tcPr>
                  <w:tcW w:w="1760" w:type="pct"/>
                  <w:vAlign w:val="center"/>
                </w:tcPr>
                <w:p w14:paraId="2105BF9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果葡萄糖浆</w:t>
                  </w:r>
                </w:p>
              </w:tc>
              <w:tc>
                <w:tcPr>
                  <w:tcW w:w="1069" w:type="pct"/>
                  <w:vAlign w:val="center"/>
                </w:tcPr>
                <w:p w14:paraId="3B2786D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30000</w:t>
                  </w:r>
                </w:p>
              </w:tc>
            </w:tr>
            <w:tr w14:paraId="02384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vAlign w:val="center"/>
                </w:tcPr>
                <w:p w14:paraId="2B59FFF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异构酶</w:t>
                  </w:r>
                </w:p>
              </w:tc>
              <w:tc>
                <w:tcPr>
                  <w:tcW w:w="1021" w:type="pct"/>
                  <w:vAlign w:val="center"/>
                </w:tcPr>
                <w:p w14:paraId="3A4FF3F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1760" w:type="pct"/>
                  <w:shd w:val="clear" w:color="auto" w:fill="auto"/>
                  <w:vAlign w:val="center"/>
                </w:tcPr>
                <w:p w14:paraId="1B62699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饲用蛋白粉</w:t>
                  </w:r>
                </w:p>
              </w:tc>
              <w:tc>
                <w:tcPr>
                  <w:tcW w:w="1069" w:type="pct"/>
                  <w:vAlign w:val="center"/>
                </w:tcPr>
                <w:p w14:paraId="3592921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4000</w:t>
                  </w:r>
                </w:p>
              </w:tc>
            </w:tr>
            <w:tr w14:paraId="1800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shd w:val="clear" w:color="auto" w:fill="auto"/>
                  <w:vAlign w:val="center"/>
                </w:tcPr>
                <w:p w14:paraId="3FE0320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洗米用水量</w:t>
                  </w:r>
                </w:p>
              </w:tc>
              <w:tc>
                <w:tcPr>
                  <w:tcW w:w="1021" w:type="pct"/>
                  <w:shd w:val="clear" w:color="auto" w:fill="auto"/>
                  <w:vAlign w:val="center"/>
                </w:tcPr>
                <w:p w14:paraId="0845F9DB">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5808</w:t>
                  </w:r>
                  <w:r>
                    <w:rPr>
                      <w:rFonts w:hint="eastAsia" w:ascii="Times New Roman" w:hAnsi="Times New Roman" w:eastAsia="宋体" w:cs="Times New Roman"/>
                      <w:color w:val="auto"/>
                      <w:lang w:val="en-US" w:eastAsia="zh-CN"/>
                    </w:rPr>
                    <w:t>10.24</w:t>
                  </w:r>
                </w:p>
              </w:tc>
              <w:tc>
                <w:tcPr>
                  <w:tcW w:w="1760" w:type="pct"/>
                  <w:shd w:val="clear" w:color="auto" w:fill="auto"/>
                  <w:vAlign w:val="center"/>
                </w:tcPr>
                <w:p w14:paraId="7DD6936A">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中碎米其他成分</w:t>
                  </w:r>
                </w:p>
              </w:tc>
              <w:tc>
                <w:tcPr>
                  <w:tcW w:w="1069" w:type="pct"/>
                  <w:vAlign w:val="center"/>
                </w:tcPr>
                <w:p w14:paraId="7D33538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12049</w:t>
                  </w:r>
                </w:p>
              </w:tc>
            </w:tr>
            <w:tr w14:paraId="12035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shd w:val="clear" w:color="auto" w:fill="auto"/>
                  <w:vAlign w:val="center"/>
                </w:tcPr>
                <w:p w14:paraId="2B33846C">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021" w:type="pct"/>
                  <w:vAlign w:val="center"/>
                </w:tcPr>
                <w:p w14:paraId="5A4F702B">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760" w:type="pct"/>
                  <w:shd w:val="clear" w:color="auto" w:fill="auto"/>
                  <w:vAlign w:val="center"/>
                </w:tcPr>
                <w:p w14:paraId="41501C7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洗米废水产生量</w:t>
                  </w:r>
                </w:p>
              </w:tc>
              <w:tc>
                <w:tcPr>
                  <w:tcW w:w="1069" w:type="pct"/>
                  <w:vAlign w:val="center"/>
                </w:tcPr>
                <w:p w14:paraId="1D6548C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522728</w:t>
                  </w:r>
                </w:p>
              </w:tc>
            </w:tr>
            <w:tr w14:paraId="45E9B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48" w:type="pct"/>
                  <w:shd w:val="clear" w:color="auto" w:fill="auto"/>
                  <w:vAlign w:val="center"/>
                </w:tcPr>
                <w:p w14:paraId="1759D4C9">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021" w:type="pct"/>
                  <w:vAlign w:val="center"/>
                </w:tcPr>
                <w:p w14:paraId="3CC6CDD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760" w:type="pct"/>
                  <w:shd w:val="clear" w:color="auto" w:fill="auto"/>
                  <w:vAlign w:val="center"/>
                </w:tcPr>
                <w:p w14:paraId="14C81D6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洗米</w:t>
                  </w:r>
                  <w:r>
                    <w:rPr>
                      <w:rFonts w:hint="eastAsia" w:ascii="Times New Roman" w:hAnsi="Times New Roman" w:eastAsia="宋体" w:cs="Times New Roman"/>
                      <w:color w:val="auto"/>
                      <w:lang w:val="en-US" w:eastAsia="zh-CN"/>
                    </w:rPr>
                    <w:t>用水损耗量</w:t>
                  </w:r>
                </w:p>
              </w:tc>
              <w:tc>
                <w:tcPr>
                  <w:tcW w:w="1069" w:type="pct"/>
                  <w:vAlign w:val="center"/>
                </w:tcPr>
                <w:p w14:paraId="0368DFC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58082.24</w:t>
                  </w:r>
                </w:p>
              </w:tc>
            </w:tr>
            <w:tr w14:paraId="6C589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8" w:type="pct"/>
                  <w:vAlign w:val="center"/>
                </w:tcPr>
                <w:p w14:paraId="254A4A8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合计</w:t>
                  </w:r>
                </w:p>
              </w:tc>
              <w:tc>
                <w:tcPr>
                  <w:tcW w:w="1021" w:type="pct"/>
                  <w:vAlign w:val="center"/>
                </w:tcPr>
                <w:p w14:paraId="5884DAA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676859.24</w:t>
                  </w:r>
                </w:p>
              </w:tc>
              <w:tc>
                <w:tcPr>
                  <w:tcW w:w="1760" w:type="pct"/>
                  <w:vAlign w:val="center"/>
                </w:tcPr>
                <w:p w14:paraId="0421642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合计</w:t>
                  </w:r>
                </w:p>
              </w:tc>
              <w:tc>
                <w:tcPr>
                  <w:tcW w:w="1069" w:type="pct"/>
                  <w:vAlign w:val="center"/>
                </w:tcPr>
                <w:p w14:paraId="2612718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676859.24</w:t>
                  </w:r>
                </w:p>
              </w:tc>
            </w:tr>
          </w:tbl>
          <w:p w14:paraId="52455F05">
            <w:pPr>
              <w:keepNext w:val="0"/>
              <w:keepLines w:val="0"/>
              <w:pageBreakBefore/>
              <w:widowControl/>
              <w:numPr>
                <w:ilvl w:val="0"/>
                <w:numId w:val="0"/>
              </w:numPr>
              <w:suppressLineNumbers w:val="0"/>
              <w:spacing w:before="0" w:beforeLines="0" w:beforeAutospacing="0" w:after="0" w:afterLines="0" w:afterAutospacing="0"/>
              <w:ind w:left="480" w:leftChars="200" w:right="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3.主要污染因子分析</w:t>
            </w:r>
          </w:p>
          <w:p w14:paraId="57BA0E8E">
            <w:pPr>
              <w:keepNext w:val="0"/>
              <w:keepLines w:val="0"/>
              <w:pageBreakBefore/>
              <w:widowControl/>
              <w:numPr>
                <w:ilvl w:val="0"/>
                <w:numId w:val="0"/>
              </w:numPr>
              <w:suppressLineNumbers w:val="0"/>
              <w:spacing w:before="0" w:beforeLines="0" w:beforeAutospacing="0" w:after="0" w:afterLines="0" w:afterAutospacing="0"/>
              <w:ind w:left="480" w:leftChars="20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根据工艺</w:t>
            </w:r>
            <w:r>
              <w:rPr>
                <w:rFonts w:hint="default" w:ascii="Times New Roman" w:hAnsi="Times New Roman" w:cs="Times New Roman"/>
                <w:color w:val="auto"/>
                <w:sz w:val="24"/>
                <w:szCs w:val="24"/>
                <w:lang w:val="en-US" w:eastAsia="zh-CN"/>
              </w:rPr>
              <w:t>生</w:t>
            </w:r>
            <w:r>
              <w:rPr>
                <w:rFonts w:hint="default" w:ascii="Times New Roman" w:hAnsi="Times New Roman" w:cs="Times New Roman"/>
                <w:color w:val="auto"/>
                <w:sz w:val="24"/>
                <w:szCs w:val="24"/>
              </w:rPr>
              <w:t>产分析</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项目营运期污染环节</w:t>
            </w:r>
            <w:r>
              <w:rPr>
                <w:rFonts w:hint="default" w:ascii="Times New Roman" w:hAnsi="Times New Roman" w:cs="Times New Roman"/>
                <w:color w:val="auto"/>
                <w:sz w:val="24"/>
                <w:szCs w:val="24"/>
                <w:lang w:eastAsia="zh-CN"/>
              </w:rPr>
              <w:t>见下</w:t>
            </w:r>
            <w:r>
              <w:rPr>
                <w:rFonts w:hint="default" w:ascii="Times New Roman" w:hAnsi="Times New Roman" w:cs="Times New Roman"/>
                <w:color w:val="auto"/>
                <w:sz w:val="24"/>
                <w:szCs w:val="24"/>
              </w:rPr>
              <w:t>表</w:t>
            </w:r>
          </w:p>
          <w:p w14:paraId="25A6BCFE">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项目污染物概况表</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2059"/>
              <w:gridCol w:w="2059"/>
              <w:gridCol w:w="2352"/>
            </w:tblGrid>
            <w:tr w14:paraId="6893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6" w:type="pct"/>
                  <w:vAlign w:val="center"/>
                </w:tcPr>
                <w:p w14:paraId="5BDDB3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污染因子</w:t>
                  </w:r>
                </w:p>
              </w:tc>
              <w:tc>
                <w:tcPr>
                  <w:tcW w:w="1296" w:type="pct"/>
                  <w:vAlign w:val="center"/>
                </w:tcPr>
                <w:p w14:paraId="12CF53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来源</w:t>
                  </w:r>
                </w:p>
              </w:tc>
              <w:tc>
                <w:tcPr>
                  <w:tcW w:w="1296" w:type="pct"/>
                  <w:vAlign w:val="center"/>
                </w:tcPr>
                <w:p w14:paraId="4936F2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污染种类</w:t>
                  </w:r>
                </w:p>
              </w:tc>
              <w:tc>
                <w:tcPr>
                  <w:tcW w:w="1480" w:type="pct"/>
                  <w:vAlign w:val="center"/>
                </w:tcPr>
                <w:p w14:paraId="4B86D6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排放方式</w:t>
                  </w:r>
                </w:p>
              </w:tc>
            </w:tr>
            <w:tr w14:paraId="781E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6" w:type="pct"/>
                  <w:vMerge w:val="restart"/>
                  <w:vAlign w:val="center"/>
                </w:tcPr>
                <w:p w14:paraId="36371B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废气</w:t>
                  </w:r>
                </w:p>
              </w:tc>
              <w:tc>
                <w:tcPr>
                  <w:tcW w:w="1296" w:type="pct"/>
                  <w:vAlign w:val="center"/>
                </w:tcPr>
                <w:p w14:paraId="477FF08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烘干、蒸馏、冷凝</w:t>
                  </w:r>
                </w:p>
              </w:tc>
              <w:tc>
                <w:tcPr>
                  <w:tcW w:w="1296" w:type="pct"/>
                  <w:vAlign w:val="center"/>
                </w:tcPr>
                <w:p w14:paraId="022AD2F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TVOC</w:t>
                  </w:r>
                  <w:r>
                    <w:rPr>
                      <w:rFonts w:hint="default" w:ascii="Times New Roman" w:hAnsi="Times New Roman" w:eastAsia="宋体" w:cs="Times New Roman"/>
                      <w:color w:val="auto"/>
                      <w:kern w:val="0"/>
                      <w:sz w:val="21"/>
                      <w:szCs w:val="21"/>
                      <w:lang w:val="en-US" w:eastAsia="zh-CN"/>
                    </w:rPr>
                    <w:t>、颗粒物</w:t>
                  </w:r>
                </w:p>
              </w:tc>
              <w:tc>
                <w:tcPr>
                  <w:tcW w:w="1480" w:type="pct"/>
                  <w:vAlign w:val="center"/>
                </w:tcPr>
                <w:p w14:paraId="49721F7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有组织、无组织</w:t>
                  </w:r>
                </w:p>
              </w:tc>
            </w:tr>
            <w:tr w14:paraId="10D7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6" w:type="pct"/>
                  <w:vMerge w:val="continue"/>
                  <w:vAlign w:val="center"/>
                </w:tcPr>
                <w:p w14:paraId="5889AF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7BB793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储罐、沉淀、过滤</w:t>
                  </w:r>
                </w:p>
              </w:tc>
              <w:tc>
                <w:tcPr>
                  <w:tcW w:w="1296" w:type="pct"/>
                  <w:vAlign w:val="center"/>
                </w:tcPr>
                <w:p w14:paraId="5E8579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TVOC</w:t>
                  </w:r>
                </w:p>
              </w:tc>
              <w:tc>
                <w:tcPr>
                  <w:tcW w:w="1480" w:type="pct"/>
                  <w:vAlign w:val="center"/>
                </w:tcPr>
                <w:p w14:paraId="72A25A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有组织、无组织</w:t>
                  </w:r>
                </w:p>
              </w:tc>
            </w:tr>
            <w:tr w14:paraId="787F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6" w:type="pct"/>
                  <w:vMerge w:val="continue"/>
                  <w:vAlign w:val="center"/>
                </w:tcPr>
                <w:p w14:paraId="34A5EC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3A2D6A9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破碎</w:t>
                  </w:r>
                </w:p>
              </w:tc>
              <w:tc>
                <w:tcPr>
                  <w:tcW w:w="1296" w:type="pct"/>
                  <w:vAlign w:val="center"/>
                </w:tcPr>
                <w:p w14:paraId="5D669B3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颗粒物</w:t>
                  </w:r>
                </w:p>
              </w:tc>
              <w:tc>
                <w:tcPr>
                  <w:tcW w:w="1480" w:type="pct"/>
                  <w:vAlign w:val="center"/>
                </w:tcPr>
                <w:p w14:paraId="4831E11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无组织</w:t>
                  </w:r>
                </w:p>
              </w:tc>
            </w:tr>
            <w:tr w14:paraId="075C2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6" w:type="pct"/>
                  <w:vMerge w:val="continue"/>
                  <w:vAlign w:val="center"/>
                </w:tcPr>
                <w:p w14:paraId="3EC3B8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2EC2EB2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上料</w:t>
                  </w:r>
                </w:p>
              </w:tc>
              <w:tc>
                <w:tcPr>
                  <w:tcW w:w="1296" w:type="pct"/>
                  <w:vAlign w:val="center"/>
                </w:tcPr>
                <w:p w14:paraId="15814A3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颗粒物</w:t>
                  </w:r>
                </w:p>
              </w:tc>
              <w:tc>
                <w:tcPr>
                  <w:tcW w:w="1480" w:type="pct"/>
                  <w:vAlign w:val="center"/>
                </w:tcPr>
                <w:p w14:paraId="7A6D787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无组织</w:t>
                  </w:r>
                </w:p>
              </w:tc>
            </w:tr>
            <w:tr w14:paraId="37A5C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23AD67E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11DD803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锅炉</w:t>
                  </w:r>
                </w:p>
              </w:tc>
              <w:tc>
                <w:tcPr>
                  <w:tcW w:w="1296" w:type="pct"/>
                  <w:vAlign w:val="center"/>
                </w:tcPr>
                <w:p w14:paraId="2DC50F8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both"/>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颗粒物、</w:t>
                  </w:r>
                  <w:r>
                    <w:rPr>
                      <w:rFonts w:hint="default" w:ascii="Times New Roman" w:hAnsi="Times New Roman" w:cs="Times New Roman"/>
                      <w:color w:val="auto"/>
                    </w:rPr>
                    <w:t>SO₂</w:t>
                  </w:r>
                  <w:r>
                    <w:rPr>
                      <w:rFonts w:hint="default" w:ascii="Times New Roman" w:hAnsi="Times New Roman" w:cs="Times New Roman"/>
                      <w:color w:val="auto"/>
                      <w:kern w:val="0"/>
                      <w:sz w:val="21"/>
                      <w:szCs w:val="21"/>
                      <w:lang w:val="en-US" w:eastAsia="zh-CN"/>
                    </w:rPr>
                    <w:t>、</w:t>
                  </w:r>
                  <w:r>
                    <w:rPr>
                      <w:rFonts w:hint="default" w:ascii="Times New Roman" w:hAnsi="Times New Roman" w:cs="Times New Roman"/>
                      <w:color w:val="auto"/>
                      <w:lang w:val="en-US" w:eastAsia="zh-CN"/>
                    </w:rPr>
                    <w:t>NOx</w:t>
                  </w:r>
                </w:p>
              </w:tc>
              <w:tc>
                <w:tcPr>
                  <w:tcW w:w="1480" w:type="pct"/>
                  <w:vAlign w:val="center"/>
                </w:tcPr>
                <w:p w14:paraId="69BB114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有组织</w:t>
                  </w:r>
                </w:p>
              </w:tc>
            </w:tr>
            <w:tr w14:paraId="2287E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restart"/>
                  <w:vAlign w:val="center"/>
                </w:tcPr>
                <w:p w14:paraId="3C924A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废水</w:t>
                  </w:r>
                </w:p>
              </w:tc>
              <w:tc>
                <w:tcPr>
                  <w:tcW w:w="1296" w:type="pct"/>
                  <w:vAlign w:val="center"/>
                </w:tcPr>
                <w:p w14:paraId="399844D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水环真空泵废水</w:t>
                  </w:r>
                </w:p>
              </w:tc>
              <w:tc>
                <w:tcPr>
                  <w:tcW w:w="1296" w:type="pct"/>
                  <w:vAlign w:val="center"/>
                </w:tcPr>
                <w:p w14:paraId="12DBCB1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COD、BOD</w:t>
                  </w:r>
                  <w:r>
                    <w:rPr>
                      <w:rFonts w:hint="default" w:ascii="Times New Roman" w:hAnsi="Times New Roman" w:cs="Times New Roman"/>
                      <w:color w:val="auto"/>
                      <w:kern w:val="0"/>
                      <w:sz w:val="21"/>
                      <w:szCs w:val="21"/>
                      <w:vertAlign w:val="subscript"/>
                      <w:lang w:val="en-US" w:eastAsia="zh-CN"/>
                    </w:rPr>
                    <w:t>5</w:t>
                  </w:r>
                  <w:r>
                    <w:rPr>
                      <w:rFonts w:hint="default"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lang w:val="en-US" w:eastAsia="zh-CN"/>
                    </w:rPr>
                    <w:t>SS</w:t>
                  </w:r>
                </w:p>
              </w:tc>
              <w:tc>
                <w:tcPr>
                  <w:tcW w:w="1480" w:type="pct"/>
                  <w:vAlign w:val="center"/>
                </w:tcPr>
                <w:p w14:paraId="6B33B62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间断</w:t>
                  </w:r>
                </w:p>
              </w:tc>
            </w:tr>
            <w:tr w14:paraId="4076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759271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3C0E6E1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喷淋废水</w:t>
                  </w:r>
                </w:p>
              </w:tc>
              <w:tc>
                <w:tcPr>
                  <w:tcW w:w="1296" w:type="pct"/>
                  <w:vAlign w:val="center"/>
                </w:tcPr>
                <w:p w14:paraId="33DCC7F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CODcr、BOD</w:t>
                  </w:r>
                  <w:r>
                    <w:rPr>
                      <w:rFonts w:hint="default" w:ascii="Times New Roman" w:hAnsi="Times New Roman" w:cs="Times New Roman"/>
                      <w:color w:val="auto"/>
                      <w:kern w:val="0"/>
                      <w:sz w:val="21"/>
                      <w:szCs w:val="21"/>
                      <w:vertAlign w:val="subscript"/>
                      <w:lang w:val="en-US" w:eastAsia="zh-CN"/>
                    </w:rPr>
                    <w:t>5</w:t>
                  </w:r>
                  <w:r>
                    <w:rPr>
                      <w:rFonts w:hint="default"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lang w:val="en-US" w:eastAsia="zh-CN"/>
                    </w:rPr>
                    <w:t>SS</w:t>
                  </w:r>
                  <w:r>
                    <w:rPr>
                      <w:rFonts w:hint="default" w:ascii="Times New Roman" w:hAnsi="Times New Roman" w:cs="Times New Roman"/>
                      <w:color w:val="auto"/>
                      <w:kern w:val="0"/>
                      <w:sz w:val="21"/>
                      <w:szCs w:val="21"/>
                      <w:lang w:val="en-US" w:eastAsia="zh-CN"/>
                    </w:rPr>
                    <w:t>、TN、NH</w:t>
                  </w:r>
                  <w:r>
                    <w:rPr>
                      <w:rFonts w:hint="default" w:ascii="Times New Roman" w:hAnsi="Times New Roman" w:cs="Times New Roman"/>
                      <w:color w:val="auto"/>
                      <w:kern w:val="0"/>
                      <w:sz w:val="21"/>
                      <w:szCs w:val="21"/>
                      <w:vertAlign w:val="subscript"/>
                      <w:lang w:val="en-US" w:eastAsia="zh-CN"/>
                    </w:rPr>
                    <w:t>3</w:t>
                  </w:r>
                  <w:r>
                    <w:rPr>
                      <w:rFonts w:hint="default" w:ascii="Times New Roman" w:hAnsi="Times New Roman" w:cs="Times New Roman"/>
                      <w:color w:val="auto"/>
                      <w:kern w:val="0"/>
                      <w:sz w:val="21"/>
                      <w:szCs w:val="21"/>
                      <w:lang w:val="en-US" w:eastAsia="zh-CN"/>
                    </w:rPr>
                    <w:t>-N</w:t>
                  </w:r>
                </w:p>
              </w:tc>
              <w:tc>
                <w:tcPr>
                  <w:tcW w:w="1480" w:type="pct"/>
                  <w:vAlign w:val="center"/>
                </w:tcPr>
                <w:p w14:paraId="35E6EF7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间断</w:t>
                  </w:r>
                </w:p>
              </w:tc>
            </w:tr>
            <w:tr w14:paraId="53BB0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62E433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724A2B3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生活污水</w:t>
                  </w:r>
                </w:p>
              </w:tc>
              <w:tc>
                <w:tcPr>
                  <w:tcW w:w="1296" w:type="pct"/>
                  <w:vAlign w:val="center"/>
                </w:tcPr>
                <w:p w14:paraId="40C3402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pH、CODcr、BOD</w:t>
                  </w:r>
                  <w:r>
                    <w:rPr>
                      <w:rFonts w:hint="default" w:ascii="Times New Roman" w:hAnsi="Times New Roman" w:cs="Times New Roman"/>
                      <w:color w:val="auto"/>
                      <w:kern w:val="0"/>
                      <w:sz w:val="21"/>
                      <w:szCs w:val="21"/>
                      <w:vertAlign w:val="subscript"/>
                      <w:lang w:val="en-US" w:eastAsia="zh-CN"/>
                    </w:rPr>
                    <w:t>5</w:t>
                  </w:r>
                  <w:r>
                    <w:rPr>
                      <w:rFonts w:hint="default"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lang w:val="en-US" w:eastAsia="zh-CN"/>
                    </w:rPr>
                    <w:t>SS</w:t>
                  </w:r>
                  <w:r>
                    <w:rPr>
                      <w:rFonts w:hint="default" w:ascii="Times New Roman" w:hAnsi="Times New Roman" w:cs="Times New Roman"/>
                      <w:color w:val="auto"/>
                      <w:kern w:val="0"/>
                      <w:sz w:val="21"/>
                      <w:szCs w:val="21"/>
                      <w:lang w:val="en-US" w:eastAsia="zh-CN"/>
                    </w:rPr>
                    <w:t>、TP、TN、NH</w:t>
                  </w:r>
                  <w:r>
                    <w:rPr>
                      <w:rFonts w:hint="default" w:ascii="Times New Roman" w:hAnsi="Times New Roman" w:cs="Times New Roman"/>
                      <w:color w:val="auto"/>
                      <w:kern w:val="0"/>
                      <w:sz w:val="21"/>
                      <w:szCs w:val="21"/>
                      <w:vertAlign w:val="subscript"/>
                      <w:lang w:val="en-US" w:eastAsia="zh-CN"/>
                    </w:rPr>
                    <w:t>3</w:t>
                  </w:r>
                  <w:r>
                    <w:rPr>
                      <w:rFonts w:hint="default" w:ascii="Times New Roman" w:hAnsi="Times New Roman" w:cs="Times New Roman"/>
                      <w:color w:val="auto"/>
                      <w:kern w:val="0"/>
                      <w:sz w:val="21"/>
                      <w:szCs w:val="21"/>
                      <w:lang w:val="en-US" w:eastAsia="zh-CN"/>
                    </w:rPr>
                    <w:t>-N</w:t>
                  </w:r>
                </w:p>
              </w:tc>
              <w:tc>
                <w:tcPr>
                  <w:tcW w:w="1480" w:type="pct"/>
                  <w:vAlign w:val="center"/>
                </w:tcPr>
                <w:p w14:paraId="37A8261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间断</w:t>
                  </w:r>
                </w:p>
              </w:tc>
            </w:tr>
            <w:tr w14:paraId="6F5A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shd w:val="clear" w:color="auto" w:fill="auto"/>
                  <w:vAlign w:val="center"/>
                </w:tcPr>
                <w:p w14:paraId="4DCBA2E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噪声</w:t>
                  </w:r>
                </w:p>
              </w:tc>
              <w:tc>
                <w:tcPr>
                  <w:tcW w:w="1296" w:type="pct"/>
                  <w:shd w:val="clear" w:color="auto" w:fill="auto"/>
                  <w:vAlign w:val="center"/>
                </w:tcPr>
                <w:p w14:paraId="28F5D07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机械设备噪音</w:t>
                  </w:r>
                </w:p>
              </w:tc>
              <w:tc>
                <w:tcPr>
                  <w:tcW w:w="1296" w:type="pct"/>
                  <w:shd w:val="clear" w:color="auto" w:fill="auto"/>
                  <w:vAlign w:val="center"/>
                </w:tcPr>
                <w:p w14:paraId="28B3B1E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生产设备噪声</w:t>
                  </w:r>
                </w:p>
              </w:tc>
              <w:tc>
                <w:tcPr>
                  <w:tcW w:w="1480" w:type="pct"/>
                  <w:shd w:val="clear" w:color="auto" w:fill="auto"/>
                  <w:vAlign w:val="center"/>
                </w:tcPr>
                <w:p w14:paraId="71B1001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间断</w:t>
                  </w:r>
                </w:p>
              </w:tc>
            </w:tr>
            <w:tr w14:paraId="4B8EA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restart"/>
                  <w:vAlign w:val="center"/>
                </w:tcPr>
                <w:p w14:paraId="386A93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固体废物</w:t>
                  </w:r>
                </w:p>
              </w:tc>
              <w:tc>
                <w:tcPr>
                  <w:tcW w:w="1296" w:type="pct"/>
                  <w:vAlign w:val="center"/>
                </w:tcPr>
                <w:p w14:paraId="31AD62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除铁</w:t>
                  </w:r>
                </w:p>
              </w:tc>
              <w:tc>
                <w:tcPr>
                  <w:tcW w:w="1296" w:type="pct"/>
                  <w:vAlign w:val="center"/>
                </w:tcPr>
                <w:p w14:paraId="5F215C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铁屑</w:t>
                  </w:r>
                </w:p>
              </w:tc>
              <w:tc>
                <w:tcPr>
                  <w:tcW w:w="1480" w:type="pct"/>
                  <w:vAlign w:val="center"/>
                </w:tcPr>
                <w:p w14:paraId="7CD68E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r>
            <w:tr w14:paraId="20CB0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1EA452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4B24C7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废气处理</w:t>
                  </w:r>
                </w:p>
              </w:tc>
              <w:tc>
                <w:tcPr>
                  <w:tcW w:w="1296" w:type="pct"/>
                  <w:vAlign w:val="center"/>
                </w:tcPr>
                <w:p w14:paraId="4BB4DCA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布袋除尘器收集粉尘</w:t>
                  </w:r>
                </w:p>
              </w:tc>
              <w:tc>
                <w:tcPr>
                  <w:tcW w:w="1480" w:type="pct"/>
                  <w:vAlign w:val="center"/>
                </w:tcPr>
                <w:p w14:paraId="30D54B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r>
            <w:tr w14:paraId="08FF7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6153C6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74BC1F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员工生活</w:t>
                  </w:r>
                </w:p>
              </w:tc>
              <w:tc>
                <w:tcPr>
                  <w:tcW w:w="1296" w:type="pct"/>
                  <w:vAlign w:val="center"/>
                </w:tcPr>
                <w:p w14:paraId="309424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生活垃圾</w:t>
                  </w:r>
                </w:p>
              </w:tc>
              <w:tc>
                <w:tcPr>
                  <w:tcW w:w="1480" w:type="pct"/>
                  <w:vAlign w:val="center"/>
                </w:tcPr>
                <w:p w14:paraId="7DF8B4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垃圾桶</w:t>
                  </w:r>
                </w:p>
              </w:tc>
            </w:tr>
            <w:tr w14:paraId="216A8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067BB5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7DA5EE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锅炉</w:t>
                  </w:r>
                </w:p>
              </w:tc>
              <w:tc>
                <w:tcPr>
                  <w:tcW w:w="1296" w:type="pct"/>
                  <w:vAlign w:val="center"/>
                </w:tcPr>
                <w:p w14:paraId="780AC6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炉渣</w:t>
                  </w:r>
                </w:p>
              </w:tc>
              <w:tc>
                <w:tcPr>
                  <w:tcW w:w="1480" w:type="pct"/>
                  <w:vAlign w:val="center"/>
                </w:tcPr>
                <w:p w14:paraId="70C685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r>
            <w:tr w14:paraId="498A4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64780E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Merge w:val="restart"/>
                  <w:vAlign w:val="center"/>
                </w:tcPr>
                <w:p w14:paraId="461596B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检验</w:t>
                  </w:r>
                </w:p>
              </w:tc>
              <w:tc>
                <w:tcPr>
                  <w:tcW w:w="1296" w:type="pct"/>
                  <w:vAlign w:val="center"/>
                </w:tcPr>
                <w:p w14:paraId="1028212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不合格品</w:t>
                  </w:r>
                </w:p>
              </w:tc>
              <w:tc>
                <w:tcPr>
                  <w:tcW w:w="1480" w:type="pct"/>
                  <w:vAlign w:val="center"/>
                </w:tcPr>
                <w:p w14:paraId="74E085D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r>
            <w:tr w14:paraId="7B99E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3C6C49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Merge w:val="continue"/>
                  <w:vAlign w:val="center"/>
                </w:tcPr>
                <w:p w14:paraId="4FD288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6C26D0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实验室废液、实验室废试剂空瓶</w:t>
                  </w:r>
                </w:p>
              </w:tc>
              <w:tc>
                <w:tcPr>
                  <w:tcW w:w="1480" w:type="pct"/>
                  <w:vAlign w:val="center"/>
                </w:tcPr>
                <w:p w14:paraId="18051B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危险固废暂存间</w:t>
                  </w:r>
                </w:p>
              </w:tc>
            </w:tr>
            <w:tr w14:paraId="651F2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4E5C472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53CD63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蒸馏</w:t>
                  </w:r>
                </w:p>
              </w:tc>
              <w:tc>
                <w:tcPr>
                  <w:tcW w:w="1296" w:type="pct"/>
                  <w:vAlign w:val="center"/>
                </w:tcPr>
                <w:p w14:paraId="1FDC57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废液</w:t>
                  </w:r>
                </w:p>
              </w:tc>
              <w:tc>
                <w:tcPr>
                  <w:tcW w:w="1480" w:type="pct"/>
                  <w:vAlign w:val="center"/>
                </w:tcPr>
                <w:p w14:paraId="630BC2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危险固废暂存间</w:t>
                  </w:r>
                </w:p>
              </w:tc>
            </w:tr>
            <w:tr w14:paraId="52CBA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vMerge w:val="continue"/>
                  <w:vAlign w:val="center"/>
                </w:tcPr>
                <w:p w14:paraId="4D4A8D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296" w:type="pct"/>
                  <w:vAlign w:val="center"/>
                </w:tcPr>
                <w:p w14:paraId="7A8CB6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色选</w:t>
                  </w:r>
                </w:p>
              </w:tc>
              <w:tc>
                <w:tcPr>
                  <w:tcW w:w="1296" w:type="pct"/>
                  <w:vAlign w:val="center"/>
                </w:tcPr>
                <w:p w14:paraId="2C7F5D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中碎米</w:t>
                  </w:r>
                </w:p>
              </w:tc>
              <w:tc>
                <w:tcPr>
                  <w:tcW w:w="1480" w:type="pct"/>
                  <w:vAlign w:val="center"/>
                </w:tcPr>
                <w:p w14:paraId="158E85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r>
          </w:tbl>
          <w:p w14:paraId="26CBF31C">
            <w:pPr>
              <w:keepNext w:val="0"/>
              <w:keepLines w:val="0"/>
              <w:pageBreakBefore/>
              <w:widowControl/>
              <w:numPr>
                <w:ilvl w:val="0"/>
                <w:numId w:val="8"/>
              </w:numPr>
              <w:suppressLineNumbers w:val="0"/>
              <w:spacing w:before="0" w:beforeLines="0" w:beforeAutospacing="0" w:after="0" w:afterLines="0" w:afterAutospacing="0"/>
              <w:ind w:left="0" w:right="0" w:firstLine="482"/>
              <w:rPr>
                <w:rFonts w:hint="default" w:ascii="Times New Roman" w:hAnsi="Times New Roman" w:cs="Times New Roman"/>
                <w:b/>
                <w:color w:val="auto"/>
                <w:kern w:val="0"/>
                <w:sz w:val="24"/>
                <w:szCs w:val="20"/>
                <w:lang w:val="en-US" w:eastAsia="zh-CN"/>
              </w:rPr>
            </w:pPr>
            <w:r>
              <w:rPr>
                <w:rFonts w:hint="default" w:ascii="Times New Roman" w:hAnsi="Times New Roman" w:cs="Times New Roman"/>
                <w:b/>
                <w:color w:val="auto"/>
                <w:kern w:val="0"/>
                <w:sz w:val="24"/>
                <w:szCs w:val="20"/>
              </w:rPr>
              <w:t>物料平衡</w:t>
            </w:r>
            <w:r>
              <w:rPr>
                <w:rFonts w:hint="default" w:ascii="Times New Roman" w:hAnsi="Times New Roman" w:cs="Times New Roman"/>
                <w:b/>
                <w:color w:val="auto"/>
                <w:kern w:val="0"/>
                <w:sz w:val="24"/>
                <w:szCs w:val="20"/>
                <w:lang w:eastAsia="zh-CN"/>
              </w:rPr>
              <w:t>、</w:t>
            </w:r>
            <w:r>
              <w:rPr>
                <w:rFonts w:hint="default" w:ascii="Times New Roman" w:hAnsi="Times New Roman" w:cs="Times New Roman"/>
                <w:b/>
                <w:color w:val="auto"/>
                <w:kern w:val="0"/>
                <w:sz w:val="24"/>
                <w:szCs w:val="20"/>
                <w:lang w:val="en-US" w:eastAsia="zh-CN"/>
              </w:rPr>
              <w:t>溶剂平衡</w:t>
            </w:r>
          </w:p>
          <w:p w14:paraId="4C0294F2">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（1）物料平衡</w:t>
            </w:r>
          </w:p>
          <w:p w14:paraId="48819017">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本项目物料平衡见下表：</w:t>
            </w:r>
          </w:p>
          <w:p w14:paraId="61200CF4">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eastAsia" w:cs="Times New Roman"/>
                <w:b/>
                <w:color w:val="auto"/>
                <w:kern w:val="0"/>
                <w:sz w:val="24"/>
                <w:szCs w:val="24"/>
                <w:lang w:val="en-US" w:eastAsia="zh-CN" w:bidi="ar-SA"/>
              </w:rPr>
              <w:t>食用蛋白</w:t>
            </w:r>
            <w:r>
              <w:rPr>
                <w:rFonts w:hint="default" w:ascii="Times New Roman" w:hAnsi="Times New Roman" w:eastAsia="宋体" w:cs="Times New Roman"/>
                <w:b/>
                <w:color w:val="auto"/>
                <w:kern w:val="0"/>
                <w:sz w:val="24"/>
                <w:szCs w:val="24"/>
                <w:lang w:val="en-US" w:eastAsia="zh-CN" w:bidi="ar-SA"/>
              </w:rPr>
              <w:t>物料平衡表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12"/>
              <w:gridCol w:w="812"/>
              <w:gridCol w:w="812"/>
              <w:gridCol w:w="1045"/>
              <w:gridCol w:w="761"/>
              <w:gridCol w:w="991"/>
              <w:gridCol w:w="886"/>
              <w:gridCol w:w="814"/>
            </w:tblGrid>
            <w:tr w14:paraId="187A2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9" w:type="pct"/>
                  <w:gridSpan w:val="4"/>
                  <w:vAlign w:val="center"/>
                </w:tcPr>
                <w:p w14:paraId="74C86F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投入</w:t>
                  </w:r>
                </w:p>
              </w:tc>
              <w:tc>
                <w:tcPr>
                  <w:tcW w:w="2830" w:type="pct"/>
                  <w:gridSpan w:val="5"/>
                  <w:vAlign w:val="center"/>
                </w:tcPr>
                <w:p w14:paraId="2A14730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产出</w:t>
                  </w:r>
                </w:p>
              </w:tc>
            </w:tr>
            <w:tr w14:paraId="39191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304A9B0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名称</w:t>
                  </w:r>
                </w:p>
              </w:tc>
              <w:tc>
                <w:tcPr>
                  <w:tcW w:w="510" w:type="pct"/>
                  <w:vAlign w:val="center"/>
                </w:tcPr>
                <w:p w14:paraId="0FC6C29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kg/批次</w:t>
                  </w:r>
                </w:p>
              </w:tc>
              <w:tc>
                <w:tcPr>
                  <w:tcW w:w="510" w:type="pct"/>
                  <w:vAlign w:val="center"/>
                </w:tcPr>
                <w:p w14:paraId="0B77CD0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数量（t/a）</w:t>
                  </w:r>
                </w:p>
              </w:tc>
              <w:tc>
                <w:tcPr>
                  <w:tcW w:w="1760" w:type="pct"/>
                  <w:gridSpan w:val="3"/>
                  <w:vAlign w:val="center"/>
                </w:tcPr>
                <w:p w14:paraId="6AC276A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名称</w:t>
                  </w:r>
                </w:p>
              </w:tc>
              <w:tc>
                <w:tcPr>
                  <w:tcW w:w="557" w:type="pct"/>
                  <w:vAlign w:val="center"/>
                </w:tcPr>
                <w:p w14:paraId="2A76066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kg/批次</w:t>
                  </w:r>
                </w:p>
              </w:tc>
              <w:tc>
                <w:tcPr>
                  <w:tcW w:w="512" w:type="pct"/>
                  <w:vAlign w:val="center"/>
                </w:tcPr>
                <w:p w14:paraId="41427A7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数量（t/a）</w:t>
                  </w:r>
                </w:p>
              </w:tc>
            </w:tr>
            <w:tr w14:paraId="58B3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3" w:type="pct"/>
                  <w:vMerge w:val="restart"/>
                  <w:vAlign w:val="center"/>
                </w:tcPr>
                <w:p w14:paraId="409C0DD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饲用蛋白粉</w:t>
                  </w:r>
                </w:p>
              </w:tc>
              <w:tc>
                <w:tcPr>
                  <w:tcW w:w="573" w:type="pct"/>
                  <w:vAlign w:val="center"/>
                </w:tcPr>
                <w:p w14:paraId="4E5B96D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蛋白质</w:t>
                  </w:r>
                </w:p>
              </w:tc>
              <w:tc>
                <w:tcPr>
                  <w:tcW w:w="510" w:type="pct"/>
                  <w:vAlign w:val="center"/>
                </w:tcPr>
                <w:p w14:paraId="47DE59A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610.101</w:t>
                  </w:r>
                </w:p>
              </w:tc>
              <w:tc>
                <w:tcPr>
                  <w:tcW w:w="510" w:type="pct"/>
                  <w:vAlign w:val="center"/>
                </w:tcPr>
                <w:p w14:paraId="238481B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1525.252</w:t>
                  </w:r>
                </w:p>
              </w:tc>
              <w:tc>
                <w:tcPr>
                  <w:tcW w:w="657" w:type="pct"/>
                  <w:vMerge w:val="restart"/>
                  <w:vAlign w:val="center"/>
                </w:tcPr>
                <w:p w14:paraId="6728E72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大米蛋白粉</w:t>
                  </w:r>
                </w:p>
              </w:tc>
              <w:tc>
                <w:tcPr>
                  <w:tcW w:w="1103" w:type="pct"/>
                  <w:gridSpan w:val="2"/>
                  <w:vAlign w:val="center"/>
                </w:tcPr>
                <w:p w14:paraId="0BA6F73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vAlign w:val="center"/>
                </w:tcPr>
                <w:p w14:paraId="2EA459A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608</w:t>
                  </w:r>
                </w:p>
              </w:tc>
              <w:tc>
                <w:tcPr>
                  <w:tcW w:w="811" w:type="dxa"/>
                  <w:vAlign w:val="center"/>
                </w:tcPr>
                <w:p w14:paraId="50F372A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1520</w:t>
                  </w:r>
                </w:p>
              </w:tc>
            </w:tr>
            <w:tr w14:paraId="5D5A2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3" w:type="pct"/>
                  <w:vMerge w:val="continue"/>
                  <w:vAlign w:val="center"/>
                </w:tcPr>
                <w:p w14:paraId="62EC481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Align w:val="center"/>
                </w:tcPr>
                <w:p w14:paraId="2DEFD48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水</w:t>
                  </w:r>
                </w:p>
              </w:tc>
              <w:tc>
                <w:tcPr>
                  <w:tcW w:w="510" w:type="pct"/>
                  <w:vAlign w:val="center"/>
                </w:tcPr>
                <w:p w14:paraId="779C883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40.55</w:t>
                  </w:r>
                </w:p>
              </w:tc>
              <w:tc>
                <w:tcPr>
                  <w:tcW w:w="510" w:type="pct"/>
                  <w:vAlign w:val="center"/>
                </w:tcPr>
                <w:p w14:paraId="00BCBAB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101.376</w:t>
                  </w:r>
                </w:p>
              </w:tc>
              <w:tc>
                <w:tcPr>
                  <w:tcW w:w="657" w:type="pct"/>
                  <w:vMerge w:val="continue"/>
                  <w:vAlign w:val="center"/>
                </w:tcPr>
                <w:p w14:paraId="27C869E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vAlign w:val="center"/>
                </w:tcPr>
                <w:p w14:paraId="12895CE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vAlign w:val="center"/>
                </w:tcPr>
                <w:p w14:paraId="7E8FBCC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40.8</w:t>
                  </w:r>
                </w:p>
              </w:tc>
              <w:tc>
                <w:tcPr>
                  <w:tcW w:w="811" w:type="dxa"/>
                  <w:vAlign w:val="center"/>
                </w:tcPr>
                <w:p w14:paraId="6255F07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102</w:t>
                  </w:r>
                </w:p>
              </w:tc>
            </w:tr>
            <w:tr w14:paraId="2ED1D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 w:type="pct"/>
                  <w:vMerge w:val="continue"/>
                  <w:vAlign w:val="center"/>
                </w:tcPr>
                <w:p w14:paraId="2D29C96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Align w:val="center"/>
                </w:tcPr>
                <w:p w14:paraId="517273E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其他成分（脂肪、灰分、铁等）</w:t>
                  </w:r>
                </w:p>
              </w:tc>
              <w:tc>
                <w:tcPr>
                  <w:tcW w:w="510" w:type="pct"/>
                  <w:vAlign w:val="center"/>
                </w:tcPr>
                <w:p w14:paraId="3C0CEDA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273.044</w:t>
                  </w:r>
                </w:p>
              </w:tc>
              <w:tc>
                <w:tcPr>
                  <w:tcW w:w="510" w:type="pct"/>
                  <w:vAlign w:val="center"/>
                </w:tcPr>
                <w:p w14:paraId="515D170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682.611</w:t>
                  </w:r>
                </w:p>
              </w:tc>
              <w:tc>
                <w:tcPr>
                  <w:tcW w:w="657" w:type="pct"/>
                  <w:vMerge w:val="continue"/>
                  <w:vAlign w:val="center"/>
                </w:tcPr>
                <w:p w14:paraId="749A5E3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vAlign w:val="center"/>
                </w:tcPr>
                <w:p w14:paraId="0BF8B7C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vAlign w:val="center"/>
                </w:tcPr>
                <w:p w14:paraId="0BFAA42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151.2</w:t>
                  </w:r>
                </w:p>
              </w:tc>
              <w:tc>
                <w:tcPr>
                  <w:tcW w:w="811" w:type="dxa"/>
                  <w:vAlign w:val="center"/>
                </w:tcPr>
                <w:p w14:paraId="5742200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378</w:t>
                  </w:r>
                </w:p>
              </w:tc>
            </w:tr>
            <w:tr w14:paraId="2F383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3" w:type="pct"/>
                  <w:vMerge w:val="restart"/>
                  <w:vAlign w:val="center"/>
                </w:tcPr>
                <w:p w14:paraId="14E707C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补充乙醇</w:t>
                  </w:r>
                </w:p>
              </w:tc>
              <w:tc>
                <w:tcPr>
                  <w:tcW w:w="573" w:type="pct"/>
                  <w:vAlign w:val="center"/>
                </w:tcPr>
                <w:p w14:paraId="2E149BF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乙醇</w:t>
                  </w:r>
                </w:p>
              </w:tc>
              <w:tc>
                <w:tcPr>
                  <w:tcW w:w="510" w:type="pct"/>
                  <w:vAlign w:val="center"/>
                </w:tcPr>
                <w:p w14:paraId="760BB3E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27.837</w:t>
                  </w:r>
                </w:p>
              </w:tc>
              <w:tc>
                <w:tcPr>
                  <w:tcW w:w="510" w:type="pct"/>
                  <w:vAlign w:val="center"/>
                </w:tcPr>
                <w:p w14:paraId="23C5AA8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69.593</w:t>
                  </w:r>
                </w:p>
              </w:tc>
              <w:tc>
                <w:tcPr>
                  <w:tcW w:w="657" w:type="pct"/>
                  <w:vMerge w:val="restart"/>
                  <w:vAlign w:val="center"/>
                </w:tcPr>
                <w:p w14:paraId="7CDF964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回收乙醇</w:t>
                  </w:r>
                </w:p>
              </w:tc>
              <w:tc>
                <w:tcPr>
                  <w:tcW w:w="1103" w:type="pct"/>
                  <w:gridSpan w:val="2"/>
                  <w:vAlign w:val="center"/>
                </w:tcPr>
                <w:p w14:paraId="319A80B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vAlign w:val="center"/>
                </w:tcPr>
                <w:p w14:paraId="2C29200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2506.426</w:t>
                  </w:r>
                </w:p>
              </w:tc>
              <w:tc>
                <w:tcPr>
                  <w:tcW w:w="811" w:type="dxa"/>
                  <w:vAlign w:val="center"/>
                </w:tcPr>
                <w:p w14:paraId="7A8B32F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6266.066</w:t>
                  </w:r>
                </w:p>
              </w:tc>
            </w:tr>
            <w:tr w14:paraId="30BA7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3" w:type="pct"/>
                  <w:vMerge w:val="continue"/>
                  <w:vAlign w:val="center"/>
                </w:tcPr>
                <w:p w14:paraId="769CF90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Align w:val="center"/>
                </w:tcPr>
                <w:p w14:paraId="6AC9204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水</w:t>
                  </w:r>
                </w:p>
              </w:tc>
              <w:tc>
                <w:tcPr>
                  <w:tcW w:w="510" w:type="pct"/>
                  <w:vAlign w:val="center"/>
                </w:tcPr>
                <w:p w14:paraId="7D849E5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1.465</w:t>
                  </w:r>
                </w:p>
              </w:tc>
              <w:tc>
                <w:tcPr>
                  <w:tcW w:w="510" w:type="pct"/>
                  <w:vAlign w:val="center"/>
                </w:tcPr>
                <w:p w14:paraId="1773E06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3.663</w:t>
                  </w:r>
                </w:p>
              </w:tc>
              <w:tc>
                <w:tcPr>
                  <w:tcW w:w="657" w:type="pct"/>
                  <w:vMerge w:val="continue"/>
                  <w:vAlign w:val="center"/>
                </w:tcPr>
                <w:p w14:paraId="77315E4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vAlign w:val="center"/>
                </w:tcPr>
                <w:p w14:paraId="0E460A1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vAlign w:val="center"/>
                </w:tcPr>
                <w:p w14:paraId="0908495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124.29</w:t>
                  </w:r>
                </w:p>
              </w:tc>
              <w:tc>
                <w:tcPr>
                  <w:tcW w:w="811" w:type="dxa"/>
                  <w:vAlign w:val="center"/>
                </w:tcPr>
                <w:p w14:paraId="3A0632C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310.725</w:t>
                  </w:r>
                </w:p>
              </w:tc>
            </w:tr>
            <w:tr w14:paraId="381D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3" w:type="pct"/>
                  <w:vMerge w:val="restart"/>
                  <w:shd w:val="clear" w:color="auto" w:fill="auto"/>
                  <w:vAlign w:val="center"/>
                </w:tcPr>
                <w:p w14:paraId="026CF7C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回收乙醇</w:t>
                  </w:r>
                </w:p>
              </w:tc>
              <w:tc>
                <w:tcPr>
                  <w:tcW w:w="573" w:type="pct"/>
                  <w:shd w:val="clear" w:color="auto" w:fill="auto"/>
                  <w:vAlign w:val="center"/>
                </w:tcPr>
                <w:p w14:paraId="22C128F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乙醇</w:t>
                  </w:r>
                </w:p>
              </w:tc>
              <w:tc>
                <w:tcPr>
                  <w:tcW w:w="510" w:type="pct"/>
                  <w:shd w:val="clear" w:color="auto" w:fill="auto"/>
                  <w:vAlign w:val="center"/>
                </w:tcPr>
                <w:p w14:paraId="4144AA4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2506.426</w:t>
                  </w:r>
                </w:p>
              </w:tc>
              <w:tc>
                <w:tcPr>
                  <w:tcW w:w="510" w:type="pct"/>
                  <w:shd w:val="clear" w:color="auto" w:fill="auto"/>
                  <w:vAlign w:val="center"/>
                </w:tcPr>
                <w:p w14:paraId="6993901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6266.066</w:t>
                  </w:r>
                </w:p>
              </w:tc>
              <w:tc>
                <w:tcPr>
                  <w:tcW w:w="657" w:type="pct"/>
                  <w:vMerge w:val="restart"/>
                  <w:shd w:val="clear" w:color="auto" w:fill="auto"/>
                  <w:vAlign w:val="center"/>
                </w:tcPr>
                <w:p w14:paraId="3A104B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S2废液</w:t>
                  </w:r>
                </w:p>
              </w:tc>
              <w:tc>
                <w:tcPr>
                  <w:tcW w:w="1103" w:type="pct"/>
                  <w:gridSpan w:val="2"/>
                  <w:shd w:val="clear" w:color="auto" w:fill="auto"/>
                  <w:vAlign w:val="center"/>
                </w:tcPr>
                <w:p w14:paraId="36490A1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302BB9E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0.006</w:t>
                  </w:r>
                </w:p>
              </w:tc>
              <w:tc>
                <w:tcPr>
                  <w:tcW w:w="811" w:type="dxa"/>
                  <w:shd w:val="clear" w:color="auto" w:fill="auto"/>
                  <w:vAlign w:val="center"/>
                </w:tcPr>
                <w:p w14:paraId="709F621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r>
            <w:tr w14:paraId="15BF3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3" w:type="pct"/>
                  <w:vMerge w:val="continue"/>
                  <w:shd w:val="clear" w:color="auto" w:fill="auto"/>
                  <w:vAlign w:val="center"/>
                </w:tcPr>
                <w:p w14:paraId="1BC13F1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shd w:val="clear" w:color="auto" w:fill="auto"/>
                  <w:vAlign w:val="center"/>
                </w:tcPr>
                <w:p w14:paraId="3A078C6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水</w:t>
                  </w:r>
                </w:p>
              </w:tc>
              <w:tc>
                <w:tcPr>
                  <w:tcW w:w="510" w:type="pct"/>
                  <w:shd w:val="clear" w:color="auto" w:fill="auto"/>
                  <w:vAlign w:val="center"/>
                </w:tcPr>
                <w:p w14:paraId="4E18293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124.104</w:t>
                  </w:r>
                </w:p>
              </w:tc>
              <w:tc>
                <w:tcPr>
                  <w:tcW w:w="510" w:type="pct"/>
                  <w:shd w:val="clear" w:color="auto" w:fill="auto"/>
                  <w:vAlign w:val="center"/>
                </w:tcPr>
                <w:p w14:paraId="78479A9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310.259</w:t>
                  </w:r>
                </w:p>
              </w:tc>
              <w:tc>
                <w:tcPr>
                  <w:tcW w:w="657" w:type="pct"/>
                  <w:vMerge w:val="continue"/>
                  <w:shd w:val="clear" w:color="auto" w:fill="auto"/>
                  <w:vAlign w:val="center"/>
                </w:tcPr>
                <w:p w14:paraId="5D6CF82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shd w:val="clear" w:color="auto" w:fill="auto"/>
                  <w:vAlign w:val="center"/>
                </w:tcPr>
                <w:p w14:paraId="30419B9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5ED03FC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0.624</w:t>
                  </w:r>
                </w:p>
              </w:tc>
              <w:tc>
                <w:tcPr>
                  <w:tcW w:w="811" w:type="dxa"/>
                  <w:shd w:val="clear" w:color="auto" w:fill="auto"/>
                  <w:vAlign w:val="center"/>
                </w:tcPr>
                <w:p w14:paraId="0054D87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1.56</w:t>
                  </w:r>
                </w:p>
              </w:tc>
            </w:tr>
            <w:tr w14:paraId="5436D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573" w:type="pct"/>
                  <w:vMerge w:val="restart"/>
                  <w:shd w:val="clear" w:color="auto" w:fill="auto"/>
                  <w:vAlign w:val="center"/>
                </w:tcPr>
                <w:p w14:paraId="74B2300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Merge w:val="restart"/>
                  <w:shd w:val="clear" w:color="auto" w:fill="auto"/>
                  <w:vAlign w:val="center"/>
                </w:tcPr>
                <w:p w14:paraId="49B4734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511494B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1F2B10D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300EB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shd w:val="clear" w:color="auto" w:fill="auto"/>
                  <w:vAlign w:val="center"/>
                </w:tcPr>
                <w:p w14:paraId="2AD62FD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脂肪、灰分等</w:t>
                  </w:r>
                </w:p>
              </w:tc>
              <w:tc>
                <w:tcPr>
                  <w:tcW w:w="883" w:type="dxa"/>
                  <w:shd w:val="clear" w:color="auto" w:fill="auto"/>
                  <w:vAlign w:val="center"/>
                </w:tcPr>
                <w:p w14:paraId="2A89536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119.372</w:t>
                  </w:r>
                </w:p>
              </w:tc>
              <w:tc>
                <w:tcPr>
                  <w:tcW w:w="811" w:type="dxa"/>
                  <w:shd w:val="clear" w:color="auto" w:fill="auto"/>
                  <w:vAlign w:val="center"/>
                </w:tcPr>
                <w:p w14:paraId="23B06BC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298.418</w:t>
                  </w:r>
                </w:p>
              </w:tc>
            </w:tr>
            <w:tr w14:paraId="1A999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 w:type="pct"/>
                  <w:vMerge w:val="continue"/>
                  <w:shd w:val="clear" w:color="auto" w:fill="auto"/>
                  <w:vAlign w:val="center"/>
                </w:tcPr>
                <w:p w14:paraId="0BF0DFE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Merge w:val="continue"/>
                  <w:shd w:val="clear" w:color="auto" w:fill="auto"/>
                  <w:vAlign w:val="center"/>
                </w:tcPr>
                <w:p w14:paraId="6F86B81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continue"/>
                  <w:shd w:val="clear" w:color="auto" w:fill="auto"/>
                  <w:vAlign w:val="center"/>
                </w:tcPr>
                <w:p w14:paraId="5460285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continue"/>
                  <w:shd w:val="clear" w:color="auto" w:fill="auto"/>
                  <w:vAlign w:val="center"/>
                </w:tcPr>
                <w:p w14:paraId="2302911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75D654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shd w:val="clear" w:color="auto" w:fill="auto"/>
                  <w:vAlign w:val="center"/>
                </w:tcPr>
                <w:p w14:paraId="7320B81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76FFD46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23.413</w:t>
                  </w:r>
                </w:p>
              </w:tc>
              <w:tc>
                <w:tcPr>
                  <w:tcW w:w="811" w:type="dxa"/>
                  <w:shd w:val="clear" w:color="auto" w:fill="auto"/>
                  <w:vAlign w:val="center"/>
                </w:tcPr>
                <w:p w14:paraId="7F69FDE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58.534</w:t>
                  </w:r>
                </w:p>
              </w:tc>
            </w:tr>
            <w:tr w14:paraId="4D6BB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restart"/>
                  <w:vAlign w:val="center"/>
                </w:tcPr>
                <w:p w14:paraId="1018615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Merge w:val="restart"/>
                  <w:vAlign w:val="center"/>
                </w:tcPr>
                <w:p w14:paraId="4AF46CA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174A531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083660B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3D3B128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废气G2、G3、G4、G5</w:t>
                  </w:r>
                </w:p>
              </w:tc>
              <w:tc>
                <w:tcPr>
                  <w:tcW w:w="479" w:type="pct"/>
                  <w:vMerge w:val="restart"/>
                  <w:shd w:val="clear" w:color="auto" w:fill="auto"/>
                  <w:vAlign w:val="center"/>
                </w:tcPr>
                <w:p w14:paraId="623329F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有组织排放</w:t>
                  </w:r>
                </w:p>
              </w:tc>
              <w:tc>
                <w:tcPr>
                  <w:tcW w:w="623" w:type="pct"/>
                  <w:shd w:val="clear" w:color="auto" w:fill="auto"/>
                  <w:vAlign w:val="center"/>
                </w:tcPr>
                <w:p w14:paraId="0CE25A4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1092069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0.044</w:t>
                  </w:r>
                </w:p>
              </w:tc>
              <w:tc>
                <w:tcPr>
                  <w:tcW w:w="811" w:type="dxa"/>
                  <w:shd w:val="clear" w:color="auto" w:fill="auto"/>
                  <w:vAlign w:val="center"/>
                </w:tcPr>
                <w:p w14:paraId="55E975B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w:t>
                  </w:r>
                </w:p>
              </w:tc>
            </w:tr>
            <w:tr w14:paraId="4A3BB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continue"/>
                  <w:vAlign w:val="center"/>
                </w:tcPr>
                <w:p w14:paraId="7B2AC89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73" w:type="pct"/>
                  <w:vMerge w:val="continue"/>
                  <w:vAlign w:val="center"/>
                </w:tcPr>
                <w:p w14:paraId="7E3B572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shd w:val="clear" w:color="auto" w:fill="auto"/>
                  <w:vAlign w:val="center"/>
                </w:tcPr>
                <w:p w14:paraId="3FAADEB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shd w:val="clear" w:color="auto" w:fill="auto"/>
                  <w:vAlign w:val="center"/>
                </w:tcPr>
                <w:p w14:paraId="4546C69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57" w:type="pct"/>
                  <w:vMerge w:val="continue"/>
                  <w:shd w:val="clear" w:color="auto" w:fill="auto"/>
                  <w:vAlign w:val="center"/>
                </w:tcPr>
                <w:p w14:paraId="48D6265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79" w:type="pct"/>
                  <w:vMerge w:val="continue"/>
                  <w:shd w:val="clear" w:color="auto" w:fill="auto"/>
                  <w:vAlign w:val="center"/>
                </w:tcPr>
                <w:p w14:paraId="1630A94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3731E0F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6B2002D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0.0024</w:t>
                  </w:r>
                </w:p>
              </w:tc>
              <w:tc>
                <w:tcPr>
                  <w:tcW w:w="811" w:type="dxa"/>
                  <w:shd w:val="clear" w:color="auto" w:fill="auto"/>
                  <w:vAlign w:val="center"/>
                </w:tcPr>
                <w:p w14:paraId="375C15F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w:t>
                  </w:r>
                  <w:r>
                    <w:rPr>
                      <w:rFonts w:hint="eastAsia" w:ascii="Times New Roman" w:hAnsi="Times New Roman" w:eastAsia="宋体" w:cs="Times New Roman"/>
                      <w:color w:val="auto"/>
                      <w:lang w:val="en-US" w:eastAsia="zh-CN"/>
                    </w:rPr>
                    <w:t>6</w:t>
                  </w:r>
                </w:p>
              </w:tc>
            </w:tr>
            <w:tr w14:paraId="4F32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restart"/>
                  <w:vAlign w:val="center"/>
                </w:tcPr>
                <w:p w14:paraId="76579C5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Merge w:val="continue"/>
                  <w:vAlign w:val="center"/>
                </w:tcPr>
                <w:p w14:paraId="5860ECD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continue"/>
                  <w:vAlign w:val="center"/>
                </w:tcPr>
                <w:p w14:paraId="3FE179C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continue"/>
                  <w:vAlign w:val="center"/>
                </w:tcPr>
                <w:p w14:paraId="596984F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0A85A0D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4C15414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无组织排放</w:t>
                  </w:r>
                </w:p>
              </w:tc>
              <w:tc>
                <w:tcPr>
                  <w:tcW w:w="623" w:type="pct"/>
                  <w:shd w:val="clear" w:color="auto" w:fill="auto"/>
                  <w:vAlign w:val="center"/>
                </w:tcPr>
                <w:p w14:paraId="0B9C039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0C0BAF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0.107</w:t>
                  </w:r>
                </w:p>
              </w:tc>
              <w:tc>
                <w:tcPr>
                  <w:tcW w:w="811" w:type="dxa"/>
                  <w:shd w:val="clear" w:color="auto" w:fill="auto"/>
                  <w:vAlign w:val="center"/>
                </w:tcPr>
                <w:p w14:paraId="448EB2A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0.267</w:t>
                  </w:r>
                </w:p>
              </w:tc>
            </w:tr>
            <w:tr w14:paraId="436F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continue"/>
                  <w:vAlign w:val="center"/>
                </w:tcPr>
                <w:p w14:paraId="248948A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73" w:type="pct"/>
                  <w:vMerge w:val="continue"/>
                  <w:vAlign w:val="center"/>
                </w:tcPr>
                <w:p w14:paraId="628AB36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vAlign w:val="center"/>
                </w:tcPr>
                <w:p w14:paraId="414995D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vAlign w:val="center"/>
                </w:tcPr>
                <w:p w14:paraId="544F50B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57" w:type="pct"/>
                  <w:vMerge w:val="continue"/>
                  <w:shd w:val="clear" w:color="auto" w:fill="auto"/>
                  <w:vAlign w:val="center"/>
                </w:tcPr>
                <w:p w14:paraId="399502E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79" w:type="pct"/>
                  <w:vMerge w:val="continue"/>
                  <w:shd w:val="clear" w:color="auto" w:fill="auto"/>
                  <w:vAlign w:val="center"/>
                </w:tcPr>
                <w:p w14:paraId="4AA06C0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668463F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67DE8DB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0.0044</w:t>
                  </w:r>
                </w:p>
              </w:tc>
              <w:tc>
                <w:tcPr>
                  <w:tcW w:w="811" w:type="dxa"/>
                  <w:shd w:val="clear" w:color="auto" w:fill="auto"/>
                  <w:vAlign w:val="center"/>
                </w:tcPr>
                <w:p w14:paraId="0427E14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0.011</w:t>
                  </w:r>
                </w:p>
              </w:tc>
            </w:tr>
            <w:tr w14:paraId="3646F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restart"/>
                  <w:vAlign w:val="center"/>
                </w:tcPr>
                <w:p w14:paraId="563F1F0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73" w:type="pct"/>
                  <w:vMerge w:val="restart"/>
                  <w:vAlign w:val="center"/>
                </w:tcPr>
                <w:p w14:paraId="1D09AA0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3BFD2AF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Merge w:val="restart"/>
                  <w:shd w:val="clear" w:color="auto" w:fill="auto"/>
                  <w:vAlign w:val="center"/>
                </w:tcPr>
                <w:p w14:paraId="3A9187E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2CF7DD9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09B06D9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处置装置处理</w:t>
                  </w:r>
                </w:p>
              </w:tc>
              <w:tc>
                <w:tcPr>
                  <w:tcW w:w="623" w:type="pct"/>
                  <w:shd w:val="clear" w:color="auto" w:fill="auto"/>
                  <w:vAlign w:val="center"/>
                </w:tcPr>
                <w:p w14:paraId="742167A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681D3B3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0.383</w:t>
                  </w:r>
                </w:p>
              </w:tc>
              <w:tc>
                <w:tcPr>
                  <w:tcW w:w="811" w:type="dxa"/>
                  <w:shd w:val="clear" w:color="auto" w:fill="auto"/>
                  <w:vAlign w:val="center"/>
                </w:tcPr>
                <w:p w14:paraId="27936DA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0.958</w:t>
                  </w:r>
                </w:p>
              </w:tc>
            </w:tr>
            <w:tr w14:paraId="0761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73" w:type="pct"/>
                  <w:vMerge w:val="continue"/>
                  <w:vAlign w:val="center"/>
                </w:tcPr>
                <w:p w14:paraId="43E5615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73" w:type="pct"/>
                  <w:vMerge w:val="continue"/>
                  <w:vAlign w:val="center"/>
                </w:tcPr>
                <w:p w14:paraId="62907DC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shd w:val="clear" w:color="auto" w:fill="auto"/>
                  <w:vAlign w:val="center"/>
                </w:tcPr>
                <w:p w14:paraId="35693F3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510" w:type="pct"/>
                  <w:vMerge w:val="continue"/>
                  <w:shd w:val="clear" w:color="auto" w:fill="auto"/>
                  <w:vAlign w:val="center"/>
                </w:tcPr>
                <w:p w14:paraId="05FFE54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657" w:type="pct"/>
                  <w:vMerge w:val="continue"/>
                  <w:shd w:val="clear" w:color="auto" w:fill="auto"/>
                  <w:vAlign w:val="center"/>
                </w:tcPr>
                <w:p w14:paraId="4F59BE8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79" w:type="pct"/>
                  <w:vMerge w:val="continue"/>
                  <w:shd w:val="clear" w:color="auto" w:fill="auto"/>
                  <w:vAlign w:val="center"/>
                </w:tcPr>
                <w:p w14:paraId="17A4E5F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54DB9D9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083D89E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0.0212</w:t>
                  </w:r>
                </w:p>
              </w:tc>
              <w:tc>
                <w:tcPr>
                  <w:tcW w:w="811" w:type="dxa"/>
                  <w:shd w:val="clear" w:color="auto" w:fill="auto"/>
                  <w:vAlign w:val="center"/>
                </w:tcPr>
                <w:p w14:paraId="2BC420E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0.053</w:t>
                  </w:r>
                </w:p>
              </w:tc>
            </w:tr>
            <w:tr w14:paraId="1F1F3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4AA9E28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B14BAD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781884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7D39418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G6废气</w:t>
                  </w:r>
                </w:p>
              </w:tc>
              <w:tc>
                <w:tcPr>
                  <w:tcW w:w="479" w:type="pct"/>
                  <w:vMerge w:val="restart"/>
                  <w:shd w:val="clear" w:color="auto" w:fill="auto"/>
                  <w:vAlign w:val="center"/>
                </w:tcPr>
                <w:p w14:paraId="42BC707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无组织排放</w:t>
                  </w:r>
                </w:p>
              </w:tc>
              <w:tc>
                <w:tcPr>
                  <w:tcW w:w="623" w:type="pct"/>
                  <w:shd w:val="clear" w:color="auto" w:fill="auto"/>
                  <w:vAlign w:val="center"/>
                </w:tcPr>
                <w:p w14:paraId="091E80E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5168AA1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0.126</w:t>
                  </w:r>
                </w:p>
              </w:tc>
              <w:tc>
                <w:tcPr>
                  <w:tcW w:w="811" w:type="dxa"/>
                  <w:shd w:val="clear" w:color="auto" w:fill="auto"/>
                  <w:vAlign w:val="center"/>
                </w:tcPr>
                <w:p w14:paraId="1D353D9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0.316</w:t>
                  </w:r>
                </w:p>
              </w:tc>
            </w:tr>
            <w:tr w14:paraId="1136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147" w:type="pct"/>
                  <w:gridSpan w:val="2"/>
                  <w:vAlign w:val="center"/>
                </w:tcPr>
                <w:p w14:paraId="081D421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465BBB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05F680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7EC1E5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72E8B8A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02E1518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62D2F1A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w:t>
                  </w:r>
                </w:p>
              </w:tc>
              <w:tc>
                <w:tcPr>
                  <w:tcW w:w="811" w:type="dxa"/>
                  <w:shd w:val="clear" w:color="auto" w:fill="auto"/>
                  <w:vAlign w:val="center"/>
                </w:tcPr>
                <w:p w14:paraId="088ED81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0.127</w:t>
                  </w:r>
                </w:p>
              </w:tc>
            </w:tr>
            <w:tr w14:paraId="085B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322A5D4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960D28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1D0A6A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2720736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47C04F8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15B2F92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shd w:val="clear" w:color="auto" w:fill="auto"/>
                  <w:vAlign w:val="center"/>
                </w:tcPr>
                <w:p w14:paraId="4A1376F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0.154</w:t>
                  </w:r>
                </w:p>
              </w:tc>
              <w:tc>
                <w:tcPr>
                  <w:tcW w:w="811" w:type="dxa"/>
                  <w:shd w:val="clear" w:color="auto" w:fill="auto"/>
                  <w:vAlign w:val="center"/>
                </w:tcPr>
                <w:p w14:paraId="4CA3BC8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0.387</w:t>
                  </w:r>
                </w:p>
              </w:tc>
            </w:tr>
            <w:tr w14:paraId="6A3B5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5E55BCE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17F9A2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59B2F7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A2F801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76C7597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外售饲用蛋白粉</w:t>
                  </w:r>
                </w:p>
              </w:tc>
              <w:tc>
                <w:tcPr>
                  <w:tcW w:w="623" w:type="pct"/>
                  <w:shd w:val="clear" w:color="auto" w:fill="auto"/>
                  <w:vAlign w:val="center"/>
                </w:tcPr>
                <w:p w14:paraId="4BCFA33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44B8F9B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0.4812</w:t>
                  </w:r>
                </w:p>
              </w:tc>
              <w:tc>
                <w:tcPr>
                  <w:tcW w:w="811" w:type="dxa"/>
                  <w:shd w:val="clear" w:color="auto" w:fill="auto"/>
                  <w:vAlign w:val="center"/>
                </w:tcPr>
                <w:p w14:paraId="7A462E3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1.203</w:t>
                  </w:r>
                </w:p>
              </w:tc>
            </w:tr>
            <w:tr w14:paraId="7C611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58B5A99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A22EBF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67C1E2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40B25A5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0D98093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397157E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7023F8E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0.192</w:t>
                  </w:r>
                </w:p>
              </w:tc>
              <w:tc>
                <w:tcPr>
                  <w:tcW w:w="811" w:type="dxa"/>
                  <w:shd w:val="clear" w:color="auto" w:fill="auto"/>
                  <w:vAlign w:val="center"/>
                </w:tcPr>
                <w:p w14:paraId="30D6FC7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0.482</w:t>
                  </w:r>
                </w:p>
              </w:tc>
            </w:tr>
            <w:tr w14:paraId="6D956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5FA1F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FFA709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3DEBC2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3D9A482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1C946E7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2D37909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shd w:val="clear" w:color="auto" w:fill="auto"/>
                  <w:vAlign w:val="center"/>
                </w:tcPr>
                <w:p w14:paraId="4F873C3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0.59</w:t>
                  </w:r>
                </w:p>
              </w:tc>
              <w:tc>
                <w:tcPr>
                  <w:tcW w:w="811" w:type="dxa"/>
                  <w:shd w:val="clear" w:color="auto" w:fill="auto"/>
                  <w:vAlign w:val="center"/>
                </w:tcPr>
                <w:p w14:paraId="7F6A5E7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1.474</w:t>
                  </w:r>
                </w:p>
              </w:tc>
            </w:tr>
            <w:tr w14:paraId="24784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15386DB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11B113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7E5BA6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2C57C9E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G1废气</w:t>
                  </w:r>
                </w:p>
              </w:tc>
              <w:tc>
                <w:tcPr>
                  <w:tcW w:w="479" w:type="pct"/>
                  <w:vMerge w:val="restart"/>
                  <w:shd w:val="clear" w:color="auto" w:fill="auto"/>
                  <w:vAlign w:val="center"/>
                </w:tcPr>
                <w:p w14:paraId="1E33FE0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无组织排放</w:t>
                  </w:r>
                </w:p>
              </w:tc>
              <w:tc>
                <w:tcPr>
                  <w:tcW w:w="623" w:type="pct"/>
                  <w:shd w:val="clear" w:color="auto" w:fill="auto"/>
                  <w:vAlign w:val="center"/>
                </w:tcPr>
                <w:p w14:paraId="0DAEF47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715075A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0.126</w:t>
                  </w:r>
                </w:p>
              </w:tc>
              <w:tc>
                <w:tcPr>
                  <w:tcW w:w="811" w:type="dxa"/>
                  <w:shd w:val="clear" w:color="auto" w:fill="auto"/>
                  <w:vAlign w:val="center"/>
                </w:tcPr>
                <w:p w14:paraId="1E59986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0.317</w:t>
                  </w:r>
                </w:p>
              </w:tc>
            </w:tr>
            <w:tr w14:paraId="75DE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2B11326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61DF62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E24122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651AC03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42AFB81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0EB2F63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503CAB9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0.008</w:t>
                  </w:r>
                </w:p>
              </w:tc>
              <w:tc>
                <w:tcPr>
                  <w:tcW w:w="811" w:type="dxa"/>
                  <w:shd w:val="clear" w:color="auto" w:fill="auto"/>
                  <w:vAlign w:val="center"/>
                </w:tcPr>
                <w:p w14:paraId="3A8A666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0.021</w:t>
                  </w:r>
                </w:p>
              </w:tc>
            </w:tr>
            <w:tr w14:paraId="7E7DE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0C3F898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BDD5DD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0E91221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48EBB39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4F02AC9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41CDF8E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shd w:val="clear" w:color="auto" w:fill="auto"/>
                  <w:vAlign w:val="center"/>
                </w:tcPr>
                <w:p w14:paraId="2BF2BA4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0.056</w:t>
                  </w:r>
                </w:p>
              </w:tc>
              <w:tc>
                <w:tcPr>
                  <w:tcW w:w="811" w:type="dxa"/>
                  <w:shd w:val="clear" w:color="auto" w:fill="auto"/>
                  <w:vAlign w:val="center"/>
                </w:tcPr>
                <w:p w14:paraId="578EAAA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0.142</w:t>
                  </w:r>
                </w:p>
              </w:tc>
            </w:tr>
            <w:tr w14:paraId="1A2F3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2F13348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00F257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0EA5FC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4DF6A77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1B2B577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外售饲用蛋白粉</w:t>
                  </w:r>
                </w:p>
              </w:tc>
              <w:tc>
                <w:tcPr>
                  <w:tcW w:w="623" w:type="pct"/>
                  <w:shd w:val="clear" w:color="auto" w:fill="auto"/>
                  <w:vAlign w:val="center"/>
                </w:tcPr>
                <w:p w14:paraId="1BAF2F2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5997FBD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0.483</w:t>
                  </w:r>
                </w:p>
              </w:tc>
              <w:tc>
                <w:tcPr>
                  <w:tcW w:w="811" w:type="dxa"/>
                  <w:shd w:val="clear" w:color="auto" w:fill="auto"/>
                  <w:vAlign w:val="center"/>
                </w:tcPr>
                <w:p w14:paraId="0AEBD09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1.208</w:t>
                  </w:r>
                </w:p>
              </w:tc>
            </w:tr>
            <w:tr w14:paraId="30743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38E96E0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A62D77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781D42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215116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19D5856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0345ABD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417C37C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0.032</w:t>
                  </w:r>
                </w:p>
              </w:tc>
              <w:tc>
                <w:tcPr>
                  <w:tcW w:w="811" w:type="dxa"/>
                  <w:shd w:val="clear" w:color="auto" w:fill="auto"/>
                  <w:vAlign w:val="center"/>
                </w:tcPr>
                <w:p w14:paraId="773844F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0.08</w:t>
                  </w:r>
                </w:p>
              </w:tc>
            </w:tr>
            <w:tr w14:paraId="5F1B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0E1990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7C618C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625696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152A0C1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3F9B3EF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4624921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shd w:val="clear" w:color="auto" w:fill="auto"/>
                  <w:vAlign w:val="center"/>
                </w:tcPr>
                <w:p w14:paraId="6A5D6A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0.216</w:t>
                  </w:r>
                </w:p>
              </w:tc>
              <w:tc>
                <w:tcPr>
                  <w:tcW w:w="811" w:type="dxa"/>
                  <w:shd w:val="clear" w:color="auto" w:fill="auto"/>
                  <w:vAlign w:val="center"/>
                </w:tcPr>
                <w:p w14:paraId="5028402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0.541</w:t>
                  </w:r>
                </w:p>
              </w:tc>
            </w:tr>
            <w:tr w14:paraId="32EA6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104142B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4DDF1E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957B8D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14801E4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G7废气</w:t>
                  </w:r>
                </w:p>
              </w:tc>
              <w:tc>
                <w:tcPr>
                  <w:tcW w:w="479" w:type="pct"/>
                  <w:vMerge w:val="restart"/>
                  <w:shd w:val="clear" w:color="auto" w:fill="auto"/>
                  <w:vAlign w:val="center"/>
                </w:tcPr>
                <w:p w14:paraId="3F4F4FC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有组织排放</w:t>
                  </w:r>
                </w:p>
              </w:tc>
              <w:tc>
                <w:tcPr>
                  <w:tcW w:w="623" w:type="pct"/>
                  <w:shd w:val="clear" w:color="auto" w:fill="auto"/>
                  <w:vAlign w:val="center"/>
                </w:tcPr>
                <w:p w14:paraId="6223D0F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696AAB6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0.006</w:t>
                  </w:r>
                </w:p>
              </w:tc>
              <w:tc>
                <w:tcPr>
                  <w:tcW w:w="811" w:type="dxa"/>
                  <w:shd w:val="clear" w:color="auto" w:fill="auto"/>
                  <w:vAlign w:val="center"/>
                </w:tcPr>
                <w:p w14:paraId="0379A79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r>
            <w:tr w14:paraId="5555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8F581E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3C5A5C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1FB8DC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3FC40D0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2DF6F2C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5A95458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03A1D0A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0.0004</w:t>
                  </w:r>
                </w:p>
              </w:tc>
              <w:tc>
                <w:tcPr>
                  <w:tcW w:w="811" w:type="dxa"/>
                  <w:shd w:val="clear" w:color="auto" w:fill="auto"/>
                  <w:vAlign w:val="center"/>
                </w:tcPr>
                <w:p w14:paraId="67E05D8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r>
            <w:tr w14:paraId="3BD4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22AA9A3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682FD6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CAA14B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ab/>
                  </w:r>
                </w:p>
              </w:tc>
              <w:tc>
                <w:tcPr>
                  <w:tcW w:w="657" w:type="pct"/>
                  <w:vMerge w:val="continue"/>
                  <w:shd w:val="clear" w:color="auto" w:fill="auto"/>
                  <w:vAlign w:val="center"/>
                </w:tcPr>
                <w:p w14:paraId="7B9D64D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21F5470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240C68D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脂肪、灰分等</w:t>
                  </w:r>
                </w:p>
              </w:tc>
              <w:tc>
                <w:tcPr>
                  <w:tcW w:w="883" w:type="dxa"/>
                  <w:shd w:val="clear" w:color="auto" w:fill="auto"/>
                  <w:vAlign w:val="center"/>
                </w:tcPr>
                <w:p w14:paraId="5CC4B23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0.012</w:t>
                  </w:r>
                </w:p>
              </w:tc>
              <w:tc>
                <w:tcPr>
                  <w:tcW w:w="811" w:type="dxa"/>
                  <w:shd w:val="clear" w:color="auto" w:fill="auto"/>
                  <w:vAlign w:val="center"/>
                </w:tcPr>
                <w:p w14:paraId="663959C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0.031</w:t>
                  </w:r>
                </w:p>
              </w:tc>
            </w:tr>
            <w:tr w14:paraId="6DB16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0A730A0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025CFB2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180ACB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5B9A402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5F86B13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274D56B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6C66639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0.344</w:t>
                  </w:r>
                </w:p>
              </w:tc>
              <w:tc>
                <w:tcPr>
                  <w:tcW w:w="811" w:type="dxa"/>
                  <w:shd w:val="clear" w:color="auto" w:fill="auto"/>
                  <w:vAlign w:val="center"/>
                </w:tcPr>
                <w:p w14:paraId="64F3498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0.86</w:t>
                  </w:r>
                </w:p>
              </w:tc>
            </w:tr>
            <w:tr w14:paraId="197E6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53087E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22FE18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EDB61E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1890DA4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5923CD3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无组织排放</w:t>
                  </w:r>
                </w:p>
              </w:tc>
              <w:tc>
                <w:tcPr>
                  <w:tcW w:w="623" w:type="pct"/>
                  <w:shd w:val="clear" w:color="auto" w:fill="auto"/>
                  <w:vAlign w:val="center"/>
                </w:tcPr>
                <w:p w14:paraId="1B268A9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2E184B8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0.031</w:t>
                  </w:r>
                </w:p>
              </w:tc>
              <w:tc>
                <w:tcPr>
                  <w:tcW w:w="811" w:type="dxa"/>
                  <w:shd w:val="clear" w:color="auto" w:fill="auto"/>
                  <w:vAlign w:val="center"/>
                </w:tcPr>
                <w:p w14:paraId="64B2D99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0.078</w:t>
                  </w:r>
                </w:p>
              </w:tc>
            </w:tr>
            <w:tr w14:paraId="585EC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5FC6BAA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5BE78C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8252A2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E45C38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3A3BCCF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187880E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397D2A1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0.002</w:t>
                  </w:r>
                </w:p>
              </w:tc>
              <w:tc>
                <w:tcPr>
                  <w:tcW w:w="811" w:type="dxa"/>
                  <w:shd w:val="clear" w:color="auto" w:fill="auto"/>
                  <w:vAlign w:val="center"/>
                </w:tcPr>
                <w:p w14:paraId="3A6B5B9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0.004</w:t>
                  </w:r>
                </w:p>
              </w:tc>
            </w:tr>
            <w:tr w14:paraId="6FBC6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2A0B06F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70FC75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894783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3280452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7412FAF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6399CA8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脂肪、灰分等</w:t>
                  </w:r>
                </w:p>
              </w:tc>
              <w:tc>
                <w:tcPr>
                  <w:tcW w:w="883" w:type="dxa"/>
                  <w:shd w:val="clear" w:color="auto" w:fill="auto"/>
                  <w:vAlign w:val="center"/>
                </w:tcPr>
                <w:p w14:paraId="013575C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0.066</w:t>
                  </w:r>
                </w:p>
              </w:tc>
              <w:tc>
                <w:tcPr>
                  <w:tcW w:w="811" w:type="dxa"/>
                  <w:shd w:val="clear" w:color="auto" w:fill="auto"/>
                  <w:vAlign w:val="center"/>
                </w:tcPr>
                <w:p w14:paraId="07C6328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0.164</w:t>
                  </w:r>
                </w:p>
              </w:tc>
            </w:tr>
            <w:tr w14:paraId="4D95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63AA86E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59CBA6D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F3C2C0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7A42864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371DC4F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73E24D7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4C261A9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0.182</w:t>
                  </w:r>
                </w:p>
              </w:tc>
              <w:tc>
                <w:tcPr>
                  <w:tcW w:w="811" w:type="dxa"/>
                  <w:shd w:val="clear" w:color="auto" w:fill="auto"/>
                  <w:vAlign w:val="center"/>
                </w:tcPr>
                <w:p w14:paraId="07D7BD7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0.456</w:t>
                  </w:r>
                </w:p>
              </w:tc>
            </w:tr>
            <w:tr w14:paraId="39F10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3C26707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FEF293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78555D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4D5AB8C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restart"/>
                  <w:shd w:val="clear" w:color="auto" w:fill="auto"/>
                  <w:vAlign w:val="center"/>
                </w:tcPr>
                <w:p w14:paraId="7A612CF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外售饲用蛋白粉</w:t>
                  </w:r>
                </w:p>
              </w:tc>
              <w:tc>
                <w:tcPr>
                  <w:tcW w:w="623" w:type="pct"/>
                  <w:shd w:val="clear" w:color="auto" w:fill="auto"/>
                  <w:vAlign w:val="center"/>
                </w:tcPr>
                <w:p w14:paraId="78DF6CA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47B779D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0.584</w:t>
                  </w:r>
                </w:p>
              </w:tc>
              <w:tc>
                <w:tcPr>
                  <w:tcW w:w="811" w:type="dxa"/>
                  <w:shd w:val="clear" w:color="auto" w:fill="auto"/>
                  <w:vAlign w:val="center"/>
                </w:tcPr>
                <w:p w14:paraId="6B8778B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1.458</w:t>
                  </w:r>
                </w:p>
              </w:tc>
            </w:tr>
            <w:tr w14:paraId="71D14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70D0F0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A6154A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6ADC83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0C8AA3B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5DF3DD4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3C812E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6A1C9BA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0.031</w:t>
                  </w:r>
                </w:p>
              </w:tc>
              <w:tc>
                <w:tcPr>
                  <w:tcW w:w="811" w:type="dxa"/>
                  <w:shd w:val="clear" w:color="auto" w:fill="auto"/>
                  <w:vAlign w:val="center"/>
                </w:tcPr>
                <w:p w14:paraId="3DE8607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0.077</w:t>
                  </w:r>
                </w:p>
              </w:tc>
            </w:tr>
            <w:tr w14:paraId="2A93F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9F3F9E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E610F7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02A9AA4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171595F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47EE6CB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46EFFF2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脂肪、灰分等</w:t>
                  </w:r>
                </w:p>
              </w:tc>
              <w:tc>
                <w:tcPr>
                  <w:tcW w:w="883" w:type="dxa"/>
                  <w:shd w:val="clear" w:color="auto" w:fill="auto"/>
                  <w:vAlign w:val="center"/>
                </w:tcPr>
                <w:p w14:paraId="7BD7D2D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1.234</w:t>
                  </w:r>
                </w:p>
              </w:tc>
              <w:tc>
                <w:tcPr>
                  <w:tcW w:w="811" w:type="dxa"/>
                  <w:shd w:val="clear" w:color="auto" w:fill="auto"/>
                  <w:vAlign w:val="center"/>
                </w:tcPr>
                <w:p w14:paraId="5A87DA4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3.086</w:t>
                  </w:r>
                </w:p>
              </w:tc>
            </w:tr>
            <w:tr w14:paraId="7C271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2A8A22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172D59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FD44E4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29F664D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shd w:val="clear" w:color="auto" w:fill="auto"/>
                  <w:vAlign w:val="center"/>
                </w:tcPr>
                <w:p w14:paraId="0E7891B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处理装置处理</w:t>
                  </w:r>
                </w:p>
              </w:tc>
              <w:tc>
                <w:tcPr>
                  <w:tcW w:w="623" w:type="pct"/>
                  <w:shd w:val="clear" w:color="auto" w:fill="auto"/>
                  <w:vAlign w:val="center"/>
                </w:tcPr>
                <w:p w14:paraId="1053BC2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6A569A6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3.123</w:t>
                  </w:r>
                </w:p>
              </w:tc>
              <w:tc>
                <w:tcPr>
                  <w:tcW w:w="811" w:type="dxa"/>
                  <w:shd w:val="clear" w:color="auto" w:fill="auto"/>
                  <w:vAlign w:val="center"/>
                </w:tcPr>
                <w:p w14:paraId="345EC39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7.808</w:t>
                  </w:r>
                </w:p>
              </w:tc>
            </w:tr>
            <w:tr w14:paraId="19142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0D37736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96B895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8171DF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5B2B607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G8废气</w:t>
                  </w:r>
                </w:p>
              </w:tc>
              <w:tc>
                <w:tcPr>
                  <w:tcW w:w="479" w:type="pct"/>
                  <w:vMerge w:val="restart"/>
                  <w:shd w:val="clear" w:color="auto" w:fill="auto"/>
                  <w:vAlign w:val="center"/>
                </w:tcPr>
                <w:p w14:paraId="6ED9FC7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无组织排放</w:t>
                  </w:r>
                </w:p>
              </w:tc>
              <w:tc>
                <w:tcPr>
                  <w:tcW w:w="623" w:type="pct"/>
                  <w:shd w:val="clear" w:color="auto" w:fill="auto"/>
                  <w:vAlign w:val="center"/>
                </w:tcPr>
                <w:p w14:paraId="77D288A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w:t>
                  </w:r>
                </w:p>
              </w:tc>
              <w:tc>
                <w:tcPr>
                  <w:tcW w:w="883" w:type="dxa"/>
                  <w:shd w:val="clear" w:color="auto" w:fill="auto"/>
                  <w:vAlign w:val="center"/>
                </w:tcPr>
                <w:p w14:paraId="179C23A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0.24</w:t>
                  </w:r>
                </w:p>
              </w:tc>
              <w:tc>
                <w:tcPr>
                  <w:tcW w:w="811" w:type="dxa"/>
                  <w:shd w:val="clear" w:color="auto" w:fill="auto"/>
                  <w:vAlign w:val="center"/>
                </w:tcPr>
                <w:p w14:paraId="783CBDC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w:t>
                  </w:r>
                </w:p>
              </w:tc>
            </w:tr>
            <w:tr w14:paraId="1F394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6388E6D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270D70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6AFEC8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0C2E949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479" w:type="pct"/>
                  <w:vMerge w:val="continue"/>
                  <w:shd w:val="clear" w:color="auto" w:fill="auto"/>
                  <w:vAlign w:val="center"/>
                </w:tcPr>
                <w:p w14:paraId="1869148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23" w:type="pct"/>
                  <w:shd w:val="clear" w:color="auto" w:fill="auto"/>
                  <w:vAlign w:val="center"/>
                </w:tcPr>
                <w:p w14:paraId="2921B4C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36F400C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0.012</w:t>
                  </w:r>
                </w:p>
              </w:tc>
              <w:tc>
                <w:tcPr>
                  <w:tcW w:w="811" w:type="dxa"/>
                  <w:shd w:val="clear" w:color="auto" w:fill="auto"/>
                  <w:vAlign w:val="center"/>
                </w:tcPr>
                <w:p w14:paraId="5077E15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0.03</w:t>
                  </w:r>
                </w:p>
              </w:tc>
            </w:tr>
            <w:tr w14:paraId="6A22C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69AC03F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B77BD7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267E67F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shd w:val="clear" w:color="auto" w:fill="auto"/>
                  <w:vAlign w:val="center"/>
                </w:tcPr>
                <w:p w14:paraId="1C88F2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S1铁屑</w:t>
                  </w:r>
                </w:p>
              </w:tc>
              <w:tc>
                <w:tcPr>
                  <w:tcW w:w="1103" w:type="pct"/>
                  <w:gridSpan w:val="2"/>
                  <w:shd w:val="clear" w:color="auto" w:fill="auto"/>
                  <w:vAlign w:val="center"/>
                </w:tcPr>
                <w:p w14:paraId="32EFBE2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其他成分（铁）</w:t>
                  </w:r>
                </w:p>
              </w:tc>
              <w:tc>
                <w:tcPr>
                  <w:tcW w:w="883" w:type="dxa"/>
                  <w:shd w:val="clear" w:color="auto" w:fill="auto"/>
                  <w:vAlign w:val="center"/>
                </w:tcPr>
                <w:p w14:paraId="5446530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0.0004</w:t>
                  </w:r>
                </w:p>
              </w:tc>
              <w:tc>
                <w:tcPr>
                  <w:tcW w:w="811" w:type="dxa"/>
                  <w:shd w:val="clear" w:color="auto" w:fill="auto"/>
                  <w:vAlign w:val="center"/>
                </w:tcPr>
                <w:p w14:paraId="7C3FB41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r>
            <w:tr w14:paraId="37C5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7D274AF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E54D26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4B071F6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restart"/>
                  <w:shd w:val="clear" w:color="auto" w:fill="auto"/>
                  <w:vAlign w:val="center"/>
                </w:tcPr>
                <w:p w14:paraId="1C9DC08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S3不合格品</w:t>
                  </w:r>
                </w:p>
              </w:tc>
              <w:tc>
                <w:tcPr>
                  <w:tcW w:w="1103" w:type="pct"/>
                  <w:gridSpan w:val="2"/>
                  <w:shd w:val="clear" w:color="auto" w:fill="auto"/>
                  <w:vAlign w:val="center"/>
                </w:tcPr>
                <w:p w14:paraId="75553EA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蛋白质</w:t>
                  </w:r>
                </w:p>
              </w:tc>
              <w:tc>
                <w:tcPr>
                  <w:tcW w:w="883" w:type="dxa"/>
                  <w:shd w:val="clear" w:color="auto" w:fill="auto"/>
                  <w:vAlign w:val="center"/>
                </w:tcPr>
                <w:p w14:paraId="02715DE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0.257</w:t>
                  </w:r>
                </w:p>
              </w:tc>
              <w:tc>
                <w:tcPr>
                  <w:tcW w:w="811" w:type="dxa"/>
                  <w:shd w:val="clear" w:color="auto" w:fill="auto"/>
                  <w:vAlign w:val="center"/>
                </w:tcPr>
                <w:p w14:paraId="1FB3993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0.642</w:t>
                  </w:r>
                </w:p>
              </w:tc>
            </w:tr>
            <w:tr w14:paraId="29ADF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1601FFB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3545169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1EC8FC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478B5D2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shd w:val="clear" w:color="auto" w:fill="auto"/>
                  <w:vAlign w:val="center"/>
                </w:tcPr>
                <w:p w14:paraId="3CFA53A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w:t>
                  </w:r>
                </w:p>
              </w:tc>
              <w:tc>
                <w:tcPr>
                  <w:tcW w:w="883" w:type="dxa"/>
                  <w:shd w:val="clear" w:color="auto" w:fill="auto"/>
                  <w:vAlign w:val="center"/>
                </w:tcPr>
                <w:p w14:paraId="60997FC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0.048</w:t>
                  </w:r>
                </w:p>
              </w:tc>
              <w:tc>
                <w:tcPr>
                  <w:tcW w:w="811" w:type="dxa"/>
                  <w:shd w:val="clear" w:color="auto" w:fill="auto"/>
                  <w:vAlign w:val="center"/>
                </w:tcPr>
                <w:p w14:paraId="3806F05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0.121</w:t>
                  </w:r>
                </w:p>
              </w:tc>
            </w:tr>
            <w:tr w14:paraId="6BF3D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7" w:type="pct"/>
                  <w:gridSpan w:val="2"/>
                  <w:vAlign w:val="center"/>
                </w:tcPr>
                <w:p w14:paraId="37D29B1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0AF7E9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510" w:type="pct"/>
                  <w:vAlign w:val="center"/>
                </w:tcPr>
                <w:p w14:paraId="727E740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657" w:type="pct"/>
                  <w:vMerge w:val="continue"/>
                  <w:shd w:val="clear" w:color="auto" w:fill="auto"/>
                  <w:vAlign w:val="center"/>
                </w:tcPr>
                <w:p w14:paraId="253DE55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03" w:type="pct"/>
                  <w:gridSpan w:val="2"/>
                  <w:shd w:val="clear" w:color="auto" w:fill="auto"/>
                  <w:vAlign w:val="center"/>
                </w:tcPr>
                <w:p w14:paraId="6375E4D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其他成分（脂肪、灰分、铁等）</w:t>
                  </w:r>
                </w:p>
              </w:tc>
              <w:tc>
                <w:tcPr>
                  <w:tcW w:w="883" w:type="dxa"/>
                  <w:shd w:val="clear" w:color="auto" w:fill="auto"/>
                  <w:vAlign w:val="center"/>
                </w:tcPr>
                <w:p w14:paraId="50BFF4F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0.147</w:t>
                  </w:r>
                </w:p>
              </w:tc>
              <w:tc>
                <w:tcPr>
                  <w:tcW w:w="811" w:type="dxa"/>
                  <w:shd w:val="clear" w:color="auto" w:fill="auto"/>
                  <w:vAlign w:val="center"/>
                </w:tcPr>
                <w:p w14:paraId="2E04963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0.367</w:t>
                  </w:r>
                </w:p>
              </w:tc>
            </w:tr>
            <w:tr w14:paraId="05747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47" w:type="pct"/>
                  <w:gridSpan w:val="2"/>
                  <w:shd w:val="clear" w:color="auto" w:fill="auto"/>
                  <w:vAlign w:val="center"/>
                </w:tcPr>
                <w:p w14:paraId="248FD98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合计</w:t>
                  </w:r>
                </w:p>
              </w:tc>
              <w:tc>
                <w:tcPr>
                  <w:tcW w:w="510" w:type="pct"/>
                  <w:shd w:val="clear" w:color="auto" w:fill="auto"/>
                  <w:vAlign w:val="center"/>
                </w:tcPr>
                <w:p w14:paraId="3949A47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3583.527</w:t>
                  </w:r>
                </w:p>
              </w:tc>
              <w:tc>
                <w:tcPr>
                  <w:tcW w:w="510" w:type="pct"/>
                  <w:shd w:val="clear" w:color="auto" w:fill="auto"/>
                  <w:vAlign w:val="center"/>
                </w:tcPr>
                <w:p w14:paraId="11A65E4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8958.82</w:t>
                  </w:r>
                </w:p>
              </w:tc>
              <w:tc>
                <w:tcPr>
                  <w:tcW w:w="1760" w:type="pct"/>
                  <w:gridSpan w:val="3"/>
                  <w:shd w:val="clear" w:color="auto" w:fill="auto"/>
                  <w:vAlign w:val="center"/>
                </w:tcPr>
                <w:p w14:paraId="7E19592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883" w:type="dxa"/>
                  <w:shd w:val="clear" w:color="auto" w:fill="auto"/>
                  <w:vAlign w:val="center"/>
                </w:tcPr>
                <w:p w14:paraId="630BAEF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3583.527</w:t>
                  </w:r>
                </w:p>
              </w:tc>
              <w:tc>
                <w:tcPr>
                  <w:tcW w:w="811" w:type="dxa"/>
                  <w:shd w:val="clear" w:color="auto" w:fill="auto"/>
                  <w:vAlign w:val="center"/>
                </w:tcPr>
                <w:p w14:paraId="48B94B0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8958.82</w:t>
                  </w:r>
                </w:p>
              </w:tc>
            </w:tr>
          </w:tbl>
          <w:p w14:paraId="6A34D367">
            <w:pPr>
              <w:pStyle w:val="61"/>
              <w:keepNext w:val="0"/>
              <w:keepLines w:val="0"/>
              <w:suppressLineNumbers w:val="0"/>
              <w:bidi w:val="0"/>
              <w:spacing w:before="0" w:beforeAutospacing="0" w:after="0" w:afterAutospacing="0"/>
              <w:ind w:left="0" w:right="0" w:firstLine="420" w:firstLineChars="20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回用乙醇6576.325t/a，其中无水乙醇量为6266.066t/a，乙醇含量为95.28%。</w:t>
            </w:r>
          </w:p>
          <w:p w14:paraId="31053B5A">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default" w:ascii="Times New Roman" w:hAnsi="Times New Roman" w:cs="Times New Roman"/>
                <w:b/>
                <w:color w:val="auto"/>
                <w:sz w:val="21"/>
                <w:szCs w:val="21"/>
                <w:lang w:val="en-US" w:eastAsia="zh-CN"/>
              </w:rPr>
            </w:pPr>
            <w:r>
              <w:rPr>
                <w:rFonts w:hint="default" w:ascii="Times New Roman" w:hAnsi="Times New Roman" w:cs="Times New Roman"/>
                <w:b/>
                <w:color w:val="auto"/>
                <w:sz w:val="21"/>
                <w:szCs w:val="21"/>
                <w:lang w:val="en-US" w:eastAsia="zh-CN"/>
              </w:rPr>
              <w:drawing>
                <wp:inline distT="0" distB="0" distL="114300" distR="114300">
                  <wp:extent cx="5063490" cy="5007610"/>
                  <wp:effectExtent l="0" t="0" r="0" b="0"/>
                  <wp:docPr id="11" name="ECB019B1-382A-4266-B25C-5B523AA43C14-7" descr="C:/Users/83911/AppData/Local/Temp/wps.nRylGt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7" descr="C:/Users/83911/AppData/Local/Temp/wps.nRylGtwps"/>
                          <pic:cNvPicPr>
                            <a:picLocks noChangeAspect="1"/>
                          </pic:cNvPicPr>
                        </pic:nvPicPr>
                        <pic:blipFill>
                          <a:blip r:embed="rId18"/>
                          <a:stretch>
                            <a:fillRect/>
                          </a:stretch>
                        </pic:blipFill>
                        <pic:spPr>
                          <a:xfrm>
                            <a:off x="0" y="0"/>
                            <a:ext cx="5063490" cy="5007610"/>
                          </a:xfrm>
                          <a:prstGeom prst="rect">
                            <a:avLst/>
                          </a:prstGeom>
                        </pic:spPr>
                      </pic:pic>
                    </a:graphicData>
                  </a:graphic>
                </wp:inline>
              </w:drawing>
            </w:r>
          </w:p>
          <w:p w14:paraId="14B86D4D">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default" w:ascii="Times New Roman" w:hAnsi="Times New Roman" w:cs="Times New Roman"/>
                <w:b/>
                <w:color w:val="auto"/>
                <w:sz w:val="21"/>
                <w:szCs w:val="21"/>
                <w:lang w:val="en-US" w:eastAsia="zh-CN"/>
              </w:rPr>
            </w:pPr>
            <w:r>
              <w:rPr>
                <w:rFonts w:hint="default" w:ascii="Times New Roman" w:hAnsi="Times New Roman" w:cs="Times New Roman"/>
                <w:b/>
                <w:color w:val="auto"/>
                <w:sz w:val="21"/>
                <w:szCs w:val="21"/>
                <w:lang w:val="en-US" w:eastAsia="zh-CN"/>
              </w:rPr>
              <w:t>图2-8 物料平衡图（t/a）</w:t>
            </w:r>
          </w:p>
          <w:p w14:paraId="0DD22E2F">
            <w:pPr>
              <w:keepNext w:val="0"/>
              <w:keepLines w:val="0"/>
              <w:pageBreakBefore/>
              <w:widowControl/>
              <w:numPr>
                <w:ilvl w:val="0"/>
                <w:numId w:val="0"/>
              </w:numPr>
              <w:suppressLineNumbers w:val="0"/>
              <w:spacing w:before="0" w:beforeLines="0" w:beforeAutospacing="0" w:after="0" w:afterLines="0" w:afterAutospacing="0"/>
              <w:ind w:left="0" w:right="0" w:rightChars="0" w:firstLine="482" w:firstLineChars="200"/>
              <w:jc w:val="left"/>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溶剂平衡</w:t>
            </w:r>
          </w:p>
          <w:p w14:paraId="40701A6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本项目</w:t>
            </w:r>
            <w:r>
              <w:rPr>
                <w:rFonts w:hint="default" w:ascii="Times New Roman" w:hAnsi="Times New Roman" w:eastAsia="宋体" w:cs="Times New Roman"/>
                <w:color w:val="auto"/>
                <w:sz w:val="24"/>
                <w:szCs w:val="24"/>
                <w:lang w:val="en-US" w:eastAsia="zh-CN"/>
              </w:rPr>
              <w:t>溶剂</w:t>
            </w:r>
            <w:r>
              <w:rPr>
                <w:rFonts w:hint="default" w:ascii="Times New Roman" w:hAnsi="Times New Roman" w:cs="Times New Roman"/>
                <w:color w:val="auto"/>
                <w:sz w:val="24"/>
                <w:szCs w:val="24"/>
                <w:lang w:val="en-US" w:eastAsia="zh-CN"/>
              </w:rPr>
              <w:t>（以无水乙醇量计）</w:t>
            </w:r>
            <w:r>
              <w:rPr>
                <w:rFonts w:hint="default" w:ascii="Times New Roman" w:hAnsi="Times New Roman" w:eastAsia="宋体" w:cs="Times New Roman"/>
                <w:color w:val="auto"/>
                <w:sz w:val="24"/>
                <w:szCs w:val="24"/>
                <w:lang w:val="en-US" w:eastAsia="zh-CN"/>
              </w:rPr>
              <w:t>平衡情况</w:t>
            </w:r>
            <w:r>
              <w:rPr>
                <w:rFonts w:hint="default" w:ascii="Times New Roman" w:hAnsi="Times New Roman" w:cs="Times New Roman"/>
                <w:color w:val="auto"/>
                <w:sz w:val="24"/>
                <w:szCs w:val="24"/>
                <w:lang w:val="en-US" w:eastAsia="zh-CN"/>
              </w:rPr>
              <w:t>见下</w:t>
            </w:r>
            <w:r>
              <w:rPr>
                <w:rFonts w:hint="default" w:ascii="Times New Roman" w:hAnsi="Times New Roman" w:eastAsia="宋体" w:cs="Times New Roman"/>
                <w:color w:val="auto"/>
                <w:sz w:val="24"/>
                <w:szCs w:val="24"/>
                <w:lang w:val="en-US" w:eastAsia="zh-CN"/>
              </w:rPr>
              <w:t>表</w:t>
            </w:r>
            <w:r>
              <w:rPr>
                <w:rFonts w:hint="default" w:ascii="Times New Roman" w:hAnsi="Times New Roman" w:cs="Times New Roman"/>
                <w:color w:val="auto"/>
                <w:sz w:val="24"/>
                <w:szCs w:val="24"/>
                <w:lang w:val="en-US" w:eastAsia="zh-CN"/>
              </w:rPr>
              <w:t>：</w:t>
            </w:r>
          </w:p>
          <w:p w14:paraId="460FFB6C">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溶剂平衡一览表</w:t>
            </w:r>
          </w:p>
          <w:tbl>
            <w:tblPr>
              <w:tblStyle w:val="116"/>
              <w:tblW w:w="7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2"/>
              <w:gridCol w:w="2467"/>
              <w:gridCol w:w="2294"/>
              <w:gridCol w:w="2116"/>
            </w:tblGrid>
            <w:tr w14:paraId="3B18C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3429" w:type="dxa"/>
                  <w:gridSpan w:val="2"/>
                  <w:vMerge w:val="restart"/>
                  <w:tcBorders>
                    <w:bottom w:val="nil"/>
                  </w:tcBorders>
                  <w:vAlign w:val="center"/>
                </w:tcPr>
                <w:p w14:paraId="648E6F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w:t>
                  </w:r>
                </w:p>
              </w:tc>
              <w:tc>
                <w:tcPr>
                  <w:tcW w:w="4410" w:type="dxa"/>
                  <w:gridSpan w:val="2"/>
                  <w:vAlign w:val="center"/>
                </w:tcPr>
                <w:p w14:paraId="5FAB88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乙醇</w:t>
                  </w:r>
                </w:p>
              </w:tc>
            </w:tr>
            <w:tr w14:paraId="43C5D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3429" w:type="dxa"/>
                  <w:gridSpan w:val="2"/>
                  <w:vMerge w:val="continue"/>
                  <w:tcBorders>
                    <w:top w:val="nil"/>
                  </w:tcBorders>
                  <w:vAlign w:val="center"/>
                </w:tcPr>
                <w:p w14:paraId="7DAB83B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294" w:type="dxa"/>
                  <w:vAlign w:val="center"/>
                </w:tcPr>
                <w:p w14:paraId="0CD10E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kg/批次</w:t>
                  </w:r>
                </w:p>
              </w:tc>
              <w:tc>
                <w:tcPr>
                  <w:tcW w:w="2116" w:type="dxa"/>
                  <w:vAlign w:val="center"/>
                </w:tcPr>
                <w:p w14:paraId="6F6649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t/a</w:t>
                  </w:r>
                </w:p>
              </w:tc>
            </w:tr>
            <w:tr w14:paraId="247D4E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962" w:type="dxa"/>
                  <w:vMerge w:val="restart"/>
                  <w:tcBorders>
                    <w:bottom w:val="nil"/>
                  </w:tcBorders>
                  <w:vAlign w:val="center"/>
                </w:tcPr>
                <w:p w14:paraId="701DE3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p w14:paraId="60B5A8F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使用</w:t>
                  </w:r>
                </w:p>
              </w:tc>
              <w:tc>
                <w:tcPr>
                  <w:tcW w:w="2467" w:type="dxa"/>
                  <w:vAlign w:val="center"/>
                </w:tcPr>
                <w:p w14:paraId="784FAD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新鲜量</w:t>
                  </w:r>
                </w:p>
              </w:tc>
              <w:tc>
                <w:tcPr>
                  <w:tcW w:w="2294" w:type="dxa"/>
                  <w:vAlign w:val="center"/>
                </w:tcPr>
                <w:p w14:paraId="5E703C78">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27.837</w:t>
                  </w:r>
                </w:p>
              </w:tc>
              <w:tc>
                <w:tcPr>
                  <w:tcW w:w="2116" w:type="dxa"/>
                  <w:vAlign w:val="center"/>
                </w:tcPr>
                <w:p w14:paraId="5C1B6FE8">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69.593</w:t>
                  </w:r>
                </w:p>
              </w:tc>
            </w:tr>
            <w:tr w14:paraId="6F501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962" w:type="dxa"/>
                  <w:vMerge w:val="continue"/>
                  <w:tcBorders>
                    <w:top w:val="nil"/>
                    <w:bottom w:val="nil"/>
                  </w:tcBorders>
                  <w:vAlign w:val="center"/>
                </w:tcPr>
                <w:p w14:paraId="1E2E35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720DBC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回用量</w:t>
                  </w:r>
                </w:p>
              </w:tc>
              <w:tc>
                <w:tcPr>
                  <w:tcW w:w="2294" w:type="dxa"/>
                  <w:vAlign w:val="center"/>
                </w:tcPr>
                <w:p w14:paraId="4B128C18">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2506.426</w:t>
                  </w:r>
                </w:p>
              </w:tc>
              <w:tc>
                <w:tcPr>
                  <w:tcW w:w="2116" w:type="dxa"/>
                  <w:vAlign w:val="center"/>
                </w:tcPr>
                <w:p w14:paraId="60D7706F">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6266.066</w:t>
                  </w:r>
                </w:p>
              </w:tc>
            </w:tr>
            <w:tr w14:paraId="15D357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962" w:type="dxa"/>
                  <w:vMerge w:val="continue"/>
                  <w:tcBorders>
                    <w:top w:val="nil"/>
                  </w:tcBorders>
                  <w:vAlign w:val="center"/>
                </w:tcPr>
                <w:p w14:paraId="20B4FC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4860A9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合计</w:t>
                  </w:r>
                </w:p>
              </w:tc>
              <w:tc>
                <w:tcPr>
                  <w:tcW w:w="2294" w:type="dxa"/>
                  <w:vAlign w:val="center"/>
                </w:tcPr>
                <w:p w14:paraId="75BBEA63">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2534.263</w:t>
                  </w:r>
                </w:p>
              </w:tc>
              <w:tc>
                <w:tcPr>
                  <w:tcW w:w="2116" w:type="dxa"/>
                  <w:vAlign w:val="center"/>
                </w:tcPr>
                <w:p w14:paraId="05EB0E19">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6335.659</w:t>
                  </w:r>
                </w:p>
              </w:tc>
            </w:tr>
            <w:tr w14:paraId="70B9E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3429" w:type="dxa"/>
                  <w:gridSpan w:val="2"/>
                  <w:vAlign w:val="center"/>
                </w:tcPr>
                <w:p w14:paraId="33B4E6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回收率</w:t>
                  </w:r>
                </w:p>
              </w:tc>
              <w:tc>
                <w:tcPr>
                  <w:tcW w:w="4410" w:type="dxa"/>
                  <w:gridSpan w:val="2"/>
                  <w:vAlign w:val="center"/>
                </w:tcPr>
                <w:p w14:paraId="0C10D09E">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98.89%</w:t>
                  </w:r>
                </w:p>
              </w:tc>
            </w:tr>
            <w:tr w14:paraId="535ED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962" w:type="dxa"/>
                  <w:vMerge w:val="restart"/>
                  <w:tcBorders>
                    <w:bottom w:val="nil"/>
                  </w:tcBorders>
                  <w:vAlign w:val="center"/>
                </w:tcPr>
                <w:p w14:paraId="07B6B7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损失</w:t>
                  </w:r>
                </w:p>
              </w:tc>
              <w:tc>
                <w:tcPr>
                  <w:tcW w:w="2467" w:type="dxa"/>
                  <w:vAlign w:val="center"/>
                </w:tcPr>
                <w:p w14:paraId="4A94A5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废气</w:t>
                  </w:r>
                </w:p>
              </w:tc>
              <w:tc>
                <w:tcPr>
                  <w:tcW w:w="2294" w:type="dxa"/>
                  <w:vAlign w:val="center"/>
                </w:tcPr>
                <w:p w14:paraId="1A1C0463">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0.917</w:t>
                  </w:r>
                </w:p>
              </w:tc>
              <w:tc>
                <w:tcPr>
                  <w:tcW w:w="2116" w:type="dxa"/>
                  <w:vAlign w:val="center"/>
                </w:tcPr>
                <w:p w14:paraId="1DE87D11">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2.293</w:t>
                  </w:r>
                </w:p>
              </w:tc>
            </w:tr>
            <w:tr w14:paraId="3F6ED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962" w:type="dxa"/>
                  <w:vMerge w:val="continue"/>
                  <w:vAlign w:val="center"/>
                </w:tcPr>
                <w:p w14:paraId="7B3873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751504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产品</w:t>
                  </w:r>
                </w:p>
              </w:tc>
              <w:tc>
                <w:tcPr>
                  <w:tcW w:w="2294" w:type="dxa"/>
                  <w:vAlign w:val="center"/>
                </w:tcPr>
                <w:p w14:paraId="4B2B6C01">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w:t>
                  </w:r>
                </w:p>
              </w:tc>
              <w:tc>
                <w:tcPr>
                  <w:tcW w:w="2116" w:type="dxa"/>
                  <w:vAlign w:val="center"/>
                </w:tcPr>
                <w:p w14:paraId="797A2B31">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w:t>
                  </w:r>
                </w:p>
              </w:tc>
            </w:tr>
            <w:tr w14:paraId="55D40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962" w:type="dxa"/>
                  <w:vMerge w:val="continue"/>
                  <w:tcBorders>
                    <w:top w:val="nil"/>
                    <w:bottom w:val="nil"/>
                  </w:tcBorders>
                  <w:vAlign w:val="center"/>
                </w:tcPr>
                <w:p w14:paraId="72D4E6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30E522A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进入废液量</w:t>
                  </w:r>
                </w:p>
              </w:tc>
              <w:tc>
                <w:tcPr>
                  <w:tcW w:w="2294" w:type="dxa"/>
                  <w:vAlign w:val="center"/>
                </w:tcPr>
                <w:p w14:paraId="1D2A07C1">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23.414</w:t>
                  </w:r>
                </w:p>
              </w:tc>
              <w:tc>
                <w:tcPr>
                  <w:tcW w:w="2116" w:type="dxa"/>
                  <w:vAlign w:val="center"/>
                </w:tcPr>
                <w:p w14:paraId="7DDBAD8D">
                  <w:pPr>
                    <w:pStyle w:val="61"/>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58.534</w:t>
                  </w:r>
                </w:p>
              </w:tc>
            </w:tr>
            <w:tr w14:paraId="1B0C2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962" w:type="dxa"/>
                  <w:vMerge w:val="continue"/>
                  <w:tcBorders>
                    <w:top w:val="nil"/>
                    <w:bottom w:val="nil"/>
                  </w:tcBorders>
                  <w:vAlign w:val="center"/>
                </w:tcPr>
                <w:p w14:paraId="52A1B6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102D77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处置装置处理量</w:t>
                  </w:r>
                </w:p>
              </w:tc>
              <w:tc>
                <w:tcPr>
                  <w:tcW w:w="2294" w:type="dxa"/>
                  <w:vAlign w:val="center"/>
                </w:tcPr>
                <w:p w14:paraId="119819CE">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3.506</w:t>
                  </w:r>
                </w:p>
              </w:tc>
              <w:tc>
                <w:tcPr>
                  <w:tcW w:w="2116" w:type="dxa"/>
                  <w:vAlign w:val="center"/>
                </w:tcPr>
                <w:p w14:paraId="4D97A71E">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8.766</w:t>
                  </w:r>
                </w:p>
              </w:tc>
            </w:tr>
            <w:tr w14:paraId="6D469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962" w:type="dxa"/>
                  <w:vMerge w:val="continue"/>
                  <w:tcBorders>
                    <w:top w:val="nil"/>
                    <w:bottom w:val="nil"/>
                  </w:tcBorders>
                  <w:vAlign w:val="center"/>
                </w:tcPr>
                <w:p w14:paraId="0EC972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30C942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回收量</w:t>
                  </w:r>
                </w:p>
              </w:tc>
              <w:tc>
                <w:tcPr>
                  <w:tcW w:w="2294" w:type="dxa"/>
                  <w:vAlign w:val="center"/>
                </w:tcPr>
                <w:p w14:paraId="0A1E0B18">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2506.426</w:t>
                  </w:r>
                </w:p>
              </w:tc>
              <w:tc>
                <w:tcPr>
                  <w:tcW w:w="2116" w:type="dxa"/>
                  <w:vAlign w:val="center"/>
                </w:tcPr>
                <w:p w14:paraId="7B292380">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6266.066</w:t>
                  </w:r>
                </w:p>
              </w:tc>
            </w:tr>
            <w:tr w14:paraId="77AA5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962" w:type="dxa"/>
                  <w:vMerge w:val="continue"/>
                  <w:tcBorders>
                    <w:top w:val="nil"/>
                  </w:tcBorders>
                  <w:vAlign w:val="center"/>
                </w:tcPr>
                <w:p w14:paraId="0CE620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2467" w:type="dxa"/>
                  <w:vAlign w:val="center"/>
                </w:tcPr>
                <w:p w14:paraId="0C8645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合计</w:t>
                  </w:r>
                </w:p>
              </w:tc>
              <w:tc>
                <w:tcPr>
                  <w:tcW w:w="2294" w:type="dxa"/>
                  <w:vAlign w:val="center"/>
                </w:tcPr>
                <w:p w14:paraId="3228FB82">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2534.263</w:t>
                  </w:r>
                </w:p>
              </w:tc>
              <w:tc>
                <w:tcPr>
                  <w:tcW w:w="2116" w:type="dxa"/>
                  <w:vAlign w:val="center"/>
                </w:tcPr>
                <w:p w14:paraId="3BC93259">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6335.659</w:t>
                  </w:r>
                </w:p>
              </w:tc>
            </w:tr>
          </w:tbl>
          <w:p w14:paraId="4CA9B386">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eastAsia="宋体" w:cs="Times New Roman"/>
                <w:b/>
                <w:bCs/>
                <w:color w:val="auto"/>
                <w:sz w:val="24"/>
                <w:szCs w:val="24"/>
                <w:lang w:val="en-US" w:eastAsia="zh-CN"/>
              </w:rPr>
            </w:pPr>
          </w:p>
        </w:tc>
      </w:tr>
      <w:tr w14:paraId="0A93D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6" w:hRule="atLeast"/>
        </w:trPr>
        <w:tc>
          <w:tcPr>
            <w:tcW w:w="426" w:type="dxa"/>
            <w:vAlign w:val="center"/>
          </w:tcPr>
          <w:p w14:paraId="7E82A816">
            <w:pPr>
              <w:pStyle w:val="25"/>
              <w:keepNext w:val="0"/>
              <w:keepLines w:val="0"/>
              <w:numPr>
                <w:ilvl w:val="0"/>
                <w:numId w:val="0"/>
              </w:numPr>
              <w:suppressLineNumbers w:val="0"/>
              <w:spacing w:before="0" w:after="0"/>
              <w:ind w:left="0" w:right="0"/>
              <w:jc w:val="center"/>
              <w:outlineLvl w:val="0"/>
              <w:rPr>
                <w:rFonts w:hint="default" w:ascii="Times New Roman" w:hAnsi="Times New Roman" w:eastAsia="黑体" w:cs="Times New Roman"/>
                <w:snapToGrid w:val="0"/>
                <w:color w:val="auto"/>
                <w:sz w:val="24"/>
                <w:szCs w:val="24"/>
                <w:vertAlign w:val="baseline"/>
              </w:rPr>
            </w:pPr>
            <w:bookmarkStart w:id="15" w:name="_Toc29564"/>
            <w:r>
              <w:rPr>
                <w:rFonts w:hint="default" w:ascii="Times New Roman" w:hAnsi="Times New Roman" w:cs="Times New Roman"/>
                <w:b w:val="0"/>
                <w:bCs w:val="0"/>
                <w:snapToGrid w:val="0"/>
                <w:color w:val="auto"/>
                <w:sz w:val="21"/>
                <w:szCs w:val="21"/>
                <w:vertAlign w:val="baseline"/>
                <w:lang w:val="en-US" w:eastAsia="zh-CN"/>
              </w:rPr>
              <w:t>现有</w:t>
            </w:r>
            <w:r>
              <w:rPr>
                <w:rFonts w:hint="default" w:ascii="Times New Roman" w:hAnsi="Times New Roman" w:eastAsia="宋体" w:cs="Times New Roman"/>
                <w:b w:val="0"/>
                <w:bCs w:val="0"/>
                <w:snapToGrid w:val="0"/>
                <w:color w:val="auto"/>
                <w:sz w:val="21"/>
                <w:szCs w:val="21"/>
                <w:vertAlign w:val="baseline"/>
                <w:lang w:val="en-US" w:eastAsia="zh-CN"/>
              </w:rPr>
              <w:t>环境污染问题</w:t>
            </w:r>
            <w:bookmarkEnd w:id="15"/>
          </w:p>
        </w:tc>
        <w:tc>
          <w:tcPr>
            <w:tcW w:w="8174" w:type="dxa"/>
            <w:vAlign w:val="center"/>
          </w:tcPr>
          <w:p w14:paraId="7096AB91">
            <w:pPr>
              <w:keepNext w:val="0"/>
              <w:keepLines w:val="0"/>
              <w:pageBreakBefore/>
              <w:widowControl/>
              <w:numPr>
                <w:ilvl w:val="0"/>
                <w:numId w:val="0"/>
              </w:numPr>
              <w:suppressLineNumbers w:val="0"/>
              <w:spacing w:before="0" w:beforeLines="0" w:beforeAutospacing="0" w:after="0" w:afterLines="0" w:afterAutospacing="0"/>
              <w:ind w:left="0" w:right="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w:t>
            </w:r>
            <w:r>
              <w:rPr>
                <w:rFonts w:hint="default" w:ascii="Times New Roman" w:hAnsi="Times New Roman" w:cs="Times New Roman"/>
                <w:b/>
                <w:bCs/>
                <w:color w:val="auto"/>
                <w:sz w:val="24"/>
                <w:szCs w:val="24"/>
                <w:lang w:val="en-US" w:eastAsia="zh-CN"/>
              </w:rPr>
              <w:t>现有项目</w:t>
            </w:r>
            <w:r>
              <w:rPr>
                <w:rFonts w:hint="default" w:ascii="Times New Roman" w:hAnsi="Times New Roman" w:eastAsia="宋体" w:cs="Times New Roman"/>
                <w:b/>
                <w:bCs/>
                <w:color w:val="auto"/>
                <w:sz w:val="24"/>
                <w:szCs w:val="24"/>
                <w:lang w:val="en-US" w:eastAsia="zh-CN"/>
              </w:rPr>
              <w:t>环保手续履行情况</w:t>
            </w:r>
          </w:p>
          <w:p w14:paraId="46C9106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现有项目</w:t>
            </w:r>
            <w:r>
              <w:rPr>
                <w:rFonts w:hint="default" w:ascii="Times New Roman" w:hAnsi="Times New Roman" w:eastAsia="宋体" w:cs="Times New Roman"/>
                <w:color w:val="auto"/>
                <w:sz w:val="24"/>
                <w:szCs w:val="24"/>
                <w:lang w:val="en-US" w:eastAsia="zh-CN"/>
              </w:rPr>
              <w:t>环评手续履行情况</w:t>
            </w:r>
            <w:r>
              <w:rPr>
                <w:rFonts w:hint="default" w:ascii="Times New Roman" w:hAnsi="Times New Roman" w:cs="Times New Roman"/>
                <w:color w:val="auto"/>
                <w:sz w:val="24"/>
                <w:szCs w:val="24"/>
                <w:lang w:val="en-US" w:eastAsia="zh-CN"/>
              </w:rPr>
              <w:t>见下</w:t>
            </w:r>
            <w:r>
              <w:rPr>
                <w:rFonts w:hint="default" w:ascii="Times New Roman" w:hAnsi="Times New Roman" w:eastAsia="宋体" w:cs="Times New Roman"/>
                <w:color w:val="auto"/>
                <w:sz w:val="24"/>
                <w:szCs w:val="24"/>
                <w:lang w:val="en-US" w:eastAsia="zh-CN"/>
              </w:rPr>
              <w:t>表</w:t>
            </w:r>
            <w:r>
              <w:rPr>
                <w:rFonts w:hint="default" w:ascii="Times New Roman" w:hAnsi="Times New Roman" w:cs="Times New Roman"/>
                <w:color w:val="auto"/>
                <w:sz w:val="24"/>
                <w:szCs w:val="24"/>
                <w:lang w:val="en-US" w:eastAsia="zh-CN"/>
              </w:rPr>
              <w:t>：</w:t>
            </w:r>
          </w:p>
          <w:p w14:paraId="5E9D439F">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环保手续履行情况一览表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8"/>
              <w:gridCol w:w="1107"/>
              <w:gridCol w:w="1797"/>
              <w:gridCol w:w="2395"/>
              <w:gridCol w:w="1268"/>
            </w:tblGrid>
            <w:tr w14:paraId="10A29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Align w:val="center"/>
                </w:tcPr>
                <w:p w14:paraId="2F85D79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项目名称</w:t>
                  </w:r>
                </w:p>
              </w:tc>
              <w:tc>
                <w:tcPr>
                  <w:tcW w:w="696" w:type="pct"/>
                  <w:shd w:val="clear" w:color="auto" w:fill="auto"/>
                  <w:vAlign w:val="center"/>
                </w:tcPr>
                <w:p w14:paraId="57A5FE2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环评批复情况</w:t>
                  </w:r>
                </w:p>
              </w:tc>
              <w:tc>
                <w:tcPr>
                  <w:tcW w:w="1130" w:type="pct"/>
                  <w:vAlign w:val="center"/>
                </w:tcPr>
                <w:p w14:paraId="03014D6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入河排污口</w:t>
                  </w:r>
                </w:p>
              </w:tc>
              <w:tc>
                <w:tcPr>
                  <w:tcW w:w="1506" w:type="pct"/>
                  <w:vAlign w:val="center"/>
                </w:tcPr>
                <w:p w14:paraId="378B1B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排污许可申领情况</w:t>
                  </w:r>
                </w:p>
              </w:tc>
              <w:tc>
                <w:tcPr>
                  <w:tcW w:w="797" w:type="pct"/>
                  <w:vAlign w:val="center"/>
                </w:tcPr>
                <w:p w14:paraId="38708F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竣工验收情况</w:t>
                  </w:r>
                </w:p>
              </w:tc>
            </w:tr>
            <w:tr w14:paraId="40692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Align w:val="center"/>
                </w:tcPr>
                <w:p w14:paraId="1AEED7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江西金穗丰糖业有限公司年产5万吨高麦糖浆及3万吨果葡糖浆项目环境影响报告书</w:t>
                  </w:r>
                </w:p>
              </w:tc>
              <w:tc>
                <w:tcPr>
                  <w:tcW w:w="696" w:type="pct"/>
                  <w:shd w:val="clear" w:color="auto" w:fill="auto"/>
                  <w:vAlign w:val="center"/>
                </w:tcPr>
                <w:p w14:paraId="24DDB85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宜环督字〔2008〕198号，2008年9月19日</w:t>
                  </w:r>
                </w:p>
              </w:tc>
              <w:tc>
                <w:tcPr>
                  <w:tcW w:w="1130" w:type="pct"/>
                  <w:vAlign w:val="center"/>
                </w:tcPr>
                <w:p w14:paraId="7501B4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《江西金穗丰糖业有限公司2000t/d项目入河排污口设置论证报告书》（高水字〔2018〕35号），2018年3月12日</w:t>
                  </w:r>
                </w:p>
              </w:tc>
              <w:tc>
                <w:tcPr>
                  <w:tcW w:w="1506" w:type="pct"/>
                  <w:vAlign w:val="center"/>
                </w:tcPr>
                <w:p w14:paraId="77854B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许可证编号为：91360983667467039C001Y有效期2021-12-14至2026-12-13</w:t>
                  </w:r>
                </w:p>
              </w:tc>
              <w:tc>
                <w:tcPr>
                  <w:tcW w:w="797" w:type="pct"/>
                  <w:vAlign w:val="center"/>
                </w:tcPr>
                <w:p w14:paraId="548DFE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2011年完成验收（宜环评字〔2011〕96号）</w:t>
                  </w:r>
                </w:p>
              </w:tc>
            </w:tr>
          </w:tbl>
          <w:p w14:paraId="781E6232">
            <w:pPr>
              <w:keepNext w:val="0"/>
              <w:keepLines w:val="0"/>
              <w:pageBreakBefore/>
              <w:widowControl/>
              <w:numPr>
                <w:ilvl w:val="0"/>
                <w:numId w:val="9"/>
              </w:numPr>
              <w:suppressLineNumbers w:val="0"/>
              <w:spacing w:before="0" w:beforeLines="0" w:beforeAutospacing="0" w:after="0" w:afterLines="0" w:afterAutospacing="0"/>
              <w:ind w:left="0" w:leftChars="0" w:right="0" w:rightChars="0" w:firstLine="482" w:firstLineChars="200"/>
              <w:jc w:val="left"/>
              <w:rPr>
                <w:rFonts w:hint="default" w:ascii="Times New Roman" w:hAnsi="Times New Roman" w:cs="Times New Roman"/>
                <w:b/>
                <w:bCs/>
                <w:color w:val="auto"/>
                <w:kern w:val="2"/>
                <w:sz w:val="24"/>
                <w:szCs w:val="24"/>
                <w:highlight w:val="none"/>
                <w:lang w:val="en-US" w:eastAsia="zh-CN" w:bidi="ar-SA"/>
              </w:rPr>
            </w:pPr>
            <w:r>
              <w:rPr>
                <w:rFonts w:hint="default" w:ascii="Times New Roman" w:hAnsi="Times New Roman" w:cs="Times New Roman"/>
                <w:b/>
                <w:bCs/>
                <w:color w:val="auto"/>
                <w:kern w:val="2"/>
                <w:sz w:val="24"/>
                <w:szCs w:val="24"/>
                <w:highlight w:val="none"/>
                <w:lang w:val="en-US" w:eastAsia="zh-CN" w:bidi="ar-SA"/>
              </w:rPr>
              <w:t>现有项目生产设备及产品方案</w:t>
            </w:r>
          </w:p>
          <w:p w14:paraId="0AB246C8">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现有</w:t>
            </w:r>
            <w:r>
              <w:rPr>
                <w:rFonts w:hint="default" w:ascii="Times New Roman" w:hAnsi="Times New Roman" w:eastAsia="宋体" w:cs="Times New Roman"/>
                <w:color w:val="auto"/>
                <w:sz w:val="24"/>
                <w:szCs w:val="24"/>
                <w:lang w:val="en-US" w:eastAsia="zh-CN"/>
              </w:rPr>
              <w:t>项目设备情况如下：</w:t>
            </w:r>
          </w:p>
          <w:p w14:paraId="283D2063">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w:t>
            </w:r>
            <w:r>
              <w:rPr>
                <w:rFonts w:hint="default" w:ascii="Times New Roman" w:hAnsi="Times New Roman" w:cs="Times New Roman"/>
                <w:b/>
                <w:color w:val="auto"/>
                <w:kern w:val="0"/>
                <w:sz w:val="24"/>
                <w:szCs w:val="24"/>
                <w:lang w:val="en-US" w:eastAsia="zh-CN" w:bidi="ar-SA"/>
              </w:rPr>
              <w:t>现有</w:t>
            </w:r>
            <w:r>
              <w:rPr>
                <w:rFonts w:hint="default" w:ascii="Times New Roman" w:hAnsi="Times New Roman" w:eastAsia="宋体" w:cs="Times New Roman"/>
                <w:b/>
                <w:color w:val="auto"/>
                <w:kern w:val="0"/>
                <w:sz w:val="24"/>
                <w:szCs w:val="24"/>
                <w:lang w:val="en-US" w:eastAsia="zh-CN" w:bidi="ar-SA"/>
              </w:rPr>
              <w:t>设备情况一览表</w:t>
            </w:r>
          </w:p>
          <w:tbl>
            <w:tblPr>
              <w:tblStyle w:val="30"/>
              <w:tblW w:w="49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914"/>
              <w:gridCol w:w="1811"/>
              <w:gridCol w:w="1445"/>
              <w:gridCol w:w="1602"/>
            </w:tblGrid>
            <w:tr w14:paraId="14B72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26" w:type="pct"/>
                  <w:vAlign w:val="center"/>
                </w:tcPr>
                <w:p w14:paraId="1A45C1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序号</w:t>
                  </w:r>
                </w:p>
              </w:tc>
              <w:tc>
                <w:tcPr>
                  <w:tcW w:w="1208" w:type="pct"/>
                  <w:vAlign w:val="center"/>
                </w:tcPr>
                <w:p w14:paraId="7AED69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名称</w:t>
                  </w:r>
                </w:p>
              </w:tc>
              <w:tc>
                <w:tcPr>
                  <w:tcW w:w="1142" w:type="pct"/>
                  <w:vAlign w:val="center"/>
                </w:tcPr>
                <w:p w14:paraId="4043D6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型号规格</w:t>
                  </w:r>
                </w:p>
              </w:tc>
              <w:tc>
                <w:tcPr>
                  <w:tcW w:w="911" w:type="pct"/>
                  <w:vAlign w:val="center"/>
                </w:tcPr>
                <w:p w14:paraId="30E191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数量</w:t>
                  </w:r>
                </w:p>
              </w:tc>
              <w:tc>
                <w:tcPr>
                  <w:tcW w:w="1011" w:type="pct"/>
                  <w:vAlign w:val="center"/>
                </w:tcPr>
                <w:p w14:paraId="738F68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备注</w:t>
                  </w:r>
                </w:p>
              </w:tc>
            </w:tr>
            <w:tr w14:paraId="0DBF3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4BDA87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208" w:type="pct"/>
                  <w:vAlign w:val="center"/>
                </w:tcPr>
                <w:p w14:paraId="31109A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半工业自动洗衣机</w:t>
                  </w:r>
                </w:p>
              </w:tc>
              <w:tc>
                <w:tcPr>
                  <w:tcW w:w="1142" w:type="pct"/>
                  <w:vAlign w:val="center"/>
                </w:tcPr>
                <w:p w14:paraId="42DE7FB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911" w:type="pct"/>
                  <w:vAlign w:val="center"/>
                </w:tcPr>
                <w:p w14:paraId="7D99FB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1011" w:type="pct"/>
                  <w:vAlign w:val="center"/>
                </w:tcPr>
                <w:p w14:paraId="7CA63F3F">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2B05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16F596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1208" w:type="pct"/>
                  <w:vAlign w:val="center"/>
                </w:tcPr>
                <w:p w14:paraId="1DC0DA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浸泡罐</w:t>
                  </w:r>
                </w:p>
              </w:tc>
              <w:tc>
                <w:tcPr>
                  <w:tcW w:w="1142" w:type="pct"/>
                  <w:vAlign w:val="center"/>
                </w:tcPr>
                <w:p w14:paraId="569663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F1600×3200×3</w:t>
                  </w:r>
                </w:p>
              </w:tc>
              <w:tc>
                <w:tcPr>
                  <w:tcW w:w="911" w:type="pct"/>
                  <w:vAlign w:val="center"/>
                </w:tcPr>
                <w:p w14:paraId="7FF1AD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1011" w:type="pct"/>
                  <w:vAlign w:val="center"/>
                </w:tcPr>
                <w:p w14:paraId="2BBC09C2">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60ACE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6" w:hRule="atLeast"/>
              </w:trPr>
              <w:tc>
                <w:tcPr>
                  <w:tcW w:w="726" w:type="pct"/>
                  <w:vAlign w:val="center"/>
                </w:tcPr>
                <w:p w14:paraId="03B613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1208" w:type="pct"/>
                  <w:vAlign w:val="center"/>
                </w:tcPr>
                <w:p w14:paraId="29261AE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磨碎设备砂盘淀粉磨</w:t>
                  </w:r>
                </w:p>
              </w:tc>
              <w:tc>
                <w:tcPr>
                  <w:tcW w:w="1142" w:type="pct"/>
                  <w:vAlign w:val="center"/>
                </w:tcPr>
                <w:p w14:paraId="48F80B6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MS-600</w:t>
                  </w:r>
                </w:p>
              </w:tc>
              <w:tc>
                <w:tcPr>
                  <w:tcW w:w="911" w:type="pct"/>
                  <w:vAlign w:val="center"/>
                </w:tcPr>
                <w:p w14:paraId="720937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1011" w:type="pct"/>
                  <w:vAlign w:val="center"/>
                </w:tcPr>
                <w:p w14:paraId="628BE16B">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25297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1C7EAE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1208" w:type="pct"/>
                  <w:vAlign w:val="center"/>
                </w:tcPr>
                <w:p w14:paraId="192516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调浆设备喷射器</w:t>
                  </w:r>
                </w:p>
              </w:tc>
              <w:tc>
                <w:tcPr>
                  <w:tcW w:w="1142" w:type="pct"/>
                  <w:vAlign w:val="center"/>
                </w:tcPr>
                <w:p w14:paraId="1E4BEAD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eastAsia="宋体" w:cs="Times New Roman"/>
                      <w:color w:val="auto"/>
                      <w:kern w:val="0"/>
                      <w:sz w:val="21"/>
                      <w:szCs w:val="21"/>
                      <w:lang w:val="en-US" w:eastAsia="zh-CN"/>
                    </w:rPr>
                    <w:t>/H</w:t>
                  </w:r>
                </w:p>
              </w:tc>
              <w:tc>
                <w:tcPr>
                  <w:tcW w:w="911" w:type="pct"/>
                  <w:vAlign w:val="center"/>
                </w:tcPr>
                <w:p w14:paraId="1ECBE1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1011" w:type="pct"/>
                  <w:vAlign w:val="center"/>
                </w:tcPr>
                <w:p w14:paraId="47301171">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67A4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153F7C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w:t>
                  </w:r>
                </w:p>
              </w:tc>
              <w:tc>
                <w:tcPr>
                  <w:tcW w:w="1208" w:type="pct"/>
                  <w:vAlign w:val="center"/>
                </w:tcPr>
                <w:p w14:paraId="7EE2F6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液化设备液化罐</w:t>
                  </w:r>
                </w:p>
              </w:tc>
              <w:tc>
                <w:tcPr>
                  <w:tcW w:w="1142" w:type="pct"/>
                  <w:vAlign w:val="center"/>
                </w:tcPr>
                <w:p w14:paraId="515B4F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5000L</w:t>
                  </w:r>
                </w:p>
              </w:tc>
              <w:tc>
                <w:tcPr>
                  <w:tcW w:w="911" w:type="pct"/>
                  <w:vAlign w:val="center"/>
                </w:tcPr>
                <w:p w14:paraId="77CBAC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1011" w:type="pct"/>
                  <w:vAlign w:val="center"/>
                </w:tcPr>
                <w:p w14:paraId="48F8DD8B">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6965B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4DA6CE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w:t>
                  </w:r>
                </w:p>
              </w:tc>
              <w:tc>
                <w:tcPr>
                  <w:tcW w:w="1208" w:type="pct"/>
                  <w:vAlign w:val="center"/>
                </w:tcPr>
                <w:p w14:paraId="2ECCE6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糖化设备板式热交换器</w:t>
                  </w:r>
                </w:p>
              </w:tc>
              <w:tc>
                <w:tcPr>
                  <w:tcW w:w="1142" w:type="pct"/>
                  <w:vAlign w:val="center"/>
                </w:tcPr>
                <w:p w14:paraId="700626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BRO.3-0.6</w:t>
                  </w:r>
                </w:p>
              </w:tc>
              <w:tc>
                <w:tcPr>
                  <w:tcW w:w="911" w:type="pct"/>
                  <w:vAlign w:val="center"/>
                </w:tcPr>
                <w:p w14:paraId="0497B3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w:t>
                  </w:r>
                </w:p>
              </w:tc>
              <w:tc>
                <w:tcPr>
                  <w:tcW w:w="1011" w:type="pct"/>
                  <w:vAlign w:val="center"/>
                </w:tcPr>
                <w:p w14:paraId="0923F1C9">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331BB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8" w:hRule="atLeast"/>
              </w:trPr>
              <w:tc>
                <w:tcPr>
                  <w:tcW w:w="726" w:type="pct"/>
                  <w:vAlign w:val="center"/>
                </w:tcPr>
                <w:p w14:paraId="41EED8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w:t>
                  </w:r>
                </w:p>
              </w:tc>
              <w:tc>
                <w:tcPr>
                  <w:tcW w:w="1208" w:type="pct"/>
                  <w:vAlign w:val="center"/>
                </w:tcPr>
                <w:p w14:paraId="44EEF4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糖化罐</w:t>
                  </w:r>
                </w:p>
              </w:tc>
              <w:tc>
                <w:tcPr>
                  <w:tcW w:w="1142" w:type="pct"/>
                  <w:vAlign w:val="center"/>
                </w:tcPr>
                <w:p w14:paraId="1EB1AB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5000L</w:t>
                  </w:r>
                </w:p>
              </w:tc>
              <w:tc>
                <w:tcPr>
                  <w:tcW w:w="911" w:type="pct"/>
                  <w:vAlign w:val="center"/>
                </w:tcPr>
                <w:p w14:paraId="38DB74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16</w:t>
                  </w:r>
                </w:p>
              </w:tc>
              <w:tc>
                <w:tcPr>
                  <w:tcW w:w="1011" w:type="pct"/>
                  <w:vAlign w:val="center"/>
                </w:tcPr>
                <w:p w14:paraId="2B1DD008">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646B0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69B2B1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1208" w:type="pct"/>
                  <w:vAlign w:val="center"/>
                </w:tcPr>
                <w:p w14:paraId="2AAAEB4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分离设备箱式压滤机</w:t>
                  </w:r>
                </w:p>
              </w:tc>
              <w:tc>
                <w:tcPr>
                  <w:tcW w:w="1142" w:type="pct"/>
                  <w:vAlign w:val="center"/>
                </w:tcPr>
                <w:p w14:paraId="5F4BBD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800XMJ-U</w:t>
                  </w:r>
                </w:p>
              </w:tc>
              <w:tc>
                <w:tcPr>
                  <w:tcW w:w="911" w:type="pct"/>
                  <w:vAlign w:val="center"/>
                </w:tcPr>
                <w:p w14:paraId="058865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24</w:t>
                  </w:r>
                </w:p>
              </w:tc>
              <w:tc>
                <w:tcPr>
                  <w:tcW w:w="1011" w:type="pct"/>
                  <w:vAlign w:val="center"/>
                </w:tcPr>
                <w:p w14:paraId="63028AF4">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4EDE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4FDF809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w:t>
                  </w:r>
                </w:p>
              </w:tc>
              <w:tc>
                <w:tcPr>
                  <w:tcW w:w="1208" w:type="pct"/>
                  <w:vAlign w:val="center"/>
                </w:tcPr>
                <w:p w14:paraId="106D467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净化设备过滤机</w:t>
                  </w:r>
                </w:p>
              </w:tc>
              <w:tc>
                <w:tcPr>
                  <w:tcW w:w="1142" w:type="pct"/>
                  <w:vAlign w:val="center"/>
                </w:tcPr>
                <w:p w14:paraId="4E57C87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DL1P2S</w:t>
                  </w:r>
                </w:p>
              </w:tc>
              <w:tc>
                <w:tcPr>
                  <w:tcW w:w="911" w:type="pct"/>
                  <w:vAlign w:val="center"/>
                </w:tcPr>
                <w:p w14:paraId="002360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1011" w:type="pct"/>
                  <w:vAlign w:val="center"/>
                </w:tcPr>
                <w:p w14:paraId="51A5DF2A">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5C966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26" w:type="pct"/>
                  <w:vAlign w:val="center"/>
                </w:tcPr>
                <w:p w14:paraId="00DA4C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1208" w:type="pct"/>
                  <w:vAlign w:val="center"/>
                </w:tcPr>
                <w:p w14:paraId="41345D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离子交换器</w:t>
                  </w:r>
                </w:p>
              </w:tc>
              <w:tc>
                <w:tcPr>
                  <w:tcW w:w="1142" w:type="pct"/>
                  <w:vAlign w:val="center"/>
                </w:tcPr>
                <w:p w14:paraId="3AF824C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1500.00</w:t>
                  </w:r>
                </w:p>
              </w:tc>
              <w:tc>
                <w:tcPr>
                  <w:tcW w:w="911" w:type="pct"/>
                  <w:vAlign w:val="center"/>
                </w:tcPr>
                <w:p w14:paraId="2B86DB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22</w:t>
                  </w:r>
                </w:p>
              </w:tc>
              <w:tc>
                <w:tcPr>
                  <w:tcW w:w="1011" w:type="pct"/>
                  <w:vAlign w:val="center"/>
                </w:tcPr>
                <w:p w14:paraId="1E0C89E2">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0077F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8" w:hRule="atLeast"/>
              </w:trPr>
              <w:tc>
                <w:tcPr>
                  <w:tcW w:w="726" w:type="pct"/>
                  <w:vAlign w:val="center"/>
                </w:tcPr>
                <w:p w14:paraId="4CA576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w:t>
                  </w:r>
                </w:p>
              </w:tc>
              <w:tc>
                <w:tcPr>
                  <w:tcW w:w="1208" w:type="pct"/>
                  <w:vAlign w:val="center"/>
                </w:tcPr>
                <w:p w14:paraId="03559C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脱水设备降膜蒸发器</w:t>
                  </w:r>
                </w:p>
              </w:tc>
              <w:tc>
                <w:tcPr>
                  <w:tcW w:w="1142" w:type="pct"/>
                  <w:vAlign w:val="center"/>
                </w:tcPr>
                <w:p w14:paraId="213CAB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JMZ-16</w:t>
                  </w:r>
                </w:p>
              </w:tc>
              <w:tc>
                <w:tcPr>
                  <w:tcW w:w="911" w:type="pct"/>
                  <w:vAlign w:val="center"/>
                </w:tcPr>
                <w:p w14:paraId="36F5E6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011" w:type="pct"/>
                  <w:vAlign w:val="center"/>
                </w:tcPr>
                <w:p w14:paraId="3E9FFCBC">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7A5FF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26" w:type="pct"/>
                  <w:vAlign w:val="center"/>
                </w:tcPr>
                <w:p w14:paraId="7A63870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w:t>
                  </w:r>
                </w:p>
              </w:tc>
              <w:tc>
                <w:tcPr>
                  <w:tcW w:w="1208" w:type="pct"/>
                  <w:vAlign w:val="center"/>
                </w:tcPr>
                <w:p w14:paraId="462362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气流</w:t>
                  </w:r>
                  <w:r>
                    <w:rPr>
                      <w:rFonts w:hint="default" w:ascii="Times New Roman" w:hAnsi="Times New Roman" w:eastAsia="宋体" w:cs="Times New Roman"/>
                      <w:color w:val="auto"/>
                      <w:kern w:val="0"/>
                      <w:sz w:val="21"/>
                      <w:szCs w:val="21"/>
                      <w:lang w:val="en-US" w:eastAsia="zh-CN"/>
                    </w:rPr>
                    <w:t>干燥机</w:t>
                  </w:r>
                </w:p>
              </w:tc>
              <w:tc>
                <w:tcPr>
                  <w:tcW w:w="1142" w:type="pct"/>
                  <w:vAlign w:val="center"/>
                </w:tcPr>
                <w:p w14:paraId="3603DD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MOZ-IT/H</w:t>
                  </w:r>
                </w:p>
              </w:tc>
              <w:tc>
                <w:tcPr>
                  <w:tcW w:w="911" w:type="pct"/>
                  <w:vAlign w:val="center"/>
                </w:tcPr>
                <w:p w14:paraId="5004F9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011" w:type="pct"/>
                  <w:vAlign w:val="center"/>
                </w:tcPr>
                <w:p w14:paraId="1FB84BE6">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1CE78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26" w:type="pct"/>
                  <w:vAlign w:val="center"/>
                </w:tcPr>
                <w:p w14:paraId="1EE993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w:t>
                  </w:r>
                </w:p>
              </w:tc>
              <w:tc>
                <w:tcPr>
                  <w:tcW w:w="1208" w:type="pct"/>
                  <w:vAlign w:val="center"/>
                </w:tcPr>
                <w:p w14:paraId="12A693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定量电子秤</w:t>
                  </w:r>
                </w:p>
              </w:tc>
              <w:tc>
                <w:tcPr>
                  <w:tcW w:w="1142" w:type="pct"/>
                  <w:vAlign w:val="center"/>
                </w:tcPr>
                <w:p w14:paraId="3A20EFD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DZG-400A</w:t>
                  </w:r>
                </w:p>
              </w:tc>
              <w:tc>
                <w:tcPr>
                  <w:tcW w:w="911" w:type="pct"/>
                  <w:vAlign w:val="center"/>
                </w:tcPr>
                <w:p w14:paraId="3A2535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1011" w:type="pct"/>
                  <w:vAlign w:val="center"/>
                </w:tcPr>
                <w:p w14:paraId="13066921">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7087D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5599AAA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14</w:t>
                  </w:r>
                </w:p>
              </w:tc>
              <w:tc>
                <w:tcPr>
                  <w:tcW w:w="1208" w:type="pct"/>
                  <w:vAlign w:val="center"/>
                </w:tcPr>
                <w:p w14:paraId="2F332C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蒸前罐</w:t>
                  </w:r>
                </w:p>
              </w:tc>
              <w:tc>
                <w:tcPr>
                  <w:tcW w:w="1142" w:type="pct"/>
                  <w:vAlign w:val="center"/>
                </w:tcPr>
                <w:p w14:paraId="131009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3500×5000×3</w:t>
                  </w:r>
                </w:p>
              </w:tc>
              <w:tc>
                <w:tcPr>
                  <w:tcW w:w="911" w:type="pct"/>
                  <w:vAlign w:val="center"/>
                </w:tcPr>
                <w:p w14:paraId="5A6003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1011" w:type="pct"/>
                  <w:vAlign w:val="center"/>
                </w:tcPr>
                <w:p w14:paraId="3AE22140">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436EB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6" w:hRule="atLeast"/>
              </w:trPr>
              <w:tc>
                <w:tcPr>
                  <w:tcW w:w="726" w:type="pct"/>
                  <w:vAlign w:val="center"/>
                </w:tcPr>
                <w:p w14:paraId="4BA8C38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1208" w:type="pct"/>
                  <w:vAlign w:val="center"/>
                </w:tcPr>
                <w:p w14:paraId="386F31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脱色罐</w:t>
                  </w:r>
                </w:p>
              </w:tc>
              <w:tc>
                <w:tcPr>
                  <w:tcW w:w="1142" w:type="pct"/>
                  <w:vAlign w:val="center"/>
                </w:tcPr>
                <w:p w14:paraId="67053A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2700×2500×3</w:t>
                  </w:r>
                </w:p>
              </w:tc>
              <w:tc>
                <w:tcPr>
                  <w:tcW w:w="911" w:type="pct"/>
                  <w:vAlign w:val="center"/>
                </w:tcPr>
                <w:p w14:paraId="2DAD48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1011" w:type="pct"/>
                  <w:vAlign w:val="center"/>
                </w:tcPr>
                <w:p w14:paraId="09BB65AD">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655F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26" w:type="pct"/>
                  <w:vAlign w:val="center"/>
                </w:tcPr>
                <w:p w14:paraId="0B9050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16</w:t>
                  </w:r>
                </w:p>
              </w:tc>
              <w:tc>
                <w:tcPr>
                  <w:tcW w:w="1208" w:type="pct"/>
                  <w:vAlign w:val="center"/>
                </w:tcPr>
                <w:p w14:paraId="4B099C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反应柱</w:t>
                  </w:r>
                </w:p>
              </w:tc>
              <w:tc>
                <w:tcPr>
                  <w:tcW w:w="1142" w:type="pct"/>
                  <w:vAlign w:val="center"/>
                </w:tcPr>
                <w:p w14:paraId="5EBC642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8000×6000×3</w:t>
                  </w:r>
                </w:p>
              </w:tc>
              <w:tc>
                <w:tcPr>
                  <w:tcW w:w="911" w:type="pct"/>
                  <w:vAlign w:val="center"/>
                </w:tcPr>
                <w:p w14:paraId="7911EA6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1011" w:type="pct"/>
                  <w:vAlign w:val="center"/>
                </w:tcPr>
                <w:p w14:paraId="631402FF">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15AC6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26" w:type="pct"/>
                  <w:vAlign w:val="center"/>
                </w:tcPr>
                <w:p w14:paraId="4C88F6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17</w:t>
                  </w:r>
                </w:p>
              </w:tc>
              <w:tc>
                <w:tcPr>
                  <w:tcW w:w="1208" w:type="pct"/>
                  <w:vAlign w:val="center"/>
                </w:tcPr>
                <w:p w14:paraId="7A3274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锅炉</w:t>
                  </w:r>
                </w:p>
              </w:tc>
              <w:tc>
                <w:tcPr>
                  <w:tcW w:w="1142" w:type="pct"/>
                  <w:vAlign w:val="center"/>
                </w:tcPr>
                <w:p w14:paraId="473DA6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10t/h</w:t>
                  </w:r>
                </w:p>
              </w:tc>
              <w:tc>
                <w:tcPr>
                  <w:tcW w:w="911" w:type="pct"/>
                  <w:vAlign w:val="center"/>
                </w:tcPr>
                <w:p w14:paraId="6EB927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1011" w:type="pct"/>
                  <w:vAlign w:val="center"/>
                </w:tcPr>
                <w:p w14:paraId="0E90A5CE">
                  <w:pPr>
                    <w:keepNext w:val="0"/>
                    <w:keepLines w:val="0"/>
                    <w:pageBreakBefore/>
                    <w:widowControl/>
                    <w:suppressLineNumbers w:val="0"/>
                    <w:spacing w:before="0" w:beforeLines="0" w:beforeAutospacing="0" w:after="0" w:afterLines="0" w:afterAutospacing="0" w:line="360" w:lineRule="exact"/>
                    <w:ind w:left="0" w:leftChars="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bl>
          <w:p w14:paraId="755D1F9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现有项目产品方案，</w:t>
            </w:r>
            <w:r>
              <w:rPr>
                <w:rFonts w:hint="default" w:ascii="Times New Roman" w:hAnsi="Times New Roman" w:eastAsia="宋体" w:cs="Times New Roman"/>
                <w:color w:val="auto"/>
                <w:sz w:val="24"/>
                <w:szCs w:val="24"/>
                <w:lang w:val="en-US" w:eastAsia="zh-CN"/>
              </w:rPr>
              <w:t>产品方案如下：</w:t>
            </w:r>
          </w:p>
          <w:p w14:paraId="67817E55">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w:t>
            </w:r>
            <w:r>
              <w:rPr>
                <w:rFonts w:hint="default" w:ascii="Times New Roman" w:hAnsi="Times New Roman" w:eastAsia="宋体" w:cs="Times New Roman"/>
                <w:b/>
                <w:color w:val="auto"/>
                <w:kern w:val="0"/>
                <w:sz w:val="24"/>
                <w:szCs w:val="24"/>
                <w:lang w:val="en-US" w:eastAsia="zh-CN" w:bidi="ar-SA"/>
              </w:rPr>
              <w:t>产品方案一览表</w:t>
            </w:r>
          </w:p>
          <w:tbl>
            <w:tblPr>
              <w:tblStyle w:val="29"/>
              <w:tblW w:w="499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177"/>
              <w:gridCol w:w="3177"/>
              <w:gridCol w:w="1595"/>
            </w:tblGrid>
            <w:tr w14:paraId="1BA19E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5" w:hRule="atLeast"/>
              </w:trPr>
              <w:tc>
                <w:tcPr>
                  <w:tcW w:w="1998" w:type="pct"/>
                  <w:tcBorders>
                    <w:top w:val="single" w:color="auto" w:sz="2" w:space="0"/>
                    <w:left w:val="single" w:color="auto" w:sz="2" w:space="0"/>
                    <w:right w:val="single" w:color="auto" w:sz="2" w:space="0"/>
                    <w:tl2br w:val="nil"/>
                    <w:tr2bl w:val="nil"/>
                  </w:tcBorders>
                  <w:noWrap w:val="0"/>
                  <w:vAlign w:val="center"/>
                </w:tcPr>
                <w:p w14:paraId="26AAB6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产品</w:t>
                  </w:r>
                </w:p>
              </w:tc>
              <w:tc>
                <w:tcPr>
                  <w:tcW w:w="1998" w:type="pct"/>
                  <w:tcBorders>
                    <w:top w:val="single" w:color="auto" w:sz="2" w:space="0"/>
                    <w:left w:val="single" w:color="auto" w:sz="2" w:space="0"/>
                    <w:right w:val="single" w:color="auto" w:sz="2" w:space="0"/>
                    <w:tl2br w:val="nil"/>
                    <w:tr2bl w:val="nil"/>
                  </w:tcBorders>
                  <w:noWrap w:val="0"/>
                  <w:vAlign w:val="center"/>
                </w:tcPr>
                <w:p w14:paraId="33F52D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zh-CN"/>
                    </w:rPr>
                  </w:pPr>
                  <w:r>
                    <w:rPr>
                      <w:rFonts w:hint="default" w:ascii="Times New Roman" w:hAnsi="Times New Roman" w:cs="Times New Roman"/>
                      <w:color w:val="auto"/>
                      <w:kern w:val="0"/>
                      <w:sz w:val="21"/>
                      <w:szCs w:val="21"/>
                      <w:lang w:val="zh-CN"/>
                    </w:rPr>
                    <w:t>产能（t/</w:t>
                  </w:r>
                  <w:r>
                    <w:rPr>
                      <w:rFonts w:hint="default" w:ascii="Times New Roman" w:hAnsi="Times New Roman" w:cs="Times New Roman"/>
                      <w:color w:val="auto"/>
                      <w:kern w:val="0"/>
                      <w:sz w:val="21"/>
                      <w:szCs w:val="21"/>
                      <w:lang w:val="en-US" w:eastAsia="zh-CN"/>
                    </w:rPr>
                    <w:t>a</w:t>
                  </w:r>
                  <w:r>
                    <w:rPr>
                      <w:rFonts w:hint="default" w:ascii="Times New Roman" w:hAnsi="Times New Roman" w:cs="Times New Roman"/>
                      <w:color w:val="auto"/>
                      <w:kern w:val="0"/>
                      <w:sz w:val="21"/>
                      <w:szCs w:val="21"/>
                      <w:lang w:val="zh-CN"/>
                    </w:rPr>
                    <w:t>）</w:t>
                  </w:r>
                </w:p>
              </w:tc>
              <w:tc>
                <w:tcPr>
                  <w:tcW w:w="100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129E9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备注</w:t>
                  </w:r>
                </w:p>
              </w:tc>
            </w:tr>
            <w:tr w14:paraId="16CF64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65" w:hRule="atLeast"/>
              </w:trPr>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718C9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高麦芽糖浆</w:t>
                  </w:r>
                </w:p>
              </w:tc>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8FC8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50000</w:t>
                  </w:r>
                </w:p>
              </w:tc>
              <w:tc>
                <w:tcPr>
                  <w:tcW w:w="100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BCC3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480FE2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3" w:hRule="atLeast"/>
              </w:trPr>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160C9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果葡萄糖浆</w:t>
                  </w:r>
                </w:p>
              </w:tc>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E0060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30000</w:t>
                  </w:r>
                </w:p>
              </w:tc>
              <w:tc>
                <w:tcPr>
                  <w:tcW w:w="100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7786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1ADF3F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3" w:hRule="atLeast"/>
              </w:trPr>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DAB8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饲用蛋白粉</w:t>
                  </w:r>
                </w:p>
              </w:tc>
              <w:tc>
                <w:tcPr>
                  <w:tcW w:w="199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7BA9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4000</w:t>
                  </w:r>
                </w:p>
              </w:tc>
              <w:tc>
                <w:tcPr>
                  <w:tcW w:w="100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9EDF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bl>
          <w:p w14:paraId="14FCCE05">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现有项目</w:t>
            </w:r>
            <w:r>
              <w:rPr>
                <w:rFonts w:hint="default" w:ascii="Times New Roman" w:hAnsi="Times New Roman" w:eastAsia="宋体" w:cs="Times New Roman"/>
                <w:color w:val="auto"/>
                <w:sz w:val="24"/>
                <w:szCs w:val="24"/>
                <w:lang w:val="en-US" w:eastAsia="zh-CN"/>
              </w:rPr>
              <w:t>原辅料情况如下表：</w:t>
            </w:r>
          </w:p>
          <w:p w14:paraId="7CFE9B46">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原辅料情况一览表</w:t>
            </w:r>
          </w:p>
          <w:tbl>
            <w:tblPr>
              <w:tblStyle w:val="30"/>
              <w:tblW w:w="49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2083"/>
              <w:gridCol w:w="1488"/>
              <w:gridCol w:w="871"/>
              <w:gridCol w:w="2643"/>
            </w:tblGrid>
            <w:tr w14:paraId="45354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506" w:type="pct"/>
                  <w:vAlign w:val="center"/>
                </w:tcPr>
                <w:p w14:paraId="5CC522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序号</w:t>
                  </w:r>
                </w:p>
              </w:tc>
              <w:tc>
                <w:tcPr>
                  <w:tcW w:w="1320" w:type="pct"/>
                  <w:vAlign w:val="center"/>
                </w:tcPr>
                <w:p w14:paraId="07A7CA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名称</w:t>
                  </w:r>
                </w:p>
              </w:tc>
              <w:tc>
                <w:tcPr>
                  <w:tcW w:w="943" w:type="pct"/>
                  <w:vAlign w:val="center"/>
                </w:tcPr>
                <w:p w14:paraId="74140B8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年消耗量</w:t>
                  </w:r>
                </w:p>
              </w:tc>
              <w:tc>
                <w:tcPr>
                  <w:tcW w:w="552" w:type="pct"/>
                  <w:vAlign w:val="center"/>
                </w:tcPr>
                <w:p w14:paraId="1073FD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单位</w:t>
                  </w:r>
                </w:p>
              </w:tc>
              <w:tc>
                <w:tcPr>
                  <w:tcW w:w="1676" w:type="pct"/>
                  <w:vAlign w:val="center"/>
                </w:tcPr>
                <w:p w14:paraId="720A7B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规格型号</w:t>
                  </w:r>
                </w:p>
              </w:tc>
            </w:tr>
            <w:tr w14:paraId="33189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506" w:type="pct"/>
                  <w:vAlign w:val="center"/>
                </w:tcPr>
                <w:p w14:paraId="67728A6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1320" w:type="pct"/>
                  <w:vAlign w:val="center"/>
                </w:tcPr>
                <w:p w14:paraId="26F034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中碎米</w:t>
                  </w:r>
                </w:p>
              </w:tc>
              <w:tc>
                <w:tcPr>
                  <w:tcW w:w="943" w:type="pct"/>
                  <w:vAlign w:val="center"/>
                </w:tcPr>
                <w:p w14:paraId="7AA16F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96000</w:t>
                  </w:r>
                </w:p>
              </w:tc>
              <w:tc>
                <w:tcPr>
                  <w:tcW w:w="552" w:type="pct"/>
                  <w:vAlign w:val="center"/>
                </w:tcPr>
                <w:p w14:paraId="009D8D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47671DF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水分≤14%，其他成分含量≤1%，淀粉含量≥70%</w:t>
                  </w:r>
                </w:p>
              </w:tc>
            </w:tr>
            <w:tr w14:paraId="789C7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41CFED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1320" w:type="pct"/>
                  <w:vAlign w:val="center"/>
                </w:tcPr>
                <w:p w14:paraId="4D9630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淀粉酶</w:t>
                  </w:r>
                </w:p>
              </w:tc>
              <w:tc>
                <w:tcPr>
                  <w:tcW w:w="943" w:type="pct"/>
                  <w:vAlign w:val="center"/>
                </w:tcPr>
                <w:p w14:paraId="075C80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48</w:t>
                  </w:r>
                </w:p>
              </w:tc>
              <w:tc>
                <w:tcPr>
                  <w:tcW w:w="552" w:type="pct"/>
                  <w:vAlign w:val="center"/>
                </w:tcPr>
                <w:p w14:paraId="40F0340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41EB22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a-淀粉酶</w:t>
                  </w:r>
                </w:p>
              </w:tc>
            </w:tr>
            <w:tr w14:paraId="201C0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0FA0B7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1320" w:type="pct"/>
                  <w:vAlign w:val="center"/>
                </w:tcPr>
                <w:p w14:paraId="174960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异构酶</w:t>
                  </w:r>
                </w:p>
              </w:tc>
              <w:tc>
                <w:tcPr>
                  <w:tcW w:w="943" w:type="pct"/>
                  <w:vAlign w:val="center"/>
                </w:tcPr>
                <w:p w14:paraId="7643C7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552" w:type="pct"/>
                  <w:vAlign w:val="center"/>
                </w:tcPr>
                <w:p w14:paraId="248086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486B44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416D7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7F1679D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1320" w:type="pct"/>
                  <w:vAlign w:val="center"/>
                </w:tcPr>
                <w:p w14:paraId="3A88B1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活性炭</w:t>
                  </w:r>
                </w:p>
              </w:tc>
              <w:tc>
                <w:tcPr>
                  <w:tcW w:w="943" w:type="pct"/>
                  <w:vAlign w:val="center"/>
                </w:tcPr>
                <w:p w14:paraId="702A84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240</w:t>
                  </w:r>
                </w:p>
              </w:tc>
              <w:tc>
                <w:tcPr>
                  <w:tcW w:w="552" w:type="pct"/>
                  <w:vAlign w:val="center"/>
                </w:tcPr>
                <w:p w14:paraId="59CABC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3E4E34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颗粒或粉末状</w:t>
                  </w:r>
                </w:p>
              </w:tc>
            </w:tr>
            <w:tr w14:paraId="1AA50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5B30AF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5</w:t>
                  </w:r>
                </w:p>
              </w:tc>
              <w:tc>
                <w:tcPr>
                  <w:tcW w:w="1320" w:type="pct"/>
                  <w:vAlign w:val="center"/>
                </w:tcPr>
                <w:p w14:paraId="0D102A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盐酸</w:t>
                  </w:r>
                </w:p>
              </w:tc>
              <w:tc>
                <w:tcPr>
                  <w:tcW w:w="943" w:type="pct"/>
                  <w:vAlign w:val="center"/>
                </w:tcPr>
                <w:p w14:paraId="330658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230</w:t>
                  </w:r>
                </w:p>
              </w:tc>
              <w:tc>
                <w:tcPr>
                  <w:tcW w:w="552" w:type="pct"/>
                  <w:vAlign w:val="center"/>
                </w:tcPr>
                <w:p w14:paraId="505A61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751EE1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工业级</w:t>
                  </w:r>
                </w:p>
              </w:tc>
            </w:tr>
            <w:tr w14:paraId="39B4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6541450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w:t>
                  </w:r>
                </w:p>
              </w:tc>
              <w:tc>
                <w:tcPr>
                  <w:tcW w:w="1320" w:type="pct"/>
                  <w:vAlign w:val="center"/>
                </w:tcPr>
                <w:p w14:paraId="679210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烧碱</w:t>
                  </w:r>
                </w:p>
              </w:tc>
              <w:tc>
                <w:tcPr>
                  <w:tcW w:w="943" w:type="pct"/>
                  <w:vAlign w:val="center"/>
                </w:tcPr>
                <w:p w14:paraId="1721D4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310</w:t>
                  </w:r>
                </w:p>
              </w:tc>
              <w:tc>
                <w:tcPr>
                  <w:tcW w:w="552" w:type="pct"/>
                  <w:vAlign w:val="center"/>
                </w:tcPr>
                <w:p w14:paraId="277B32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289BB72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工业级</w:t>
                  </w:r>
                </w:p>
              </w:tc>
            </w:tr>
            <w:tr w14:paraId="2E7F1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394D30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7</w:t>
                  </w:r>
                </w:p>
              </w:tc>
              <w:tc>
                <w:tcPr>
                  <w:tcW w:w="1320" w:type="pct"/>
                  <w:vAlign w:val="center"/>
                </w:tcPr>
                <w:p w14:paraId="2F65D3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碳酸钙</w:t>
                  </w:r>
                </w:p>
              </w:tc>
              <w:tc>
                <w:tcPr>
                  <w:tcW w:w="943" w:type="pct"/>
                  <w:vAlign w:val="center"/>
                </w:tcPr>
                <w:p w14:paraId="22E4DA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375</w:t>
                  </w:r>
                </w:p>
              </w:tc>
              <w:tc>
                <w:tcPr>
                  <w:tcW w:w="552" w:type="pct"/>
                  <w:vAlign w:val="center"/>
                </w:tcPr>
                <w:p w14:paraId="05D18F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1BF544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5F79D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6" w:type="pct"/>
                  <w:vAlign w:val="center"/>
                </w:tcPr>
                <w:p w14:paraId="4078C4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1320" w:type="pct"/>
                  <w:vAlign w:val="center"/>
                </w:tcPr>
                <w:p w14:paraId="7FE5D3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硫酸镁、碳酸钠</w:t>
                  </w:r>
                </w:p>
              </w:tc>
              <w:tc>
                <w:tcPr>
                  <w:tcW w:w="943" w:type="pct"/>
                  <w:vAlign w:val="center"/>
                </w:tcPr>
                <w:p w14:paraId="56527D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0.3</w:t>
                  </w:r>
                </w:p>
              </w:tc>
              <w:tc>
                <w:tcPr>
                  <w:tcW w:w="552" w:type="pct"/>
                  <w:vAlign w:val="center"/>
                </w:tcPr>
                <w:p w14:paraId="4AD9F7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017467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r w14:paraId="3AF1A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06" w:type="pct"/>
                  <w:vAlign w:val="center"/>
                </w:tcPr>
                <w:p w14:paraId="255067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9</w:t>
                  </w:r>
                </w:p>
              </w:tc>
              <w:tc>
                <w:tcPr>
                  <w:tcW w:w="1320" w:type="pct"/>
                  <w:vAlign w:val="center"/>
                </w:tcPr>
                <w:p w14:paraId="604EF4D7">
                  <w:pPr>
                    <w:keepNext w:val="0"/>
                    <w:keepLines w:val="0"/>
                    <w:pageBreakBefore/>
                    <w:widowControl/>
                    <w:suppressLineNumbers w:val="0"/>
                    <w:tabs>
                      <w:tab w:val="left" w:pos="403"/>
                      <w:tab w:val="center" w:pos="993"/>
                    </w:tabs>
                    <w:spacing w:before="0" w:beforeLines="0" w:beforeAutospacing="0" w:after="0" w:afterLines="0" w:afterAutospacing="0" w:line="360" w:lineRule="exact"/>
                    <w:ind w:left="0" w:right="0" w:firstLine="210" w:firstLineChars="100"/>
                    <w:jc w:val="left"/>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成型</w:t>
                  </w:r>
                  <w:r>
                    <w:rPr>
                      <w:rFonts w:hint="eastAsia" w:cs="Times New Roman"/>
                      <w:color w:val="auto"/>
                      <w:kern w:val="0"/>
                      <w:sz w:val="21"/>
                      <w:szCs w:val="21"/>
                      <w:lang w:val="en-US" w:eastAsia="zh-CN"/>
                    </w:rPr>
                    <w:tab/>
                  </w:r>
                  <w:r>
                    <w:rPr>
                      <w:rFonts w:hint="eastAsia" w:cs="Times New Roman"/>
                      <w:color w:val="auto"/>
                      <w:kern w:val="0"/>
                      <w:sz w:val="21"/>
                      <w:szCs w:val="21"/>
                      <w:lang w:val="en-US" w:eastAsia="zh-CN"/>
                    </w:rPr>
                    <w:t>生物质颗粒</w:t>
                  </w:r>
                </w:p>
              </w:tc>
              <w:tc>
                <w:tcPr>
                  <w:tcW w:w="943" w:type="pct"/>
                  <w:vAlign w:val="center"/>
                </w:tcPr>
                <w:p w14:paraId="37B40E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19200</w:t>
                  </w:r>
                </w:p>
              </w:tc>
              <w:tc>
                <w:tcPr>
                  <w:tcW w:w="552" w:type="pct"/>
                  <w:vAlign w:val="center"/>
                </w:tcPr>
                <w:p w14:paraId="0B0905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t</w:t>
                  </w:r>
                </w:p>
              </w:tc>
              <w:tc>
                <w:tcPr>
                  <w:tcW w:w="1676" w:type="pct"/>
                  <w:vAlign w:val="center"/>
                </w:tcPr>
                <w:p w14:paraId="79AF0B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r>
          </w:tbl>
          <w:p w14:paraId="79AC515A">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kern w:val="2"/>
                <w:sz w:val="24"/>
                <w:szCs w:val="24"/>
                <w:highlight w:val="none"/>
                <w:lang w:val="en-US" w:eastAsia="zh-CN" w:bidi="ar-SA"/>
              </w:rPr>
              <w:t>3</w:t>
            </w:r>
            <w:r>
              <w:rPr>
                <w:rFonts w:hint="default"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cs="Times New Roman"/>
                <w:b/>
                <w:bCs/>
                <w:color w:val="auto"/>
                <w:sz w:val="24"/>
                <w:szCs w:val="24"/>
                <w:highlight w:val="none"/>
                <w:lang w:val="en-US" w:eastAsia="zh-CN"/>
              </w:rPr>
              <w:t>现有项目</w:t>
            </w:r>
            <w:r>
              <w:rPr>
                <w:rFonts w:hint="default" w:ascii="Times New Roman" w:hAnsi="Times New Roman" w:eastAsia="宋体" w:cs="Times New Roman"/>
                <w:b/>
                <w:bCs/>
                <w:color w:val="auto"/>
                <w:sz w:val="24"/>
                <w:szCs w:val="24"/>
                <w:lang w:val="en-US" w:eastAsia="zh-CN"/>
              </w:rPr>
              <w:t>生产工艺流程</w:t>
            </w:r>
          </w:p>
          <w:p w14:paraId="66E90A75">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一、高麦芽糖浆和果葡糖浆操作过程概述</w:t>
            </w:r>
          </w:p>
          <w:p w14:paraId="0F81F63F">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高麦芽糖浆和果葡糖浆生产从投料到糖化工序基本相同，以下综合叙述高麦芽糖浆和果葡糖浆的主要生产工艺流程</w:t>
            </w:r>
          </w:p>
          <w:p w14:paraId="5512D57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1、投料、浸泡</w:t>
            </w:r>
          </w:p>
          <w:p w14:paraId="23319A1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将中碎米用提升机投入浸泡罐中，每罐上料为5吨，用清水浸泡，水温控制在40~50℃，一般浸泡时间为2～4小时，用气反洗5～8分钟，并用净水冲洗米糠及灰土等杂物，然后放干浸泡水。</w:t>
            </w:r>
          </w:p>
          <w:p w14:paraId="243420B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2、磨米：浸泡缸按规定投满米后开始洗米，洗好后浸泡用手刚好捏碎米开始磨米，磨浆60目后进入下工序液化。</w:t>
            </w:r>
          </w:p>
          <w:p w14:paraId="011E61B8">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3、液化：进料，在配料罐内把米浆调到Be</w:t>
            </w:r>
            <w:r>
              <w:rPr>
                <w:rFonts w:hint="default" w:ascii="Times New Roman" w:hAnsi="Times New Roman" w:cs="Times New Roman"/>
                <w:color w:val="auto"/>
                <w:sz w:val="24"/>
                <w:szCs w:val="24"/>
                <w:vertAlign w:val="superscript"/>
                <w:lang w:val="en-US" w:eastAsia="zh-CN"/>
              </w:rPr>
              <w:t>+</w:t>
            </w:r>
            <w:r>
              <w:rPr>
                <w:rFonts w:hint="default" w:ascii="Times New Roman" w:hAnsi="Times New Roman" w:cs="Times New Roman"/>
                <w:color w:val="auto"/>
                <w:sz w:val="24"/>
                <w:szCs w:val="24"/>
                <w:lang w:val="en-US" w:eastAsia="zh-CN"/>
              </w:rPr>
              <w:t>16-18，PH用Na</w:t>
            </w:r>
            <w:r>
              <w:rPr>
                <w:rFonts w:hint="default" w:ascii="Times New Roman" w:hAnsi="Times New Roman" w:cs="Times New Roman"/>
                <w:color w:val="auto"/>
                <w:sz w:val="24"/>
                <w:szCs w:val="24"/>
                <w:vertAlign w:val="subscript"/>
                <w:lang w:val="en-US" w:eastAsia="zh-CN"/>
              </w:rPr>
              <w:t>2</w:t>
            </w:r>
            <w:r>
              <w:rPr>
                <w:rFonts w:hint="default" w:ascii="Times New Roman" w:hAnsi="Times New Roman" w:cs="Times New Roman"/>
                <w:color w:val="auto"/>
                <w:sz w:val="24"/>
                <w:szCs w:val="24"/>
                <w:lang w:val="en-US" w:eastAsia="zh-CN"/>
              </w:rPr>
              <w:t>CO</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lang w:val="en-US" w:eastAsia="zh-CN"/>
              </w:rPr>
              <w:t>调至PH5.8-6.0，加入0.15%～0.03%氯化钙作为淀粉酶保护剂和激化剂，最后加入附高温-a-淀粉酶，料液搅拌均匀后用泵打入喷射液化器，在喷射过程中米浆和蒸汽直接相遇，控制出料温度100℃-115℃，从喷射器中出来料液经真空闪蒸后进入层流罐，95℃-97℃液压保温90～120分钟，然后进入二次喷射，二次喷射温度控制在120℃-145℃，并在维持罐中维持3～5分钟，把耐高温淀粉酶彻底杀死，同时淀粉会进一步分散，蛋白进一步凝固，然后料液经真空闪急冷温度调节后进入脱渣进料罐，进入脱渣工序。</w:t>
            </w:r>
          </w:p>
          <w:p w14:paraId="71FF0C1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4、脱渣：进料温度96℃-100℃，PH5.8-6.0，浓度30%～32%，经进料泵打入一次脱渣过滤进入糖化，米渣放入地池，经二脱洗渣，洗渣水打入磨米，米渣进入气流烘干包装（25kg）每袋后出售，料进入糖化温度58℃-60℃开始糖化。</w:t>
            </w:r>
          </w:p>
          <w:p w14:paraId="77824CB5">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糖化：温度58℃-60℃，PH4.6-6.0，加入真菌酶2300ml，20吨一罐，10小时后加入糖化酶800ml，PH4.5-5.0，DE值、加酶经化验室测定，量根据客户要求可调节，达到客户要求后开启循环机，开始灭酶，85℃~90℃进入脱色工序。</w:t>
            </w:r>
          </w:p>
          <w:p w14:paraId="5B5F7E2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6、脱色：进料温度85℃~95℃，PH4.5-4.8，按缸20吨加入活性炭50kg，搅拌半小时后开始一次脱色，脱色透光要求75%后经清液缸精密过滤器进入离交工序。</w:t>
            </w:r>
          </w:p>
          <w:p w14:paraId="42DA916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7、离交：离交备用交换器三组网时使用、串洗后电导50-100US/cm开始进料、进料PH45-4.8、透光≥75%，经阳床进入阴床为一小组，连续进入3组流量为12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h，依次将水压出，当料液浓度达到5%时开始打稀糖，浓度达到10%时打至交前缸开始回流，透光达到95%，PH8.0以下，电导低于10US/cm开始出料，进入二次脱色，运行N小时后，电导高于10US/cm，透光&lt;95%，PH&lt;4.2时为失效，失效后用水顶糖将糖压入交前缸，浓度低于10高于0开始打稀糖，为0时开始反洗，6小时后出水无色透明，无肉眼可见其他成分，进再生液，HCl=4%/h，出水PH=1后停止，开始浸泡，NaOH5%出水PH=14后开始浸泡2小时后，开始单洗，阳床3-4，阴床9-10开始串洗，电导50-100US/cm后备用。</w:t>
            </w:r>
          </w:p>
          <w:p w14:paraId="02C9500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二次脱色：进料透光≤95%，PH4.2-5.0无色无肉眼可见其他成分，加入1%活性炭，经阿码过滤机精密过滤器进入四效，出料标准透光高于95%，PH4.2-5.0无色透明无肉眼可见其他成分。</w:t>
            </w:r>
          </w:p>
          <w:p w14:paraId="2350D97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原理：加入活性炭后，经搅拌后利用活性炭吸附力将料液中其他成分吸收，用过滤器将活性炭滤出，达到减少料液中其他成分的目的。</w:t>
            </w:r>
          </w:p>
          <w:p w14:paraId="24DD043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离交原理：阳阴离子交换酸碱将料液中金属元素有色物质反应消耗，脱有机盐，无机盐，脱臭。标准熬温度≥145℃。</w:t>
            </w:r>
          </w:p>
          <w:p w14:paraId="31AD8754">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kern w:val="2"/>
                <w:sz w:val="24"/>
                <w:szCs w:val="24"/>
                <w:lang w:val="en-US" w:eastAsia="zh-CN" w:bidi="ar-SA"/>
              </w:rPr>
              <w:t>8</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cs="Times New Roman"/>
                <w:color w:val="auto"/>
                <w:sz w:val="24"/>
                <w:szCs w:val="24"/>
                <w:lang w:val="en-US" w:eastAsia="zh-CN"/>
              </w:rPr>
              <w:t>浓缩：进料标准，透光≥95%，PH14.2-5.0无色透明，无肉眼可见其他成分开机要求真空大于-0.075MPa开启冷却水，开启进料泵流量8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/h，经流量计至3效、4效、1效、2效出料至蒸前缸，打开蒸汽0.1Mpa，蒸汽逐渐加大，流量逐渐加大，流量逐渐加大，当出料浓度达到标准浓度后进入调浓缸（70%、75%、80%）。</w:t>
            </w:r>
          </w:p>
          <w:p w14:paraId="2AAD5787">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原理：经蒸汽在真空条件下加温，使料液中水分蒸发成水蒸气，经分离室分离，利用真空将水蒸气吸入冷凝器，然后用泵打入冷凝水缸达到提高糖液浓度。</w:t>
            </w:r>
          </w:p>
          <w:p w14:paraId="0EE656D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9、异构化：进料PH7.5，干物浓度40%～50%，葡萄糖含量&gt;95%（干基），果糖含量&lt;5%（干基），电导率&lt;50US/cm.</w:t>
            </w:r>
          </w:p>
          <w:p w14:paraId="18D6E42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原理：葡萄糖和果糖为同分异构体，都属于糖，葡萄糖为醛己糖，果糖为酮己糖，通过异构反应两者可以逆转化。</w:t>
            </w:r>
          </w:p>
          <w:p w14:paraId="48B3911D">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高麦芽糖浆和果葡糖浆工艺产污环节图如下：</w:t>
            </w:r>
          </w:p>
          <w:p w14:paraId="0C9778C8">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r>
              <w:rPr>
                <w:rFonts w:hint="default" w:ascii="Times New Roman" w:hAnsi="Times New Roman" w:cs="Times New Roman"/>
                <w:b/>
                <w:color w:val="auto"/>
                <w:kern w:val="0"/>
                <w:sz w:val="21"/>
                <w:szCs w:val="21"/>
                <w:lang w:val="en-US" w:eastAsia="zh-CN"/>
              </w:rPr>
              <w:drawing>
                <wp:anchor distT="0" distB="0" distL="114300" distR="114300" simplePos="0" relativeHeight="251669504" behindDoc="0" locked="0" layoutInCell="1" allowOverlap="1">
                  <wp:simplePos x="0" y="0"/>
                  <wp:positionH relativeFrom="column">
                    <wp:posOffset>766445</wp:posOffset>
                  </wp:positionH>
                  <wp:positionV relativeFrom="paragraph">
                    <wp:posOffset>-5786120</wp:posOffset>
                  </wp:positionV>
                  <wp:extent cx="3228340" cy="2655570"/>
                  <wp:effectExtent l="0" t="0" r="10160" b="11430"/>
                  <wp:wrapSquare wrapText="bothSides"/>
                  <wp:docPr id="1" name="F360BE8B-6686-4F3D-AEAF-501FE73E4058-8" descr="C:/Users/Administrator/AppData/Local/Temp/绘图1(18).png绘图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360BE8B-6686-4F3D-AEAF-501FE73E4058-8" descr="C:/Users/Administrator/AppData/Local/Temp/绘图1(18).png绘图1(18)"/>
                          <pic:cNvPicPr>
                            <a:picLocks noChangeAspect="1"/>
                          </pic:cNvPicPr>
                        </pic:nvPicPr>
                        <pic:blipFill>
                          <a:blip r:embed="rId19"/>
                          <a:stretch>
                            <a:fillRect/>
                          </a:stretch>
                        </pic:blipFill>
                        <pic:spPr>
                          <a:xfrm>
                            <a:off x="0" y="0"/>
                            <a:ext cx="3228340" cy="2655570"/>
                          </a:xfrm>
                          <a:prstGeom prst="rect">
                            <a:avLst/>
                          </a:prstGeom>
                        </pic:spPr>
                      </pic:pic>
                    </a:graphicData>
                  </a:graphic>
                </wp:anchor>
              </w:drawing>
            </w:r>
          </w:p>
          <w:p w14:paraId="56004C2C">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075CEF68">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5D92A98D">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5B340219">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3FCB526D">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49FD9342">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08152FBB">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3C5201A9">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53798CE8">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p>
          <w:p w14:paraId="7E3D20CE">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r>
              <w:rPr>
                <w:rFonts w:hint="default" w:ascii="Times New Roman" w:hAnsi="Times New Roman" w:cs="Times New Roman"/>
                <w:b/>
                <w:color w:val="auto"/>
                <w:kern w:val="0"/>
                <w:sz w:val="21"/>
                <w:szCs w:val="21"/>
                <w:lang w:val="en-US" w:eastAsia="zh-CN"/>
              </w:rPr>
              <w:t>图2-9高麦芽糖浆生产工艺流程图</w:t>
            </w:r>
          </w:p>
          <w:p w14:paraId="37B19309">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drawing>
                <wp:anchor distT="0" distB="0" distL="114300" distR="114300" simplePos="0" relativeHeight="251675648" behindDoc="0" locked="0" layoutInCell="1" allowOverlap="1">
                  <wp:simplePos x="0" y="0"/>
                  <wp:positionH relativeFrom="column">
                    <wp:posOffset>796290</wp:posOffset>
                  </wp:positionH>
                  <wp:positionV relativeFrom="paragraph">
                    <wp:posOffset>170815</wp:posOffset>
                  </wp:positionV>
                  <wp:extent cx="3056890" cy="2567305"/>
                  <wp:effectExtent l="0" t="0" r="10160" b="4445"/>
                  <wp:wrapSquare wrapText="bothSides"/>
                  <wp:docPr id="8" name="F360BE8B-6686-4F3D-AEAF-501FE73E4058-9" descr="C:/Users/Administrator/AppData/Local/Temp/绘图1(20).png绘图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360BE8B-6686-4F3D-AEAF-501FE73E4058-9" descr="C:/Users/Administrator/AppData/Local/Temp/绘图1(20).png绘图1(20)"/>
                          <pic:cNvPicPr>
                            <a:picLocks noChangeAspect="1"/>
                          </pic:cNvPicPr>
                        </pic:nvPicPr>
                        <pic:blipFill>
                          <a:blip r:embed="rId20"/>
                          <a:stretch>
                            <a:fillRect/>
                          </a:stretch>
                        </pic:blipFill>
                        <pic:spPr>
                          <a:xfrm>
                            <a:off x="0" y="0"/>
                            <a:ext cx="3056890" cy="2567305"/>
                          </a:xfrm>
                          <a:prstGeom prst="rect">
                            <a:avLst/>
                          </a:prstGeom>
                        </pic:spPr>
                      </pic:pic>
                    </a:graphicData>
                  </a:graphic>
                </wp:anchor>
              </w:drawing>
            </w:r>
          </w:p>
          <w:p w14:paraId="706A3833">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0491D6C7">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1A38307B">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018740FA">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77EF526C">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231A93B1">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196BEB5E">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032B3090">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3D6BCDF3">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p>
          <w:p w14:paraId="5A635B9C">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图</w:t>
            </w:r>
            <w:r>
              <w:rPr>
                <w:rFonts w:hint="default" w:ascii="Times New Roman" w:hAnsi="Times New Roman" w:cs="Times New Roman"/>
                <w:b/>
                <w:color w:val="auto"/>
                <w:kern w:val="0"/>
                <w:sz w:val="21"/>
                <w:szCs w:val="21"/>
                <w:lang w:val="en-US" w:eastAsia="zh-CN"/>
              </w:rPr>
              <w:t>2-10果葡糖浆生产工艺流程图</w:t>
            </w:r>
          </w:p>
          <w:p w14:paraId="4D254587">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二、饲用蛋白粉生产线操作过程概述</w:t>
            </w:r>
          </w:p>
          <w:p w14:paraId="1B07B234">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1、烘干</w:t>
            </w:r>
          </w:p>
          <w:p w14:paraId="151E422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将已脱水后的渣饼，经气流烘干机一次烘干（用蒸汽烘干），烘干后的蛋白粉水分控制在8%～10%</w:t>
            </w:r>
            <w:r>
              <w:rPr>
                <w:rFonts w:hint="default" w:ascii="Times New Roman" w:hAnsi="Times New Roman" w:cs="Times New Roman"/>
                <w:color w:val="auto"/>
                <w:lang w:eastAsia="zh-CN"/>
              </w:rPr>
              <w:t>。</w:t>
            </w:r>
          </w:p>
          <w:p w14:paraId="5749E92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2、包装</w:t>
            </w:r>
          </w:p>
          <w:p w14:paraId="784F2E8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烘干后的蛋白粉经粉碎、过筛、包装，制成蛋白粉成品。</w:t>
            </w:r>
          </w:p>
          <w:p w14:paraId="24B236AF">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饲用蛋白粉工艺产污环节图如下：</w:t>
            </w:r>
          </w:p>
          <w:p w14:paraId="0435D71E">
            <w:pPr>
              <w:keepNext w:val="0"/>
              <w:keepLines w:val="0"/>
              <w:pageBreakBefore/>
              <w:widowControl/>
              <w:numPr>
                <w:ilvl w:val="0"/>
                <w:numId w:val="0"/>
              </w:numPr>
              <w:suppressLineNumbers w:val="0"/>
              <w:spacing w:before="0" w:beforeLines="0" w:beforeAutospacing="0" w:after="0" w:afterLines="0" w:afterAutospacing="0"/>
              <w:ind w:left="0" w:right="0"/>
              <w:jc w:val="center"/>
              <w:rPr>
                <w:rFonts w:hint="default" w:ascii="Times New Roman" w:hAnsi="Times New Roman" w:cs="Times New Roman"/>
                <w:b/>
                <w:color w:val="auto"/>
                <w:kern w:val="0"/>
                <w:sz w:val="21"/>
                <w:szCs w:val="21"/>
                <w:lang w:val="en-US" w:eastAsia="zh-CN"/>
              </w:rPr>
            </w:pPr>
            <w:r>
              <w:rPr>
                <w:rFonts w:hint="default" w:ascii="Times New Roman" w:hAnsi="Times New Roman" w:cs="Times New Roman"/>
                <w:b/>
                <w:color w:val="auto"/>
                <w:kern w:val="0"/>
                <w:sz w:val="21"/>
                <w:szCs w:val="21"/>
                <w:lang w:val="en-US" w:eastAsia="zh-CN"/>
              </w:rPr>
              <w:drawing>
                <wp:anchor distT="0" distB="0" distL="114300" distR="114300" simplePos="0" relativeHeight="251659264" behindDoc="0" locked="0" layoutInCell="1" allowOverlap="1">
                  <wp:simplePos x="0" y="0"/>
                  <wp:positionH relativeFrom="column">
                    <wp:posOffset>1215390</wp:posOffset>
                  </wp:positionH>
                  <wp:positionV relativeFrom="paragraph">
                    <wp:posOffset>248920</wp:posOffset>
                  </wp:positionV>
                  <wp:extent cx="2674620" cy="2303145"/>
                  <wp:effectExtent l="0" t="0" r="7620" b="13335"/>
                  <wp:wrapTopAndBottom/>
                  <wp:docPr id="9" name="F360BE8B-6686-4F3D-AEAF-501FE73E4058-10" descr="C:/Users/zxh/AppData/Local/Temp/绘图1(18).png绘图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360BE8B-6686-4F3D-AEAF-501FE73E4058-10" descr="C:/Users/zxh/AppData/Local/Temp/绘图1(18).png绘图1(18)"/>
                          <pic:cNvPicPr>
                            <a:picLocks noChangeAspect="1"/>
                          </pic:cNvPicPr>
                        </pic:nvPicPr>
                        <pic:blipFill>
                          <a:blip r:embed="rId21"/>
                          <a:stretch>
                            <a:fillRect/>
                          </a:stretch>
                        </pic:blipFill>
                        <pic:spPr>
                          <a:xfrm>
                            <a:off x="0" y="0"/>
                            <a:ext cx="2674620" cy="2303145"/>
                          </a:xfrm>
                          <a:prstGeom prst="rect">
                            <a:avLst/>
                          </a:prstGeom>
                        </pic:spPr>
                      </pic:pic>
                    </a:graphicData>
                  </a:graphic>
                </wp:anchor>
              </w:drawing>
            </w:r>
            <w:r>
              <w:rPr>
                <w:rFonts w:hint="default" w:ascii="Times New Roman" w:hAnsi="Times New Roman" w:cs="Times New Roman"/>
                <w:b/>
                <w:color w:val="auto"/>
                <w:kern w:val="0"/>
                <w:sz w:val="21"/>
                <w:szCs w:val="21"/>
                <w:lang w:val="en-US" w:eastAsia="zh-CN"/>
              </w:rPr>
              <w:t>图2-11饲用蛋白粉生产工艺流程</w:t>
            </w:r>
          </w:p>
          <w:p w14:paraId="5E5CF664">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4"/>
                <w:szCs w:val="24"/>
                <w:lang w:val="en-US" w:eastAsia="zh-CN" w:bidi="ar-SA"/>
              </w:rPr>
              <w:t>3、</w:t>
            </w:r>
            <w:r>
              <w:rPr>
                <w:rFonts w:hint="default" w:ascii="Times New Roman" w:hAnsi="Times New Roman" w:cs="Times New Roman"/>
                <w:b/>
                <w:bCs/>
                <w:color w:val="auto"/>
                <w:sz w:val="24"/>
                <w:szCs w:val="24"/>
                <w:lang w:val="en-US" w:eastAsia="zh-CN"/>
              </w:rPr>
              <w:t>现有项目</w:t>
            </w:r>
            <w:r>
              <w:rPr>
                <w:rFonts w:hint="default" w:ascii="Times New Roman" w:hAnsi="Times New Roman" w:eastAsia="宋体" w:cs="Times New Roman"/>
                <w:b/>
                <w:bCs/>
                <w:color w:val="auto"/>
                <w:sz w:val="24"/>
                <w:szCs w:val="24"/>
                <w:lang w:val="en-US" w:eastAsia="zh-CN"/>
              </w:rPr>
              <w:t>污染防治措施</w:t>
            </w:r>
          </w:p>
          <w:p w14:paraId="3926BD54">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现有项目污染防治措施如下：</w:t>
            </w:r>
          </w:p>
          <w:p w14:paraId="0836D7C2">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污染防治措施一览表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6"/>
              <w:gridCol w:w="3095"/>
              <w:gridCol w:w="3144"/>
            </w:tblGrid>
            <w:tr w14:paraId="2F62F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73" w:type="pct"/>
                  <w:vAlign w:val="center"/>
                </w:tcPr>
                <w:p w14:paraId="574BE5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环节要素</w:t>
                  </w:r>
                </w:p>
              </w:tc>
              <w:tc>
                <w:tcPr>
                  <w:tcW w:w="1947" w:type="pct"/>
                  <w:vAlign w:val="center"/>
                </w:tcPr>
                <w:p w14:paraId="7E25A2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污染源</w:t>
                  </w:r>
                </w:p>
              </w:tc>
              <w:tc>
                <w:tcPr>
                  <w:tcW w:w="1978" w:type="pct"/>
                  <w:vAlign w:val="center"/>
                </w:tcPr>
                <w:p w14:paraId="29D041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污染防治措施</w:t>
                  </w:r>
                </w:p>
              </w:tc>
            </w:tr>
            <w:tr w14:paraId="17E4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1073" w:type="pct"/>
                  <w:vMerge w:val="restart"/>
                  <w:vAlign w:val="center"/>
                </w:tcPr>
                <w:p w14:paraId="64512C8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废气</w:t>
                  </w:r>
                </w:p>
              </w:tc>
              <w:tc>
                <w:tcPr>
                  <w:tcW w:w="1947" w:type="pct"/>
                  <w:shd w:val="clear" w:color="auto" w:fill="auto"/>
                  <w:vAlign w:val="center"/>
                </w:tcPr>
                <w:p w14:paraId="43A9E89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锅炉废气</w:t>
                  </w:r>
                </w:p>
              </w:tc>
              <w:tc>
                <w:tcPr>
                  <w:tcW w:w="1978" w:type="pct"/>
                  <w:shd w:val="clear" w:color="auto" w:fill="auto"/>
                  <w:vAlign w:val="center"/>
                </w:tcPr>
                <w:p w14:paraId="46FE649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布袋除尘器</w:t>
                  </w:r>
                  <w:r>
                    <w:rPr>
                      <w:rFonts w:hint="default" w:ascii="Times New Roman" w:hAnsi="Times New Roman" w:cs="Times New Roman"/>
                      <w:color w:val="auto"/>
                      <w:kern w:val="0"/>
                      <w:sz w:val="21"/>
                      <w:szCs w:val="21"/>
                      <w:lang w:val="en-US" w:eastAsia="zh-CN"/>
                    </w:rPr>
                    <w:t>+</w:t>
                  </w:r>
                  <w:r>
                    <w:rPr>
                      <w:rFonts w:hint="eastAsia" w:cs="Times New Roman"/>
                      <w:color w:val="auto"/>
                      <w:kern w:val="0"/>
                      <w:sz w:val="21"/>
                      <w:szCs w:val="21"/>
                      <w:lang w:val="en-US" w:eastAsia="zh-CN"/>
                    </w:rPr>
                    <w:t>40</w:t>
                  </w:r>
                  <w:r>
                    <w:rPr>
                      <w:rFonts w:hint="default" w:ascii="Times New Roman" w:hAnsi="Times New Roman" w:cs="Times New Roman"/>
                      <w:color w:val="auto"/>
                      <w:kern w:val="0"/>
                      <w:sz w:val="21"/>
                      <w:szCs w:val="21"/>
                      <w:lang w:val="en-US" w:eastAsia="zh-CN"/>
                    </w:rPr>
                    <w:t>m排气筒（DA001）</w:t>
                  </w:r>
                </w:p>
              </w:tc>
            </w:tr>
            <w:tr w14:paraId="59100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1073" w:type="pct"/>
                  <w:vMerge w:val="continue"/>
                  <w:vAlign w:val="center"/>
                </w:tcPr>
                <w:p w14:paraId="261FCE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947" w:type="pct"/>
                  <w:shd w:val="clear" w:color="auto" w:fill="auto"/>
                  <w:vAlign w:val="center"/>
                </w:tcPr>
                <w:p w14:paraId="25A797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恶臭气体</w:t>
                  </w:r>
                </w:p>
              </w:tc>
              <w:tc>
                <w:tcPr>
                  <w:tcW w:w="1978" w:type="pct"/>
                  <w:shd w:val="clear" w:color="auto" w:fill="auto"/>
                  <w:vAlign w:val="center"/>
                </w:tcPr>
                <w:p w14:paraId="10D61DA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活性污泥脱臭法（曝气氧化法）+污泥脱水法（无组织排放）</w:t>
                  </w:r>
                </w:p>
              </w:tc>
            </w:tr>
            <w:tr w14:paraId="2C48A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1073" w:type="pct"/>
                  <w:vAlign w:val="center"/>
                </w:tcPr>
                <w:p w14:paraId="6E7045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废水</w:t>
                  </w:r>
                </w:p>
              </w:tc>
              <w:tc>
                <w:tcPr>
                  <w:tcW w:w="1947" w:type="pct"/>
                  <w:vAlign w:val="center"/>
                </w:tcPr>
                <w:p w14:paraId="699B53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生活污水与生产废水</w:t>
                  </w:r>
                </w:p>
              </w:tc>
              <w:tc>
                <w:tcPr>
                  <w:tcW w:w="1978" w:type="pct"/>
                  <w:vAlign w:val="center"/>
                </w:tcPr>
                <w:p w14:paraId="46BF92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zh-CN"/>
                    </w:rPr>
                    <w:t>生产和辅助车间废水及生活污水</w:t>
                  </w:r>
                  <w:r>
                    <w:rPr>
                      <w:rFonts w:hint="default" w:ascii="Times New Roman" w:hAnsi="Times New Roman" w:cs="Times New Roman"/>
                      <w:color w:val="auto"/>
                      <w:kern w:val="0"/>
                      <w:sz w:val="21"/>
                      <w:szCs w:val="21"/>
                      <w:lang w:val="en-US" w:eastAsia="zh-CN"/>
                    </w:rPr>
                    <w:t>经过</w:t>
                  </w:r>
                  <w:r>
                    <w:rPr>
                      <w:rFonts w:hint="default" w:ascii="Times New Roman" w:hAnsi="Times New Roman" w:cs="Times New Roman"/>
                      <w:color w:val="auto"/>
                      <w:kern w:val="0"/>
                      <w:sz w:val="21"/>
                      <w:szCs w:val="21"/>
                      <w:lang w:val="zh-CN"/>
                    </w:rPr>
                    <w:t>污水处理</w:t>
                  </w:r>
                  <w:r>
                    <w:rPr>
                      <w:rFonts w:hint="default" w:ascii="Times New Roman" w:hAnsi="Times New Roman" w:cs="Times New Roman"/>
                      <w:color w:val="auto"/>
                      <w:kern w:val="0"/>
                      <w:sz w:val="21"/>
                      <w:szCs w:val="21"/>
                      <w:lang w:val="en-US" w:eastAsia="zh-CN"/>
                    </w:rPr>
                    <w:t>站处理合格后</w:t>
                  </w:r>
                  <w:r>
                    <w:rPr>
                      <w:rFonts w:hint="default" w:ascii="Times New Roman" w:hAnsi="Times New Roman" w:cs="Times New Roman"/>
                      <w:color w:val="auto"/>
                      <w:kern w:val="0"/>
                      <w:sz w:val="21"/>
                      <w:szCs w:val="21"/>
                      <w:lang w:val="zh-CN"/>
                    </w:rPr>
                    <w:t>排入锦江</w:t>
                  </w:r>
                </w:p>
              </w:tc>
            </w:tr>
            <w:tr w14:paraId="2C4E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073" w:type="pct"/>
                  <w:vAlign w:val="center"/>
                </w:tcPr>
                <w:p w14:paraId="65382A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噪声</w:t>
                  </w:r>
                </w:p>
              </w:tc>
              <w:tc>
                <w:tcPr>
                  <w:tcW w:w="1947" w:type="pct"/>
                  <w:vAlign w:val="center"/>
                </w:tcPr>
                <w:p w14:paraId="2769CB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设备噪声</w:t>
                  </w:r>
                </w:p>
              </w:tc>
              <w:tc>
                <w:tcPr>
                  <w:tcW w:w="1978" w:type="pct"/>
                  <w:vAlign w:val="center"/>
                </w:tcPr>
                <w:p w14:paraId="46FA9D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隔声、消声、减振、绿化措施</w:t>
                  </w:r>
                </w:p>
              </w:tc>
            </w:tr>
            <w:tr w14:paraId="5F4A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73" w:type="pct"/>
                  <w:vMerge w:val="restart"/>
                  <w:vAlign w:val="center"/>
                </w:tcPr>
                <w:p w14:paraId="531966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固废</w:t>
                  </w:r>
                </w:p>
              </w:tc>
              <w:tc>
                <w:tcPr>
                  <w:tcW w:w="1947" w:type="pct"/>
                  <w:vAlign w:val="center"/>
                </w:tcPr>
                <w:p w14:paraId="6CE80E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一般固废暂存间</w:t>
                  </w:r>
                </w:p>
              </w:tc>
              <w:tc>
                <w:tcPr>
                  <w:tcW w:w="1978" w:type="pct"/>
                  <w:vAlign w:val="center"/>
                </w:tcPr>
                <w:p w14:paraId="0925108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中碎米其他成分、炉渣、废树脂、污泥、生活垃圾暂存于一般固废暂存间（50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kern w:val="0"/>
                      <w:sz w:val="21"/>
                      <w:szCs w:val="21"/>
                      <w:lang w:val="en-US" w:eastAsia="zh-CN"/>
                    </w:rPr>
                    <w:t>），中碎米其他成分、炉渣、污泥集中收集后外售，废树脂、脱色废活性炭集中收集后交由厂家回收。</w:t>
                  </w:r>
                </w:p>
              </w:tc>
            </w:tr>
            <w:tr w14:paraId="261A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73" w:type="pct"/>
                  <w:vMerge w:val="continue"/>
                  <w:vAlign w:val="center"/>
                </w:tcPr>
                <w:p w14:paraId="121EEC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1947" w:type="pct"/>
                  <w:vAlign w:val="center"/>
                </w:tcPr>
                <w:p w14:paraId="7E915F4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危险废物间</w:t>
                  </w:r>
                </w:p>
              </w:tc>
              <w:tc>
                <w:tcPr>
                  <w:tcW w:w="1978" w:type="pct"/>
                  <w:vAlign w:val="center"/>
                </w:tcPr>
                <w:p w14:paraId="73E10A5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实验室废液、实验室废试剂空瓶危险废物暂存间（50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kern w:val="0"/>
                      <w:sz w:val="21"/>
                      <w:szCs w:val="21"/>
                      <w:lang w:val="en-US" w:eastAsia="zh-CN"/>
                    </w:rPr>
                    <w:t>），集中收集后交由有资质单位处理。</w:t>
                  </w:r>
                </w:p>
              </w:tc>
            </w:tr>
          </w:tbl>
          <w:p w14:paraId="614E2DDB">
            <w:pPr>
              <w:keepNext w:val="0"/>
              <w:keepLines w:val="0"/>
              <w:pageBreakBefore/>
              <w:widowControl/>
              <w:numPr>
                <w:ilvl w:val="0"/>
                <w:numId w:val="0"/>
              </w:numPr>
              <w:suppressLineNumbers w:val="0"/>
              <w:spacing w:before="0" w:beforeLines="0" w:beforeAutospacing="0" w:after="0" w:afterLines="0" w:afterAutospacing="0"/>
              <w:ind w:left="480" w:leftChars="200" w:right="0" w:rightChars="0"/>
              <w:jc w:val="lef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4、现有项目污染物排放情况</w:t>
            </w:r>
          </w:p>
          <w:p w14:paraId="428ACFDF">
            <w:pPr>
              <w:keepNext w:val="0"/>
              <w:keepLines w:val="0"/>
              <w:pageBreakBefore/>
              <w:widowControl/>
              <w:numPr>
                <w:ilvl w:val="0"/>
                <w:numId w:val="0"/>
              </w:numPr>
              <w:suppressLineNumbers w:val="0"/>
              <w:spacing w:before="0" w:beforeLines="0" w:beforeAutospacing="0" w:after="0" w:afterLines="0" w:afterAutospacing="0"/>
              <w:ind w:left="480" w:leftChars="200" w:right="0" w:rightChars="0"/>
              <w:jc w:val="lef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现有项目废气产排放情况</w:t>
            </w:r>
          </w:p>
          <w:p w14:paraId="5B036541">
            <w:pPr>
              <w:pStyle w:val="37"/>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现有</w:t>
            </w:r>
            <w:r>
              <w:rPr>
                <w:rFonts w:hint="default" w:ascii="Times New Roman" w:hAnsi="Times New Roman" w:eastAsia="宋体" w:cs="Times New Roman"/>
                <w:color w:val="auto"/>
                <w:lang w:val="en-US" w:eastAsia="zh-CN"/>
              </w:rPr>
              <w:t>项目采用1台10</w:t>
            </w:r>
            <w:r>
              <w:rPr>
                <w:rFonts w:hint="eastAsia" w:ascii="Times New Roman" w:hAnsi="Times New Roman" w:cs="Times New Roman"/>
                <w:color w:val="auto"/>
                <w:lang w:val="en-US" w:eastAsia="zh-CN"/>
              </w:rPr>
              <w:t>t</w:t>
            </w:r>
            <w:r>
              <w:rPr>
                <w:rFonts w:hint="default" w:ascii="Times New Roman" w:hAnsi="Times New Roman" w:eastAsia="宋体" w:cs="Times New Roman"/>
                <w:color w:val="auto"/>
                <w:lang w:val="en-US" w:eastAsia="zh-CN"/>
              </w:rPr>
              <w:t>/h</w:t>
            </w:r>
            <w:r>
              <w:rPr>
                <w:rFonts w:hint="eastAsia" w:ascii="Times New Roman" w:hAnsi="Times New Roman" w:eastAsia="宋体" w:cs="Times New Roman"/>
                <w:color w:val="auto"/>
                <w:lang w:val="en-US" w:eastAsia="zh-CN"/>
              </w:rPr>
              <w:t>生物质</w:t>
            </w:r>
            <w:r>
              <w:rPr>
                <w:rFonts w:hint="default" w:ascii="Times New Roman" w:hAnsi="Times New Roman" w:eastAsia="宋体" w:cs="Times New Roman"/>
                <w:color w:val="auto"/>
                <w:lang w:val="en-US" w:eastAsia="zh-CN"/>
              </w:rPr>
              <w:t>锅炉提供蒸汽，</w:t>
            </w:r>
            <w:r>
              <w:rPr>
                <w:rFonts w:hint="default" w:ascii="Times New Roman" w:hAnsi="Times New Roman" w:cs="Times New Roman"/>
                <w:color w:val="auto"/>
                <w:lang w:val="en-US" w:eastAsia="zh-CN"/>
              </w:rPr>
              <w:t>高麦糖浆与果葡糖浆生产线</w:t>
            </w:r>
            <w:r>
              <w:rPr>
                <w:rFonts w:hint="default" w:ascii="Times New Roman" w:hAnsi="Times New Roman" w:eastAsia="宋体" w:cs="Times New Roman"/>
                <w:color w:val="auto"/>
                <w:lang w:val="en-US" w:eastAsia="zh-CN"/>
              </w:rPr>
              <w:t>投产后，该锅炉能满足生产的需要，锅炉年耗</w:t>
            </w:r>
            <w:r>
              <w:rPr>
                <w:rFonts w:hint="eastAsia" w:ascii="Times New Roman" w:hAnsi="Times New Roman" w:eastAsia="宋体" w:cs="Times New Roman"/>
                <w:color w:val="auto"/>
                <w:lang w:val="en-US" w:eastAsia="zh-CN"/>
              </w:rPr>
              <w:t>生物质</w:t>
            </w:r>
            <w:r>
              <w:rPr>
                <w:rFonts w:hint="eastAsia" w:ascii="Times New Roman" w:hAnsi="Times New Roman" w:eastAsia="宋体" w:cs="Times New Roman"/>
                <w:color w:val="auto"/>
                <w:sz w:val="24"/>
                <w:szCs w:val="24"/>
                <w:lang w:val="en-US" w:eastAsia="zh-CN"/>
              </w:rPr>
              <w:t>量为</w:t>
            </w:r>
            <w:r>
              <w:rPr>
                <w:rFonts w:hint="eastAsia" w:ascii="Times New Roman" w:hAnsi="Times New Roman" w:eastAsia="宋体" w:cs="Times New Roman"/>
                <w:color w:val="auto"/>
                <w:lang w:val="en-US" w:eastAsia="zh-CN"/>
              </w:rPr>
              <w:t>19200</w:t>
            </w:r>
            <w:r>
              <w:rPr>
                <w:rFonts w:hint="default" w:ascii="Times New Roman" w:hAnsi="Times New Roman" w:eastAsia="宋体" w:cs="Times New Roman"/>
                <w:color w:val="auto"/>
                <w:lang w:val="en-US" w:eastAsia="zh-CN"/>
              </w:rPr>
              <w:t>t</w:t>
            </w:r>
            <w:r>
              <w:rPr>
                <w:rFonts w:hint="default" w:ascii="Times New Roman" w:hAnsi="Times New Roman" w:eastAsia="宋体" w:cs="Times New Roman"/>
                <w:color w:val="auto"/>
                <w:sz w:val="24"/>
                <w:szCs w:val="24"/>
                <w:lang w:val="en-US" w:eastAsia="zh-CN"/>
              </w:rPr>
              <w:t>。参照《排放源统计调查产排污核算方法和系数手册》“4430工业锅炉（热力供应）行业系数手册”中“4430工业锅炉（热力生产和供应行业）产污系数表-生物质工业锅炉”</w:t>
            </w:r>
            <w:r>
              <w:rPr>
                <w:rFonts w:hint="eastAsia" w:ascii="Times New Roman" w:hAnsi="Times New Roman" w:eastAsia="宋体" w:cs="Times New Roman"/>
                <w:color w:val="auto"/>
                <w:sz w:val="24"/>
                <w:szCs w:val="24"/>
                <w:lang w:val="en-US" w:eastAsia="zh-CN"/>
              </w:rPr>
              <w:t>，颗粒物</w:t>
            </w:r>
            <w:r>
              <w:rPr>
                <w:rFonts w:hint="default" w:ascii="Times New Roman" w:hAnsi="Times New Roman" w:eastAsia="宋体" w:cs="Times New Roman"/>
                <w:color w:val="auto"/>
                <w:sz w:val="24"/>
                <w:szCs w:val="24"/>
                <w:lang w:val="en-US" w:eastAsia="zh-CN"/>
              </w:rPr>
              <w:t>产生</w:t>
            </w:r>
            <w:r>
              <w:rPr>
                <w:rFonts w:hint="eastAsia" w:ascii="Times New Roman" w:hAnsi="Times New Roman" w:eastAsia="宋体" w:cs="Times New Roman"/>
                <w:color w:val="auto"/>
                <w:sz w:val="24"/>
                <w:szCs w:val="24"/>
                <w:lang w:val="en-US" w:eastAsia="zh-CN"/>
              </w:rPr>
              <w:t>系数为0.5</w:t>
            </w:r>
            <w:r>
              <w:rPr>
                <w:rFonts w:hint="default" w:ascii="Times New Roman" w:hAnsi="Times New Roman" w:eastAsia="宋体" w:cs="Times New Roman"/>
                <w:color w:val="auto"/>
                <w:sz w:val="24"/>
                <w:szCs w:val="24"/>
                <w:lang w:val="en-US" w:eastAsia="zh-CN"/>
              </w:rPr>
              <w:t>千克/吨-原料</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SO₂产生</w:t>
            </w:r>
            <w:r>
              <w:rPr>
                <w:rFonts w:hint="eastAsia" w:ascii="Times New Roman" w:hAnsi="Times New Roman" w:eastAsia="宋体" w:cs="Times New Roman"/>
                <w:color w:val="auto"/>
                <w:sz w:val="24"/>
                <w:szCs w:val="24"/>
                <w:lang w:val="en-US" w:eastAsia="zh-CN"/>
              </w:rPr>
              <w:t>系数</w:t>
            </w:r>
            <w:r>
              <w:rPr>
                <w:rFonts w:hint="eastAsia" w:ascii="Times New Roman" w:hAnsi="Times New Roman" w:eastAsia="宋体" w:cs="Times New Roman"/>
                <w:color w:val="auto"/>
                <w:sz w:val="24"/>
                <w:szCs w:val="24"/>
                <w:highlight w:val="none"/>
                <w:vertAlign w:val="baseline"/>
                <w:lang w:val="en-US" w:eastAsia="zh-CN"/>
              </w:rPr>
              <w:t>为17S（S=0.02）</w:t>
            </w:r>
            <w:r>
              <w:rPr>
                <w:rFonts w:hint="default"/>
                <w:color w:val="auto"/>
              </w:rPr>
              <w:t>千克/吨-原料</w:t>
            </w:r>
            <w:r>
              <w:rPr>
                <w:rFonts w:hint="eastAsia"/>
                <w:color w:val="auto"/>
                <w:lang w:eastAsia="zh-CN"/>
              </w:rPr>
              <w:t>、</w:t>
            </w:r>
            <w:r>
              <w:rPr>
                <w:rFonts w:hint="default" w:ascii="Times New Roman" w:hAnsi="Times New Roman" w:eastAsia="宋体" w:cs="Times New Roman"/>
                <w:color w:val="auto"/>
                <w:sz w:val="24"/>
                <w:szCs w:val="24"/>
                <w:highlight w:val="none"/>
                <w:lang w:val="en-US" w:eastAsia="zh-CN"/>
              </w:rPr>
              <w:t>NO</w:t>
            </w:r>
            <w:r>
              <w:rPr>
                <w:rFonts w:hint="default" w:ascii="Times New Roman" w:hAnsi="Times New Roman" w:eastAsia="宋体" w:cs="Times New Roman"/>
                <w:color w:val="auto"/>
                <w:sz w:val="24"/>
                <w:szCs w:val="24"/>
                <w:highlight w:val="none"/>
                <w:vertAlign w:val="subscript"/>
                <w:lang w:val="en-US" w:eastAsia="zh-CN"/>
              </w:rPr>
              <w:t>X</w:t>
            </w:r>
            <w:r>
              <w:rPr>
                <w:rFonts w:hint="default" w:ascii="Times New Roman" w:hAnsi="Times New Roman" w:eastAsia="宋体" w:cs="Times New Roman"/>
                <w:color w:val="auto"/>
                <w:sz w:val="24"/>
                <w:szCs w:val="24"/>
                <w:highlight w:val="none"/>
                <w:vertAlign w:val="baseline"/>
                <w:lang w:val="en-US" w:eastAsia="zh-CN"/>
              </w:rPr>
              <w:t>产生</w:t>
            </w:r>
            <w:r>
              <w:rPr>
                <w:rFonts w:hint="eastAsia" w:ascii="Times New Roman" w:hAnsi="Times New Roman" w:eastAsia="宋体" w:cs="Times New Roman"/>
                <w:color w:val="auto"/>
                <w:sz w:val="24"/>
                <w:szCs w:val="24"/>
                <w:highlight w:val="none"/>
                <w:vertAlign w:val="baseline"/>
                <w:lang w:val="en-US" w:eastAsia="zh-CN"/>
              </w:rPr>
              <w:t>系数为1.02</w:t>
            </w:r>
            <w:r>
              <w:rPr>
                <w:rFonts w:hint="default"/>
                <w:color w:val="auto"/>
              </w:rPr>
              <w:t>千克/吨-原料</w:t>
            </w:r>
            <w:r>
              <w:rPr>
                <w:rFonts w:hint="eastAsia"/>
                <w:color w:val="auto"/>
                <w:lang w:eastAsia="zh-CN"/>
              </w:rPr>
              <w:t>、</w:t>
            </w:r>
            <w:r>
              <w:rPr>
                <w:rFonts w:hint="eastAsia" w:ascii="Times New Roman" w:hAnsi="Times New Roman" w:cs="Times New Roman"/>
                <w:color w:val="auto"/>
                <w:lang w:eastAsia="zh-CN"/>
              </w:rPr>
              <w:t>工业废气量产生系数为</w:t>
            </w:r>
            <w:r>
              <w:rPr>
                <w:rFonts w:hint="default" w:ascii="Times New Roman" w:hAnsi="Times New Roman" w:cs="Times New Roman"/>
                <w:color w:val="auto"/>
                <w:lang w:val="en-US" w:eastAsia="zh-CN"/>
              </w:rPr>
              <w:t>6240</w:t>
            </w:r>
            <w:r>
              <w:rPr>
                <w:rFonts w:hint="default" w:ascii="Times New Roman" w:hAnsi="Times New Roman" w:cs="Times New Roman"/>
                <w:color w:val="auto"/>
              </w:rPr>
              <w:t>标立方米/吨-原料</w:t>
            </w:r>
            <w:r>
              <w:rPr>
                <w:rFonts w:hint="default" w:ascii="Times New Roman" w:hAnsi="Times New Roman" w:eastAsia="宋体" w:cs="Times New Roman"/>
                <w:color w:val="auto"/>
                <w:sz w:val="24"/>
                <w:szCs w:val="24"/>
                <w:highlight w:val="none"/>
                <w:vertAlign w:val="baseline"/>
                <w:lang w:val="en-US" w:eastAsia="zh-CN"/>
              </w:rPr>
              <w:t>，烟气量为119808000</w:t>
            </w:r>
            <w:r>
              <w:rPr>
                <w:rFonts w:hint="default" w:ascii="Times New Roman" w:hAnsi="Times New Roman" w:cs="Times New Roman"/>
                <w:color w:val="auto"/>
              </w:rPr>
              <w:t>标立方米</w:t>
            </w:r>
            <w:r>
              <w:rPr>
                <w:rFonts w:hint="eastAsia" w:ascii="Times New Roman" w:hAnsi="Times New Roman" w:cs="Times New Roman"/>
                <w:color w:val="auto"/>
                <w:lang w:eastAsia="zh-CN"/>
              </w:rPr>
              <w:t>，</w:t>
            </w:r>
            <w:r>
              <w:rPr>
                <w:rFonts w:hint="eastAsia" w:ascii="Times New Roman" w:hAnsi="Times New Roman" w:eastAsia="宋体" w:cs="Times New Roman"/>
                <w:color w:val="auto"/>
                <w:lang w:val="en-US" w:eastAsia="zh-CN"/>
              </w:rPr>
              <w:t>项目锅炉烟气采用</w:t>
            </w:r>
            <w:r>
              <w:rPr>
                <w:rFonts w:hint="eastAsia" w:ascii="Times New Roman" w:hAnsi="Times New Roman" w:cs="Times New Roman"/>
                <w:color w:val="auto"/>
                <w:lang w:val="en-US" w:eastAsia="zh-CN"/>
              </w:rPr>
              <w:t>布袋</w:t>
            </w:r>
            <w:r>
              <w:rPr>
                <w:rFonts w:hint="default" w:ascii="Times New Roman" w:hAnsi="Times New Roman" w:eastAsia="宋体" w:cs="Times New Roman"/>
                <w:color w:val="auto"/>
                <w:lang w:val="en-US" w:eastAsia="zh-CN"/>
              </w:rPr>
              <w:t>除尘器</w:t>
            </w:r>
            <w:r>
              <w:rPr>
                <w:rFonts w:hint="eastAsia" w:ascii="Times New Roman" w:hAnsi="Times New Roman" w:eastAsia="宋体" w:cs="Times New Roman"/>
                <w:color w:val="auto"/>
                <w:lang w:val="en-US" w:eastAsia="zh-CN"/>
              </w:rPr>
              <w:t>处理</w:t>
            </w:r>
            <w:r>
              <w:rPr>
                <w:rFonts w:hint="eastAsia" w:ascii="Times New Roman" w:hAnsi="Times New Roman" w:cs="Times New Roman"/>
                <w:color w:val="auto"/>
                <w:lang w:val="en-US" w:eastAsia="zh-CN"/>
              </w:rPr>
              <w:t>，颗粒物处理效率以99%计</w:t>
            </w:r>
            <w:r>
              <w:rPr>
                <w:rFonts w:hint="default" w:ascii="Times New Roman" w:hAnsi="Times New Roman" w:eastAsia="宋体" w:cs="Times New Roman"/>
                <w:color w:val="auto"/>
                <w:lang w:val="en-US" w:eastAsia="zh-CN"/>
              </w:rPr>
              <w:t>。原有项目锅炉废气排放情况见下表。</w:t>
            </w:r>
          </w:p>
          <w:p w14:paraId="3A33EE8D">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废气污染物排放情况表</w:t>
            </w:r>
          </w:p>
          <w:p w14:paraId="695B0A59">
            <w:pPr>
              <w:keepNext w:val="0"/>
              <w:keepLines w:val="0"/>
              <w:suppressLineNumbers w:val="0"/>
              <w:spacing w:before="0" w:beforeAutospacing="0" w:after="0" w:afterAutospacing="0" w:line="30" w:lineRule="exact"/>
              <w:ind w:left="0" w:right="0"/>
              <w:rPr>
                <w:rFonts w:hint="default" w:ascii="Times New Roman" w:hAnsi="Times New Roman" w:cs="Times New Roman"/>
                <w:color w:val="auto"/>
              </w:rPr>
            </w:pPr>
          </w:p>
          <w:tbl>
            <w:tblPr>
              <w:tblStyle w:val="116"/>
              <w:tblW w:w="7498" w:type="dxa"/>
              <w:tblInd w:w="1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5"/>
              <w:gridCol w:w="854"/>
              <w:gridCol w:w="776"/>
              <w:gridCol w:w="574"/>
              <w:gridCol w:w="574"/>
              <w:gridCol w:w="574"/>
              <w:gridCol w:w="574"/>
              <w:gridCol w:w="574"/>
              <w:gridCol w:w="574"/>
              <w:gridCol w:w="580"/>
              <w:gridCol w:w="929"/>
            </w:tblGrid>
            <w:tr w14:paraId="05581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15" w:type="dxa"/>
                  <w:vMerge w:val="restart"/>
                  <w:tcBorders>
                    <w:bottom w:val="nil"/>
                  </w:tcBorders>
                  <w:vAlign w:val="center"/>
                </w:tcPr>
                <w:p w14:paraId="1D0E47BA">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废气</w:t>
                  </w:r>
                </w:p>
                <w:p w14:paraId="19D2EDC6">
                  <w:pPr>
                    <w:pStyle w:val="61"/>
                    <w:bidi w:val="0"/>
                    <w:jc w:val="center"/>
                    <w:rPr>
                      <w:rFonts w:hint="default" w:ascii="Times New Roman" w:hAnsi="Times New Roman" w:cs="Times New Roman"/>
                      <w:color w:val="auto"/>
                    </w:rPr>
                  </w:pPr>
                  <w:r>
                    <w:rPr>
                      <w:rFonts w:hint="default" w:ascii="Times New Roman" w:hAnsi="Times New Roman" w:cs="Times New Roman"/>
                      <w:color w:val="auto"/>
                    </w:rPr>
                    <w:t>名称</w:t>
                  </w:r>
                </w:p>
              </w:tc>
              <w:tc>
                <w:tcPr>
                  <w:tcW w:w="854" w:type="dxa"/>
                  <w:vMerge w:val="restart"/>
                  <w:tcBorders>
                    <w:bottom w:val="nil"/>
                  </w:tcBorders>
                  <w:vAlign w:val="center"/>
                </w:tcPr>
                <w:p w14:paraId="0B78C162">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烟气量</w:t>
                  </w:r>
                </w:p>
                <w:p w14:paraId="37808F15">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h</w:t>
                  </w:r>
                  <w:r>
                    <w:rPr>
                      <w:rFonts w:hint="eastAsia" w:cs="Times New Roman"/>
                      <w:color w:val="auto"/>
                      <w:lang w:eastAsia="zh-CN"/>
                    </w:rPr>
                    <w:t>)</w:t>
                  </w:r>
                </w:p>
              </w:tc>
              <w:tc>
                <w:tcPr>
                  <w:tcW w:w="5729" w:type="dxa"/>
                  <w:gridSpan w:val="9"/>
                  <w:vAlign w:val="center"/>
                </w:tcPr>
                <w:p w14:paraId="3269981D">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污染物排放情况</w:t>
                  </w:r>
                </w:p>
              </w:tc>
            </w:tr>
            <w:tr w14:paraId="74C0E7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rPr>
              <w:tc>
                <w:tcPr>
                  <w:tcW w:w="915" w:type="dxa"/>
                  <w:vMerge w:val="continue"/>
                  <w:tcBorders>
                    <w:top w:val="nil"/>
                    <w:bottom w:val="nil"/>
                  </w:tcBorders>
                  <w:vAlign w:val="center"/>
                </w:tcPr>
                <w:p w14:paraId="47904171">
                  <w:pPr>
                    <w:pStyle w:val="61"/>
                    <w:bidi w:val="0"/>
                    <w:jc w:val="center"/>
                    <w:rPr>
                      <w:rFonts w:hint="default" w:ascii="Times New Roman" w:hAnsi="Times New Roman" w:cs="Times New Roman"/>
                      <w:color w:val="auto"/>
                    </w:rPr>
                  </w:pPr>
                </w:p>
              </w:tc>
              <w:tc>
                <w:tcPr>
                  <w:tcW w:w="854" w:type="dxa"/>
                  <w:vMerge w:val="continue"/>
                  <w:tcBorders>
                    <w:top w:val="nil"/>
                    <w:bottom w:val="nil"/>
                  </w:tcBorders>
                  <w:vAlign w:val="center"/>
                </w:tcPr>
                <w:p w14:paraId="4C323E17">
                  <w:pPr>
                    <w:pStyle w:val="61"/>
                    <w:bidi w:val="0"/>
                    <w:jc w:val="center"/>
                    <w:rPr>
                      <w:rFonts w:hint="default" w:ascii="Times New Roman" w:hAnsi="Times New Roman" w:cs="Times New Roman"/>
                      <w:color w:val="auto"/>
                    </w:rPr>
                  </w:pPr>
                </w:p>
              </w:tc>
              <w:tc>
                <w:tcPr>
                  <w:tcW w:w="776" w:type="dxa"/>
                  <w:tcBorders>
                    <w:bottom w:val="nil"/>
                  </w:tcBorders>
                  <w:vAlign w:val="center"/>
                </w:tcPr>
                <w:p w14:paraId="0FA8FEDE">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污染物名称</w:t>
                  </w:r>
                </w:p>
              </w:tc>
              <w:tc>
                <w:tcPr>
                  <w:tcW w:w="574" w:type="dxa"/>
                  <w:tcBorders>
                    <w:bottom w:val="nil"/>
                  </w:tcBorders>
                  <w:vAlign w:val="center"/>
                </w:tcPr>
                <w:p w14:paraId="5CEF5F48">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7FC35991">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43319409">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排放</w:t>
                  </w:r>
                  <w:r>
                    <w:rPr>
                      <w:rFonts w:hint="eastAsia" w:cs="Times New Roman"/>
                      <w:color w:val="auto"/>
                      <w:lang w:val="en-US" w:eastAsia="zh-CN"/>
                    </w:rPr>
                    <w:t>速率</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74" w:type="dxa"/>
                  <w:vAlign w:val="center"/>
                </w:tcPr>
                <w:p w14:paraId="2D4BC2CE">
                  <w:pPr>
                    <w:pStyle w:val="61"/>
                    <w:bidi w:val="0"/>
                    <w:jc w:val="both"/>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574" w:type="dxa"/>
                  <w:vAlign w:val="center"/>
                </w:tcPr>
                <w:p w14:paraId="5DE88CB1">
                  <w:pPr>
                    <w:pStyle w:val="61"/>
                    <w:bidi w:val="0"/>
                    <w:jc w:val="center"/>
                    <w:rPr>
                      <w:rFonts w:hint="default" w:ascii="Times New Roman" w:hAnsi="Times New Roman" w:cs="Times New Roman"/>
                      <w:color w:val="auto"/>
                    </w:rPr>
                  </w:pPr>
                  <w:r>
                    <w:rPr>
                      <w:rFonts w:hint="default" w:ascii="Times New Roman" w:hAnsi="Times New Roman" w:cs="Times New Roman"/>
                      <w:color w:val="auto"/>
                    </w:rPr>
                    <w:t>处理</w:t>
                  </w:r>
                </w:p>
                <w:p w14:paraId="09C40943">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效率</w:t>
                  </w:r>
                </w:p>
              </w:tc>
              <w:tc>
                <w:tcPr>
                  <w:tcW w:w="574" w:type="dxa"/>
                  <w:tcBorders>
                    <w:bottom w:val="nil"/>
                  </w:tcBorders>
                  <w:vAlign w:val="center"/>
                </w:tcPr>
                <w:p w14:paraId="65733CB0">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6199C8BB">
                  <w:pPr>
                    <w:pStyle w:val="61"/>
                    <w:bidi w:val="0"/>
                    <w:ind w:firstLine="0" w:firstLineChars="0"/>
                    <w:jc w:val="center"/>
                    <w:rPr>
                      <w:rFonts w:hint="default" w:ascii="Times New Roman" w:hAnsi="Times New Roman" w:cs="Times New Roman"/>
                      <w:color w:val="auto"/>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2589A504">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 xml:space="preserve">排放浓度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80" w:type="dxa"/>
                  <w:tcBorders>
                    <w:bottom w:val="nil"/>
                  </w:tcBorders>
                  <w:vAlign w:val="center"/>
                </w:tcPr>
                <w:p w14:paraId="1D024AE7">
                  <w:pPr>
                    <w:pStyle w:val="61"/>
                    <w:bidi w:val="0"/>
                    <w:ind w:firstLine="0" w:firstLineChars="0"/>
                    <w:jc w:val="both"/>
                    <w:rPr>
                      <w:rFonts w:hint="default" w:ascii="Times New Roman" w:hAnsi="Times New Roman" w:cs="Times New Roman"/>
                      <w:color w:val="auto"/>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929" w:type="dxa"/>
                  <w:tcBorders>
                    <w:bottom w:val="nil"/>
                  </w:tcBorders>
                  <w:vAlign w:val="center"/>
                </w:tcPr>
                <w:p w14:paraId="19C20476">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排放标准 </w:t>
                  </w:r>
                  <w:r>
                    <w:rPr>
                      <w:rFonts w:hint="default" w:ascii="Times New Roman" w:hAnsi="Times New Roman"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eastAsia="zh-CN"/>
                    </w:rPr>
                    <w:t>）</w:t>
                  </w:r>
                </w:p>
              </w:tc>
            </w:tr>
            <w:tr w14:paraId="13879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15" w:type="dxa"/>
                  <w:vMerge w:val="restart"/>
                  <w:vAlign w:val="center"/>
                </w:tcPr>
                <w:p w14:paraId="5BCBF01E">
                  <w:pPr>
                    <w:pStyle w:val="61"/>
                    <w:bidi w:val="0"/>
                    <w:jc w:val="center"/>
                    <w:rPr>
                      <w:rFonts w:hint="default" w:ascii="Times New Roman" w:hAnsi="Times New Roman" w:cs="Times New Roman"/>
                      <w:color w:val="auto"/>
                    </w:rPr>
                  </w:pPr>
                  <w:r>
                    <w:rPr>
                      <w:rFonts w:hint="default" w:ascii="Times New Roman" w:hAnsi="Times New Roman" w:cs="Times New Roman"/>
                      <w:color w:val="auto"/>
                    </w:rPr>
                    <w:t>锅炉烟气</w:t>
                  </w:r>
                </w:p>
              </w:tc>
              <w:tc>
                <w:tcPr>
                  <w:tcW w:w="854" w:type="dxa"/>
                  <w:vMerge w:val="restart"/>
                  <w:vAlign w:val="center"/>
                </w:tcPr>
                <w:p w14:paraId="5FB94EB6">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15600</w:t>
                  </w:r>
                </w:p>
              </w:tc>
              <w:tc>
                <w:tcPr>
                  <w:tcW w:w="776" w:type="dxa"/>
                  <w:vAlign w:val="center"/>
                </w:tcPr>
                <w:p w14:paraId="2FBDBF99">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烟尘</w:t>
                  </w:r>
                </w:p>
              </w:tc>
              <w:tc>
                <w:tcPr>
                  <w:tcW w:w="574" w:type="dxa"/>
                  <w:vAlign w:val="center"/>
                </w:tcPr>
                <w:p w14:paraId="26D6B1B1">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w:t>
                  </w:r>
                </w:p>
              </w:tc>
              <w:tc>
                <w:tcPr>
                  <w:tcW w:w="574" w:type="dxa"/>
                  <w:vAlign w:val="center"/>
                </w:tcPr>
                <w:p w14:paraId="58E6D7EE">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1.25</w:t>
                  </w:r>
                </w:p>
              </w:tc>
              <w:tc>
                <w:tcPr>
                  <w:tcW w:w="574" w:type="dxa"/>
                  <w:vAlign w:val="center"/>
                </w:tcPr>
                <w:p w14:paraId="196B719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9.6</w:t>
                  </w:r>
                </w:p>
              </w:tc>
              <w:tc>
                <w:tcPr>
                  <w:tcW w:w="574" w:type="dxa"/>
                  <w:vAlign w:val="center"/>
                </w:tcPr>
                <w:p w14:paraId="24AF0866">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r>
                    <w:rPr>
                      <w:rFonts w:hint="eastAsia" w:ascii="Times New Roman" w:hAnsi="Times New Roman" w:eastAsia="宋体" w:cs="Times New Roman"/>
                      <w:color w:val="auto"/>
                      <w:lang w:val="en-US" w:eastAsia="zh-CN"/>
                    </w:rPr>
                    <w:t>9</w:t>
                  </w:r>
                </w:p>
              </w:tc>
              <w:tc>
                <w:tcPr>
                  <w:tcW w:w="574" w:type="dxa"/>
                  <w:vAlign w:val="center"/>
                </w:tcPr>
                <w:p w14:paraId="086750D4">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w:t>
                  </w:r>
                </w:p>
              </w:tc>
              <w:tc>
                <w:tcPr>
                  <w:tcW w:w="574" w:type="dxa"/>
                  <w:vAlign w:val="center"/>
                </w:tcPr>
                <w:p w14:paraId="144D7F3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w:t>
                  </w:r>
                  <w:r>
                    <w:rPr>
                      <w:rFonts w:hint="eastAsia" w:cs="Times New Roman"/>
                      <w:color w:val="auto"/>
                      <w:lang w:val="en-US" w:eastAsia="zh-CN"/>
                    </w:rPr>
                    <w:t>3</w:t>
                  </w:r>
                </w:p>
              </w:tc>
              <w:tc>
                <w:tcPr>
                  <w:tcW w:w="580" w:type="dxa"/>
                  <w:vAlign w:val="center"/>
                </w:tcPr>
                <w:p w14:paraId="5CCA1EA2">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0.09</w:t>
                  </w:r>
                  <w:r>
                    <w:rPr>
                      <w:rFonts w:hint="eastAsia" w:cs="Times New Roman"/>
                      <w:color w:val="auto"/>
                      <w:lang w:val="en-US" w:eastAsia="zh-CN"/>
                    </w:rPr>
                    <w:t>6</w:t>
                  </w:r>
                </w:p>
              </w:tc>
              <w:tc>
                <w:tcPr>
                  <w:tcW w:w="929" w:type="dxa"/>
                  <w:vAlign w:val="center"/>
                </w:tcPr>
                <w:p w14:paraId="789468DC">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w:t>
                  </w:r>
                </w:p>
              </w:tc>
            </w:tr>
            <w:tr w14:paraId="7332D2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2" w:hRule="atLeast"/>
              </w:trPr>
              <w:tc>
                <w:tcPr>
                  <w:tcW w:w="915" w:type="dxa"/>
                  <w:vMerge w:val="continue"/>
                  <w:vAlign w:val="center"/>
                </w:tcPr>
                <w:p w14:paraId="0F151956">
                  <w:pPr>
                    <w:pStyle w:val="61"/>
                    <w:bidi w:val="0"/>
                    <w:jc w:val="center"/>
                    <w:rPr>
                      <w:rFonts w:hint="default" w:ascii="Times New Roman" w:hAnsi="Times New Roman" w:cs="Times New Roman"/>
                      <w:color w:val="auto"/>
                    </w:rPr>
                  </w:pPr>
                </w:p>
              </w:tc>
              <w:tc>
                <w:tcPr>
                  <w:tcW w:w="854" w:type="dxa"/>
                  <w:vMerge w:val="continue"/>
                  <w:vAlign w:val="center"/>
                </w:tcPr>
                <w:p w14:paraId="11B2B5F9">
                  <w:pPr>
                    <w:pStyle w:val="61"/>
                    <w:bidi w:val="0"/>
                    <w:jc w:val="center"/>
                    <w:rPr>
                      <w:rFonts w:hint="default" w:ascii="Times New Roman" w:hAnsi="Times New Roman" w:cs="Times New Roman"/>
                      <w:color w:val="auto"/>
                    </w:rPr>
                  </w:pPr>
                </w:p>
              </w:tc>
              <w:tc>
                <w:tcPr>
                  <w:tcW w:w="776" w:type="dxa"/>
                  <w:vAlign w:val="center"/>
                </w:tcPr>
                <w:p w14:paraId="76102FF6">
                  <w:pPr>
                    <w:pStyle w:val="61"/>
                    <w:bidi w:val="0"/>
                    <w:jc w:val="center"/>
                    <w:rPr>
                      <w:rFonts w:hint="default" w:ascii="Times New Roman" w:hAnsi="Times New Roman" w:cs="Times New Roman"/>
                      <w:color w:val="auto"/>
                    </w:rPr>
                  </w:pPr>
                  <w:r>
                    <w:rPr>
                      <w:rFonts w:hint="default" w:ascii="Times New Roman" w:hAnsi="Times New Roman" w:cs="Times New Roman"/>
                      <w:color w:val="auto"/>
                    </w:rPr>
                    <w:t>SO₂</w:t>
                  </w:r>
                </w:p>
              </w:tc>
              <w:tc>
                <w:tcPr>
                  <w:tcW w:w="574" w:type="dxa"/>
                  <w:vAlign w:val="center"/>
                </w:tcPr>
                <w:p w14:paraId="0DBFDEE7">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574" w:type="dxa"/>
                  <w:vAlign w:val="center"/>
                </w:tcPr>
                <w:p w14:paraId="04F44F8D">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0.85</w:t>
                  </w:r>
                </w:p>
              </w:tc>
              <w:tc>
                <w:tcPr>
                  <w:tcW w:w="574" w:type="dxa"/>
                  <w:vAlign w:val="center"/>
                </w:tcPr>
                <w:p w14:paraId="666BC32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6.5</w:t>
                  </w:r>
                  <w:r>
                    <w:rPr>
                      <w:rFonts w:hint="eastAsia" w:cs="Times New Roman"/>
                      <w:color w:val="auto"/>
                      <w:lang w:val="en-US" w:eastAsia="zh-CN"/>
                    </w:rPr>
                    <w:t>3</w:t>
                  </w:r>
                </w:p>
              </w:tc>
              <w:tc>
                <w:tcPr>
                  <w:tcW w:w="574" w:type="dxa"/>
                  <w:vAlign w:val="center"/>
                </w:tcPr>
                <w:p w14:paraId="168C26BE">
                  <w:pPr>
                    <w:pStyle w:val="61"/>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c>
                <w:tcPr>
                  <w:tcW w:w="574" w:type="dxa"/>
                  <w:vAlign w:val="center"/>
                </w:tcPr>
                <w:p w14:paraId="69C6D2D4">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574" w:type="dxa"/>
                  <w:vAlign w:val="center"/>
                </w:tcPr>
                <w:p w14:paraId="59A43320">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0.85</w:t>
                  </w:r>
                </w:p>
              </w:tc>
              <w:tc>
                <w:tcPr>
                  <w:tcW w:w="580" w:type="dxa"/>
                  <w:vAlign w:val="center"/>
                </w:tcPr>
                <w:p w14:paraId="63AE024B">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6.5</w:t>
                  </w:r>
                  <w:r>
                    <w:rPr>
                      <w:rFonts w:hint="eastAsia" w:cs="Times New Roman"/>
                      <w:color w:val="auto"/>
                      <w:lang w:val="en-US" w:eastAsia="zh-CN"/>
                    </w:rPr>
                    <w:t>3</w:t>
                  </w:r>
                </w:p>
              </w:tc>
              <w:tc>
                <w:tcPr>
                  <w:tcW w:w="929" w:type="dxa"/>
                  <w:vAlign w:val="center"/>
                </w:tcPr>
                <w:p w14:paraId="6C624964">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r w14:paraId="21F6A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15" w:type="dxa"/>
                  <w:vMerge w:val="continue"/>
                  <w:vAlign w:val="center"/>
                </w:tcPr>
                <w:p w14:paraId="5CC9513E">
                  <w:pPr>
                    <w:pStyle w:val="61"/>
                    <w:bidi w:val="0"/>
                    <w:jc w:val="center"/>
                    <w:rPr>
                      <w:rFonts w:hint="default" w:ascii="Times New Roman" w:hAnsi="Times New Roman" w:cs="Times New Roman"/>
                      <w:color w:val="auto"/>
                    </w:rPr>
                  </w:pPr>
                </w:p>
              </w:tc>
              <w:tc>
                <w:tcPr>
                  <w:tcW w:w="854" w:type="dxa"/>
                  <w:vMerge w:val="continue"/>
                  <w:vAlign w:val="center"/>
                </w:tcPr>
                <w:p w14:paraId="2E087B09">
                  <w:pPr>
                    <w:pStyle w:val="61"/>
                    <w:bidi w:val="0"/>
                    <w:jc w:val="center"/>
                    <w:rPr>
                      <w:rFonts w:hint="default" w:ascii="Times New Roman" w:hAnsi="Times New Roman" w:cs="Times New Roman"/>
                      <w:color w:val="auto"/>
                    </w:rPr>
                  </w:pPr>
                </w:p>
              </w:tc>
              <w:tc>
                <w:tcPr>
                  <w:tcW w:w="776" w:type="dxa"/>
                  <w:vAlign w:val="center"/>
                </w:tcPr>
                <w:p w14:paraId="5BC86667">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NOx</w:t>
                  </w:r>
                </w:p>
              </w:tc>
              <w:tc>
                <w:tcPr>
                  <w:tcW w:w="574" w:type="dxa"/>
                  <w:vAlign w:val="center"/>
                </w:tcPr>
                <w:p w14:paraId="7CE6164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42E63B4C">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2.55</w:t>
                  </w:r>
                </w:p>
              </w:tc>
              <w:tc>
                <w:tcPr>
                  <w:tcW w:w="574" w:type="dxa"/>
                  <w:vAlign w:val="center"/>
                </w:tcPr>
                <w:p w14:paraId="0ACF3298">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19.58</w:t>
                  </w:r>
                </w:p>
              </w:tc>
              <w:tc>
                <w:tcPr>
                  <w:tcW w:w="574" w:type="dxa"/>
                  <w:vAlign w:val="center"/>
                </w:tcPr>
                <w:p w14:paraId="7E9A6E7B">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4" w:type="dxa"/>
                  <w:vAlign w:val="center"/>
                </w:tcPr>
                <w:p w14:paraId="5C1D2184">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1324D885">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2.55</w:t>
                  </w:r>
                </w:p>
              </w:tc>
              <w:tc>
                <w:tcPr>
                  <w:tcW w:w="580" w:type="dxa"/>
                  <w:vAlign w:val="center"/>
                </w:tcPr>
                <w:p w14:paraId="416584EF">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19.58</w:t>
                  </w:r>
                </w:p>
              </w:tc>
              <w:tc>
                <w:tcPr>
                  <w:tcW w:w="929" w:type="dxa"/>
                  <w:vAlign w:val="center"/>
                </w:tcPr>
                <w:p w14:paraId="722EEE45">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bl>
          <w:p w14:paraId="04C4E8D2">
            <w:pPr>
              <w:keepNext w:val="0"/>
              <w:keepLines w:val="0"/>
              <w:pageBreakBefore/>
              <w:widowControl/>
              <w:numPr>
                <w:ilvl w:val="0"/>
                <w:numId w:val="0"/>
              </w:numPr>
              <w:suppressLineNumbers w:val="0"/>
              <w:spacing w:before="0" w:beforeLines="0" w:beforeAutospacing="0" w:after="0" w:afterLines="0" w:afterAutospacing="0"/>
              <w:ind w:left="480" w:leftChars="200" w:right="0" w:rightChars="0"/>
              <w:jc w:val="lef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现有项目废水产排放情况</w:t>
            </w:r>
          </w:p>
          <w:p w14:paraId="0F8D754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洗米废水：洗米用水量为</w:t>
            </w:r>
            <w:r>
              <w:rPr>
                <w:rFonts w:hint="eastAsia" w:cs="Times New Roman"/>
                <w:color w:val="auto"/>
                <w:sz w:val="24"/>
                <w:szCs w:val="24"/>
                <w:lang w:val="en-US" w:eastAsia="zh-CN"/>
              </w:rPr>
              <w:t>1951.11</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624355.6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/a，洗米废水产生量为17</w:t>
            </w:r>
            <w:r>
              <w:rPr>
                <w:rFonts w:hint="eastAsia" w:cs="Times New Roman"/>
                <w:color w:val="auto"/>
                <w:sz w:val="24"/>
                <w:szCs w:val="24"/>
                <w:lang w:val="en-US" w:eastAsia="zh-CN"/>
              </w:rPr>
              <w:t>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561920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7381E70D">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洗桶（罐）、洗滤布废水：洗桶（罐）、洗滤布用水量为14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/d，4480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/a，洗桶（罐）、洗滤布废水产生量为12.6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/d，4032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5C00912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树脂再生废水：树脂再生用水量为50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/d，16000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/a，树脂再生废水产生量为45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/d、14400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177C0CA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地面冲洗水：地面冲洗水用水量为5.56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/d，1779.2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地面冲洗废水产生量为</w:t>
            </w:r>
            <w:r>
              <w:rPr>
                <w:rFonts w:hint="eastAsia" w:cs="Times New Roman"/>
                <w:color w:val="auto"/>
                <w:sz w:val="24"/>
                <w:szCs w:val="24"/>
                <w:lang w:val="en-US" w:eastAsia="zh-CN"/>
              </w:rPr>
              <w:t>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w:t>
            </w:r>
            <w:r>
              <w:rPr>
                <w:rFonts w:hint="eastAsia" w:cs="Times New Roman"/>
                <w:color w:val="auto"/>
                <w:sz w:val="24"/>
                <w:szCs w:val="24"/>
                <w:lang w:val="en-US" w:eastAsia="zh-CN"/>
              </w:rPr>
              <w:t>1600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532C475F">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生活污水：生活用水量为16.875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/d，5400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/a，生活污水产生量为13.5</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/d，4320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55AADC02">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蒸汽冷凝水：蒸汽用水量为240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/d、76800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/a，蒸汽冷凝水产生量为216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/d、69120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/a，其中82.8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/d、26496.6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/a用于洗米工序，其余133.2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/d、42624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/a。蒸汽冷凝水经污水处理站处理后排放。</w:t>
            </w:r>
          </w:p>
          <w:p w14:paraId="7D61844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设备冷却水：设备冷却水用量为50.2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/d、16064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/a，设备冷却水</w:t>
            </w:r>
            <w:r>
              <w:rPr>
                <w:rFonts w:hint="eastAsia" w:cs="Times New Roman"/>
                <w:color w:val="auto"/>
                <w:sz w:val="24"/>
                <w:szCs w:val="24"/>
                <w:lang w:val="en-US" w:eastAsia="zh-CN"/>
              </w:rPr>
              <w:t>循环使用，不外排，损耗量为</w:t>
            </w:r>
            <w:r>
              <w:rPr>
                <w:rFonts w:hint="default" w:ascii="Times New Roman" w:hAnsi="Times New Roman" w:cs="Times New Roman"/>
                <w:color w:val="auto"/>
                <w:sz w:val="24"/>
                <w:szCs w:val="24"/>
                <w:lang w:val="en-US" w:eastAsia="zh-CN"/>
              </w:rPr>
              <w:t>5</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02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/d、1606</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4</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w:t>
            </w:r>
          </w:p>
          <w:p w14:paraId="4216583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原有项目实验室用水：蒸汽用水量为0.01</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/d、3.2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/a，实验室废液产生量为0.008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/d、2.56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/a，实验室废液集中收集后交由有资质单位处理。</w:t>
            </w:r>
          </w:p>
          <w:p w14:paraId="71A62F63">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项目综合废水产生浓度为pH2-12、</w:t>
            </w:r>
            <w:r>
              <w:rPr>
                <w:rFonts w:hint="eastAsia" w:ascii="Times New Roman" w:hAnsi="Times New Roman" w:eastAsia="宋体" w:cs="Times New Roman"/>
                <w:color w:val="auto"/>
                <w:sz w:val="24"/>
                <w:szCs w:val="24"/>
                <w:lang w:val="en-US" w:eastAsia="zh-CN"/>
              </w:rPr>
              <w:t>CODc</w:t>
            </w:r>
            <w:r>
              <w:rPr>
                <w:rFonts w:hint="eastAsia" w:ascii="Times New Roman" w:hAnsi="Times New Roman" w:cs="Times New Roman"/>
                <w:color w:val="auto"/>
                <w:sz w:val="24"/>
                <w:szCs w:val="24"/>
                <w:lang w:val="en-US" w:eastAsia="zh-CN"/>
              </w:rPr>
              <w:t>r3200</w:t>
            </w:r>
            <w:r>
              <w:rPr>
                <w:rFonts w:hint="eastAsia" w:ascii="Times New Roman" w:hAnsi="Times New Roman" w:eastAsia="宋体" w:cs="Times New Roman"/>
                <w:color w:val="auto"/>
                <w:sz w:val="24"/>
                <w:szCs w:val="24"/>
                <w:lang w:val="en-US" w:eastAsia="zh-CN"/>
              </w:rPr>
              <w:t>r</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BOD</w:t>
            </w:r>
            <w:r>
              <w:rPr>
                <w:rFonts w:hint="eastAsia" w:ascii="Times New Roman" w:hAnsi="Times New Roman" w:eastAsia="宋体" w:cs="Times New Roman"/>
                <w:color w:val="auto"/>
                <w:sz w:val="24"/>
                <w:szCs w:val="24"/>
                <w:vertAlign w:val="subscript"/>
                <w:lang w:val="en-US" w:eastAsia="zh-CN"/>
              </w:rPr>
              <w:t>5</w:t>
            </w:r>
            <w:r>
              <w:rPr>
                <w:rFonts w:hint="eastAsia" w:ascii="Times New Roman" w:hAnsi="Times New Roman" w:cs="Times New Roman"/>
                <w:color w:val="auto"/>
                <w:sz w:val="24"/>
                <w:szCs w:val="24"/>
                <w:lang w:val="en-US" w:eastAsia="zh-CN"/>
              </w:rPr>
              <w:t>1300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SS</w:t>
            </w:r>
            <w:r>
              <w:rPr>
                <w:rFonts w:hint="eastAsia" w:ascii="Times New Roman" w:hAnsi="Times New Roman" w:cs="Times New Roman"/>
                <w:color w:val="auto"/>
                <w:sz w:val="24"/>
                <w:szCs w:val="24"/>
                <w:lang w:val="en-US" w:eastAsia="zh-CN"/>
              </w:rPr>
              <w:t>850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TP</w:t>
            </w:r>
            <w:r>
              <w:rPr>
                <w:rFonts w:hint="eastAsia" w:ascii="Times New Roman" w:hAnsi="Times New Roman" w:cs="Times New Roman"/>
                <w:color w:val="auto"/>
                <w:sz w:val="24"/>
                <w:szCs w:val="24"/>
                <w:lang w:val="en-US" w:eastAsia="zh-CN"/>
              </w:rPr>
              <w:t>20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TN</w:t>
            </w:r>
            <w:r>
              <w:rPr>
                <w:rFonts w:hint="eastAsia" w:ascii="Times New Roman" w:hAnsi="Times New Roman" w:cs="Times New Roman"/>
                <w:color w:val="auto"/>
                <w:sz w:val="24"/>
                <w:szCs w:val="24"/>
                <w:lang w:val="en-US" w:eastAsia="zh-CN"/>
              </w:rPr>
              <w:t>35</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-N</w:t>
            </w:r>
            <w:r>
              <w:rPr>
                <w:rFonts w:hint="eastAsia" w:ascii="Times New Roman" w:hAnsi="Times New Roman" w:cs="Times New Roman"/>
                <w:color w:val="auto"/>
                <w:sz w:val="24"/>
                <w:szCs w:val="24"/>
                <w:lang w:val="en-US" w:eastAsia="zh-CN"/>
              </w:rPr>
              <w:t>30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lang w:val="en-US" w:eastAsia="zh-CN"/>
              </w:rPr>
              <w:t>。</w:t>
            </w:r>
          </w:p>
          <w:p w14:paraId="5E0D005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eastAsia"/>
                <w:color w:val="auto"/>
                <w:lang w:val="en-US" w:eastAsia="zh-CN"/>
              </w:rPr>
              <w:t>现有项目综合废水排放量为628896</w:t>
            </w:r>
            <w:r>
              <w:rPr>
                <w:rFonts w:hint="default"/>
                <w:color w:val="auto"/>
                <w:lang w:val="en-US" w:eastAsia="zh-CN"/>
              </w:rPr>
              <w:t>m</w:t>
            </w:r>
            <w:r>
              <w:rPr>
                <w:rFonts w:hint="default"/>
                <w:color w:val="auto"/>
                <w:vertAlign w:val="superscript"/>
                <w:lang w:val="en-US" w:eastAsia="zh-CN"/>
              </w:rPr>
              <w:t>3</w:t>
            </w:r>
            <w:r>
              <w:rPr>
                <w:rFonts w:hint="eastAsia"/>
                <w:color w:val="auto"/>
                <w:lang w:val="en-US" w:eastAsia="zh-CN"/>
              </w:rPr>
              <w:t>/a。</w:t>
            </w:r>
            <w:r>
              <w:rPr>
                <w:rFonts w:hint="default" w:ascii="Times New Roman" w:hAnsi="Times New Roman" w:cs="Times New Roman"/>
                <w:color w:val="auto"/>
                <w:sz w:val="24"/>
                <w:szCs w:val="24"/>
                <w:lang w:val="en-US" w:eastAsia="zh-CN"/>
              </w:rPr>
              <w:t>项目废水排放浓度参考江西金穗丰糖业有限公司提供的例行监测报告（报告编号：致远【检】字20250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号详见附件9，报告编号：LSJC2026030601号，详见附件10）。</w:t>
            </w:r>
          </w:p>
          <w:p w14:paraId="3365E84E">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废水产排情况表</w:t>
            </w:r>
          </w:p>
          <w:tbl>
            <w:tblPr>
              <w:tblStyle w:val="116"/>
              <w:tblW w:w="80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9"/>
              <w:gridCol w:w="881"/>
              <w:gridCol w:w="732"/>
              <w:gridCol w:w="650"/>
              <w:gridCol w:w="573"/>
              <w:gridCol w:w="727"/>
              <w:gridCol w:w="650"/>
              <w:gridCol w:w="676"/>
              <w:gridCol w:w="676"/>
              <w:gridCol w:w="676"/>
              <w:gridCol w:w="980"/>
            </w:tblGrid>
            <w:tr w14:paraId="3CF1B3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829" w:type="dxa"/>
                  <w:vMerge w:val="restart"/>
                  <w:tcBorders>
                    <w:tl2br w:val="nil"/>
                    <w:tr2bl w:val="nil"/>
                  </w:tcBorders>
                  <w:vAlign w:val="center"/>
                </w:tcPr>
                <w:p w14:paraId="0CE28C54">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序号</w:t>
                  </w:r>
                </w:p>
              </w:tc>
              <w:tc>
                <w:tcPr>
                  <w:tcW w:w="1613" w:type="dxa"/>
                  <w:gridSpan w:val="2"/>
                  <w:tcBorders>
                    <w:tl2br w:val="nil"/>
                    <w:tr2bl w:val="nil"/>
                  </w:tcBorders>
                  <w:vAlign w:val="center"/>
                </w:tcPr>
                <w:p w14:paraId="61893C88">
                  <w:pPr>
                    <w:pStyle w:val="61"/>
                    <w:bidi w:val="0"/>
                    <w:jc w:val="center"/>
                    <w:rPr>
                      <w:rFonts w:hint="default" w:ascii="Times New Roman" w:hAnsi="Times New Roman" w:cs="Times New Roman"/>
                      <w:color w:val="auto"/>
                    </w:rPr>
                  </w:pPr>
                  <w:r>
                    <w:rPr>
                      <w:rFonts w:hint="default" w:ascii="Times New Roman" w:hAnsi="Times New Roman" w:cs="Times New Roman"/>
                      <w:color w:val="auto"/>
                    </w:rPr>
                    <w:t>水量</w:t>
                  </w:r>
                </w:p>
              </w:tc>
              <w:tc>
                <w:tcPr>
                  <w:tcW w:w="650" w:type="dxa"/>
                  <w:vMerge w:val="restart"/>
                  <w:tcBorders>
                    <w:tl2br w:val="nil"/>
                    <w:tr2bl w:val="nil"/>
                  </w:tcBorders>
                  <w:vAlign w:val="center"/>
                </w:tcPr>
                <w:p w14:paraId="67978705">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单位</w:t>
                  </w:r>
                </w:p>
              </w:tc>
              <w:tc>
                <w:tcPr>
                  <w:tcW w:w="573" w:type="dxa"/>
                  <w:vMerge w:val="restart"/>
                  <w:tcBorders>
                    <w:tl2br w:val="nil"/>
                    <w:tr2bl w:val="nil"/>
                  </w:tcBorders>
                  <w:vAlign w:val="center"/>
                </w:tcPr>
                <w:p w14:paraId="776F1220">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727" w:type="dxa"/>
                  <w:vMerge w:val="restart"/>
                  <w:tcBorders>
                    <w:tl2br w:val="nil"/>
                    <w:tr2bl w:val="nil"/>
                  </w:tcBorders>
                  <w:vAlign w:val="center"/>
                </w:tcPr>
                <w:p w14:paraId="52327AC3">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650" w:type="dxa"/>
                  <w:vMerge w:val="restart"/>
                  <w:tcBorders>
                    <w:tl2br w:val="nil"/>
                    <w:tr2bl w:val="nil"/>
                  </w:tcBorders>
                  <w:vAlign w:val="center"/>
                </w:tcPr>
                <w:p w14:paraId="1B7EAD3E">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SS</w:t>
                  </w:r>
                </w:p>
              </w:tc>
              <w:tc>
                <w:tcPr>
                  <w:tcW w:w="676" w:type="dxa"/>
                  <w:vMerge w:val="restart"/>
                  <w:tcBorders>
                    <w:tl2br w:val="nil"/>
                    <w:tr2bl w:val="nil"/>
                  </w:tcBorders>
                  <w:vAlign w:val="center"/>
                </w:tcPr>
                <w:p w14:paraId="5A9596EC">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TP</w:t>
                  </w:r>
                </w:p>
              </w:tc>
              <w:tc>
                <w:tcPr>
                  <w:tcW w:w="676" w:type="dxa"/>
                  <w:vMerge w:val="restart"/>
                  <w:tcBorders>
                    <w:tl2br w:val="nil"/>
                    <w:tr2bl w:val="nil"/>
                  </w:tcBorders>
                  <w:vAlign w:val="center"/>
                </w:tcPr>
                <w:p w14:paraId="04BE1832">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TN</w:t>
                  </w:r>
                </w:p>
              </w:tc>
              <w:tc>
                <w:tcPr>
                  <w:tcW w:w="676" w:type="dxa"/>
                  <w:vMerge w:val="restart"/>
                  <w:tcBorders>
                    <w:tl2br w:val="nil"/>
                    <w:tr2bl w:val="nil"/>
                  </w:tcBorders>
                  <w:vAlign w:val="center"/>
                </w:tcPr>
                <w:p w14:paraId="19ECA92C">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980" w:type="dxa"/>
                  <w:vMerge w:val="restart"/>
                  <w:tcBorders>
                    <w:tl2br w:val="nil"/>
                    <w:tr2bl w:val="nil"/>
                  </w:tcBorders>
                  <w:vAlign w:val="center"/>
                </w:tcPr>
                <w:p w14:paraId="5DED8E31">
                  <w:pPr>
                    <w:pStyle w:val="61"/>
                    <w:bidi w:val="0"/>
                    <w:jc w:val="center"/>
                    <w:rPr>
                      <w:rFonts w:hint="default" w:ascii="Times New Roman" w:hAnsi="Times New Roman" w:cs="Times New Roman"/>
                      <w:color w:val="auto"/>
                    </w:rPr>
                  </w:pPr>
                  <w:r>
                    <w:rPr>
                      <w:rFonts w:hint="default" w:ascii="Times New Roman" w:hAnsi="Times New Roman" w:cs="Times New Roman"/>
                      <w:color w:val="auto"/>
                    </w:rPr>
                    <w:t>p</w:t>
                  </w:r>
                  <w:r>
                    <w:rPr>
                      <w:rFonts w:hint="default" w:ascii="Times New Roman" w:hAnsi="Times New Roman" w:cs="Times New Roman"/>
                      <w:color w:val="auto"/>
                      <w:lang w:val="en-US" w:eastAsia="zh-CN"/>
                    </w:rPr>
                    <w:t>H（</w:t>
                  </w:r>
                  <w:r>
                    <w:rPr>
                      <w:rFonts w:hint="default" w:ascii="Times New Roman" w:hAnsi="Times New Roman" w:cs="Times New Roman"/>
                      <w:color w:val="auto"/>
                    </w:rPr>
                    <w:t>无量纲</w:t>
                  </w:r>
                  <w:r>
                    <w:rPr>
                      <w:rFonts w:hint="default" w:ascii="Times New Roman" w:hAnsi="Times New Roman" w:cs="Times New Roman"/>
                      <w:color w:val="auto"/>
                      <w:lang w:eastAsia="zh-CN"/>
                    </w:rPr>
                    <w:t>）</w:t>
                  </w:r>
                </w:p>
              </w:tc>
            </w:tr>
            <w:tr w14:paraId="7923D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829" w:type="dxa"/>
                  <w:vMerge w:val="continue"/>
                  <w:tcBorders>
                    <w:tl2br w:val="nil"/>
                    <w:tr2bl w:val="nil"/>
                  </w:tcBorders>
                  <w:vAlign w:val="center"/>
                </w:tcPr>
                <w:p w14:paraId="59BE8F67">
                  <w:pPr>
                    <w:pStyle w:val="61"/>
                    <w:bidi w:val="0"/>
                    <w:jc w:val="center"/>
                    <w:rPr>
                      <w:rFonts w:hint="default" w:ascii="Times New Roman" w:hAnsi="Times New Roman" w:cs="Times New Roman"/>
                      <w:color w:val="auto"/>
                    </w:rPr>
                  </w:pPr>
                </w:p>
              </w:tc>
              <w:tc>
                <w:tcPr>
                  <w:tcW w:w="881" w:type="dxa"/>
                  <w:tcBorders>
                    <w:tl2br w:val="nil"/>
                    <w:tr2bl w:val="nil"/>
                  </w:tcBorders>
                  <w:vAlign w:val="center"/>
                </w:tcPr>
                <w:p w14:paraId="1FF975EF">
                  <w:pPr>
                    <w:pStyle w:val="61"/>
                    <w:bidi w:val="0"/>
                    <w:jc w:val="center"/>
                    <w:rPr>
                      <w:rFonts w:hint="default" w:ascii="Times New Roman" w:hAnsi="Times New Roman" w:cs="Times New Roman"/>
                      <w:color w:val="auto"/>
                    </w:rPr>
                  </w:pP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/d</w:t>
                  </w:r>
                </w:p>
              </w:tc>
              <w:tc>
                <w:tcPr>
                  <w:tcW w:w="732" w:type="dxa"/>
                  <w:tcBorders>
                    <w:tl2br w:val="nil"/>
                    <w:tr2bl w:val="nil"/>
                  </w:tcBorders>
                  <w:vAlign w:val="center"/>
                </w:tcPr>
                <w:p w14:paraId="145E0169">
                  <w:pPr>
                    <w:pStyle w:val="61"/>
                    <w:bidi w:val="0"/>
                    <w:jc w:val="center"/>
                    <w:rPr>
                      <w:rFonts w:hint="default" w:ascii="Times New Roman" w:hAnsi="Times New Roman" w:cs="Times New Roman"/>
                      <w:color w:val="auto"/>
                    </w:rPr>
                  </w:pP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a</w:t>
                  </w:r>
                </w:p>
              </w:tc>
              <w:tc>
                <w:tcPr>
                  <w:tcW w:w="650" w:type="dxa"/>
                  <w:vMerge w:val="continue"/>
                  <w:tcBorders>
                    <w:tl2br w:val="nil"/>
                    <w:tr2bl w:val="nil"/>
                  </w:tcBorders>
                  <w:vAlign w:val="center"/>
                </w:tcPr>
                <w:p w14:paraId="4B9B000E">
                  <w:pPr>
                    <w:pStyle w:val="61"/>
                    <w:bidi w:val="0"/>
                    <w:jc w:val="center"/>
                    <w:rPr>
                      <w:rFonts w:hint="default" w:ascii="Times New Roman" w:hAnsi="Times New Roman" w:eastAsia="宋体" w:cs="Times New Roman"/>
                      <w:color w:val="auto"/>
                      <w:lang w:val="en-US" w:eastAsia="zh-CN"/>
                    </w:rPr>
                  </w:pPr>
                </w:p>
              </w:tc>
              <w:tc>
                <w:tcPr>
                  <w:tcW w:w="573" w:type="dxa"/>
                  <w:vMerge w:val="continue"/>
                  <w:tcBorders>
                    <w:tl2br w:val="nil"/>
                    <w:tr2bl w:val="nil"/>
                  </w:tcBorders>
                  <w:vAlign w:val="center"/>
                </w:tcPr>
                <w:p w14:paraId="4797EA0A">
                  <w:pPr>
                    <w:pStyle w:val="61"/>
                    <w:bidi w:val="0"/>
                    <w:jc w:val="center"/>
                    <w:rPr>
                      <w:rFonts w:hint="default" w:ascii="Times New Roman" w:hAnsi="Times New Roman" w:eastAsia="宋体" w:cs="Times New Roman"/>
                      <w:color w:val="auto"/>
                      <w:lang w:val="en-US" w:eastAsia="zh-CN"/>
                    </w:rPr>
                  </w:pPr>
                </w:p>
              </w:tc>
              <w:tc>
                <w:tcPr>
                  <w:tcW w:w="727" w:type="dxa"/>
                  <w:vMerge w:val="continue"/>
                  <w:tcBorders>
                    <w:tl2br w:val="nil"/>
                    <w:tr2bl w:val="nil"/>
                  </w:tcBorders>
                  <w:vAlign w:val="center"/>
                </w:tcPr>
                <w:p w14:paraId="26B77ED6">
                  <w:pPr>
                    <w:pStyle w:val="61"/>
                    <w:bidi w:val="0"/>
                    <w:jc w:val="center"/>
                    <w:rPr>
                      <w:rFonts w:hint="default" w:ascii="Times New Roman" w:hAnsi="Times New Roman" w:eastAsia="宋体" w:cs="Times New Roman"/>
                      <w:color w:val="auto"/>
                      <w:lang w:val="en-US" w:eastAsia="zh-CN"/>
                    </w:rPr>
                  </w:pPr>
                </w:p>
              </w:tc>
              <w:tc>
                <w:tcPr>
                  <w:tcW w:w="650" w:type="dxa"/>
                  <w:vMerge w:val="continue"/>
                  <w:tcBorders>
                    <w:tl2br w:val="nil"/>
                    <w:tr2bl w:val="nil"/>
                  </w:tcBorders>
                  <w:vAlign w:val="center"/>
                </w:tcPr>
                <w:p w14:paraId="46026F53">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20BD1104">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0664EF7A">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6DAA4E53">
                  <w:pPr>
                    <w:pStyle w:val="61"/>
                    <w:bidi w:val="0"/>
                    <w:jc w:val="center"/>
                    <w:rPr>
                      <w:rFonts w:hint="default" w:ascii="Times New Roman" w:hAnsi="Times New Roman" w:cs="Times New Roman"/>
                      <w:color w:val="auto"/>
                    </w:rPr>
                  </w:pPr>
                </w:p>
              </w:tc>
              <w:tc>
                <w:tcPr>
                  <w:tcW w:w="980" w:type="dxa"/>
                  <w:vMerge w:val="continue"/>
                  <w:tcBorders>
                    <w:tl2br w:val="nil"/>
                    <w:tr2bl w:val="nil"/>
                  </w:tcBorders>
                  <w:vAlign w:val="center"/>
                </w:tcPr>
                <w:p w14:paraId="4B7D9240">
                  <w:pPr>
                    <w:pStyle w:val="61"/>
                    <w:bidi w:val="0"/>
                    <w:jc w:val="center"/>
                    <w:rPr>
                      <w:rFonts w:hint="default" w:ascii="Times New Roman" w:hAnsi="Times New Roman" w:cs="Times New Roman"/>
                      <w:color w:val="auto"/>
                    </w:rPr>
                  </w:pPr>
                </w:p>
              </w:tc>
            </w:tr>
            <w:tr w14:paraId="380F0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0" w:hRule="atLeast"/>
                <w:jc w:val="center"/>
              </w:trPr>
              <w:tc>
                <w:tcPr>
                  <w:tcW w:w="829" w:type="dxa"/>
                  <w:vMerge w:val="restart"/>
                  <w:tcBorders>
                    <w:tl2br w:val="nil"/>
                    <w:tr2bl w:val="nil"/>
                  </w:tcBorders>
                  <w:vAlign w:val="center"/>
                </w:tcPr>
                <w:p w14:paraId="29DBF305">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产生量</w:t>
                  </w:r>
                </w:p>
              </w:tc>
              <w:tc>
                <w:tcPr>
                  <w:tcW w:w="881" w:type="dxa"/>
                  <w:vMerge w:val="restart"/>
                  <w:tcBorders>
                    <w:tl2br w:val="nil"/>
                    <w:tr2bl w:val="nil"/>
                  </w:tcBorders>
                  <w:vAlign w:val="center"/>
                </w:tcPr>
                <w:p w14:paraId="6D22516A">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1965.3</w:t>
                  </w:r>
                </w:p>
              </w:tc>
              <w:tc>
                <w:tcPr>
                  <w:tcW w:w="732" w:type="dxa"/>
                  <w:vMerge w:val="restart"/>
                  <w:tcBorders>
                    <w:tl2br w:val="nil"/>
                    <w:tr2bl w:val="nil"/>
                  </w:tcBorders>
                  <w:vAlign w:val="center"/>
                </w:tcPr>
                <w:p w14:paraId="77B514B8">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628896</w:t>
                  </w:r>
                </w:p>
              </w:tc>
              <w:tc>
                <w:tcPr>
                  <w:tcW w:w="650" w:type="dxa"/>
                  <w:tcBorders>
                    <w:tl2br w:val="nil"/>
                    <w:tr2bl w:val="nil"/>
                  </w:tcBorders>
                  <w:vAlign w:val="center"/>
                </w:tcPr>
                <w:p w14:paraId="2324F851">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mg/L</w:t>
                  </w:r>
                </w:p>
              </w:tc>
              <w:tc>
                <w:tcPr>
                  <w:tcW w:w="573" w:type="dxa"/>
                  <w:tcBorders>
                    <w:tl2br w:val="nil"/>
                    <w:tr2bl w:val="nil"/>
                  </w:tcBorders>
                  <w:vAlign w:val="center"/>
                </w:tcPr>
                <w:p w14:paraId="2A64A62B">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3200</w:t>
                  </w:r>
                </w:p>
              </w:tc>
              <w:tc>
                <w:tcPr>
                  <w:tcW w:w="727" w:type="dxa"/>
                  <w:tcBorders>
                    <w:tl2br w:val="nil"/>
                    <w:tr2bl w:val="nil"/>
                  </w:tcBorders>
                  <w:vAlign w:val="center"/>
                </w:tcPr>
                <w:p w14:paraId="727A51BF">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1300</w:t>
                  </w:r>
                </w:p>
              </w:tc>
              <w:tc>
                <w:tcPr>
                  <w:tcW w:w="650" w:type="dxa"/>
                  <w:tcBorders>
                    <w:tl2br w:val="nil"/>
                    <w:tr2bl w:val="nil"/>
                  </w:tcBorders>
                  <w:vAlign w:val="center"/>
                </w:tcPr>
                <w:p w14:paraId="1E293F6D">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850</w:t>
                  </w:r>
                </w:p>
              </w:tc>
              <w:tc>
                <w:tcPr>
                  <w:tcW w:w="676" w:type="dxa"/>
                  <w:tcBorders>
                    <w:tl2br w:val="nil"/>
                    <w:tr2bl w:val="nil"/>
                  </w:tcBorders>
                  <w:vAlign w:val="center"/>
                </w:tcPr>
                <w:p w14:paraId="61FF2502">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w:t>
                  </w:r>
                </w:p>
              </w:tc>
              <w:tc>
                <w:tcPr>
                  <w:tcW w:w="676" w:type="dxa"/>
                  <w:tcBorders>
                    <w:tl2br w:val="nil"/>
                    <w:tr2bl w:val="nil"/>
                  </w:tcBorders>
                  <w:vAlign w:val="center"/>
                </w:tcPr>
                <w:p w14:paraId="69561CFD">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w:t>
                  </w:r>
                </w:p>
              </w:tc>
              <w:tc>
                <w:tcPr>
                  <w:tcW w:w="676" w:type="dxa"/>
                  <w:tcBorders>
                    <w:tl2br w:val="nil"/>
                    <w:tr2bl w:val="nil"/>
                  </w:tcBorders>
                  <w:vAlign w:val="center"/>
                </w:tcPr>
                <w:p w14:paraId="394C8502">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w:t>
                  </w:r>
                </w:p>
              </w:tc>
              <w:tc>
                <w:tcPr>
                  <w:tcW w:w="980" w:type="dxa"/>
                  <w:tcBorders>
                    <w:tl2br w:val="nil"/>
                    <w:tr2bl w:val="nil"/>
                  </w:tcBorders>
                  <w:vAlign w:val="center"/>
                </w:tcPr>
                <w:p w14:paraId="3E3DA816">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2-12</w:t>
                  </w:r>
                </w:p>
              </w:tc>
            </w:tr>
            <w:tr w14:paraId="55ED5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jc w:val="center"/>
              </w:trPr>
              <w:tc>
                <w:tcPr>
                  <w:tcW w:w="829" w:type="dxa"/>
                  <w:vMerge w:val="continue"/>
                  <w:tcBorders>
                    <w:tl2br w:val="nil"/>
                    <w:tr2bl w:val="nil"/>
                  </w:tcBorders>
                  <w:vAlign w:val="center"/>
                </w:tcPr>
                <w:p w14:paraId="604F2FA2">
                  <w:pPr>
                    <w:pStyle w:val="61"/>
                    <w:bidi w:val="0"/>
                    <w:jc w:val="center"/>
                    <w:rPr>
                      <w:rFonts w:hint="default" w:ascii="Times New Roman" w:hAnsi="Times New Roman" w:cs="Times New Roman"/>
                      <w:color w:val="auto"/>
                      <w:lang w:val="en-US" w:eastAsia="zh-CN"/>
                    </w:rPr>
                  </w:pPr>
                </w:p>
              </w:tc>
              <w:tc>
                <w:tcPr>
                  <w:tcW w:w="881" w:type="dxa"/>
                  <w:vMerge w:val="continue"/>
                  <w:tcBorders>
                    <w:tl2br w:val="nil"/>
                    <w:tr2bl w:val="nil"/>
                  </w:tcBorders>
                  <w:vAlign w:val="center"/>
                </w:tcPr>
                <w:p w14:paraId="09CB9AC1">
                  <w:pPr>
                    <w:pStyle w:val="61"/>
                    <w:bidi w:val="0"/>
                    <w:jc w:val="center"/>
                    <w:rPr>
                      <w:rFonts w:hint="default" w:ascii="Times New Roman" w:hAnsi="Times New Roman" w:cs="Times New Roman"/>
                      <w:color w:val="auto"/>
                      <w:lang w:val="en-US" w:eastAsia="zh-CN"/>
                    </w:rPr>
                  </w:pPr>
                </w:p>
              </w:tc>
              <w:tc>
                <w:tcPr>
                  <w:tcW w:w="732" w:type="dxa"/>
                  <w:vMerge w:val="continue"/>
                  <w:tcBorders>
                    <w:tl2br w:val="nil"/>
                    <w:tr2bl w:val="nil"/>
                  </w:tcBorders>
                  <w:vAlign w:val="center"/>
                </w:tcPr>
                <w:p w14:paraId="77137A07">
                  <w:pPr>
                    <w:pStyle w:val="61"/>
                    <w:bidi w:val="0"/>
                    <w:jc w:val="center"/>
                    <w:rPr>
                      <w:rFonts w:hint="default" w:ascii="Times New Roman" w:hAnsi="Times New Roman" w:cs="Times New Roman"/>
                      <w:color w:val="auto"/>
                      <w:lang w:val="en-US" w:eastAsia="zh-CN"/>
                    </w:rPr>
                  </w:pPr>
                </w:p>
              </w:tc>
              <w:tc>
                <w:tcPr>
                  <w:tcW w:w="650" w:type="dxa"/>
                  <w:tcBorders>
                    <w:tl2br w:val="nil"/>
                    <w:tr2bl w:val="nil"/>
                  </w:tcBorders>
                  <w:vAlign w:val="center"/>
                </w:tcPr>
                <w:p w14:paraId="69B7E7B7">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t/a</w:t>
                  </w:r>
                </w:p>
              </w:tc>
              <w:tc>
                <w:tcPr>
                  <w:tcW w:w="573" w:type="dxa"/>
                  <w:tcBorders>
                    <w:tl2br w:val="nil"/>
                    <w:tr2bl w:val="nil"/>
                  </w:tcBorders>
                  <w:vAlign w:val="center"/>
                </w:tcPr>
                <w:p w14:paraId="3538C249">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2012.47 </w:t>
                  </w:r>
                </w:p>
              </w:tc>
              <w:tc>
                <w:tcPr>
                  <w:tcW w:w="727" w:type="dxa"/>
                  <w:tcBorders>
                    <w:tl2br w:val="nil"/>
                    <w:tr2bl w:val="nil"/>
                  </w:tcBorders>
                  <w:vAlign w:val="center"/>
                </w:tcPr>
                <w:p w14:paraId="0E9C9613">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817.56 </w:t>
                  </w:r>
                </w:p>
              </w:tc>
              <w:tc>
                <w:tcPr>
                  <w:tcW w:w="650" w:type="dxa"/>
                  <w:tcBorders>
                    <w:tl2br w:val="nil"/>
                    <w:tr2bl w:val="nil"/>
                  </w:tcBorders>
                  <w:vAlign w:val="center"/>
                </w:tcPr>
                <w:p w14:paraId="21458313">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534.56 </w:t>
                  </w:r>
                </w:p>
              </w:tc>
              <w:tc>
                <w:tcPr>
                  <w:tcW w:w="676" w:type="dxa"/>
                  <w:tcBorders>
                    <w:tl2br w:val="nil"/>
                    <w:tr2bl w:val="nil"/>
                  </w:tcBorders>
                  <w:vAlign w:val="center"/>
                </w:tcPr>
                <w:p w14:paraId="06CAE970">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12.58 </w:t>
                  </w:r>
                </w:p>
              </w:tc>
              <w:tc>
                <w:tcPr>
                  <w:tcW w:w="676" w:type="dxa"/>
                  <w:tcBorders>
                    <w:tl2br w:val="nil"/>
                    <w:tr2bl w:val="nil"/>
                  </w:tcBorders>
                  <w:vAlign w:val="center"/>
                </w:tcPr>
                <w:p w14:paraId="11831575">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22.01 </w:t>
                  </w:r>
                </w:p>
              </w:tc>
              <w:tc>
                <w:tcPr>
                  <w:tcW w:w="676" w:type="dxa"/>
                  <w:tcBorders>
                    <w:tl2br w:val="nil"/>
                    <w:tr2bl w:val="nil"/>
                  </w:tcBorders>
                  <w:vAlign w:val="center"/>
                </w:tcPr>
                <w:p w14:paraId="713B7BD0">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18.87 </w:t>
                  </w:r>
                </w:p>
              </w:tc>
              <w:tc>
                <w:tcPr>
                  <w:tcW w:w="980" w:type="dxa"/>
                  <w:tcBorders>
                    <w:tl2br w:val="nil"/>
                    <w:tr2bl w:val="nil"/>
                  </w:tcBorders>
                  <w:vAlign w:val="center"/>
                </w:tcPr>
                <w:p w14:paraId="2FFD5B8F">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w:t>
                  </w:r>
                </w:p>
              </w:tc>
            </w:tr>
            <w:tr w14:paraId="3EA41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829" w:type="dxa"/>
                  <w:vMerge w:val="restart"/>
                  <w:tcBorders>
                    <w:tl2br w:val="nil"/>
                    <w:tr2bl w:val="nil"/>
                  </w:tcBorders>
                  <w:vAlign w:val="center"/>
                </w:tcPr>
                <w:p w14:paraId="1A4254E5">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经处理后总排口</w:t>
                  </w:r>
                </w:p>
              </w:tc>
              <w:tc>
                <w:tcPr>
                  <w:tcW w:w="881" w:type="dxa"/>
                  <w:vMerge w:val="restart"/>
                  <w:tcBorders>
                    <w:tl2br w:val="nil"/>
                    <w:tr2bl w:val="nil"/>
                  </w:tcBorders>
                  <w:vAlign w:val="center"/>
                </w:tcPr>
                <w:p w14:paraId="07F95034">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1965.3</w:t>
                  </w:r>
                </w:p>
              </w:tc>
              <w:tc>
                <w:tcPr>
                  <w:tcW w:w="732" w:type="dxa"/>
                  <w:vMerge w:val="restart"/>
                  <w:tcBorders>
                    <w:tl2br w:val="nil"/>
                    <w:tr2bl w:val="nil"/>
                  </w:tcBorders>
                  <w:vAlign w:val="center"/>
                </w:tcPr>
                <w:p w14:paraId="500DB5F6">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628896</w:t>
                  </w:r>
                </w:p>
              </w:tc>
              <w:tc>
                <w:tcPr>
                  <w:tcW w:w="650" w:type="dxa"/>
                  <w:tcBorders>
                    <w:tl2br w:val="nil"/>
                    <w:tr2bl w:val="nil"/>
                  </w:tcBorders>
                  <w:vAlign w:val="center"/>
                </w:tcPr>
                <w:p w14:paraId="0A985ABC">
                  <w:pPr>
                    <w:pStyle w:val="61"/>
                    <w:bidi w:val="0"/>
                    <w:ind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mg/L</w:t>
                  </w:r>
                </w:p>
              </w:tc>
              <w:tc>
                <w:tcPr>
                  <w:tcW w:w="573" w:type="dxa"/>
                  <w:tcBorders>
                    <w:tl2br w:val="nil"/>
                    <w:tr2bl w:val="nil"/>
                  </w:tcBorders>
                  <w:vAlign w:val="center"/>
                </w:tcPr>
                <w:p w14:paraId="19C0FB5A">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95</w:t>
                  </w:r>
                </w:p>
              </w:tc>
              <w:tc>
                <w:tcPr>
                  <w:tcW w:w="727" w:type="dxa"/>
                  <w:tcBorders>
                    <w:tl2br w:val="nil"/>
                    <w:tr2bl w:val="nil"/>
                  </w:tcBorders>
                  <w:vAlign w:val="center"/>
                </w:tcPr>
                <w:p w14:paraId="7D6E1981">
                  <w:pPr>
                    <w:pStyle w:val="61"/>
                    <w:bidi w:val="0"/>
                    <w:ind w:firstLine="0" w:firstLineChars="0"/>
                    <w:jc w:val="center"/>
                    <w:rPr>
                      <w:rFonts w:hint="eastAsia" w:cs="Times New Roman"/>
                      <w:color w:val="auto"/>
                      <w:lang w:val="en-US" w:eastAsia="zh-CN"/>
                    </w:rPr>
                  </w:pPr>
                  <w:r>
                    <w:rPr>
                      <w:rFonts w:hint="eastAsia" w:ascii="Times New Roman" w:hAnsi="Times New Roman" w:cs="Times New Roman"/>
                      <w:color w:val="auto"/>
                      <w:lang w:val="en-US" w:eastAsia="zh-CN"/>
                    </w:rPr>
                    <w:t>8.5</w:t>
                  </w:r>
                </w:p>
              </w:tc>
              <w:tc>
                <w:tcPr>
                  <w:tcW w:w="650" w:type="dxa"/>
                  <w:tcBorders>
                    <w:tl2br w:val="nil"/>
                    <w:tr2bl w:val="nil"/>
                  </w:tcBorders>
                  <w:vAlign w:val="center"/>
                </w:tcPr>
                <w:p w14:paraId="38F89572">
                  <w:pPr>
                    <w:pStyle w:val="61"/>
                    <w:bidi w:val="0"/>
                    <w:ind w:firstLine="0" w:firstLineChars="0"/>
                    <w:jc w:val="center"/>
                    <w:rPr>
                      <w:rFonts w:hint="eastAsia" w:cs="Times New Roman"/>
                      <w:color w:val="auto"/>
                      <w:lang w:val="en-US" w:eastAsia="zh-CN"/>
                    </w:rPr>
                  </w:pPr>
                  <w:r>
                    <w:rPr>
                      <w:rFonts w:hint="eastAsia" w:ascii="Times New Roman" w:hAnsi="Times New Roman" w:cs="Times New Roman"/>
                      <w:color w:val="auto"/>
                      <w:lang w:val="en-US" w:eastAsia="zh-CN"/>
                    </w:rPr>
                    <w:t>2</w:t>
                  </w:r>
                  <w:r>
                    <w:rPr>
                      <w:rFonts w:hint="eastAsia" w:cs="Times New Roman"/>
                      <w:color w:val="auto"/>
                      <w:lang w:val="en-US" w:eastAsia="zh-CN"/>
                    </w:rPr>
                    <w:t>1</w:t>
                  </w:r>
                </w:p>
              </w:tc>
              <w:tc>
                <w:tcPr>
                  <w:tcW w:w="676" w:type="dxa"/>
                  <w:tcBorders>
                    <w:tl2br w:val="nil"/>
                    <w:tr2bl w:val="nil"/>
                  </w:tcBorders>
                  <w:vAlign w:val="center"/>
                </w:tcPr>
                <w:p w14:paraId="44362566">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0.18</w:t>
                  </w:r>
                </w:p>
              </w:tc>
              <w:tc>
                <w:tcPr>
                  <w:tcW w:w="676" w:type="dxa"/>
                  <w:tcBorders>
                    <w:tl2br w:val="nil"/>
                    <w:tr2bl w:val="nil"/>
                  </w:tcBorders>
                  <w:vAlign w:val="center"/>
                </w:tcPr>
                <w:p w14:paraId="5EEA5B76">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5.91</w:t>
                  </w:r>
                </w:p>
              </w:tc>
              <w:tc>
                <w:tcPr>
                  <w:tcW w:w="676" w:type="dxa"/>
                  <w:tcBorders>
                    <w:tl2br w:val="nil"/>
                    <w:tr2bl w:val="nil"/>
                  </w:tcBorders>
                  <w:vAlign w:val="center"/>
                </w:tcPr>
                <w:p w14:paraId="279C670E">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1.35</w:t>
                  </w:r>
                </w:p>
              </w:tc>
              <w:tc>
                <w:tcPr>
                  <w:tcW w:w="980" w:type="dxa"/>
                  <w:tcBorders>
                    <w:tl2br w:val="nil"/>
                    <w:tr2bl w:val="nil"/>
                  </w:tcBorders>
                  <w:vAlign w:val="center"/>
                </w:tcPr>
                <w:p w14:paraId="22EABA73">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7.4</w:t>
                  </w:r>
                </w:p>
              </w:tc>
            </w:tr>
            <w:tr w14:paraId="67160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829" w:type="dxa"/>
                  <w:vMerge w:val="continue"/>
                  <w:tcBorders>
                    <w:tl2br w:val="nil"/>
                    <w:tr2bl w:val="nil"/>
                  </w:tcBorders>
                  <w:vAlign w:val="center"/>
                </w:tcPr>
                <w:p w14:paraId="28E5056E">
                  <w:pPr>
                    <w:pStyle w:val="61"/>
                    <w:bidi w:val="0"/>
                    <w:ind w:firstLine="0" w:firstLineChars="0"/>
                    <w:jc w:val="center"/>
                    <w:rPr>
                      <w:rFonts w:hint="default" w:ascii="Times New Roman" w:hAnsi="Times New Roman" w:cs="Times New Roman"/>
                      <w:color w:val="auto"/>
                    </w:rPr>
                  </w:pPr>
                </w:p>
              </w:tc>
              <w:tc>
                <w:tcPr>
                  <w:tcW w:w="881" w:type="dxa"/>
                  <w:vMerge w:val="continue"/>
                  <w:tcBorders>
                    <w:tl2br w:val="nil"/>
                    <w:tr2bl w:val="nil"/>
                  </w:tcBorders>
                  <w:vAlign w:val="center"/>
                </w:tcPr>
                <w:p w14:paraId="499D61FB">
                  <w:pPr>
                    <w:pStyle w:val="61"/>
                    <w:bidi w:val="0"/>
                    <w:ind w:firstLine="0" w:firstLineChars="0"/>
                    <w:jc w:val="center"/>
                    <w:rPr>
                      <w:rFonts w:hint="default" w:ascii="Times New Roman" w:hAnsi="Times New Roman" w:cs="Times New Roman"/>
                      <w:color w:val="auto"/>
                    </w:rPr>
                  </w:pPr>
                </w:p>
              </w:tc>
              <w:tc>
                <w:tcPr>
                  <w:tcW w:w="732" w:type="dxa"/>
                  <w:vMerge w:val="continue"/>
                  <w:tcBorders>
                    <w:tl2br w:val="nil"/>
                    <w:tr2bl w:val="nil"/>
                  </w:tcBorders>
                  <w:vAlign w:val="center"/>
                </w:tcPr>
                <w:p w14:paraId="79D8390A">
                  <w:pPr>
                    <w:pStyle w:val="61"/>
                    <w:bidi w:val="0"/>
                    <w:ind w:firstLine="0" w:firstLineChars="0"/>
                    <w:jc w:val="center"/>
                    <w:rPr>
                      <w:rFonts w:hint="default" w:ascii="Times New Roman" w:hAnsi="Times New Roman" w:cs="Times New Roman"/>
                      <w:color w:val="auto"/>
                    </w:rPr>
                  </w:pPr>
                </w:p>
              </w:tc>
              <w:tc>
                <w:tcPr>
                  <w:tcW w:w="650" w:type="dxa"/>
                  <w:tcBorders>
                    <w:tl2br w:val="nil"/>
                    <w:tr2bl w:val="nil"/>
                  </w:tcBorders>
                  <w:vAlign w:val="center"/>
                </w:tcPr>
                <w:p w14:paraId="558AC55C">
                  <w:pPr>
                    <w:pStyle w:val="61"/>
                    <w:bidi w:val="0"/>
                    <w:ind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73" w:type="dxa"/>
                  <w:tcBorders>
                    <w:tl2br w:val="nil"/>
                    <w:tr2bl w:val="nil"/>
                  </w:tcBorders>
                  <w:vAlign w:val="center"/>
                </w:tcPr>
                <w:p w14:paraId="31C9309D">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59.75</w:t>
                  </w:r>
                </w:p>
              </w:tc>
              <w:tc>
                <w:tcPr>
                  <w:tcW w:w="727" w:type="dxa"/>
                  <w:tcBorders>
                    <w:tl2br w:val="nil"/>
                    <w:tr2bl w:val="nil"/>
                  </w:tcBorders>
                  <w:vAlign w:val="center"/>
                </w:tcPr>
                <w:p w14:paraId="2F928910">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5.35</w:t>
                  </w:r>
                </w:p>
              </w:tc>
              <w:tc>
                <w:tcPr>
                  <w:tcW w:w="650" w:type="dxa"/>
                  <w:tcBorders>
                    <w:tl2br w:val="nil"/>
                    <w:tr2bl w:val="nil"/>
                  </w:tcBorders>
                  <w:vAlign w:val="center"/>
                </w:tcPr>
                <w:p w14:paraId="20DCE329">
                  <w:pPr>
                    <w:pStyle w:val="61"/>
                    <w:bidi w:val="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13.21</w:t>
                  </w:r>
                </w:p>
              </w:tc>
              <w:tc>
                <w:tcPr>
                  <w:tcW w:w="676" w:type="dxa"/>
                  <w:tcBorders>
                    <w:tl2br w:val="nil"/>
                    <w:tr2bl w:val="nil"/>
                  </w:tcBorders>
                  <w:vAlign w:val="center"/>
                </w:tcPr>
                <w:p w14:paraId="7B30D783">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0.113</w:t>
                  </w:r>
                </w:p>
              </w:tc>
              <w:tc>
                <w:tcPr>
                  <w:tcW w:w="676" w:type="dxa"/>
                  <w:tcBorders>
                    <w:tl2br w:val="nil"/>
                    <w:tr2bl w:val="nil"/>
                  </w:tcBorders>
                  <w:vAlign w:val="center"/>
                </w:tcPr>
                <w:p w14:paraId="405618F9">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3.72</w:t>
                  </w:r>
                </w:p>
              </w:tc>
              <w:tc>
                <w:tcPr>
                  <w:tcW w:w="676" w:type="dxa"/>
                  <w:tcBorders>
                    <w:tl2br w:val="nil"/>
                    <w:tr2bl w:val="nil"/>
                  </w:tcBorders>
                  <w:vAlign w:val="center"/>
                </w:tcPr>
                <w:p w14:paraId="334F1119">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0.849</w:t>
                  </w:r>
                </w:p>
              </w:tc>
              <w:tc>
                <w:tcPr>
                  <w:tcW w:w="980" w:type="dxa"/>
                  <w:tcBorders>
                    <w:tl2br w:val="nil"/>
                    <w:tr2bl w:val="nil"/>
                  </w:tcBorders>
                  <w:vAlign w:val="center"/>
                </w:tcPr>
                <w:p w14:paraId="3629275A">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w:t>
                  </w:r>
                </w:p>
              </w:tc>
            </w:tr>
            <w:tr w14:paraId="3F6B0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jc w:val="center"/>
              </w:trPr>
              <w:tc>
                <w:tcPr>
                  <w:tcW w:w="829" w:type="dxa"/>
                  <w:tcBorders>
                    <w:tl2br w:val="nil"/>
                    <w:tr2bl w:val="nil"/>
                  </w:tcBorders>
                  <w:vAlign w:val="center"/>
                </w:tcPr>
                <w:p w14:paraId="4165F88F">
                  <w:pPr>
                    <w:pStyle w:val="61"/>
                    <w:bidi w:val="0"/>
                    <w:jc w:val="center"/>
                    <w:rPr>
                      <w:rFonts w:hint="default" w:ascii="Times New Roman" w:hAnsi="Times New Roman" w:cs="Times New Roman"/>
                      <w:color w:val="auto"/>
                    </w:rPr>
                  </w:pPr>
                  <w:r>
                    <w:rPr>
                      <w:rFonts w:hint="eastAsia" w:cs="Times New Roman"/>
                      <w:color w:val="auto"/>
                      <w:lang w:val="en-US" w:eastAsia="zh-CN"/>
                    </w:rPr>
                    <w:t>(</w:t>
                  </w:r>
                  <w:r>
                    <w:rPr>
                      <w:rFonts w:hint="default" w:ascii="Times New Roman" w:hAnsi="Times New Roman" w:cs="Times New Roman"/>
                      <w:color w:val="auto"/>
                      <w:lang w:val="en-US" w:eastAsia="zh-CN"/>
                    </w:rPr>
                    <w:t>GB 25461-2010</w:t>
                  </w:r>
                  <w:r>
                    <w:rPr>
                      <w:rFonts w:hint="eastAsia" w:cs="Times New Roman"/>
                      <w:color w:val="auto"/>
                      <w:lang w:val="en-US" w:eastAsia="zh-CN"/>
                    </w:rPr>
                    <w:t>)</w:t>
                  </w:r>
                </w:p>
              </w:tc>
              <w:tc>
                <w:tcPr>
                  <w:tcW w:w="1613" w:type="dxa"/>
                  <w:gridSpan w:val="2"/>
                  <w:tcBorders>
                    <w:tl2br w:val="nil"/>
                    <w:tr2bl w:val="nil"/>
                  </w:tcBorders>
                  <w:vAlign w:val="center"/>
                </w:tcPr>
                <w:p w14:paraId="53BE0CC2">
                  <w:pPr>
                    <w:pStyle w:val="61"/>
                    <w:bidi w:val="0"/>
                    <w:jc w:val="center"/>
                    <w:rPr>
                      <w:rFonts w:hint="default" w:ascii="Times New Roman" w:hAnsi="Times New Roman" w:cs="Times New Roman"/>
                      <w:color w:val="auto"/>
                    </w:rPr>
                  </w:pPr>
                  <w:r>
                    <w:rPr>
                      <w:rFonts w:hint="default" w:ascii="Times New Roman" w:hAnsi="Times New Roman" w:cs="Times New Roman"/>
                      <w:color w:val="auto"/>
                    </w:rPr>
                    <w:t>---</w:t>
                  </w:r>
                </w:p>
              </w:tc>
              <w:tc>
                <w:tcPr>
                  <w:tcW w:w="650" w:type="dxa"/>
                  <w:tcBorders>
                    <w:tl2br w:val="nil"/>
                    <w:tr2bl w:val="nil"/>
                  </w:tcBorders>
                  <w:vAlign w:val="center"/>
                </w:tcPr>
                <w:p w14:paraId="2DD467FC">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mg/L</w:t>
                  </w:r>
                </w:p>
              </w:tc>
              <w:tc>
                <w:tcPr>
                  <w:tcW w:w="573" w:type="dxa"/>
                  <w:tcBorders>
                    <w:tl2br w:val="nil"/>
                    <w:tr2bl w:val="nil"/>
                  </w:tcBorders>
                  <w:vAlign w:val="center"/>
                </w:tcPr>
                <w:p w14:paraId="72947E5A">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727" w:type="dxa"/>
                  <w:tcBorders>
                    <w:tl2br w:val="nil"/>
                    <w:tr2bl w:val="nil"/>
                  </w:tcBorders>
                  <w:vAlign w:val="center"/>
                </w:tcPr>
                <w:p w14:paraId="2F460BAF">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650" w:type="dxa"/>
                  <w:tcBorders>
                    <w:tl2br w:val="nil"/>
                    <w:tr2bl w:val="nil"/>
                  </w:tcBorders>
                  <w:vAlign w:val="center"/>
                </w:tcPr>
                <w:p w14:paraId="2BD9321F">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30</w:t>
                  </w:r>
                </w:p>
              </w:tc>
              <w:tc>
                <w:tcPr>
                  <w:tcW w:w="676" w:type="dxa"/>
                  <w:tcBorders>
                    <w:tl2br w:val="nil"/>
                    <w:tr2bl w:val="nil"/>
                  </w:tcBorders>
                  <w:vAlign w:val="center"/>
                </w:tcPr>
                <w:p w14:paraId="25C40180">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1</w:t>
                  </w:r>
                </w:p>
              </w:tc>
              <w:tc>
                <w:tcPr>
                  <w:tcW w:w="676" w:type="dxa"/>
                  <w:tcBorders>
                    <w:tl2br w:val="nil"/>
                    <w:tr2bl w:val="nil"/>
                  </w:tcBorders>
                  <w:vAlign w:val="center"/>
                </w:tcPr>
                <w:p w14:paraId="23077A0C">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w:t>
                  </w:r>
                </w:p>
              </w:tc>
              <w:tc>
                <w:tcPr>
                  <w:tcW w:w="676" w:type="dxa"/>
                  <w:tcBorders>
                    <w:tl2br w:val="nil"/>
                    <w:tr2bl w:val="nil"/>
                  </w:tcBorders>
                  <w:vAlign w:val="center"/>
                </w:tcPr>
                <w:p w14:paraId="64D78930">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15</w:t>
                  </w:r>
                </w:p>
              </w:tc>
              <w:tc>
                <w:tcPr>
                  <w:tcW w:w="980" w:type="dxa"/>
                  <w:tcBorders>
                    <w:tl2br w:val="nil"/>
                    <w:tr2bl w:val="nil"/>
                  </w:tcBorders>
                  <w:vAlign w:val="center"/>
                </w:tcPr>
                <w:p w14:paraId="28CD9131">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w:t>
                  </w:r>
                </w:p>
              </w:tc>
            </w:tr>
          </w:tbl>
          <w:p w14:paraId="34511239">
            <w:pPr>
              <w:keepNext w:val="0"/>
              <w:keepLines w:val="0"/>
              <w:pageBreakBefore/>
              <w:widowControl/>
              <w:numPr>
                <w:ilvl w:val="0"/>
                <w:numId w:val="0"/>
              </w:numPr>
              <w:suppressLineNumbers w:val="0"/>
              <w:spacing w:before="0" w:beforeLines="0" w:beforeAutospacing="0" w:after="0" w:afterLines="0" w:afterAutospacing="0"/>
              <w:ind w:left="480" w:leftChars="200" w:right="0" w:rightChars="0"/>
              <w:jc w:val="lef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现有项目固废产生情况</w:t>
            </w:r>
          </w:p>
          <w:p w14:paraId="0E1DD22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中碎米</w:t>
            </w:r>
            <w:r>
              <w:rPr>
                <w:rFonts w:hint="default" w:ascii="Times New Roman" w:hAnsi="Times New Roman" w:cs="Times New Roman"/>
                <w:color w:val="auto"/>
                <w:sz w:val="24"/>
                <w:lang w:val="en-US" w:eastAsia="zh-CN"/>
              </w:rPr>
              <w:t>其他成分</w:t>
            </w:r>
            <w:r>
              <w:rPr>
                <w:rFonts w:hint="eastAsia" w:cs="Times New Roman"/>
                <w:color w:val="auto"/>
                <w:sz w:val="24"/>
                <w:lang w:val="en-US" w:eastAsia="zh-CN"/>
              </w:rPr>
              <w:t>12049</w:t>
            </w:r>
            <w:r>
              <w:rPr>
                <w:rFonts w:hint="default" w:ascii="Times New Roman" w:hAnsi="Times New Roman" w:eastAsia="宋体" w:cs="Times New Roman"/>
                <w:color w:val="auto"/>
                <w:sz w:val="24"/>
                <w:lang w:val="en-US" w:eastAsia="zh-CN"/>
              </w:rPr>
              <w:t>t/a、污泥：955.3t/a、炉渣：</w:t>
            </w:r>
            <w:r>
              <w:rPr>
                <w:rFonts w:hint="eastAsia" w:cs="Times New Roman"/>
                <w:color w:val="auto"/>
                <w:sz w:val="24"/>
                <w:lang w:val="en-US" w:eastAsia="zh-CN"/>
              </w:rPr>
              <w:t>3840</w:t>
            </w:r>
            <w:r>
              <w:rPr>
                <w:rFonts w:hint="default" w:ascii="Times New Roman" w:hAnsi="Times New Roman" w:eastAsia="宋体" w:cs="Times New Roman"/>
                <w:color w:val="auto"/>
                <w:sz w:val="24"/>
                <w:lang w:val="en-US" w:eastAsia="zh-CN"/>
              </w:rPr>
              <w:t>t/a，危险废物：废树脂</w:t>
            </w:r>
            <w:r>
              <w:rPr>
                <w:rFonts w:hint="default" w:ascii="Times New Roman" w:hAnsi="Times New Roman" w:cs="Times New Roman"/>
                <w:color w:val="auto"/>
                <w:sz w:val="24"/>
                <w:lang w:val="en-US" w:eastAsia="zh-CN"/>
              </w:rPr>
              <w:t>9.522</w:t>
            </w:r>
            <w:r>
              <w:rPr>
                <w:rFonts w:hint="default" w:ascii="Times New Roman" w:hAnsi="Times New Roman" w:eastAsia="宋体" w:cs="Times New Roman"/>
                <w:color w:val="auto"/>
                <w:sz w:val="24"/>
                <w:lang w:val="en-US" w:eastAsia="zh-CN"/>
              </w:rPr>
              <w:t>t/a</w:t>
            </w:r>
            <w:r>
              <w:rPr>
                <w:rFonts w:hint="default" w:ascii="Times New Roman" w:hAnsi="Times New Roman" w:cs="Times New Roman"/>
                <w:color w:val="auto"/>
                <w:sz w:val="24"/>
                <w:lang w:val="en-US" w:eastAsia="zh-CN"/>
              </w:rPr>
              <w:t>（原有项目离子交换树脂共使用24个储罐，每个储罐离子交换树脂量为2t，离子交换树脂损耗量为0.5%，每次更换离子交换树脂时废树脂产生量为47.76t，离子交换树脂每5年更换一次，废树脂产生量为9.552t/a，</w:t>
            </w:r>
            <w:r>
              <w:rPr>
                <w:rFonts w:hint="eastAsia" w:ascii="Times New Roman" w:hAnsi="Times New Roman" w:cs="Times New Roman"/>
                <w:color w:val="auto"/>
                <w:sz w:val="24"/>
                <w:lang w:val="en-US" w:eastAsia="zh-CN"/>
              </w:rPr>
              <w:t>项目废树脂不属于</w:t>
            </w:r>
            <w:r>
              <w:rPr>
                <w:rFonts w:hint="eastAsia" w:ascii="Times New Roman" w:hAnsi="Times New Roman" w:eastAsia="宋体" w:cs="Times New Roman"/>
                <w:color w:val="auto"/>
                <w:sz w:val="24"/>
                <w:lang w:val="en-US" w:eastAsia="zh-CN"/>
              </w:rPr>
              <w:t>《国家危险废物名录（2025年版）》中树脂类危险废物</w:t>
            </w:r>
            <w:r>
              <w:rPr>
                <w:rFonts w:hint="default" w:ascii="Times New Roman" w:hAnsi="Times New Roman" w:cs="Times New Roman"/>
                <w:color w:val="auto"/>
                <w:sz w:val="24"/>
                <w:lang w:val="en-US" w:eastAsia="zh-CN"/>
              </w:rPr>
              <w:t>）</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脱色</w:t>
            </w:r>
            <w:r>
              <w:rPr>
                <w:rFonts w:hint="default" w:ascii="Times New Roman" w:hAnsi="Times New Roman" w:eastAsia="宋体" w:cs="Times New Roman"/>
                <w:color w:val="auto"/>
                <w:sz w:val="24"/>
                <w:lang w:val="en-US" w:eastAsia="zh-CN"/>
              </w:rPr>
              <w:t>废活性炭</w:t>
            </w:r>
            <w:r>
              <w:rPr>
                <w:rFonts w:hint="default" w:ascii="Times New Roman" w:hAnsi="Times New Roman" w:cs="Times New Roman"/>
                <w:color w:val="auto"/>
                <w:sz w:val="24"/>
                <w:lang w:val="en-US" w:eastAsia="zh-CN"/>
              </w:rPr>
              <w:t>240</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根据《国家危险废物名录（2025年版）》，</w:t>
            </w:r>
            <w:r>
              <w:rPr>
                <w:rFonts w:hint="eastAsia" w:cs="Times New Roman"/>
                <w:color w:val="auto"/>
                <w:sz w:val="24"/>
                <w:lang w:val="en-US" w:eastAsia="zh-CN"/>
              </w:rPr>
              <w:t>烟气、VOCs治理过程（不包括餐饮行业油烟治理过程）产生的废活性炭，化学原料和化学制品脱色（不包括有机合成食品添加剂脱色）、除杂、净化过程产生的废活性炭（不包括 900-405-06、772-005-18、261-053-29,265-002-29、384-003-29、387-001-29 类危险废物），原有项目脱色不属于化学原料和化学制品脱色的废活性炭，故按照一般固废处理）</w:t>
            </w:r>
            <w:r>
              <w:rPr>
                <w:rFonts w:hint="default" w:ascii="Times New Roman" w:hAnsi="Times New Roman" w:eastAsia="宋体" w:cs="Times New Roman"/>
                <w:color w:val="auto"/>
                <w:sz w:val="24"/>
                <w:lang w:val="en-US" w:eastAsia="zh-CN"/>
              </w:rPr>
              <w:t>、实验室废液</w:t>
            </w:r>
            <w:r>
              <w:rPr>
                <w:rFonts w:hint="default" w:ascii="Times New Roman" w:hAnsi="Times New Roman" w:cs="Times New Roman"/>
                <w:color w:val="auto"/>
                <w:sz w:val="24"/>
                <w:lang w:val="en-US" w:eastAsia="zh-CN"/>
              </w:rPr>
              <w:t>2.56</w:t>
            </w:r>
            <w:r>
              <w:rPr>
                <w:rFonts w:hint="default" w:ascii="Times New Roman" w:hAnsi="Times New Roman" w:eastAsia="宋体" w:cs="Times New Roman"/>
                <w:color w:val="auto"/>
                <w:sz w:val="24"/>
                <w:lang w:val="en-US" w:eastAsia="zh-CN"/>
              </w:rPr>
              <w:t>t/a、实验室废试剂空瓶0.015t/a，生活垃圾</w:t>
            </w:r>
            <w:r>
              <w:rPr>
                <w:rFonts w:hint="default" w:ascii="Times New Roman" w:hAnsi="Times New Roman" w:cs="Times New Roman"/>
                <w:color w:val="auto"/>
                <w:sz w:val="24"/>
                <w:lang w:val="en-US" w:eastAsia="zh-CN"/>
              </w:rPr>
              <w:t>17.6</w:t>
            </w:r>
            <w:r>
              <w:rPr>
                <w:rFonts w:hint="default" w:ascii="Times New Roman" w:hAnsi="Times New Roman" w:eastAsia="宋体" w:cs="Times New Roman"/>
                <w:color w:val="auto"/>
                <w:sz w:val="24"/>
                <w:lang w:val="en-US" w:eastAsia="zh-CN"/>
              </w:rPr>
              <w:t>t/a。</w:t>
            </w:r>
          </w:p>
          <w:p w14:paraId="0C0B5B46">
            <w:pPr>
              <w:keepNext w:val="0"/>
              <w:keepLines w:val="0"/>
              <w:suppressLineNumbers w:val="0"/>
              <w:bidi w:val="0"/>
              <w:spacing w:before="0" w:beforeAutospacing="0" w:after="0" w:afterAutospacing="0"/>
              <w:ind w:left="0" w:right="0"/>
              <w:rPr>
                <w:rFonts w:hint="eastAsia"/>
                <w:b/>
                <w:bCs/>
                <w:color w:val="auto"/>
                <w:lang w:val="en-US" w:eastAsia="zh-CN"/>
              </w:rPr>
            </w:pPr>
            <w:r>
              <w:rPr>
                <w:rFonts w:hint="eastAsia"/>
                <w:b/>
                <w:bCs/>
                <w:color w:val="auto"/>
                <w:sz w:val="24"/>
                <w:szCs w:val="24"/>
                <w:lang w:val="en-US" w:eastAsia="zh-CN"/>
              </w:rPr>
              <w:t>5、</w:t>
            </w:r>
            <w:r>
              <w:rPr>
                <w:rFonts w:hint="eastAsia"/>
                <w:b/>
                <w:bCs/>
                <w:color w:val="auto"/>
                <w:lang w:val="en-US" w:eastAsia="zh-CN"/>
              </w:rPr>
              <w:t>原有项目以新代老措施</w:t>
            </w:r>
          </w:p>
          <w:p w14:paraId="58E9DEFB">
            <w:pPr>
              <w:keepNext w:val="0"/>
              <w:keepLines w:val="0"/>
              <w:suppressLineNumbers w:val="0"/>
              <w:bidi w:val="0"/>
              <w:spacing w:before="0" w:beforeAutospacing="0" w:after="0" w:afterAutospacing="0" w:line="360" w:lineRule="auto"/>
              <w:ind w:left="0" w:right="0"/>
              <w:rPr>
                <w:rFonts w:hint="eastAsia"/>
                <w:color w:val="auto"/>
                <w:lang w:val="en-US" w:eastAsia="zh-CN"/>
              </w:rPr>
            </w:pPr>
            <w:r>
              <w:rPr>
                <w:rFonts w:hint="eastAsia"/>
                <w:color w:val="auto"/>
                <w:lang w:val="en-US" w:eastAsia="zh-CN"/>
              </w:rPr>
              <w:t>原有高麦糖浆与果葡糖浆生产线投料前增加色选工艺，企业通过色选工艺提前去除不合格中碎米，不合格品率约为5%，企业技改前需加工96000吨中碎米，增加色选后，高麦糖浆与果葡糖浆生产线仅需加工91320t精选中碎米，因此浓缩等工序加工物料减少约5%。企业采用以新代老措施后糖浆生产线污染物排放情况如下：</w:t>
            </w:r>
          </w:p>
          <w:p w14:paraId="4F8320E7">
            <w:pPr>
              <w:keepNext w:val="0"/>
              <w:keepLines w:val="0"/>
              <w:suppressLineNumbers w:val="0"/>
              <w:tabs>
                <w:tab w:val="left" w:pos="365"/>
              </w:tabs>
              <w:bidi w:val="0"/>
              <w:spacing w:before="0" w:beforeAutospacing="0" w:after="0" w:afterAutospacing="0" w:line="360" w:lineRule="auto"/>
              <w:ind w:left="0" w:right="0"/>
              <w:rPr>
                <w:rFonts w:hint="default" w:ascii="Times New Roman" w:hAnsi="Times New Roman" w:eastAsia="宋体" w:cs="Times New Roman"/>
                <w:b/>
                <w:bCs/>
                <w:color w:val="auto"/>
                <w:lang w:val="en-US" w:eastAsia="zh-CN"/>
              </w:rPr>
            </w:pPr>
            <w:r>
              <w:rPr>
                <w:rFonts w:hint="eastAsia" w:cs="Times New Roman"/>
                <w:b/>
                <w:bCs/>
                <w:color w:val="auto"/>
                <w:lang w:val="en-US" w:eastAsia="zh-CN"/>
              </w:rPr>
              <w:t>原有项目技改后</w:t>
            </w:r>
            <w:r>
              <w:rPr>
                <w:rFonts w:hint="eastAsia" w:ascii="Times New Roman" w:hAnsi="Times New Roman" w:eastAsia="宋体" w:cs="Times New Roman"/>
                <w:b/>
                <w:bCs/>
                <w:color w:val="auto"/>
                <w:lang w:val="en-US" w:eastAsia="zh-CN"/>
              </w:rPr>
              <w:t>废气</w:t>
            </w:r>
            <w:r>
              <w:rPr>
                <w:rFonts w:hint="eastAsia" w:cs="Times New Roman"/>
                <w:b/>
                <w:bCs/>
                <w:color w:val="auto"/>
                <w:lang w:val="en-US" w:eastAsia="zh-CN"/>
              </w:rPr>
              <w:t>排放情况</w:t>
            </w:r>
          </w:p>
          <w:p w14:paraId="77E7F6E0">
            <w:pPr>
              <w:pStyle w:val="37"/>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现有</w:t>
            </w:r>
            <w:r>
              <w:rPr>
                <w:rFonts w:hint="default" w:ascii="Times New Roman" w:hAnsi="Times New Roman" w:cs="Times New Roman"/>
                <w:color w:val="auto"/>
                <w:lang w:val="en-US" w:eastAsia="zh-CN"/>
              </w:rPr>
              <w:t>高麦糖浆与果葡糖浆生产线投料前增加色选工艺，企业通过色选工艺提前去除不合格中碎米，不合格品率约为5%，企业技改前需加工96000吨中碎米，增加色选后，高麦糖浆与果葡糖浆生产线仅需加工91320t精选中碎米，因为浓缩等工序加工物料减少约5%，项目所需蒸汽量减少0.5t/h</w:t>
            </w:r>
            <w:r>
              <w:rPr>
                <w:rFonts w:hint="eastAsia" w:ascii="Times New Roman" w:hAnsi="Times New Roman" w:cs="Times New Roman"/>
                <w:color w:val="auto"/>
                <w:lang w:val="en-US" w:eastAsia="zh-CN"/>
              </w:rPr>
              <w:t>，</w:t>
            </w:r>
            <w:r>
              <w:rPr>
                <w:rFonts w:hint="eastAsia" w:ascii="Times New Roman" w:hAnsi="Times New Roman" w:eastAsia="宋体" w:cs="Times New Roman"/>
                <w:color w:val="auto"/>
                <w:lang w:val="en-US" w:eastAsia="zh-CN"/>
              </w:rPr>
              <w:t>技改后</w:t>
            </w:r>
            <w:r>
              <w:rPr>
                <w:rFonts w:hint="default" w:ascii="Times New Roman" w:hAnsi="Times New Roman" w:cs="Times New Roman"/>
                <w:color w:val="auto"/>
                <w:lang w:val="en-US" w:eastAsia="zh-CN"/>
              </w:rPr>
              <w:t>高麦糖浆与果葡糖浆生产线</w:t>
            </w:r>
            <w:r>
              <w:rPr>
                <w:rFonts w:hint="eastAsia" w:ascii="Times New Roman" w:hAnsi="Times New Roman" w:eastAsia="宋体" w:cs="Times New Roman"/>
                <w:color w:val="auto"/>
                <w:lang w:val="en-US" w:eastAsia="zh-CN"/>
              </w:rPr>
              <w:t>每小时使用9.5t蒸汽</w:t>
            </w:r>
            <w:r>
              <w:rPr>
                <w:rFonts w:hint="default" w:ascii="Times New Roman" w:hAnsi="Times New Roman" w:eastAsia="宋体" w:cs="Times New Roman"/>
                <w:color w:val="auto"/>
                <w:lang w:val="en-US" w:eastAsia="zh-CN"/>
              </w:rPr>
              <w:t>，年耗</w:t>
            </w:r>
            <w:r>
              <w:rPr>
                <w:rFonts w:hint="eastAsia" w:ascii="Times New Roman" w:hAnsi="Times New Roman" w:eastAsia="宋体" w:cs="Times New Roman"/>
                <w:color w:val="auto"/>
                <w:lang w:val="en-US" w:eastAsia="zh-CN"/>
              </w:rPr>
              <w:t>生物质</w:t>
            </w:r>
            <w:r>
              <w:rPr>
                <w:rFonts w:hint="eastAsia" w:ascii="Times New Roman" w:hAnsi="Times New Roman" w:eastAsia="宋体" w:cs="Times New Roman"/>
                <w:color w:val="auto"/>
                <w:sz w:val="24"/>
                <w:szCs w:val="24"/>
                <w:lang w:val="en-US" w:eastAsia="zh-CN"/>
              </w:rPr>
              <w:t>量为</w:t>
            </w:r>
            <w:r>
              <w:rPr>
                <w:rFonts w:hint="eastAsia" w:ascii="Times New Roman" w:hAnsi="Times New Roman" w:eastAsia="宋体" w:cs="Times New Roman"/>
                <w:color w:val="auto"/>
                <w:lang w:val="en-US" w:eastAsia="zh-CN"/>
              </w:rPr>
              <w:t>18240</w:t>
            </w:r>
            <w:r>
              <w:rPr>
                <w:rFonts w:hint="default" w:ascii="Times New Roman" w:hAnsi="Times New Roman" w:eastAsia="宋体" w:cs="Times New Roman"/>
                <w:color w:val="auto"/>
                <w:lang w:val="en-US" w:eastAsia="zh-CN"/>
              </w:rPr>
              <w:t>t</w:t>
            </w:r>
            <w:r>
              <w:rPr>
                <w:rFonts w:hint="default" w:ascii="Times New Roman" w:hAnsi="Times New Roman" w:eastAsia="宋体" w:cs="Times New Roman"/>
                <w:color w:val="auto"/>
                <w:sz w:val="24"/>
                <w:szCs w:val="24"/>
                <w:lang w:val="en-US" w:eastAsia="zh-CN"/>
              </w:rPr>
              <w:t>。参照《排放源统计调查产排污核算方法和系数手册》“4430工业锅炉（热力供应）行业系数手册”中“4430工业锅炉（热力生产和供应行业）产污系数表-生物质工业锅炉”</w:t>
            </w:r>
            <w:r>
              <w:rPr>
                <w:rFonts w:hint="eastAsia" w:ascii="Times New Roman" w:hAnsi="Times New Roman" w:eastAsia="宋体" w:cs="Times New Roman"/>
                <w:color w:val="auto"/>
                <w:sz w:val="24"/>
                <w:szCs w:val="24"/>
                <w:lang w:val="en-US" w:eastAsia="zh-CN"/>
              </w:rPr>
              <w:t>，颗粒物</w:t>
            </w:r>
            <w:r>
              <w:rPr>
                <w:rFonts w:hint="default" w:ascii="Times New Roman" w:hAnsi="Times New Roman" w:eastAsia="宋体" w:cs="Times New Roman"/>
                <w:color w:val="auto"/>
                <w:sz w:val="24"/>
                <w:szCs w:val="24"/>
                <w:lang w:val="en-US" w:eastAsia="zh-CN"/>
              </w:rPr>
              <w:t>产生</w:t>
            </w:r>
            <w:r>
              <w:rPr>
                <w:rFonts w:hint="eastAsia" w:ascii="Times New Roman" w:hAnsi="Times New Roman" w:eastAsia="宋体" w:cs="Times New Roman"/>
                <w:color w:val="auto"/>
                <w:sz w:val="24"/>
                <w:szCs w:val="24"/>
                <w:highlight w:val="none"/>
                <w:vertAlign w:val="baseline"/>
                <w:lang w:val="en-US" w:eastAsia="zh-CN"/>
              </w:rPr>
              <w:t>系数为0.5</w:t>
            </w:r>
            <w:r>
              <w:rPr>
                <w:rFonts w:hint="default"/>
                <w:color w:val="auto"/>
              </w:rPr>
              <w:t>千克/吨-原料</w:t>
            </w:r>
            <w:r>
              <w:rPr>
                <w:rFonts w:hint="eastAsia"/>
                <w:color w:val="auto"/>
                <w:lang w:eastAsia="zh-CN"/>
              </w:rPr>
              <w:t>、</w:t>
            </w:r>
            <w:r>
              <w:rPr>
                <w:rFonts w:hint="default" w:ascii="Times New Roman" w:hAnsi="Times New Roman" w:eastAsia="宋体" w:cs="Times New Roman"/>
                <w:color w:val="auto"/>
                <w:sz w:val="24"/>
                <w:szCs w:val="24"/>
                <w:highlight w:val="none"/>
                <w:vertAlign w:val="baseline"/>
                <w:lang w:val="en-US" w:eastAsia="zh-CN"/>
              </w:rPr>
              <w:t>SO₂产生</w:t>
            </w:r>
            <w:r>
              <w:rPr>
                <w:rFonts w:hint="eastAsia" w:ascii="Times New Roman" w:hAnsi="Times New Roman" w:eastAsia="宋体" w:cs="Times New Roman"/>
                <w:color w:val="auto"/>
                <w:sz w:val="24"/>
                <w:szCs w:val="24"/>
                <w:highlight w:val="none"/>
                <w:vertAlign w:val="baseline"/>
                <w:lang w:val="en-US" w:eastAsia="zh-CN"/>
              </w:rPr>
              <w:t>系数为17S（S=0.02）</w:t>
            </w:r>
            <w:r>
              <w:rPr>
                <w:rFonts w:hint="default"/>
                <w:color w:val="auto"/>
              </w:rPr>
              <w:t>千克/吨-原料</w:t>
            </w:r>
            <w:r>
              <w:rPr>
                <w:rFonts w:hint="eastAsia"/>
                <w:color w:val="auto"/>
                <w:lang w:eastAsia="zh-CN"/>
              </w:rPr>
              <w:t>、</w:t>
            </w:r>
            <w:r>
              <w:rPr>
                <w:rFonts w:hint="default" w:ascii="Times New Roman" w:hAnsi="Times New Roman" w:eastAsia="宋体" w:cs="Times New Roman"/>
                <w:color w:val="auto"/>
                <w:sz w:val="24"/>
                <w:szCs w:val="24"/>
                <w:highlight w:val="none"/>
                <w:lang w:val="en-US" w:eastAsia="zh-CN"/>
              </w:rPr>
              <w:t>NO</w:t>
            </w:r>
            <w:r>
              <w:rPr>
                <w:rFonts w:hint="default" w:ascii="Times New Roman" w:hAnsi="Times New Roman" w:eastAsia="宋体" w:cs="Times New Roman"/>
                <w:color w:val="auto"/>
                <w:sz w:val="24"/>
                <w:szCs w:val="24"/>
                <w:highlight w:val="none"/>
                <w:vertAlign w:val="subscript"/>
                <w:lang w:val="en-US" w:eastAsia="zh-CN"/>
              </w:rPr>
              <w:t>X</w:t>
            </w:r>
            <w:r>
              <w:rPr>
                <w:rFonts w:hint="default" w:ascii="Times New Roman" w:hAnsi="Times New Roman" w:eastAsia="宋体" w:cs="Times New Roman"/>
                <w:color w:val="auto"/>
                <w:sz w:val="24"/>
                <w:szCs w:val="24"/>
                <w:highlight w:val="none"/>
                <w:vertAlign w:val="baseline"/>
                <w:lang w:val="en-US" w:eastAsia="zh-CN"/>
              </w:rPr>
              <w:t>产生</w:t>
            </w:r>
            <w:r>
              <w:rPr>
                <w:rFonts w:hint="eastAsia" w:ascii="Times New Roman" w:hAnsi="Times New Roman" w:eastAsia="宋体" w:cs="Times New Roman"/>
                <w:color w:val="auto"/>
                <w:sz w:val="24"/>
                <w:szCs w:val="24"/>
                <w:highlight w:val="none"/>
                <w:vertAlign w:val="baseline"/>
                <w:lang w:val="en-US" w:eastAsia="zh-CN"/>
              </w:rPr>
              <w:t>系数为1.02</w:t>
            </w:r>
            <w:r>
              <w:rPr>
                <w:rFonts w:hint="default"/>
                <w:color w:val="auto"/>
              </w:rPr>
              <w:t>千克/吨-原料</w:t>
            </w:r>
            <w:r>
              <w:rPr>
                <w:rFonts w:hint="eastAsia"/>
                <w:color w:val="auto"/>
                <w:lang w:eastAsia="zh-CN"/>
              </w:rPr>
              <w:t>、</w:t>
            </w:r>
            <w:r>
              <w:rPr>
                <w:rFonts w:hint="eastAsia" w:ascii="Times New Roman" w:hAnsi="Times New Roman" w:cs="Times New Roman"/>
                <w:color w:val="auto"/>
                <w:lang w:eastAsia="zh-CN"/>
              </w:rPr>
              <w:t>工业废气量产生系数为</w:t>
            </w:r>
            <w:r>
              <w:rPr>
                <w:rFonts w:hint="default" w:ascii="Times New Roman" w:hAnsi="Times New Roman" w:cs="Times New Roman"/>
                <w:color w:val="auto"/>
                <w:lang w:val="en-US" w:eastAsia="zh-CN"/>
              </w:rPr>
              <w:t>6240</w:t>
            </w:r>
            <w:r>
              <w:rPr>
                <w:rFonts w:hint="default" w:ascii="Times New Roman" w:hAnsi="Times New Roman" w:cs="Times New Roman"/>
                <w:color w:val="auto"/>
              </w:rPr>
              <w:t>标立方米/吨-原料</w:t>
            </w:r>
            <w:r>
              <w:rPr>
                <w:rFonts w:hint="default" w:ascii="Times New Roman" w:hAnsi="Times New Roman" w:eastAsia="宋体" w:cs="Times New Roman"/>
                <w:color w:val="auto"/>
                <w:sz w:val="24"/>
                <w:szCs w:val="24"/>
                <w:highlight w:val="none"/>
                <w:vertAlign w:val="baseline"/>
                <w:lang w:val="en-US" w:eastAsia="zh-CN"/>
              </w:rPr>
              <w:t>，烟气量为113817600标立</w:t>
            </w:r>
            <w:r>
              <w:rPr>
                <w:rFonts w:hint="default" w:ascii="Times New Roman" w:hAnsi="Times New Roman" w:cs="Times New Roman"/>
                <w:color w:val="auto"/>
              </w:rPr>
              <w:t>方米</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项目锅炉烟气采用布袋除尘器处理，颗粒物处理效率以99%计</w:t>
            </w:r>
            <w:r>
              <w:rPr>
                <w:rFonts w:hint="default" w:ascii="Times New Roman" w:hAnsi="Times New Roman" w:eastAsia="宋体" w:cs="Times New Roman"/>
                <w:color w:val="auto"/>
                <w:lang w:val="en-US" w:eastAsia="zh-CN"/>
              </w:rPr>
              <w:t>。原有项目锅炉废气排放情况见下表。</w:t>
            </w:r>
          </w:p>
          <w:p w14:paraId="00B330FF">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eastAsia" w:cs="Times New Roman"/>
                <w:b/>
                <w:color w:val="auto"/>
                <w:kern w:val="0"/>
                <w:sz w:val="24"/>
                <w:szCs w:val="24"/>
                <w:lang w:val="en-US" w:eastAsia="zh-CN" w:bidi="ar-SA"/>
              </w:rPr>
              <w:t>技改后</w:t>
            </w:r>
            <w:r>
              <w:rPr>
                <w:rFonts w:hint="default" w:ascii="Times New Roman" w:hAnsi="Times New Roman" w:eastAsia="宋体" w:cs="Times New Roman"/>
                <w:b/>
                <w:color w:val="auto"/>
                <w:kern w:val="0"/>
                <w:sz w:val="24"/>
                <w:szCs w:val="24"/>
                <w:lang w:val="en-US" w:eastAsia="zh-CN" w:bidi="ar-SA"/>
              </w:rPr>
              <w:t>废气污染物排放情况表</w:t>
            </w:r>
          </w:p>
          <w:p w14:paraId="6F4AEF80">
            <w:pPr>
              <w:keepNext w:val="0"/>
              <w:keepLines w:val="0"/>
              <w:suppressLineNumbers w:val="0"/>
              <w:spacing w:before="0" w:beforeAutospacing="0" w:after="0" w:afterAutospacing="0" w:line="30" w:lineRule="exact"/>
              <w:ind w:left="0" w:right="0"/>
              <w:rPr>
                <w:rFonts w:hint="default" w:ascii="Times New Roman" w:hAnsi="Times New Roman" w:cs="Times New Roman"/>
                <w:color w:val="auto"/>
              </w:rPr>
            </w:pPr>
          </w:p>
          <w:tbl>
            <w:tblPr>
              <w:tblStyle w:val="116"/>
              <w:tblW w:w="7498" w:type="dxa"/>
              <w:tblInd w:w="1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5"/>
              <w:gridCol w:w="854"/>
              <w:gridCol w:w="776"/>
              <w:gridCol w:w="574"/>
              <w:gridCol w:w="574"/>
              <w:gridCol w:w="574"/>
              <w:gridCol w:w="574"/>
              <w:gridCol w:w="574"/>
              <w:gridCol w:w="574"/>
              <w:gridCol w:w="580"/>
              <w:gridCol w:w="929"/>
            </w:tblGrid>
            <w:tr w14:paraId="12241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15" w:type="dxa"/>
                  <w:vMerge w:val="restart"/>
                  <w:tcBorders>
                    <w:bottom w:val="nil"/>
                  </w:tcBorders>
                  <w:vAlign w:val="center"/>
                </w:tcPr>
                <w:p w14:paraId="7BE7ECF3">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废气</w:t>
                  </w:r>
                </w:p>
                <w:p w14:paraId="2D6E13D9">
                  <w:pPr>
                    <w:pStyle w:val="61"/>
                    <w:bidi w:val="0"/>
                    <w:jc w:val="center"/>
                    <w:rPr>
                      <w:rFonts w:hint="default" w:ascii="Times New Roman" w:hAnsi="Times New Roman" w:cs="Times New Roman"/>
                      <w:color w:val="auto"/>
                    </w:rPr>
                  </w:pPr>
                  <w:r>
                    <w:rPr>
                      <w:rFonts w:hint="default" w:ascii="Times New Roman" w:hAnsi="Times New Roman" w:cs="Times New Roman"/>
                      <w:color w:val="auto"/>
                    </w:rPr>
                    <w:t>名称</w:t>
                  </w:r>
                </w:p>
              </w:tc>
              <w:tc>
                <w:tcPr>
                  <w:tcW w:w="854" w:type="dxa"/>
                  <w:vMerge w:val="restart"/>
                  <w:tcBorders>
                    <w:bottom w:val="nil"/>
                  </w:tcBorders>
                  <w:vAlign w:val="center"/>
                </w:tcPr>
                <w:p w14:paraId="17F14DA7">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烟气量</w:t>
                  </w:r>
                </w:p>
                <w:p w14:paraId="1C0DCE29">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h</w:t>
                  </w:r>
                  <w:r>
                    <w:rPr>
                      <w:rFonts w:hint="eastAsia" w:cs="Times New Roman"/>
                      <w:color w:val="auto"/>
                      <w:lang w:eastAsia="zh-CN"/>
                    </w:rPr>
                    <w:t>)</w:t>
                  </w:r>
                </w:p>
              </w:tc>
              <w:tc>
                <w:tcPr>
                  <w:tcW w:w="5729" w:type="dxa"/>
                  <w:gridSpan w:val="9"/>
                  <w:vAlign w:val="center"/>
                </w:tcPr>
                <w:p w14:paraId="018B77F7">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污染物排放情况</w:t>
                  </w:r>
                </w:p>
              </w:tc>
            </w:tr>
            <w:tr w14:paraId="5704F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rPr>
              <w:tc>
                <w:tcPr>
                  <w:tcW w:w="915" w:type="dxa"/>
                  <w:vMerge w:val="continue"/>
                  <w:tcBorders>
                    <w:top w:val="nil"/>
                    <w:bottom w:val="nil"/>
                  </w:tcBorders>
                  <w:vAlign w:val="center"/>
                </w:tcPr>
                <w:p w14:paraId="26E3016C">
                  <w:pPr>
                    <w:pStyle w:val="61"/>
                    <w:bidi w:val="0"/>
                    <w:jc w:val="center"/>
                    <w:rPr>
                      <w:rFonts w:hint="default" w:ascii="Times New Roman" w:hAnsi="Times New Roman" w:cs="Times New Roman"/>
                      <w:color w:val="auto"/>
                    </w:rPr>
                  </w:pPr>
                </w:p>
              </w:tc>
              <w:tc>
                <w:tcPr>
                  <w:tcW w:w="854" w:type="dxa"/>
                  <w:vMerge w:val="continue"/>
                  <w:tcBorders>
                    <w:top w:val="nil"/>
                    <w:bottom w:val="nil"/>
                  </w:tcBorders>
                  <w:vAlign w:val="center"/>
                </w:tcPr>
                <w:p w14:paraId="499A817F">
                  <w:pPr>
                    <w:pStyle w:val="61"/>
                    <w:bidi w:val="0"/>
                    <w:jc w:val="center"/>
                    <w:rPr>
                      <w:rFonts w:hint="default" w:ascii="Times New Roman" w:hAnsi="Times New Roman" w:cs="Times New Roman"/>
                      <w:color w:val="auto"/>
                    </w:rPr>
                  </w:pPr>
                </w:p>
              </w:tc>
              <w:tc>
                <w:tcPr>
                  <w:tcW w:w="776" w:type="dxa"/>
                  <w:tcBorders>
                    <w:bottom w:val="nil"/>
                  </w:tcBorders>
                  <w:vAlign w:val="center"/>
                </w:tcPr>
                <w:p w14:paraId="47840CB3">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污染物名称</w:t>
                  </w:r>
                </w:p>
              </w:tc>
              <w:tc>
                <w:tcPr>
                  <w:tcW w:w="574" w:type="dxa"/>
                  <w:tcBorders>
                    <w:bottom w:val="nil"/>
                  </w:tcBorders>
                  <w:vAlign w:val="center"/>
                </w:tcPr>
                <w:p w14:paraId="3623BC8B">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39CD7C86">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07638050">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排放</w:t>
                  </w:r>
                  <w:r>
                    <w:rPr>
                      <w:rFonts w:hint="eastAsia" w:cs="Times New Roman"/>
                      <w:color w:val="auto"/>
                      <w:lang w:val="en-US" w:eastAsia="zh-CN"/>
                    </w:rPr>
                    <w:t>速率</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74" w:type="dxa"/>
                  <w:vAlign w:val="center"/>
                </w:tcPr>
                <w:p w14:paraId="05A5E633">
                  <w:pPr>
                    <w:pStyle w:val="61"/>
                    <w:bidi w:val="0"/>
                    <w:jc w:val="both"/>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574" w:type="dxa"/>
                  <w:vAlign w:val="center"/>
                </w:tcPr>
                <w:p w14:paraId="6CBF529D">
                  <w:pPr>
                    <w:pStyle w:val="61"/>
                    <w:bidi w:val="0"/>
                    <w:jc w:val="center"/>
                    <w:rPr>
                      <w:rFonts w:hint="default" w:ascii="Times New Roman" w:hAnsi="Times New Roman" w:cs="Times New Roman"/>
                      <w:color w:val="auto"/>
                    </w:rPr>
                  </w:pPr>
                  <w:r>
                    <w:rPr>
                      <w:rFonts w:hint="default" w:ascii="Times New Roman" w:hAnsi="Times New Roman" w:cs="Times New Roman"/>
                      <w:color w:val="auto"/>
                    </w:rPr>
                    <w:t>处理</w:t>
                  </w:r>
                </w:p>
                <w:p w14:paraId="6FC32AB4">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效率</w:t>
                  </w:r>
                </w:p>
              </w:tc>
              <w:tc>
                <w:tcPr>
                  <w:tcW w:w="574" w:type="dxa"/>
                  <w:tcBorders>
                    <w:bottom w:val="nil"/>
                  </w:tcBorders>
                  <w:vAlign w:val="center"/>
                </w:tcPr>
                <w:p w14:paraId="3EE7FCF4">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2AC5E4FC">
                  <w:pPr>
                    <w:pStyle w:val="61"/>
                    <w:bidi w:val="0"/>
                    <w:ind w:firstLine="0" w:firstLineChars="0"/>
                    <w:jc w:val="center"/>
                    <w:rPr>
                      <w:rFonts w:hint="default" w:ascii="Times New Roman" w:hAnsi="Times New Roman" w:cs="Times New Roman"/>
                      <w:color w:val="auto"/>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5C699E90">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 xml:space="preserve">排放浓度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80" w:type="dxa"/>
                  <w:tcBorders>
                    <w:bottom w:val="nil"/>
                  </w:tcBorders>
                  <w:vAlign w:val="center"/>
                </w:tcPr>
                <w:p w14:paraId="234C25DD">
                  <w:pPr>
                    <w:pStyle w:val="61"/>
                    <w:bidi w:val="0"/>
                    <w:ind w:firstLine="0" w:firstLineChars="0"/>
                    <w:jc w:val="both"/>
                    <w:rPr>
                      <w:rFonts w:hint="default" w:ascii="Times New Roman" w:hAnsi="Times New Roman" w:cs="Times New Roman"/>
                      <w:color w:val="auto"/>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929" w:type="dxa"/>
                  <w:tcBorders>
                    <w:bottom w:val="nil"/>
                  </w:tcBorders>
                  <w:vAlign w:val="center"/>
                </w:tcPr>
                <w:p w14:paraId="6F395452">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排放标准 </w:t>
                  </w:r>
                  <w:r>
                    <w:rPr>
                      <w:rFonts w:hint="default" w:ascii="Times New Roman" w:hAnsi="Times New Roman"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eastAsia="zh-CN"/>
                    </w:rPr>
                    <w:t>）</w:t>
                  </w:r>
                </w:p>
              </w:tc>
            </w:tr>
            <w:tr w14:paraId="4FF1F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15" w:type="dxa"/>
                  <w:vMerge w:val="restart"/>
                  <w:vAlign w:val="center"/>
                </w:tcPr>
                <w:p w14:paraId="5F27EE2C">
                  <w:pPr>
                    <w:pStyle w:val="61"/>
                    <w:bidi w:val="0"/>
                    <w:jc w:val="center"/>
                    <w:rPr>
                      <w:rFonts w:hint="default" w:ascii="Times New Roman" w:hAnsi="Times New Roman" w:cs="Times New Roman"/>
                      <w:color w:val="auto"/>
                    </w:rPr>
                  </w:pPr>
                  <w:r>
                    <w:rPr>
                      <w:rFonts w:hint="default" w:ascii="Times New Roman" w:hAnsi="Times New Roman" w:cs="Times New Roman"/>
                      <w:color w:val="auto"/>
                    </w:rPr>
                    <w:t>锅炉烟气</w:t>
                  </w:r>
                </w:p>
              </w:tc>
              <w:tc>
                <w:tcPr>
                  <w:tcW w:w="854" w:type="dxa"/>
                  <w:vMerge w:val="restart"/>
                  <w:vAlign w:val="center"/>
                </w:tcPr>
                <w:p w14:paraId="4AD0296F">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14820</w:t>
                  </w:r>
                </w:p>
              </w:tc>
              <w:tc>
                <w:tcPr>
                  <w:tcW w:w="776" w:type="dxa"/>
                  <w:vAlign w:val="center"/>
                </w:tcPr>
                <w:p w14:paraId="51EDEBDB">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烟尘</w:t>
                  </w:r>
                </w:p>
              </w:tc>
              <w:tc>
                <w:tcPr>
                  <w:tcW w:w="574" w:type="dxa"/>
                  <w:vAlign w:val="center"/>
                </w:tcPr>
                <w:p w14:paraId="22B90857">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w:t>
                  </w:r>
                </w:p>
              </w:tc>
              <w:tc>
                <w:tcPr>
                  <w:tcW w:w="574" w:type="dxa"/>
                  <w:vAlign w:val="center"/>
                </w:tcPr>
                <w:p w14:paraId="696444C4">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1.19</w:t>
                  </w:r>
                </w:p>
              </w:tc>
              <w:tc>
                <w:tcPr>
                  <w:tcW w:w="574" w:type="dxa"/>
                  <w:vAlign w:val="center"/>
                </w:tcPr>
                <w:p w14:paraId="15BE4FE5">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9.12</w:t>
                  </w:r>
                </w:p>
              </w:tc>
              <w:tc>
                <w:tcPr>
                  <w:tcW w:w="574" w:type="dxa"/>
                  <w:vAlign w:val="center"/>
                </w:tcPr>
                <w:p w14:paraId="3E98BD3E">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99</w:t>
                  </w:r>
                </w:p>
              </w:tc>
              <w:tc>
                <w:tcPr>
                  <w:tcW w:w="574" w:type="dxa"/>
                  <w:vAlign w:val="center"/>
                </w:tcPr>
                <w:p w14:paraId="742B7439">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0.8</w:t>
                  </w:r>
                </w:p>
              </w:tc>
              <w:tc>
                <w:tcPr>
                  <w:tcW w:w="574" w:type="dxa"/>
                  <w:vAlign w:val="center"/>
                </w:tcPr>
                <w:p w14:paraId="3261AF24">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0.0</w:t>
                  </w:r>
                  <w:r>
                    <w:rPr>
                      <w:rFonts w:hint="eastAsia" w:cs="Times New Roman"/>
                      <w:color w:val="auto"/>
                      <w:lang w:val="en-US" w:eastAsia="zh-CN"/>
                    </w:rPr>
                    <w:t>12</w:t>
                  </w:r>
                </w:p>
              </w:tc>
              <w:tc>
                <w:tcPr>
                  <w:tcW w:w="580" w:type="dxa"/>
                  <w:vAlign w:val="center"/>
                </w:tcPr>
                <w:p w14:paraId="44EFA4F8">
                  <w:pPr>
                    <w:pStyle w:val="61"/>
                    <w:bidi w:val="0"/>
                    <w:ind w:firstLine="0" w:firstLineChars="0"/>
                    <w:jc w:val="center"/>
                    <w:rPr>
                      <w:rFonts w:hint="default" w:ascii="Times New Roman" w:hAnsi="Times New Roman" w:cs="Times New Roman"/>
                      <w:color w:val="auto"/>
                      <w:lang w:val="en-US"/>
                    </w:rPr>
                  </w:pPr>
                  <w:r>
                    <w:rPr>
                      <w:rFonts w:hint="eastAsia" w:cs="Times New Roman"/>
                      <w:color w:val="auto"/>
                      <w:lang w:val="en-US" w:eastAsia="zh-CN"/>
                    </w:rPr>
                    <w:t>0.091</w:t>
                  </w:r>
                </w:p>
              </w:tc>
              <w:tc>
                <w:tcPr>
                  <w:tcW w:w="929" w:type="dxa"/>
                  <w:vAlign w:val="center"/>
                </w:tcPr>
                <w:p w14:paraId="5023BB64">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50</w:t>
                  </w:r>
                </w:p>
              </w:tc>
            </w:tr>
            <w:tr w14:paraId="05B1A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915" w:type="dxa"/>
                  <w:vMerge w:val="continue"/>
                  <w:vAlign w:val="center"/>
                </w:tcPr>
                <w:p w14:paraId="4261650A">
                  <w:pPr>
                    <w:pStyle w:val="61"/>
                    <w:bidi w:val="0"/>
                    <w:jc w:val="center"/>
                    <w:rPr>
                      <w:rFonts w:hint="default" w:ascii="Times New Roman" w:hAnsi="Times New Roman" w:cs="Times New Roman"/>
                      <w:color w:val="auto"/>
                    </w:rPr>
                  </w:pPr>
                </w:p>
              </w:tc>
              <w:tc>
                <w:tcPr>
                  <w:tcW w:w="854" w:type="dxa"/>
                  <w:vMerge w:val="continue"/>
                  <w:vAlign w:val="center"/>
                </w:tcPr>
                <w:p w14:paraId="68AD54AB">
                  <w:pPr>
                    <w:pStyle w:val="61"/>
                    <w:bidi w:val="0"/>
                    <w:jc w:val="center"/>
                    <w:rPr>
                      <w:rFonts w:hint="default" w:ascii="Times New Roman" w:hAnsi="Times New Roman" w:cs="Times New Roman"/>
                      <w:color w:val="auto"/>
                    </w:rPr>
                  </w:pPr>
                </w:p>
              </w:tc>
              <w:tc>
                <w:tcPr>
                  <w:tcW w:w="776" w:type="dxa"/>
                  <w:vAlign w:val="center"/>
                </w:tcPr>
                <w:p w14:paraId="4D5630D7">
                  <w:pPr>
                    <w:pStyle w:val="61"/>
                    <w:bidi w:val="0"/>
                    <w:jc w:val="center"/>
                    <w:rPr>
                      <w:rFonts w:hint="default" w:ascii="Times New Roman" w:hAnsi="Times New Roman" w:cs="Times New Roman"/>
                      <w:color w:val="auto"/>
                    </w:rPr>
                  </w:pPr>
                  <w:r>
                    <w:rPr>
                      <w:rFonts w:hint="default" w:ascii="Times New Roman" w:hAnsi="Times New Roman" w:cs="Times New Roman"/>
                      <w:color w:val="auto"/>
                    </w:rPr>
                    <w:t>SO₂</w:t>
                  </w:r>
                </w:p>
              </w:tc>
              <w:tc>
                <w:tcPr>
                  <w:tcW w:w="574" w:type="dxa"/>
                  <w:vAlign w:val="center"/>
                </w:tcPr>
                <w:p w14:paraId="57B00B7A">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574" w:type="dxa"/>
                  <w:vAlign w:val="center"/>
                </w:tcPr>
                <w:p w14:paraId="40C51417">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0.81</w:t>
                  </w:r>
                </w:p>
              </w:tc>
              <w:tc>
                <w:tcPr>
                  <w:tcW w:w="574" w:type="dxa"/>
                  <w:vAlign w:val="center"/>
                </w:tcPr>
                <w:p w14:paraId="4B057C64">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6.2</w:t>
                  </w:r>
                </w:p>
              </w:tc>
              <w:tc>
                <w:tcPr>
                  <w:tcW w:w="574" w:type="dxa"/>
                  <w:vAlign w:val="center"/>
                </w:tcPr>
                <w:p w14:paraId="465A9AAC">
                  <w:pPr>
                    <w:pStyle w:val="61"/>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c>
                <w:tcPr>
                  <w:tcW w:w="574" w:type="dxa"/>
                  <w:vAlign w:val="center"/>
                </w:tcPr>
                <w:p w14:paraId="259ED788">
                  <w:pPr>
                    <w:pStyle w:val="61"/>
                    <w:bidi w:val="0"/>
                    <w:ind w:firstLine="0" w:firstLineChars="0"/>
                    <w:jc w:val="center"/>
                    <w:rPr>
                      <w:rFonts w:hint="default" w:ascii="Times New Roman" w:hAnsi="Times New Roman" w:cs="Times New Roman"/>
                      <w:color w:val="auto"/>
                    </w:rPr>
                  </w:pPr>
                  <w:r>
                    <w:rPr>
                      <w:rFonts w:hint="eastAsia" w:ascii="Times New Roman" w:hAnsi="Times New Roman" w:eastAsia="宋体" w:cs="Times New Roman"/>
                      <w:color w:val="auto"/>
                      <w:lang w:val="en-US" w:eastAsia="zh-CN"/>
                    </w:rPr>
                    <w:t>54</w:t>
                  </w:r>
                </w:p>
              </w:tc>
              <w:tc>
                <w:tcPr>
                  <w:tcW w:w="574" w:type="dxa"/>
                  <w:vAlign w:val="center"/>
                </w:tcPr>
                <w:p w14:paraId="0449962F">
                  <w:pPr>
                    <w:pStyle w:val="61"/>
                    <w:bidi w:val="0"/>
                    <w:ind w:firstLine="0" w:firstLineChars="0"/>
                    <w:jc w:val="center"/>
                    <w:rPr>
                      <w:rFonts w:hint="default" w:ascii="Times New Roman" w:hAnsi="Times New Roman" w:cs="Times New Roman"/>
                      <w:color w:val="auto"/>
                    </w:rPr>
                  </w:pPr>
                  <w:r>
                    <w:rPr>
                      <w:rFonts w:hint="eastAsia" w:ascii="Times New Roman" w:hAnsi="Times New Roman" w:eastAsia="宋体" w:cs="Times New Roman"/>
                      <w:color w:val="auto"/>
                      <w:lang w:val="en-US" w:eastAsia="zh-CN"/>
                    </w:rPr>
                    <w:t>0.81</w:t>
                  </w:r>
                </w:p>
              </w:tc>
              <w:tc>
                <w:tcPr>
                  <w:tcW w:w="580" w:type="dxa"/>
                  <w:vAlign w:val="center"/>
                </w:tcPr>
                <w:p w14:paraId="20222ADF">
                  <w:pPr>
                    <w:pStyle w:val="61"/>
                    <w:bidi w:val="0"/>
                    <w:ind w:firstLine="0" w:firstLineChars="0"/>
                    <w:jc w:val="center"/>
                    <w:rPr>
                      <w:rFonts w:hint="default" w:ascii="Times New Roman" w:hAnsi="Times New Roman" w:cs="Times New Roman"/>
                      <w:color w:val="auto"/>
                    </w:rPr>
                  </w:pPr>
                  <w:r>
                    <w:rPr>
                      <w:rFonts w:hint="eastAsia" w:ascii="Times New Roman" w:hAnsi="Times New Roman" w:eastAsia="宋体" w:cs="Times New Roman"/>
                      <w:color w:val="auto"/>
                      <w:lang w:val="en-US" w:eastAsia="zh-CN"/>
                    </w:rPr>
                    <w:t>6.2</w:t>
                  </w:r>
                </w:p>
              </w:tc>
              <w:tc>
                <w:tcPr>
                  <w:tcW w:w="929" w:type="dxa"/>
                  <w:vAlign w:val="center"/>
                </w:tcPr>
                <w:p w14:paraId="04ED75A9">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r w14:paraId="6B6FF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15" w:type="dxa"/>
                  <w:vMerge w:val="continue"/>
                  <w:vAlign w:val="center"/>
                </w:tcPr>
                <w:p w14:paraId="5CEB6A10">
                  <w:pPr>
                    <w:pStyle w:val="61"/>
                    <w:bidi w:val="0"/>
                    <w:jc w:val="center"/>
                    <w:rPr>
                      <w:rFonts w:hint="default" w:ascii="Times New Roman" w:hAnsi="Times New Roman" w:cs="Times New Roman"/>
                      <w:color w:val="auto"/>
                    </w:rPr>
                  </w:pPr>
                </w:p>
              </w:tc>
              <w:tc>
                <w:tcPr>
                  <w:tcW w:w="854" w:type="dxa"/>
                  <w:vMerge w:val="continue"/>
                  <w:vAlign w:val="center"/>
                </w:tcPr>
                <w:p w14:paraId="41260912">
                  <w:pPr>
                    <w:pStyle w:val="61"/>
                    <w:bidi w:val="0"/>
                    <w:jc w:val="center"/>
                    <w:rPr>
                      <w:rFonts w:hint="default" w:ascii="Times New Roman" w:hAnsi="Times New Roman" w:cs="Times New Roman"/>
                      <w:color w:val="auto"/>
                    </w:rPr>
                  </w:pPr>
                </w:p>
              </w:tc>
              <w:tc>
                <w:tcPr>
                  <w:tcW w:w="776" w:type="dxa"/>
                  <w:vAlign w:val="center"/>
                </w:tcPr>
                <w:p w14:paraId="1AC0A431">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NOx</w:t>
                  </w:r>
                </w:p>
              </w:tc>
              <w:tc>
                <w:tcPr>
                  <w:tcW w:w="574" w:type="dxa"/>
                  <w:vAlign w:val="center"/>
                </w:tcPr>
                <w:p w14:paraId="23B11D5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7BB800F2">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2.42</w:t>
                  </w:r>
                </w:p>
              </w:tc>
              <w:tc>
                <w:tcPr>
                  <w:tcW w:w="574" w:type="dxa"/>
                  <w:vAlign w:val="center"/>
                </w:tcPr>
                <w:p w14:paraId="148E13C2">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18.6</w:t>
                  </w:r>
                </w:p>
              </w:tc>
              <w:tc>
                <w:tcPr>
                  <w:tcW w:w="574" w:type="dxa"/>
                  <w:vAlign w:val="center"/>
                </w:tcPr>
                <w:p w14:paraId="68FA57C5">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4" w:type="dxa"/>
                  <w:vAlign w:val="center"/>
                </w:tcPr>
                <w:p w14:paraId="2F272D35">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1D930D95">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2.42</w:t>
                  </w:r>
                </w:p>
              </w:tc>
              <w:tc>
                <w:tcPr>
                  <w:tcW w:w="580" w:type="dxa"/>
                  <w:vAlign w:val="center"/>
                </w:tcPr>
                <w:p w14:paraId="2A9B99FC">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18.6</w:t>
                  </w:r>
                </w:p>
              </w:tc>
              <w:tc>
                <w:tcPr>
                  <w:tcW w:w="929" w:type="dxa"/>
                  <w:vAlign w:val="center"/>
                </w:tcPr>
                <w:p w14:paraId="197B3D17">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bl>
          <w:p w14:paraId="2C214DE8">
            <w:pPr>
              <w:keepNext w:val="0"/>
              <w:keepLines w:val="0"/>
              <w:suppressLineNumbers w:val="0"/>
              <w:tabs>
                <w:tab w:val="left" w:pos="365"/>
              </w:tabs>
              <w:bidi w:val="0"/>
              <w:spacing w:before="0" w:beforeAutospacing="0" w:after="0" w:afterAutospacing="0"/>
              <w:ind w:left="0" w:right="0"/>
              <w:rPr>
                <w:rFonts w:hint="default" w:ascii="Times New Roman" w:hAnsi="Times New Roman" w:eastAsia="宋体" w:cs="Times New Roman"/>
                <w:b/>
                <w:bCs/>
                <w:color w:val="auto"/>
                <w:lang w:val="en-US" w:eastAsia="zh-CN"/>
              </w:rPr>
            </w:pPr>
            <w:r>
              <w:rPr>
                <w:rFonts w:hint="eastAsia" w:cs="Times New Roman"/>
                <w:b/>
                <w:bCs/>
                <w:color w:val="auto"/>
                <w:lang w:val="en-US" w:eastAsia="zh-CN"/>
              </w:rPr>
              <w:t>原有项目技改后</w:t>
            </w:r>
            <w:r>
              <w:rPr>
                <w:rFonts w:hint="eastAsia" w:ascii="Times New Roman" w:hAnsi="Times New Roman" w:eastAsia="宋体" w:cs="Times New Roman"/>
                <w:b/>
                <w:bCs/>
                <w:color w:val="auto"/>
                <w:lang w:val="en-US" w:eastAsia="zh-CN"/>
              </w:rPr>
              <w:t>废</w:t>
            </w:r>
            <w:r>
              <w:rPr>
                <w:rFonts w:hint="eastAsia" w:cs="Times New Roman"/>
                <w:b/>
                <w:bCs/>
                <w:color w:val="auto"/>
                <w:lang w:val="en-US" w:eastAsia="zh-CN"/>
              </w:rPr>
              <w:t>水排放情况</w:t>
            </w:r>
          </w:p>
          <w:p w14:paraId="32C31AFD">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原有高麦糖浆与果葡糖浆生产线投料前增加色选工艺，企业通过色选工艺提前去除不合格中碎米（原料投入量不变，原有生产线产品产量不变），不合格品率约为5%，企业技改前需加工96000吨中碎米，增加色选后，高麦糖浆与果葡糖浆生产线仅需加工91320t精选中碎米，因为洗米等工序加工物料减少，技改后现有项目洗米用水量、洗桶（罐）、洗滤布用水量、树脂再生用水量、蒸汽冷凝水、设备冷却水用量</w:t>
            </w:r>
            <w:r>
              <w:rPr>
                <w:rFonts w:hint="eastAsia"/>
                <w:color w:val="auto"/>
                <w:lang w:val="en-US" w:eastAsia="zh-CN"/>
              </w:rPr>
              <w:t>减少</w:t>
            </w:r>
            <w:r>
              <w:rPr>
                <w:rFonts w:hint="default"/>
                <w:color w:val="auto"/>
                <w:lang w:val="en-US" w:eastAsia="zh-CN"/>
              </w:rPr>
              <w:t>，改造前后高麦糖浆与果葡糖浆生产线不增减员工，故生活污水不变，地面冲洗用水量不变。改造后生物质锅炉废气处理工艺采用布袋除尘器+</w:t>
            </w:r>
            <w:r>
              <w:rPr>
                <w:rFonts w:hint="eastAsia"/>
                <w:color w:val="auto"/>
                <w:lang w:val="en-US" w:eastAsia="zh-CN"/>
              </w:rPr>
              <w:t>40</w:t>
            </w:r>
            <w:r>
              <w:rPr>
                <w:rFonts w:hint="default"/>
                <w:color w:val="auto"/>
                <w:lang w:val="en-US" w:eastAsia="zh-CN"/>
              </w:rPr>
              <w:t>m高排气筒，高麦糖浆与果葡糖浆生产线设备冷却水循环使用不外排。高麦糖浆与果葡糖浆生产线蒸汽冷凝水全部回用于洗米工序。技改后现有项目用水情况如下：</w:t>
            </w:r>
          </w:p>
          <w:p w14:paraId="6D89B654">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洗米用水量为1815.032m</w:t>
            </w:r>
            <w:r>
              <w:rPr>
                <w:rFonts w:hint="default"/>
                <w:color w:val="auto"/>
                <w:vertAlign w:val="superscript"/>
                <w:lang w:val="en-US" w:eastAsia="zh-CN"/>
              </w:rPr>
              <w:t>3</w:t>
            </w:r>
            <w:r>
              <w:rPr>
                <w:rFonts w:hint="default"/>
                <w:color w:val="auto"/>
                <w:lang w:val="en-US" w:eastAsia="zh-CN"/>
              </w:rPr>
              <w:t>/d、5808</w:t>
            </w:r>
            <w:r>
              <w:rPr>
                <w:rFonts w:hint="eastAsia"/>
                <w:color w:val="auto"/>
                <w:lang w:val="en-US" w:eastAsia="zh-CN"/>
              </w:rPr>
              <w:t>10.24</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/a，洗米废水产生量为1633.525m</w:t>
            </w:r>
            <w:r>
              <w:rPr>
                <w:rFonts w:hint="default"/>
                <w:color w:val="auto"/>
                <w:vertAlign w:val="superscript"/>
                <w:lang w:val="en-US" w:eastAsia="zh-CN"/>
              </w:rPr>
              <w:t>3</w:t>
            </w:r>
            <w:r>
              <w:rPr>
                <w:rFonts w:hint="default"/>
                <w:color w:val="auto"/>
                <w:lang w:val="en-US" w:eastAsia="zh-CN"/>
              </w:rPr>
              <w:t>/d、522728m</w:t>
            </w:r>
            <w:r>
              <w:rPr>
                <w:rFonts w:hint="default"/>
                <w:color w:val="auto"/>
                <w:vertAlign w:val="superscript"/>
                <w:lang w:val="en-US" w:eastAsia="zh-CN"/>
              </w:rPr>
              <w:t>3</w:t>
            </w:r>
            <w:r>
              <w:rPr>
                <w:rFonts w:hint="default"/>
                <w:color w:val="auto"/>
                <w:lang w:val="en-US" w:eastAsia="zh-CN"/>
              </w:rPr>
              <w:t>/a。</w:t>
            </w:r>
          </w:p>
          <w:p w14:paraId="46389AC5">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洗桶（罐）、洗滤布用水量为13.3m</w:t>
            </w:r>
            <w:r>
              <w:rPr>
                <w:rFonts w:hint="default"/>
                <w:color w:val="auto"/>
                <w:vertAlign w:val="superscript"/>
                <w:lang w:val="en-US" w:eastAsia="zh-CN"/>
              </w:rPr>
              <w:t>3</w:t>
            </w:r>
            <w:r>
              <w:rPr>
                <w:rFonts w:hint="default"/>
                <w:color w:val="auto"/>
                <w:lang w:val="en-US" w:eastAsia="zh-CN"/>
              </w:rPr>
              <w:t>/d，4256m</w:t>
            </w:r>
            <w:r>
              <w:rPr>
                <w:rFonts w:hint="default"/>
                <w:color w:val="auto"/>
                <w:vertAlign w:val="superscript"/>
                <w:lang w:val="en-US" w:eastAsia="zh-CN"/>
              </w:rPr>
              <w:t>3</w:t>
            </w:r>
            <w:r>
              <w:rPr>
                <w:rFonts w:hint="default"/>
                <w:color w:val="auto"/>
                <w:lang w:val="en-US" w:eastAsia="zh-CN"/>
              </w:rPr>
              <w:t>/a，洗桶（罐）、洗滤布废水产生量为11.97m</w:t>
            </w:r>
            <w:r>
              <w:rPr>
                <w:rFonts w:hint="default"/>
                <w:color w:val="auto"/>
                <w:vertAlign w:val="superscript"/>
                <w:lang w:val="en-US" w:eastAsia="zh-CN"/>
              </w:rPr>
              <w:t>3</w:t>
            </w:r>
            <w:r>
              <w:rPr>
                <w:rFonts w:hint="default"/>
                <w:color w:val="auto"/>
                <w:lang w:val="en-US" w:eastAsia="zh-CN"/>
              </w:rPr>
              <w:t>/d，3830.4m</w:t>
            </w:r>
            <w:r>
              <w:rPr>
                <w:rFonts w:hint="default"/>
                <w:color w:val="auto"/>
                <w:vertAlign w:val="superscript"/>
                <w:lang w:val="en-US" w:eastAsia="zh-CN"/>
              </w:rPr>
              <w:t>3</w:t>
            </w:r>
            <w:r>
              <w:rPr>
                <w:rFonts w:hint="default"/>
                <w:color w:val="auto"/>
                <w:lang w:val="en-US" w:eastAsia="zh-CN"/>
              </w:rPr>
              <w:t>/a。</w:t>
            </w:r>
          </w:p>
          <w:p w14:paraId="0AC7E325">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树脂再生用水量为47.5m</w:t>
            </w:r>
            <w:r>
              <w:rPr>
                <w:rFonts w:hint="default"/>
                <w:color w:val="auto"/>
                <w:vertAlign w:val="superscript"/>
                <w:lang w:val="en-US" w:eastAsia="zh-CN"/>
              </w:rPr>
              <w:t>3</w:t>
            </w:r>
            <w:r>
              <w:rPr>
                <w:rFonts w:hint="default"/>
                <w:color w:val="auto"/>
                <w:lang w:val="en-US" w:eastAsia="zh-CN"/>
              </w:rPr>
              <w:t>/d，15200m</w:t>
            </w:r>
            <w:r>
              <w:rPr>
                <w:rFonts w:hint="default"/>
                <w:color w:val="auto"/>
                <w:vertAlign w:val="superscript"/>
                <w:lang w:val="en-US" w:eastAsia="zh-CN"/>
              </w:rPr>
              <w:t>3</w:t>
            </w:r>
            <w:r>
              <w:rPr>
                <w:rFonts w:hint="default"/>
                <w:color w:val="auto"/>
                <w:lang w:val="en-US" w:eastAsia="zh-CN"/>
              </w:rPr>
              <w:t>/a，树脂再生废水产生量为42.75m</w:t>
            </w:r>
            <w:r>
              <w:rPr>
                <w:rFonts w:hint="default"/>
                <w:color w:val="auto"/>
                <w:vertAlign w:val="superscript"/>
                <w:lang w:val="en-US" w:eastAsia="zh-CN"/>
              </w:rPr>
              <w:t>3</w:t>
            </w:r>
            <w:r>
              <w:rPr>
                <w:rFonts w:hint="default"/>
                <w:color w:val="auto"/>
                <w:lang w:val="en-US" w:eastAsia="zh-CN"/>
              </w:rPr>
              <w:t>/d、13680m</w:t>
            </w:r>
            <w:r>
              <w:rPr>
                <w:rFonts w:hint="default"/>
                <w:color w:val="auto"/>
                <w:vertAlign w:val="superscript"/>
                <w:lang w:val="en-US" w:eastAsia="zh-CN"/>
              </w:rPr>
              <w:t>3</w:t>
            </w:r>
            <w:r>
              <w:rPr>
                <w:rFonts w:hint="default"/>
                <w:color w:val="auto"/>
                <w:lang w:val="en-US" w:eastAsia="zh-CN"/>
              </w:rPr>
              <w:t>/a。</w:t>
            </w:r>
          </w:p>
          <w:p w14:paraId="20CE6E9D">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地面冲洗水用水量为5.56m</w:t>
            </w:r>
            <w:r>
              <w:rPr>
                <w:rFonts w:hint="default"/>
                <w:color w:val="auto"/>
                <w:vertAlign w:val="superscript"/>
                <w:lang w:val="en-US" w:eastAsia="zh-CN"/>
              </w:rPr>
              <w:t>3</w:t>
            </w:r>
            <w:r>
              <w:rPr>
                <w:rFonts w:hint="default"/>
                <w:color w:val="auto"/>
                <w:lang w:val="en-US" w:eastAsia="zh-CN"/>
              </w:rPr>
              <w:t>/d，1777.78m</w:t>
            </w:r>
            <w:r>
              <w:rPr>
                <w:rFonts w:hint="default"/>
                <w:color w:val="auto"/>
                <w:vertAlign w:val="superscript"/>
                <w:lang w:val="en-US" w:eastAsia="zh-CN"/>
              </w:rPr>
              <w:t>3</w:t>
            </w:r>
            <w:r>
              <w:rPr>
                <w:rFonts w:hint="default"/>
                <w:color w:val="auto"/>
                <w:lang w:val="en-US" w:eastAsia="zh-CN"/>
              </w:rPr>
              <w:t>/a，地面冲洗废水产生量5m</w:t>
            </w:r>
            <w:r>
              <w:rPr>
                <w:rFonts w:hint="default"/>
                <w:color w:val="auto"/>
                <w:vertAlign w:val="superscript"/>
                <w:lang w:val="en-US" w:eastAsia="zh-CN"/>
              </w:rPr>
              <w:t>3</w:t>
            </w:r>
            <w:r>
              <w:rPr>
                <w:rFonts w:hint="default"/>
                <w:color w:val="auto"/>
                <w:lang w:val="en-US" w:eastAsia="zh-CN"/>
              </w:rPr>
              <w:t>/d</w:t>
            </w:r>
            <w:r>
              <w:rPr>
                <w:rFonts w:hint="eastAsia"/>
                <w:color w:val="auto"/>
                <w:lang w:val="en-US" w:eastAsia="zh-CN"/>
              </w:rPr>
              <w:t>，</w:t>
            </w:r>
            <w:r>
              <w:rPr>
                <w:rFonts w:hint="default"/>
                <w:color w:val="auto"/>
                <w:lang w:val="en-US" w:eastAsia="zh-CN"/>
              </w:rPr>
              <w:t>1600m</w:t>
            </w:r>
            <w:r>
              <w:rPr>
                <w:rFonts w:hint="default"/>
                <w:color w:val="auto"/>
                <w:vertAlign w:val="superscript"/>
                <w:lang w:val="en-US" w:eastAsia="zh-CN"/>
              </w:rPr>
              <w:t>3</w:t>
            </w:r>
            <w:r>
              <w:rPr>
                <w:rFonts w:hint="default"/>
                <w:color w:val="auto"/>
                <w:lang w:val="en-US" w:eastAsia="zh-CN"/>
              </w:rPr>
              <w:t>/a。</w:t>
            </w:r>
          </w:p>
          <w:p w14:paraId="7D871574">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生活用水量为</w:t>
            </w:r>
            <w:r>
              <w:rPr>
                <w:rFonts w:hint="eastAsia"/>
                <w:color w:val="auto"/>
                <w:lang w:val="en-US" w:eastAsia="zh-CN"/>
              </w:rPr>
              <w:t>16.875</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/d，54</w:t>
            </w:r>
            <w:r>
              <w:rPr>
                <w:rFonts w:hint="eastAsia"/>
                <w:color w:val="auto"/>
                <w:lang w:val="en-US" w:eastAsia="zh-CN"/>
              </w:rPr>
              <w:t>00</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/a，生活污水产生量为13.5m</w:t>
            </w:r>
            <w:r>
              <w:rPr>
                <w:rFonts w:hint="default"/>
                <w:color w:val="auto"/>
                <w:vertAlign w:val="superscript"/>
                <w:lang w:val="en-US" w:eastAsia="zh-CN"/>
              </w:rPr>
              <w:t>3</w:t>
            </w:r>
            <w:r>
              <w:rPr>
                <w:rFonts w:hint="default"/>
                <w:color w:val="auto"/>
                <w:lang w:val="en-US" w:eastAsia="zh-CN"/>
              </w:rPr>
              <w:t>/d，4320m</w:t>
            </w:r>
            <w:r>
              <w:rPr>
                <w:rFonts w:hint="default"/>
                <w:color w:val="auto"/>
                <w:vertAlign w:val="superscript"/>
                <w:lang w:val="en-US" w:eastAsia="zh-CN"/>
              </w:rPr>
              <w:t>3</w:t>
            </w:r>
            <w:r>
              <w:rPr>
                <w:rFonts w:hint="default"/>
                <w:color w:val="auto"/>
                <w:lang w:val="en-US" w:eastAsia="zh-CN"/>
              </w:rPr>
              <w:t>/a。</w:t>
            </w:r>
          </w:p>
          <w:p w14:paraId="0B20C4CB">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生产废水经公司污水处理站处理后排放。</w:t>
            </w:r>
          </w:p>
          <w:p w14:paraId="22F15C89">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蒸汽冷凝水：蒸汽用水量为228m</w:t>
            </w:r>
            <w:r>
              <w:rPr>
                <w:rFonts w:hint="default"/>
                <w:color w:val="auto"/>
                <w:vertAlign w:val="superscript"/>
                <w:lang w:val="en-US" w:eastAsia="zh-CN"/>
              </w:rPr>
              <w:t>3</w:t>
            </w:r>
            <w:r>
              <w:rPr>
                <w:rFonts w:hint="default"/>
                <w:color w:val="auto"/>
                <w:lang w:val="en-US" w:eastAsia="zh-CN"/>
              </w:rPr>
              <w:t>/d、72960m</w:t>
            </w:r>
            <w:r>
              <w:rPr>
                <w:rFonts w:hint="default"/>
                <w:color w:val="auto"/>
                <w:vertAlign w:val="superscript"/>
                <w:lang w:val="en-US" w:eastAsia="zh-CN"/>
              </w:rPr>
              <w:t>3</w:t>
            </w:r>
            <w:r>
              <w:rPr>
                <w:rFonts w:hint="default"/>
                <w:color w:val="auto"/>
                <w:lang w:val="en-US" w:eastAsia="zh-CN"/>
              </w:rPr>
              <w:t>/a，蒸汽冷凝水产生量为205.2m</w:t>
            </w:r>
            <w:r>
              <w:rPr>
                <w:rFonts w:hint="default"/>
                <w:color w:val="auto"/>
                <w:vertAlign w:val="superscript"/>
                <w:lang w:val="en-US" w:eastAsia="zh-CN"/>
              </w:rPr>
              <w:t>3</w:t>
            </w:r>
            <w:r>
              <w:rPr>
                <w:rFonts w:hint="default"/>
                <w:color w:val="auto"/>
                <w:lang w:val="en-US" w:eastAsia="zh-CN"/>
              </w:rPr>
              <w:t>/d、65664m</w:t>
            </w:r>
            <w:r>
              <w:rPr>
                <w:rFonts w:hint="default"/>
                <w:color w:val="auto"/>
                <w:vertAlign w:val="superscript"/>
                <w:lang w:val="en-US" w:eastAsia="zh-CN"/>
              </w:rPr>
              <w:t>3</w:t>
            </w:r>
            <w:r>
              <w:rPr>
                <w:rFonts w:hint="default"/>
                <w:color w:val="auto"/>
                <w:lang w:val="en-US" w:eastAsia="zh-CN"/>
              </w:rPr>
              <w:t>/a，回用于洗米工序。</w:t>
            </w:r>
          </w:p>
          <w:p w14:paraId="59E7BC20">
            <w:pPr>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设备冷却水用量为47.69m</w:t>
            </w:r>
            <w:r>
              <w:rPr>
                <w:rFonts w:hint="default"/>
                <w:color w:val="auto"/>
                <w:vertAlign w:val="superscript"/>
                <w:lang w:val="en-US" w:eastAsia="zh-CN"/>
              </w:rPr>
              <w:t>3</w:t>
            </w:r>
            <w:r>
              <w:rPr>
                <w:rFonts w:hint="default"/>
                <w:color w:val="auto"/>
                <w:lang w:val="en-US" w:eastAsia="zh-CN"/>
              </w:rPr>
              <w:t>/d、15260.8m</w:t>
            </w:r>
            <w:r>
              <w:rPr>
                <w:rFonts w:hint="default"/>
                <w:color w:val="auto"/>
                <w:vertAlign w:val="superscript"/>
                <w:lang w:val="en-US" w:eastAsia="zh-CN"/>
              </w:rPr>
              <w:t>3</w:t>
            </w:r>
            <w:r>
              <w:rPr>
                <w:rFonts w:hint="default"/>
                <w:color w:val="auto"/>
                <w:lang w:val="en-US" w:eastAsia="zh-CN"/>
              </w:rPr>
              <w:t>/a，设备冷却水循环使用不外排，损耗量为4.769m</w:t>
            </w:r>
            <w:r>
              <w:rPr>
                <w:rFonts w:hint="default"/>
                <w:color w:val="auto"/>
                <w:vertAlign w:val="superscript"/>
                <w:lang w:val="en-US" w:eastAsia="zh-CN"/>
              </w:rPr>
              <w:t>3</w:t>
            </w:r>
            <w:r>
              <w:rPr>
                <w:rFonts w:hint="default"/>
                <w:color w:val="auto"/>
                <w:lang w:val="en-US" w:eastAsia="zh-CN"/>
              </w:rPr>
              <w:t>/d、1526.08m</w:t>
            </w:r>
            <w:r>
              <w:rPr>
                <w:rFonts w:hint="default"/>
                <w:color w:val="auto"/>
                <w:vertAlign w:val="superscript"/>
                <w:lang w:val="en-US" w:eastAsia="zh-CN"/>
              </w:rPr>
              <w:t>3</w:t>
            </w:r>
            <w:r>
              <w:rPr>
                <w:rFonts w:hint="default"/>
                <w:color w:val="auto"/>
                <w:lang w:val="en-US" w:eastAsia="zh-CN"/>
              </w:rPr>
              <w:t>/a。新鲜水补充量为4.769m</w:t>
            </w:r>
            <w:r>
              <w:rPr>
                <w:rFonts w:hint="default"/>
                <w:color w:val="auto"/>
                <w:vertAlign w:val="superscript"/>
                <w:lang w:val="en-US" w:eastAsia="zh-CN"/>
              </w:rPr>
              <w:t>3</w:t>
            </w:r>
            <w:r>
              <w:rPr>
                <w:rFonts w:hint="default"/>
                <w:color w:val="auto"/>
                <w:lang w:val="en-US" w:eastAsia="zh-CN"/>
              </w:rPr>
              <w:t>/d、1526.08m</w:t>
            </w:r>
            <w:r>
              <w:rPr>
                <w:rFonts w:hint="default"/>
                <w:color w:val="auto"/>
                <w:vertAlign w:val="superscript"/>
                <w:lang w:val="en-US" w:eastAsia="zh-CN"/>
              </w:rPr>
              <w:t>3</w:t>
            </w:r>
            <w:r>
              <w:rPr>
                <w:rFonts w:hint="default"/>
                <w:color w:val="auto"/>
                <w:lang w:val="en-US" w:eastAsia="zh-CN"/>
              </w:rPr>
              <w:t>/a。</w:t>
            </w:r>
          </w:p>
          <w:p w14:paraId="2EBA4C55">
            <w:pPr>
              <w:keepNext w:val="0"/>
              <w:keepLines w:val="0"/>
              <w:suppressLineNumbers w:val="0"/>
              <w:bidi w:val="0"/>
              <w:spacing w:before="0" w:beforeAutospacing="0" w:after="0" w:afterAutospacing="0"/>
              <w:ind w:left="0" w:right="0"/>
              <w:rPr>
                <w:rFonts w:hint="default"/>
                <w:color w:val="auto"/>
                <w:lang w:val="en-US" w:eastAsia="zh-CN"/>
              </w:rPr>
            </w:pPr>
            <w:r>
              <w:rPr>
                <w:rFonts w:hint="eastAsia" w:ascii="Times New Roman" w:hAnsi="Times New Roman" w:cs="Times New Roman"/>
                <w:color w:val="auto"/>
                <w:sz w:val="24"/>
                <w:szCs w:val="24"/>
                <w:lang w:val="en-US" w:eastAsia="zh-CN"/>
              </w:rPr>
              <w:t>实</w:t>
            </w:r>
            <w:r>
              <w:rPr>
                <w:rFonts w:hint="default" w:ascii="Times New Roman" w:hAnsi="Times New Roman" w:cs="Times New Roman"/>
                <w:color w:val="auto"/>
                <w:sz w:val="24"/>
                <w:szCs w:val="24"/>
                <w:lang w:val="en-US" w:eastAsia="zh-CN"/>
              </w:rPr>
              <w:t>验室用水：蒸汽用水量为0.01</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/d、3.2</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/a，实验室废液产生量为0.008</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/d、2.56</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sz w:val="24"/>
                <w:szCs w:val="24"/>
                <w:lang w:val="en-US" w:eastAsia="zh-CN"/>
              </w:rPr>
              <w:t>/a，实验室废液集中收集后交由有资质单位处理。</w:t>
            </w:r>
          </w:p>
          <w:p w14:paraId="10B4576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项目综合废水产生浓度为pH2-12、</w:t>
            </w:r>
            <w:r>
              <w:rPr>
                <w:rFonts w:hint="eastAsia" w:ascii="Times New Roman" w:hAnsi="Times New Roman" w:eastAsia="宋体" w:cs="Times New Roman"/>
                <w:color w:val="auto"/>
                <w:sz w:val="24"/>
                <w:szCs w:val="24"/>
                <w:lang w:val="en-US" w:eastAsia="zh-CN"/>
              </w:rPr>
              <w:t>CODc</w:t>
            </w:r>
            <w:r>
              <w:rPr>
                <w:rFonts w:hint="eastAsia" w:ascii="Times New Roman" w:hAnsi="Times New Roman" w:cs="Times New Roman"/>
                <w:color w:val="auto"/>
                <w:sz w:val="24"/>
                <w:szCs w:val="24"/>
                <w:lang w:val="en-US" w:eastAsia="zh-CN"/>
              </w:rPr>
              <w:t>r3200</w:t>
            </w:r>
            <w:r>
              <w:rPr>
                <w:rFonts w:hint="eastAsia" w:ascii="Times New Roman" w:hAnsi="Times New Roman" w:eastAsia="宋体" w:cs="Times New Roman"/>
                <w:color w:val="auto"/>
                <w:sz w:val="24"/>
                <w:szCs w:val="24"/>
                <w:lang w:val="en-US" w:eastAsia="zh-CN"/>
              </w:rPr>
              <w:t>r</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BOD</w:t>
            </w:r>
            <w:r>
              <w:rPr>
                <w:rFonts w:hint="eastAsia" w:ascii="Times New Roman" w:hAnsi="Times New Roman" w:eastAsia="宋体" w:cs="Times New Roman"/>
                <w:color w:val="auto"/>
                <w:sz w:val="24"/>
                <w:szCs w:val="24"/>
                <w:vertAlign w:val="subscript"/>
                <w:lang w:val="en-US" w:eastAsia="zh-CN"/>
              </w:rPr>
              <w:t>5</w:t>
            </w:r>
            <w:r>
              <w:rPr>
                <w:rFonts w:hint="eastAsia" w:ascii="Times New Roman" w:hAnsi="Times New Roman" w:cs="Times New Roman"/>
                <w:color w:val="auto"/>
                <w:sz w:val="24"/>
                <w:szCs w:val="24"/>
                <w:lang w:val="en-US" w:eastAsia="zh-CN"/>
              </w:rPr>
              <w:t>1300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SS</w:t>
            </w:r>
            <w:r>
              <w:rPr>
                <w:rFonts w:hint="eastAsia" w:ascii="Times New Roman" w:hAnsi="Times New Roman" w:cs="Times New Roman"/>
                <w:color w:val="auto"/>
                <w:sz w:val="24"/>
                <w:szCs w:val="24"/>
                <w:lang w:val="en-US" w:eastAsia="zh-CN"/>
              </w:rPr>
              <w:t>850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TP</w:t>
            </w:r>
            <w:r>
              <w:rPr>
                <w:rFonts w:hint="eastAsia" w:ascii="Times New Roman" w:hAnsi="Times New Roman" w:cs="Times New Roman"/>
                <w:color w:val="auto"/>
                <w:sz w:val="24"/>
                <w:szCs w:val="24"/>
                <w:lang w:val="en-US" w:eastAsia="zh-CN"/>
              </w:rPr>
              <w:t>20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TN</w:t>
            </w:r>
            <w:r>
              <w:rPr>
                <w:rFonts w:hint="eastAsia" w:ascii="Times New Roman" w:hAnsi="Times New Roman" w:cs="Times New Roman"/>
                <w:color w:val="auto"/>
                <w:sz w:val="24"/>
                <w:szCs w:val="24"/>
                <w:lang w:val="en-US" w:eastAsia="zh-CN"/>
              </w:rPr>
              <w:t>35</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-N</w:t>
            </w:r>
            <w:r>
              <w:rPr>
                <w:rFonts w:hint="eastAsia" w:ascii="Times New Roman" w:hAnsi="Times New Roman" w:cs="Times New Roman"/>
                <w:color w:val="auto"/>
                <w:sz w:val="24"/>
                <w:szCs w:val="24"/>
                <w:lang w:val="en-US" w:eastAsia="zh-CN"/>
              </w:rPr>
              <w:t>30</w:t>
            </w:r>
            <w:r>
              <w:rPr>
                <w:rFonts w:hint="default" w:ascii="Times New Roman" w:hAnsi="Times New Roman" w:eastAsia="宋体" w:cs="Times New Roman"/>
                <w:color w:val="auto"/>
                <w:lang w:val="en-US" w:eastAsia="zh-CN"/>
              </w:rPr>
              <w:t>mg/L</w:t>
            </w:r>
            <w:r>
              <w:rPr>
                <w:rFonts w:hint="eastAsia" w:ascii="Times New Roman" w:hAnsi="Times New Roman" w:cs="Times New Roman"/>
                <w:color w:val="auto"/>
                <w:lang w:val="en-US" w:eastAsia="zh-CN"/>
              </w:rPr>
              <w:t>。</w:t>
            </w:r>
          </w:p>
          <w:p w14:paraId="61D117A4">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cs="Times New Roman"/>
                <w:color w:val="auto"/>
                <w:sz w:val="24"/>
                <w:szCs w:val="24"/>
                <w:lang w:val="en-US" w:eastAsia="zh-CN"/>
              </w:rPr>
            </w:pPr>
            <w:r>
              <w:rPr>
                <w:rFonts w:hint="eastAsia"/>
                <w:color w:val="auto"/>
                <w:lang w:val="en-US" w:eastAsia="zh-CN"/>
              </w:rPr>
              <w:t>糖浆生产线技改后综合废水排放量为546158.4</w:t>
            </w:r>
            <w:r>
              <w:rPr>
                <w:rFonts w:hint="default"/>
                <w:color w:val="auto"/>
                <w:lang w:val="en-US" w:eastAsia="zh-CN"/>
              </w:rPr>
              <w:t>m</w:t>
            </w:r>
            <w:r>
              <w:rPr>
                <w:rFonts w:hint="default"/>
                <w:color w:val="auto"/>
                <w:vertAlign w:val="superscript"/>
                <w:lang w:val="en-US" w:eastAsia="zh-CN"/>
              </w:rPr>
              <w:t>3</w:t>
            </w:r>
            <w:r>
              <w:rPr>
                <w:rFonts w:hint="eastAsia"/>
                <w:color w:val="auto"/>
                <w:lang w:val="en-US" w:eastAsia="zh-CN"/>
              </w:rPr>
              <w:t>/a。</w:t>
            </w:r>
            <w:r>
              <w:rPr>
                <w:rFonts w:hint="default" w:ascii="Times New Roman" w:hAnsi="Times New Roman" w:cs="Times New Roman"/>
                <w:color w:val="auto"/>
                <w:sz w:val="24"/>
                <w:szCs w:val="24"/>
                <w:lang w:val="en-US" w:eastAsia="zh-CN"/>
              </w:rPr>
              <w:t>项目废水排放浓度参考江西金穗丰糖业有限公司提供的例行监测报告（报告编号：致远【检】字20250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号详见附件9，报告编号：LSJC2026030601号，详见附件10）。</w:t>
            </w:r>
          </w:p>
          <w:p w14:paraId="52883496">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eastAsia" w:ascii="Times New Roman" w:hAnsi="Times New Roman" w:cs="Times New Roman"/>
                <w:b/>
                <w:color w:val="auto"/>
                <w:kern w:val="0"/>
                <w:sz w:val="24"/>
                <w:szCs w:val="24"/>
                <w:lang w:val="en-US" w:eastAsia="zh-CN" w:bidi="ar-SA"/>
              </w:rPr>
              <w:t>技改后</w:t>
            </w:r>
            <w:r>
              <w:rPr>
                <w:rFonts w:hint="default" w:ascii="Times New Roman" w:hAnsi="Times New Roman" w:eastAsia="宋体" w:cs="Times New Roman"/>
                <w:b/>
                <w:color w:val="auto"/>
                <w:kern w:val="0"/>
                <w:sz w:val="24"/>
                <w:szCs w:val="24"/>
                <w:lang w:val="en-US" w:eastAsia="zh-CN" w:bidi="ar-SA"/>
              </w:rPr>
              <w:t>废水产排情况表</w:t>
            </w:r>
          </w:p>
          <w:tbl>
            <w:tblPr>
              <w:tblStyle w:val="116"/>
              <w:tblW w:w="80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742"/>
              <w:gridCol w:w="743"/>
              <w:gridCol w:w="650"/>
              <w:gridCol w:w="650"/>
              <w:gridCol w:w="650"/>
              <w:gridCol w:w="650"/>
              <w:gridCol w:w="676"/>
              <w:gridCol w:w="676"/>
              <w:gridCol w:w="676"/>
              <w:gridCol w:w="980"/>
            </w:tblGrid>
            <w:tr w14:paraId="373D68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2" w:hRule="atLeast"/>
                <w:jc w:val="center"/>
              </w:trPr>
              <w:tc>
                <w:tcPr>
                  <w:tcW w:w="957" w:type="dxa"/>
                  <w:vMerge w:val="restart"/>
                  <w:tcBorders>
                    <w:tl2br w:val="nil"/>
                    <w:tr2bl w:val="nil"/>
                  </w:tcBorders>
                  <w:vAlign w:val="center"/>
                </w:tcPr>
                <w:p w14:paraId="418B4629">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序号</w:t>
                  </w:r>
                </w:p>
              </w:tc>
              <w:tc>
                <w:tcPr>
                  <w:tcW w:w="1485" w:type="dxa"/>
                  <w:gridSpan w:val="2"/>
                  <w:tcBorders>
                    <w:tl2br w:val="nil"/>
                    <w:tr2bl w:val="nil"/>
                  </w:tcBorders>
                  <w:vAlign w:val="center"/>
                </w:tcPr>
                <w:p w14:paraId="510241FD">
                  <w:pPr>
                    <w:pStyle w:val="61"/>
                    <w:bidi w:val="0"/>
                    <w:jc w:val="center"/>
                    <w:rPr>
                      <w:rFonts w:hint="default" w:ascii="Times New Roman" w:hAnsi="Times New Roman" w:cs="Times New Roman"/>
                      <w:color w:val="auto"/>
                    </w:rPr>
                  </w:pPr>
                  <w:r>
                    <w:rPr>
                      <w:rFonts w:hint="default" w:ascii="Times New Roman" w:hAnsi="Times New Roman" w:cs="Times New Roman"/>
                      <w:color w:val="auto"/>
                    </w:rPr>
                    <w:t>水量</w:t>
                  </w:r>
                </w:p>
              </w:tc>
              <w:tc>
                <w:tcPr>
                  <w:tcW w:w="650" w:type="dxa"/>
                  <w:vMerge w:val="restart"/>
                  <w:tcBorders>
                    <w:tl2br w:val="nil"/>
                    <w:tr2bl w:val="nil"/>
                  </w:tcBorders>
                  <w:vAlign w:val="center"/>
                </w:tcPr>
                <w:p w14:paraId="6D0D454E">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单位</w:t>
                  </w:r>
                </w:p>
              </w:tc>
              <w:tc>
                <w:tcPr>
                  <w:tcW w:w="650" w:type="dxa"/>
                  <w:vMerge w:val="restart"/>
                  <w:tcBorders>
                    <w:tl2br w:val="nil"/>
                    <w:tr2bl w:val="nil"/>
                  </w:tcBorders>
                  <w:vAlign w:val="center"/>
                </w:tcPr>
                <w:p w14:paraId="240CF4B7">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650" w:type="dxa"/>
                  <w:vMerge w:val="restart"/>
                  <w:tcBorders>
                    <w:tl2br w:val="nil"/>
                    <w:tr2bl w:val="nil"/>
                  </w:tcBorders>
                  <w:vAlign w:val="center"/>
                </w:tcPr>
                <w:p w14:paraId="279AE6F3">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650" w:type="dxa"/>
                  <w:vMerge w:val="restart"/>
                  <w:tcBorders>
                    <w:tl2br w:val="nil"/>
                    <w:tr2bl w:val="nil"/>
                  </w:tcBorders>
                  <w:vAlign w:val="center"/>
                </w:tcPr>
                <w:p w14:paraId="6032EFD0">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SS</w:t>
                  </w:r>
                </w:p>
              </w:tc>
              <w:tc>
                <w:tcPr>
                  <w:tcW w:w="676" w:type="dxa"/>
                  <w:vMerge w:val="restart"/>
                  <w:tcBorders>
                    <w:tl2br w:val="nil"/>
                    <w:tr2bl w:val="nil"/>
                  </w:tcBorders>
                  <w:vAlign w:val="center"/>
                </w:tcPr>
                <w:p w14:paraId="45253043">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TP</w:t>
                  </w:r>
                </w:p>
              </w:tc>
              <w:tc>
                <w:tcPr>
                  <w:tcW w:w="676" w:type="dxa"/>
                  <w:vMerge w:val="restart"/>
                  <w:tcBorders>
                    <w:tl2br w:val="nil"/>
                    <w:tr2bl w:val="nil"/>
                  </w:tcBorders>
                  <w:vAlign w:val="center"/>
                </w:tcPr>
                <w:p w14:paraId="0EDCC711">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TN</w:t>
                  </w:r>
                </w:p>
              </w:tc>
              <w:tc>
                <w:tcPr>
                  <w:tcW w:w="676" w:type="dxa"/>
                  <w:vMerge w:val="restart"/>
                  <w:tcBorders>
                    <w:tl2br w:val="nil"/>
                    <w:tr2bl w:val="nil"/>
                  </w:tcBorders>
                  <w:vAlign w:val="center"/>
                </w:tcPr>
                <w:p w14:paraId="6E61C13D">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980" w:type="dxa"/>
                  <w:vMerge w:val="restart"/>
                  <w:tcBorders>
                    <w:tl2br w:val="nil"/>
                    <w:tr2bl w:val="nil"/>
                  </w:tcBorders>
                  <w:vAlign w:val="center"/>
                </w:tcPr>
                <w:p w14:paraId="0EDA6DDB">
                  <w:pPr>
                    <w:pStyle w:val="61"/>
                    <w:bidi w:val="0"/>
                    <w:jc w:val="center"/>
                    <w:rPr>
                      <w:rFonts w:hint="default" w:ascii="Times New Roman" w:hAnsi="Times New Roman" w:cs="Times New Roman"/>
                      <w:color w:val="auto"/>
                    </w:rPr>
                  </w:pPr>
                  <w:r>
                    <w:rPr>
                      <w:rFonts w:hint="default" w:ascii="Times New Roman" w:hAnsi="Times New Roman" w:cs="Times New Roman"/>
                      <w:color w:val="auto"/>
                    </w:rPr>
                    <w:t>p</w:t>
                  </w:r>
                  <w:r>
                    <w:rPr>
                      <w:rFonts w:hint="default" w:ascii="Times New Roman" w:hAnsi="Times New Roman" w:cs="Times New Roman"/>
                      <w:color w:val="auto"/>
                      <w:lang w:val="en-US" w:eastAsia="zh-CN"/>
                    </w:rPr>
                    <w:t>H（</w:t>
                  </w:r>
                  <w:r>
                    <w:rPr>
                      <w:rFonts w:hint="default" w:ascii="Times New Roman" w:hAnsi="Times New Roman" w:cs="Times New Roman"/>
                      <w:color w:val="auto"/>
                    </w:rPr>
                    <w:t>无量纲</w:t>
                  </w:r>
                  <w:r>
                    <w:rPr>
                      <w:rFonts w:hint="default" w:ascii="Times New Roman" w:hAnsi="Times New Roman" w:cs="Times New Roman"/>
                      <w:color w:val="auto"/>
                      <w:lang w:eastAsia="zh-CN"/>
                    </w:rPr>
                    <w:t>）</w:t>
                  </w:r>
                </w:p>
              </w:tc>
            </w:tr>
            <w:tr w14:paraId="2E8F4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957" w:type="dxa"/>
                  <w:vMerge w:val="continue"/>
                  <w:tcBorders>
                    <w:tl2br w:val="nil"/>
                    <w:tr2bl w:val="nil"/>
                  </w:tcBorders>
                  <w:vAlign w:val="center"/>
                </w:tcPr>
                <w:p w14:paraId="7B8FFCAC">
                  <w:pPr>
                    <w:pStyle w:val="61"/>
                    <w:bidi w:val="0"/>
                    <w:jc w:val="center"/>
                    <w:rPr>
                      <w:rFonts w:hint="default" w:ascii="Times New Roman" w:hAnsi="Times New Roman" w:cs="Times New Roman"/>
                      <w:color w:val="auto"/>
                    </w:rPr>
                  </w:pPr>
                </w:p>
              </w:tc>
              <w:tc>
                <w:tcPr>
                  <w:tcW w:w="742" w:type="dxa"/>
                  <w:tcBorders>
                    <w:tl2br w:val="nil"/>
                    <w:tr2bl w:val="nil"/>
                  </w:tcBorders>
                  <w:vAlign w:val="center"/>
                </w:tcPr>
                <w:p w14:paraId="53D79C20">
                  <w:pPr>
                    <w:pStyle w:val="61"/>
                    <w:bidi w:val="0"/>
                    <w:ind w:firstLine="0" w:firstLineChars="0"/>
                    <w:jc w:val="center"/>
                    <w:rPr>
                      <w:rFonts w:hint="default" w:ascii="Times New Roman" w:hAnsi="Times New Roman" w:eastAsia="宋体" w:cs="Times New Roman"/>
                      <w:color w:val="auto"/>
                      <w:lang w:val="en-US" w:eastAsia="zh-CN"/>
                    </w:rPr>
                  </w:pP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/d</w:t>
                  </w:r>
                </w:p>
              </w:tc>
              <w:tc>
                <w:tcPr>
                  <w:tcW w:w="743" w:type="dxa"/>
                  <w:tcBorders>
                    <w:tl2br w:val="nil"/>
                    <w:tr2bl w:val="nil"/>
                  </w:tcBorders>
                  <w:vAlign w:val="center"/>
                </w:tcPr>
                <w:p w14:paraId="4BFB4142">
                  <w:pPr>
                    <w:pStyle w:val="61"/>
                    <w:bidi w:val="0"/>
                    <w:ind w:firstLine="0" w:firstLineChars="0"/>
                    <w:jc w:val="center"/>
                    <w:rPr>
                      <w:rFonts w:hint="default" w:ascii="Times New Roman" w:hAnsi="Times New Roman" w:eastAsia="宋体" w:cs="Times New Roman"/>
                      <w:color w:val="auto"/>
                      <w:lang w:val="en-US" w:eastAsia="zh-CN"/>
                    </w:rPr>
                  </w:pP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w:t>
                  </w:r>
                  <w:r>
                    <w:rPr>
                      <w:rFonts w:hint="default" w:ascii="Times New Roman" w:hAnsi="Times New Roman" w:cs="Times New Roman"/>
                      <w:color w:val="auto"/>
                      <w:lang w:val="en-US" w:eastAsia="zh-CN"/>
                    </w:rPr>
                    <w:t>a</w:t>
                  </w:r>
                </w:p>
              </w:tc>
              <w:tc>
                <w:tcPr>
                  <w:tcW w:w="650" w:type="dxa"/>
                  <w:vMerge w:val="continue"/>
                  <w:tcBorders>
                    <w:tl2br w:val="nil"/>
                    <w:tr2bl w:val="nil"/>
                  </w:tcBorders>
                  <w:vAlign w:val="center"/>
                </w:tcPr>
                <w:p w14:paraId="1E36A4D4">
                  <w:pPr>
                    <w:pStyle w:val="61"/>
                    <w:bidi w:val="0"/>
                    <w:jc w:val="center"/>
                    <w:rPr>
                      <w:rFonts w:hint="default" w:ascii="Times New Roman" w:hAnsi="Times New Roman" w:eastAsia="宋体" w:cs="Times New Roman"/>
                      <w:color w:val="auto"/>
                      <w:lang w:val="en-US" w:eastAsia="zh-CN"/>
                    </w:rPr>
                  </w:pPr>
                </w:p>
              </w:tc>
              <w:tc>
                <w:tcPr>
                  <w:tcW w:w="650" w:type="dxa"/>
                  <w:vMerge w:val="continue"/>
                  <w:tcBorders>
                    <w:tl2br w:val="nil"/>
                    <w:tr2bl w:val="nil"/>
                  </w:tcBorders>
                  <w:vAlign w:val="center"/>
                </w:tcPr>
                <w:p w14:paraId="7B10B39F">
                  <w:pPr>
                    <w:pStyle w:val="61"/>
                    <w:bidi w:val="0"/>
                    <w:jc w:val="center"/>
                    <w:rPr>
                      <w:rFonts w:hint="default" w:ascii="Times New Roman" w:hAnsi="Times New Roman" w:eastAsia="宋体" w:cs="Times New Roman"/>
                      <w:color w:val="auto"/>
                      <w:lang w:val="en-US" w:eastAsia="zh-CN"/>
                    </w:rPr>
                  </w:pPr>
                </w:p>
              </w:tc>
              <w:tc>
                <w:tcPr>
                  <w:tcW w:w="650" w:type="dxa"/>
                  <w:vMerge w:val="continue"/>
                  <w:tcBorders>
                    <w:tl2br w:val="nil"/>
                    <w:tr2bl w:val="nil"/>
                  </w:tcBorders>
                  <w:vAlign w:val="center"/>
                </w:tcPr>
                <w:p w14:paraId="3DA06CB6">
                  <w:pPr>
                    <w:pStyle w:val="61"/>
                    <w:bidi w:val="0"/>
                    <w:jc w:val="center"/>
                    <w:rPr>
                      <w:rFonts w:hint="default" w:ascii="Times New Roman" w:hAnsi="Times New Roman" w:eastAsia="宋体" w:cs="Times New Roman"/>
                      <w:color w:val="auto"/>
                      <w:lang w:val="en-US" w:eastAsia="zh-CN"/>
                    </w:rPr>
                  </w:pPr>
                </w:p>
              </w:tc>
              <w:tc>
                <w:tcPr>
                  <w:tcW w:w="650" w:type="dxa"/>
                  <w:vMerge w:val="continue"/>
                  <w:tcBorders>
                    <w:tl2br w:val="nil"/>
                    <w:tr2bl w:val="nil"/>
                  </w:tcBorders>
                  <w:vAlign w:val="center"/>
                </w:tcPr>
                <w:p w14:paraId="736D1B07">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07A91E51">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132E2E03">
                  <w:pPr>
                    <w:pStyle w:val="61"/>
                    <w:bidi w:val="0"/>
                    <w:jc w:val="center"/>
                    <w:rPr>
                      <w:rFonts w:hint="default" w:ascii="Times New Roman" w:hAnsi="Times New Roman" w:eastAsia="宋体" w:cs="Times New Roman"/>
                      <w:color w:val="auto"/>
                      <w:lang w:val="en-US" w:eastAsia="zh-CN"/>
                    </w:rPr>
                  </w:pPr>
                </w:p>
              </w:tc>
              <w:tc>
                <w:tcPr>
                  <w:tcW w:w="676" w:type="dxa"/>
                  <w:vMerge w:val="continue"/>
                  <w:tcBorders>
                    <w:tl2br w:val="nil"/>
                    <w:tr2bl w:val="nil"/>
                  </w:tcBorders>
                  <w:vAlign w:val="center"/>
                </w:tcPr>
                <w:p w14:paraId="38BEA256">
                  <w:pPr>
                    <w:pStyle w:val="61"/>
                    <w:bidi w:val="0"/>
                    <w:jc w:val="center"/>
                    <w:rPr>
                      <w:rFonts w:hint="default" w:ascii="Times New Roman" w:hAnsi="Times New Roman" w:cs="Times New Roman"/>
                      <w:color w:val="auto"/>
                    </w:rPr>
                  </w:pPr>
                </w:p>
              </w:tc>
              <w:tc>
                <w:tcPr>
                  <w:tcW w:w="980" w:type="dxa"/>
                  <w:vMerge w:val="continue"/>
                  <w:tcBorders>
                    <w:tl2br w:val="nil"/>
                    <w:tr2bl w:val="nil"/>
                  </w:tcBorders>
                  <w:vAlign w:val="center"/>
                </w:tcPr>
                <w:p w14:paraId="5B109590">
                  <w:pPr>
                    <w:pStyle w:val="61"/>
                    <w:bidi w:val="0"/>
                    <w:jc w:val="center"/>
                    <w:rPr>
                      <w:rFonts w:hint="default" w:ascii="Times New Roman" w:hAnsi="Times New Roman" w:cs="Times New Roman"/>
                      <w:color w:val="auto"/>
                    </w:rPr>
                  </w:pPr>
                </w:p>
              </w:tc>
            </w:tr>
            <w:tr w14:paraId="6AFDF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957" w:type="dxa"/>
                  <w:vMerge w:val="restart"/>
                  <w:tcBorders>
                    <w:tl2br w:val="nil"/>
                    <w:tr2bl w:val="nil"/>
                  </w:tcBorders>
                  <w:vAlign w:val="center"/>
                </w:tcPr>
                <w:p w14:paraId="4D776D8E">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产生量</w:t>
                  </w:r>
                </w:p>
              </w:tc>
              <w:tc>
                <w:tcPr>
                  <w:tcW w:w="742" w:type="dxa"/>
                  <w:vMerge w:val="restart"/>
                  <w:tcBorders>
                    <w:tl2br w:val="nil"/>
                    <w:tr2bl w:val="nil"/>
                  </w:tcBorders>
                  <w:vAlign w:val="center"/>
                </w:tcPr>
                <w:p w14:paraId="0089BC3E">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1706.745</w:t>
                  </w:r>
                </w:p>
              </w:tc>
              <w:tc>
                <w:tcPr>
                  <w:tcW w:w="743" w:type="dxa"/>
                  <w:vMerge w:val="restart"/>
                  <w:tcBorders>
                    <w:tl2br w:val="nil"/>
                    <w:tr2bl w:val="nil"/>
                  </w:tcBorders>
                  <w:vAlign w:val="center"/>
                </w:tcPr>
                <w:p w14:paraId="6845DB37">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546158.4</w:t>
                  </w:r>
                </w:p>
              </w:tc>
              <w:tc>
                <w:tcPr>
                  <w:tcW w:w="650" w:type="dxa"/>
                  <w:tcBorders>
                    <w:tl2br w:val="nil"/>
                    <w:tr2bl w:val="nil"/>
                  </w:tcBorders>
                  <w:vAlign w:val="center"/>
                </w:tcPr>
                <w:p w14:paraId="071AD85E">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mg/L</w:t>
                  </w:r>
                </w:p>
              </w:tc>
              <w:tc>
                <w:tcPr>
                  <w:tcW w:w="650" w:type="dxa"/>
                  <w:tcBorders>
                    <w:tl2br w:val="nil"/>
                    <w:tr2bl w:val="nil"/>
                  </w:tcBorders>
                  <w:vAlign w:val="center"/>
                </w:tcPr>
                <w:p w14:paraId="09357708">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3200</w:t>
                  </w:r>
                </w:p>
              </w:tc>
              <w:tc>
                <w:tcPr>
                  <w:tcW w:w="650" w:type="dxa"/>
                  <w:tcBorders>
                    <w:tl2br w:val="nil"/>
                    <w:tr2bl w:val="nil"/>
                  </w:tcBorders>
                  <w:vAlign w:val="center"/>
                </w:tcPr>
                <w:p w14:paraId="3134B5DE">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1300</w:t>
                  </w:r>
                </w:p>
              </w:tc>
              <w:tc>
                <w:tcPr>
                  <w:tcW w:w="650" w:type="dxa"/>
                  <w:tcBorders>
                    <w:tl2br w:val="nil"/>
                    <w:tr2bl w:val="nil"/>
                  </w:tcBorders>
                  <w:vAlign w:val="center"/>
                </w:tcPr>
                <w:p w14:paraId="28F0F1CD">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850</w:t>
                  </w:r>
                </w:p>
              </w:tc>
              <w:tc>
                <w:tcPr>
                  <w:tcW w:w="676" w:type="dxa"/>
                  <w:tcBorders>
                    <w:tl2br w:val="nil"/>
                    <w:tr2bl w:val="nil"/>
                  </w:tcBorders>
                  <w:vAlign w:val="center"/>
                </w:tcPr>
                <w:p w14:paraId="035B22AC">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w:t>
                  </w:r>
                </w:p>
              </w:tc>
              <w:tc>
                <w:tcPr>
                  <w:tcW w:w="676" w:type="dxa"/>
                  <w:tcBorders>
                    <w:tl2br w:val="nil"/>
                    <w:tr2bl w:val="nil"/>
                  </w:tcBorders>
                  <w:vAlign w:val="center"/>
                </w:tcPr>
                <w:p w14:paraId="6C9A3F7C">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w:t>
                  </w:r>
                </w:p>
              </w:tc>
              <w:tc>
                <w:tcPr>
                  <w:tcW w:w="676" w:type="dxa"/>
                  <w:tcBorders>
                    <w:tl2br w:val="nil"/>
                    <w:tr2bl w:val="nil"/>
                  </w:tcBorders>
                  <w:vAlign w:val="center"/>
                </w:tcPr>
                <w:p w14:paraId="26CD16B8">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w:t>
                  </w:r>
                </w:p>
              </w:tc>
              <w:tc>
                <w:tcPr>
                  <w:tcW w:w="980" w:type="dxa"/>
                  <w:tcBorders>
                    <w:tl2br w:val="nil"/>
                    <w:tr2bl w:val="nil"/>
                  </w:tcBorders>
                  <w:vAlign w:val="center"/>
                </w:tcPr>
                <w:p w14:paraId="41BC6AD4">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2-12</w:t>
                  </w:r>
                </w:p>
              </w:tc>
            </w:tr>
            <w:tr w14:paraId="4694E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jc w:val="center"/>
              </w:trPr>
              <w:tc>
                <w:tcPr>
                  <w:tcW w:w="957" w:type="dxa"/>
                  <w:vMerge w:val="continue"/>
                  <w:tcBorders>
                    <w:tl2br w:val="nil"/>
                    <w:tr2bl w:val="nil"/>
                  </w:tcBorders>
                  <w:vAlign w:val="center"/>
                </w:tcPr>
                <w:p w14:paraId="374DDDC6">
                  <w:pPr>
                    <w:pStyle w:val="61"/>
                    <w:bidi w:val="0"/>
                    <w:jc w:val="center"/>
                    <w:rPr>
                      <w:rFonts w:hint="default" w:ascii="Times New Roman" w:hAnsi="Times New Roman" w:cs="Times New Roman"/>
                      <w:color w:val="auto"/>
                      <w:lang w:val="en-US" w:eastAsia="zh-CN"/>
                    </w:rPr>
                  </w:pPr>
                </w:p>
              </w:tc>
              <w:tc>
                <w:tcPr>
                  <w:tcW w:w="742" w:type="dxa"/>
                  <w:vMerge w:val="continue"/>
                  <w:tcBorders>
                    <w:tl2br w:val="nil"/>
                    <w:tr2bl w:val="nil"/>
                  </w:tcBorders>
                  <w:vAlign w:val="center"/>
                </w:tcPr>
                <w:p w14:paraId="093C2BA7">
                  <w:pPr>
                    <w:pStyle w:val="61"/>
                    <w:bidi w:val="0"/>
                    <w:jc w:val="center"/>
                    <w:rPr>
                      <w:rFonts w:hint="default" w:ascii="Times New Roman" w:hAnsi="Times New Roman" w:cs="Times New Roman"/>
                      <w:color w:val="auto"/>
                      <w:lang w:val="en-US" w:eastAsia="zh-CN"/>
                    </w:rPr>
                  </w:pPr>
                </w:p>
              </w:tc>
              <w:tc>
                <w:tcPr>
                  <w:tcW w:w="743" w:type="dxa"/>
                  <w:vMerge w:val="continue"/>
                  <w:tcBorders>
                    <w:tl2br w:val="nil"/>
                    <w:tr2bl w:val="nil"/>
                  </w:tcBorders>
                  <w:vAlign w:val="center"/>
                </w:tcPr>
                <w:p w14:paraId="6978EBBC">
                  <w:pPr>
                    <w:pStyle w:val="61"/>
                    <w:bidi w:val="0"/>
                    <w:jc w:val="center"/>
                    <w:rPr>
                      <w:rFonts w:hint="default" w:ascii="Times New Roman" w:hAnsi="Times New Roman" w:cs="Times New Roman"/>
                      <w:color w:val="auto"/>
                      <w:lang w:val="en-US" w:eastAsia="zh-CN"/>
                    </w:rPr>
                  </w:pPr>
                </w:p>
              </w:tc>
              <w:tc>
                <w:tcPr>
                  <w:tcW w:w="650" w:type="dxa"/>
                  <w:tcBorders>
                    <w:tl2br w:val="nil"/>
                    <w:tr2bl w:val="nil"/>
                  </w:tcBorders>
                  <w:vAlign w:val="center"/>
                </w:tcPr>
                <w:p w14:paraId="25C9C264">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t/a</w:t>
                  </w:r>
                </w:p>
              </w:tc>
              <w:tc>
                <w:tcPr>
                  <w:tcW w:w="650" w:type="dxa"/>
                  <w:tcBorders>
                    <w:tl2br w:val="nil"/>
                    <w:tr2bl w:val="nil"/>
                  </w:tcBorders>
                  <w:vAlign w:val="center"/>
                </w:tcPr>
                <w:p w14:paraId="32F0EA33">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1747.71 </w:t>
                  </w:r>
                </w:p>
              </w:tc>
              <w:tc>
                <w:tcPr>
                  <w:tcW w:w="650" w:type="dxa"/>
                  <w:tcBorders>
                    <w:tl2br w:val="nil"/>
                    <w:tr2bl w:val="nil"/>
                  </w:tcBorders>
                  <w:vAlign w:val="center"/>
                </w:tcPr>
                <w:p w14:paraId="559AA077">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710.01 </w:t>
                  </w:r>
                </w:p>
              </w:tc>
              <w:tc>
                <w:tcPr>
                  <w:tcW w:w="650" w:type="dxa"/>
                  <w:tcBorders>
                    <w:tl2br w:val="nil"/>
                    <w:tr2bl w:val="nil"/>
                  </w:tcBorders>
                  <w:vAlign w:val="center"/>
                </w:tcPr>
                <w:p w14:paraId="7437C1B9">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464.23 </w:t>
                  </w:r>
                </w:p>
              </w:tc>
              <w:tc>
                <w:tcPr>
                  <w:tcW w:w="676" w:type="dxa"/>
                  <w:tcBorders>
                    <w:tl2br w:val="nil"/>
                    <w:tr2bl w:val="nil"/>
                  </w:tcBorders>
                  <w:vAlign w:val="center"/>
                </w:tcPr>
                <w:p w14:paraId="6F62C7DA">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10.92 </w:t>
                  </w:r>
                </w:p>
              </w:tc>
              <w:tc>
                <w:tcPr>
                  <w:tcW w:w="676" w:type="dxa"/>
                  <w:tcBorders>
                    <w:tl2br w:val="nil"/>
                    <w:tr2bl w:val="nil"/>
                  </w:tcBorders>
                  <w:vAlign w:val="center"/>
                </w:tcPr>
                <w:p w14:paraId="6135F4B4">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19.12 </w:t>
                  </w:r>
                </w:p>
              </w:tc>
              <w:tc>
                <w:tcPr>
                  <w:tcW w:w="676" w:type="dxa"/>
                  <w:tcBorders>
                    <w:tl2br w:val="nil"/>
                    <w:tr2bl w:val="nil"/>
                  </w:tcBorders>
                  <w:vAlign w:val="center"/>
                </w:tcPr>
                <w:p w14:paraId="65E1E076">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16.38 </w:t>
                  </w:r>
                </w:p>
              </w:tc>
              <w:tc>
                <w:tcPr>
                  <w:tcW w:w="980" w:type="dxa"/>
                  <w:tcBorders>
                    <w:tl2br w:val="nil"/>
                    <w:tr2bl w:val="nil"/>
                  </w:tcBorders>
                  <w:vAlign w:val="center"/>
                </w:tcPr>
                <w:p w14:paraId="1B4FBC90">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w:t>
                  </w:r>
                </w:p>
              </w:tc>
            </w:tr>
            <w:tr w14:paraId="08BB9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9" w:hRule="atLeast"/>
                <w:jc w:val="center"/>
              </w:trPr>
              <w:tc>
                <w:tcPr>
                  <w:tcW w:w="957" w:type="dxa"/>
                  <w:vMerge w:val="restart"/>
                  <w:tcBorders>
                    <w:tl2br w:val="nil"/>
                    <w:tr2bl w:val="nil"/>
                  </w:tcBorders>
                  <w:vAlign w:val="center"/>
                </w:tcPr>
                <w:p w14:paraId="02B51089">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经处理后总排口</w:t>
                  </w:r>
                </w:p>
              </w:tc>
              <w:tc>
                <w:tcPr>
                  <w:tcW w:w="742" w:type="dxa"/>
                  <w:vMerge w:val="restart"/>
                  <w:tcBorders>
                    <w:tl2br w:val="nil"/>
                    <w:tr2bl w:val="nil"/>
                  </w:tcBorders>
                  <w:vAlign w:val="center"/>
                </w:tcPr>
                <w:p w14:paraId="54A52411">
                  <w:pPr>
                    <w:pStyle w:val="61"/>
                    <w:bidi w:val="0"/>
                    <w:ind w:firstLine="0" w:firstLineChars="0"/>
                    <w:jc w:val="center"/>
                    <w:rPr>
                      <w:rFonts w:hint="default" w:ascii="Times New Roman" w:hAnsi="Times New Roman" w:cs="Times New Roman"/>
                      <w:color w:val="auto"/>
                    </w:rPr>
                  </w:pPr>
                  <w:r>
                    <w:rPr>
                      <w:rFonts w:hint="eastAsia" w:ascii="Times New Roman" w:hAnsi="Times New Roman" w:eastAsia="宋体" w:cs="Times New Roman"/>
                      <w:color w:val="auto"/>
                      <w:lang w:val="en-US" w:eastAsia="zh-CN"/>
                    </w:rPr>
                    <w:t>1706.745</w:t>
                  </w:r>
                </w:p>
              </w:tc>
              <w:tc>
                <w:tcPr>
                  <w:tcW w:w="743" w:type="dxa"/>
                  <w:vMerge w:val="restart"/>
                  <w:tcBorders>
                    <w:tl2br w:val="nil"/>
                    <w:tr2bl w:val="nil"/>
                  </w:tcBorders>
                  <w:vAlign w:val="center"/>
                </w:tcPr>
                <w:p w14:paraId="0973F65C">
                  <w:pPr>
                    <w:pStyle w:val="61"/>
                    <w:bidi w:val="0"/>
                    <w:ind w:firstLine="0" w:firstLineChars="0"/>
                    <w:jc w:val="center"/>
                    <w:rPr>
                      <w:rFonts w:hint="default" w:ascii="Times New Roman" w:hAnsi="Times New Roman" w:cs="Times New Roman"/>
                      <w:color w:val="auto"/>
                    </w:rPr>
                  </w:pPr>
                  <w:r>
                    <w:rPr>
                      <w:rFonts w:hint="eastAsia"/>
                      <w:color w:val="auto"/>
                      <w:lang w:val="en-US" w:eastAsia="zh-CN"/>
                    </w:rPr>
                    <w:t>546158.4</w:t>
                  </w:r>
                </w:p>
              </w:tc>
              <w:tc>
                <w:tcPr>
                  <w:tcW w:w="650" w:type="dxa"/>
                  <w:tcBorders>
                    <w:tl2br w:val="nil"/>
                    <w:tr2bl w:val="nil"/>
                  </w:tcBorders>
                  <w:vAlign w:val="center"/>
                </w:tcPr>
                <w:p w14:paraId="1A801159">
                  <w:pPr>
                    <w:pStyle w:val="61"/>
                    <w:bidi w:val="0"/>
                    <w:ind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mg/L</w:t>
                  </w:r>
                </w:p>
              </w:tc>
              <w:tc>
                <w:tcPr>
                  <w:tcW w:w="650" w:type="dxa"/>
                  <w:tcBorders>
                    <w:tl2br w:val="nil"/>
                    <w:tr2bl w:val="nil"/>
                  </w:tcBorders>
                  <w:vAlign w:val="center"/>
                </w:tcPr>
                <w:p w14:paraId="2F350E5A">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95</w:t>
                  </w:r>
                </w:p>
              </w:tc>
              <w:tc>
                <w:tcPr>
                  <w:tcW w:w="650" w:type="dxa"/>
                  <w:tcBorders>
                    <w:tl2br w:val="nil"/>
                    <w:tr2bl w:val="nil"/>
                  </w:tcBorders>
                  <w:vAlign w:val="center"/>
                </w:tcPr>
                <w:p w14:paraId="5D786115">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8.5</w:t>
                  </w:r>
                </w:p>
              </w:tc>
              <w:tc>
                <w:tcPr>
                  <w:tcW w:w="650" w:type="dxa"/>
                  <w:tcBorders>
                    <w:tl2br w:val="nil"/>
                    <w:tr2bl w:val="nil"/>
                  </w:tcBorders>
                  <w:vAlign w:val="center"/>
                </w:tcPr>
                <w:p w14:paraId="33103251">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w:t>
                  </w:r>
                  <w:r>
                    <w:rPr>
                      <w:rFonts w:hint="eastAsia" w:cs="Times New Roman"/>
                      <w:color w:val="auto"/>
                      <w:lang w:val="en-US" w:eastAsia="zh-CN"/>
                    </w:rPr>
                    <w:t>1</w:t>
                  </w:r>
                </w:p>
              </w:tc>
              <w:tc>
                <w:tcPr>
                  <w:tcW w:w="676" w:type="dxa"/>
                  <w:tcBorders>
                    <w:tl2br w:val="nil"/>
                    <w:tr2bl w:val="nil"/>
                  </w:tcBorders>
                  <w:vAlign w:val="center"/>
                </w:tcPr>
                <w:p w14:paraId="7B0A71BB">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0.18</w:t>
                  </w:r>
                </w:p>
              </w:tc>
              <w:tc>
                <w:tcPr>
                  <w:tcW w:w="676" w:type="dxa"/>
                  <w:tcBorders>
                    <w:tl2br w:val="nil"/>
                    <w:tr2bl w:val="nil"/>
                  </w:tcBorders>
                  <w:vAlign w:val="center"/>
                </w:tcPr>
                <w:p w14:paraId="6F04DA67">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5.91</w:t>
                  </w:r>
                </w:p>
              </w:tc>
              <w:tc>
                <w:tcPr>
                  <w:tcW w:w="676" w:type="dxa"/>
                  <w:tcBorders>
                    <w:tl2br w:val="nil"/>
                    <w:tr2bl w:val="nil"/>
                  </w:tcBorders>
                  <w:vAlign w:val="center"/>
                </w:tcPr>
                <w:p w14:paraId="503B95C6">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1.35</w:t>
                  </w:r>
                </w:p>
              </w:tc>
              <w:tc>
                <w:tcPr>
                  <w:tcW w:w="980" w:type="dxa"/>
                  <w:tcBorders>
                    <w:tl2br w:val="nil"/>
                    <w:tr2bl w:val="nil"/>
                  </w:tcBorders>
                  <w:vAlign w:val="center"/>
                </w:tcPr>
                <w:p w14:paraId="68C64490">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7.4</w:t>
                  </w:r>
                </w:p>
              </w:tc>
            </w:tr>
            <w:tr w14:paraId="59C16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957" w:type="dxa"/>
                  <w:vMerge w:val="continue"/>
                  <w:tcBorders>
                    <w:tl2br w:val="nil"/>
                    <w:tr2bl w:val="nil"/>
                  </w:tcBorders>
                  <w:vAlign w:val="center"/>
                </w:tcPr>
                <w:p w14:paraId="403036E9">
                  <w:pPr>
                    <w:pStyle w:val="61"/>
                    <w:bidi w:val="0"/>
                    <w:ind w:firstLine="0" w:firstLineChars="0"/>
                    <w:jc w:val="center"/>
                    <w:rPr>
                      <w:rFonts w:hint="default" w:ascii="Times New Roman" w:hAnsi="Times New Roman" w:cs="Times New Roman"/>
                      <w:color w:val="auto"/>
                    </w:rPr>
                  </w:pPr>
                </w:p>
              </w:tc>
              <w:tc>
                <w:tcPr>
                  <w:tcW w:w="742" w:type="dxa"/>
                  <w:vMerge w:val="continue"/>
                  <w:tcBorders>
                    <w:tl2br w:val="nil"/>
                    <w:tr2bl w:val="nil"/>
                  </w:tcBorders>
                  <w:vAlign w:val="center"/>
                </w:tcPr>
                <w:p w14:paraId="160D6A5D">
                  <w:pPr>
                    <w:pStyle w:val="61"/>
                    <w:bidi w:val="0"/>
                    <w:ind w:firstLine="0" w:firstLineChars="0"/>
                    <w:jc w:val="center"/>
                    <w:rPr>
                      <w:rFonts w:hint="default" w:ascii="Times New Roman" w:hAnsi="Times New Roman" w:cs="Times New Roman"/>
                      <w:color w:val="auto"/>
                    </w:rPr>
                  </w:pPr>
                </w:p>
              </w:tc>
              <w:tc>
                <w:tcPr>
                  <w:tcW w:w="743" w:type="dxa"/>
                  <w:vMerge w:val="continue"/>
                  <w:tcBorders>
                    <w:tl2br w:val="nil"/>
                    <w:tr2bl w:val="nil"/>
                  </w:tcBorders>
                  <w:vAlign w:val="center"/>
                </w:tcPr>
                <w:p w14:paraId="4615345C">
                  <w:pPr>
                    <w:pStyle w:val="61"/>
                    <w:bidi w:val="0"/>
                    <w:ind w:firstLine="0" w:firstLineChars="0"/>
                    <w:jc w:val="center"/>
                    <w:rPr>
                      <w:rFonts w:hint="default" w:ascii="Times New Roman" w:hAnsi="Times New Roman" w:cs="Times New Roman"/>
                      <w:color w:val="auto"/>
                    </w:rPr>
                  </w:pPr>
                </w:p>
              </w:tc>
              <w:tc>
                <w:tcPr>
                  <w:tcW w:w="650" w:type="dxa"/>
                  <w:tcBorders>
                    <w:tl2br w:val="nil"/>
                    <w:tr2bl w:val="nil"/>
                  </w:tcBorders>
                  <w:vAlign w:val="center"/>
                </w:tcPr>
                <w:p w14:paraId="508B4B70">
                  <w:pPr>
                    <w:pStyle w:val="61"/>
                    <w:bidi w:val="0"/>
                    <w:ind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50" w:type="dxa"/>
                  <w:tcBorders>
                    <w:tl2br w:val="nil"/>
                    <w:tr2bl w:val="nil"/>
                  </w:tcBorders>
                  <w:vAlign w:val="center"/>
                </w:tcPr>
                <w:p w14:paraId="518230BE">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51.89</w:t>
                  </w:r>
                </w:p>
              </w:tc>
              <w:tc>
                <w:tcPr>
                  <w:tcW w:w="650" w:type="dxa"/>
                  <w:tcBorders>
                    <w:tl2br w:val="nil"/>
                    <w:tr2bl w:val="nil"/>
                  </w:tcBorders>
                  <w:vAlign w:val="center"/>
                </w:tcPr>
                <w:p w14:paraId="5BDC9729">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4.64</w:t>
                  </w:r>
                </w:p>
              </w:tc>
              <w:tc>
                <w:tcPr>
                  <w:tcW w:w="650" w:type="dxa"/>
                  <w:tcBorders>
                    <w:tl2br w:val="nil"/>
                    <w:tr2bl w:val="nil"/>
                  </w:tcBorders>
                  <w:vAlign w:val="center"/>
                </w:tcPr>
                <w:p w14:paraId="13CA89BC">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11.47</w:t>
                  </w:r>
                </w:p>
              </w:tc>
              <w:tc>
                <w:tcPr>
                  <w:tcW w:w="676" w:type="dxa"/>
                  <w:tcBorders>
                    <w:tl2br w:val="nil"/>
                    <w:tr2bl w:val="nil"/>
                  </w:tcBorders>
                  <w:vAlign w:val="center"/>
                </w:tcPr>
                <w:p w14:paraId="6524E199">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0.098</w:t>
                  </w:r>
                </w:p>
              </w:tc>
              <w:tc>
                <w:tcPr>
                  <w:tcW w:w="676" w:type="dxa"/>
                  <w:tcBorders>
                    <w:tl2br w:val="nil"/>
                    <w:tr2bl w:val="nil"/>
                  </w:tcBorders>
                  <w:vAlign w:val="center"/>
                </w:tcPr>
                <w:p w14:paraId="2715C60C">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3.23</w:t>
                  </w:r>
                </w:p>
              </w:tc>
              <w:tc>
                <w:tcPr>
                  <w:tcW w:w="676" w:type="dxa"/>
                  <w:tcBorders>
                    <w:tl2br w:val="nil"/>
                    <w:tr2bl w:val="nil"/>
                  </w:tcBorders>
                  <w:vAlign w:val="center"/>
                </w:tcPr>
                <w:p w14:paraId="7EBF5CB0">
                  <w:pPr>
                    <w:pStyle w:val="61"/>
                    <w:bidi w:val="0"/>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0.737</w:t>
                  </w:r>
                </w:p>
              </w:tc>
              <w:tc>
                <w:tcPr>
                  <w:tcW w:w="980" w:type="dxa"/>
                  <w:tcBorders>
                    <w:tl2br w:val="nil"/>
                    <w:tr2bl w:val="nil"/>
                  </w:tcBorders>
                  <w:vAlign w:val="center"/>
                </w:tcPr>
                <w:p w14:paraId="26258B93">
                  <w:pPr>
                    <w:pStyle w:val="61"/>
                    <w:bidi w:val="0"/>
                    <w:ind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w:t>
                  </w:r>
                </w:p>
              </w:tc>
            </w:tr>
            <w:tr w14:paraId="2B974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57" w:type="dxa"/>
                  <w:tcBorders>
                    <w:tl2br w:val="nil"/>
                    <w:tr2bl w:val="nil"/>
                  </w:tcBorders>
                  <w:vAlign w:val="center"/>
                </w:tcPr>
                <w:p w14:paraId="1A2E9E5E">
                  <w:pPr>
                    <w:pStyle w:val="61"/>
                    <w:bidi w:val="0"/>
                    <w:jc w:val="center"/>
                    <w:rPr>
                      <w:rFonts w:hint="default" w:ascii="Times New Roman" w:hAnsi="Times New Roman" w:cs="Times New Roman"/>
                      <w:color w:val="auto"/>
                    </w:rPr>
                  </w:pPr>
                  <w:r>
                    <w:rPr>
                      <w:rFonts w:hint="eastAsia" w:cs="Times New Roman"/>
                      <w:color w:val="auto"/>
                      <w:lang w:val="en-US" w:eastAsia="zh-CN"/>
                    </w:rPr>
                    <w:t>(</w:t>
                  </w:r>
                  <w:r>
                    <w:rPr>
                      <w:rFonts w:hint="default" w:ascii="Times New Roman" w:hAnsi="Times New Roman" w:cs="Times New Roman"/>
                      <w:color w:val="auto"/>
                      <w:lang w:val="en-US" w:eastAsia="zh-CN"/>
                    </w:rPr>
                    <w:t>GB 25461-2010</w:t>
                  </w:r>
                  <w:r>
                    <w:rPr>
                      <w:rFonts w:hint="eastAsia" w:cs="Times New Roman"/>
                      <w:color w:val="auto"/>
                      <w:lang w:val="en-US" w:eastAsia="zh-CN"/>
                    </w:rPr>
                    <w:t>)</w:t>
                  </w:r>
                </w:p>
              </w:tc>
              <w:tc>
                <w:tcPr>
                  <w:tcW w:w="1485" w:type="dxa"/>
                  <w:gridSpan w:val="2"/>
                  <w:tcBorders>
                    <w:tl2br w:val="nil"/>
                    <w:tr2bl w:val="nil"/>
                  </w:tcBorders>
                  <w:vAlign w:val="center"/>
                </w:tcPr>
                <w:p w14:paraId="1A37D414">
                  <w:pPr>
                    <w:pStyle w:val="61"/>
                    <w:bidi w:val="0"/>
                    <w:jc w:val="center"/>
                    <w:rPr>
                      <w:rFonts w:hint="default" w:ascii="Times New Roman" w:hAnsi="Times New Roman" w:cs="Times New Roman"/>
                      <w:color w:val="auto"/>
                    </w:rPr>
                  </w:pPr>
                  <w:r>
                    <w:rPr>
                      <w:rFonts w:hint="default" w:ascii="Times New Roman" w:hAnsi="Times New Roman" w:cs="Times New Roman"/>
                      <w:color w:val="auto"/>
                    </w:rPr>
                    <w:t>---</w:t>
                  </w:r>
                </w:p>
              </w:tc>
              <w:tc>
                <w:tcPr>
                  <w:tcW w:w="650" w:type="dxa"/>
                  <w:tcBorders>
                    <w:tl2br w:val="nil"/>
                    <w:tr2bl w:val="nil"/>
                  </w:tcBorders>
                  <w:vAlign w:val="center"/>
                </w:tcPr>
                <w:p w14:paraId="6F46C77E">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mg/L</w:t>
                  </w:r>
                </w:p>
              </w:tc>
              <w:tc>
                <w:tcPr>
                  <w:tcW w:w="650" w:type="dxa"/>
                  <w:tcBorders>
                    <w:tl2br w:val="nil"/>
                    <w:tr2bl w:val="nil"/>
                  </w:tcBorders>
                  <w:vAlign w:val="center"/>
                </w:tcPr>
                <w:p w14:paraId="6A07B4AF">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650" w:type="dxa"/>
                  <w:tcBorders>
                    <w:tl2br w:val="nil"/>
                    <w:tr2bl w:val="nil"/>
                  </w:tcBorders>
                  <w:vAlign w:val="center"/>
                </w:tcPr>
                <w:p w14:paraId="427FE35D">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650" w:type="dxa"/>
                  <w:tcBorders>
                    <w:tl2br w:val="nil"/>
                    <w:tr2bl w:val="nil"/>
                  </w:tcBorders>
                  <w:vAlign w:val="center"/>
                </w:tcPr>
                <w:p w14:paraId="47E5A66E">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30</w:t>
                  </w:r>
                </w:p>
              </w:tc>
              <w:tc>
                <w:tcPr>
                  <w:tcW w:w="676" w:type="dxa"/>
                  <w:tcBorders>
                    <w:tl2br w:val="nil"/>
                    <w:tr2bl w:val="nil"/>
                  </w:tcBorders>
                  <w:vAlign w:val="center"/>
                </w:tcPr>
                <w:p w14:paraId="6E9122C1">
                  <w:pPr>
                    <w:pStyle w:val="58"/>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1</w:t>
                  </w:r>
                </w:p>
              </w:tc>
              <w:tc>
                <w:tcPr>
                  <w:tcW w:w="676" w:type="dxa"/>
                  <w:tcBorders>
                    <w:tl2br w:val="nil"/>
                    <w:tr2bl w:val="nil"/>
                  </w:tcBorders>
                  <w:vAlign w:val="center"/>
                </w:tcPr>
                <w:p w14:paraId="1C820E20">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w:t>
                  </w:r>
                </w:p>
              </w:tc>
              <w:tc>
                <w:tcPr>
                  <w:tcW w:w="676" w:type="dxa"/>
                  <w:tcBorders>
                    <w:tl2br w:val="nil"/>
                    <w:tr2bl w:val="nil"/>
                  </w:tcBorders>
                  <w:vAlign w:val="center"/>
                </w:tcPr>
                <w:p w14:paraId="7AFBA8B2">
                  <w:pPr>
                    <w:pStyle w:val="61"/>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15</w:t>
                  </w:r>
                </w:p>
              </w:tc>
              <w:tc>
                <w:tcPr>
                  <w:tcW w:w="980" w:type="dxa"/>
                  <w:tcBorders>
                    <w:tl2br w:val="nil"/>
                    <w:tr2bl w:val="nil"/>
                  </w:tcBorders>
                  <w:vAlign w:val="center"/>
                </w:tcPr>
                <w:p w14:paraId="6403713E">
                  <w:pPr>
                    <w:pStyle w:val="6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w:t>
                  </w:r>
                </w:p>
              </w:tc>
            </w:tr>
          </w:tbl>
          <w:p w14:paraId="36D659A4">
            <w:pPr>
              <w:keepNext w:val="0"/>
              <w:keepLines w:val="0"/>
              <w:suppressLineNumbers w:val="0"/>
              <w:tabs>
                <w:tab w:val="left" w:pos="365"/>
              </w:tabs>
              <w:bidi w:val="0"/>
              <w:spacing w:before="0" w:beforeAutospacing="0" w:after="0" w:afterAutospacing="0"/>
              <w:ind w:left="0" w:right="0"/>
              <w:rPr>
                <w:rFonts w:hint="default"/>
                <w:color w:val="auto"/>
                <w:lang w:val="en-US" w:eastAsia="zh-CN"/>
              </w:rPr>
            </w:pPr>
            <w:r>
              <w:rPr>
                <w:rFonts w:hint="eastAsia"/>
                <w:color w:val="auto"/>
                <w:lang w:val="en-US" w:eastAsia="zh-CN"/>
              </w:rPr>
              <w:t>项目综合废水排放浓度满足《淀粉工业水污染物排放标准》（GB 25461-2010）中表2直接排放标准限值。</w:t>
            </w:r>
          </w:p>
          <w:p w14:paraId="168EEA1F">
            <w:pPr>
              <w:keepNext w:val="0"/>
              <w:keepLines w:val="0"/>
              <w:suppressLineNumbers w:val="0"/>
              <w:tabs>
                <w:tab w:val="left" w:pos="365"/>
              </w:tabs>
              <w:bidi w:val="0"/>
              <w:spacing w:before="0" w:beforeAutospacing="0" w:after="0" w:afterAutospacing="0"/>
              <w:ind w:left="0" w:right="0"/>
              <w:rPr>
                <w:rFonts w:hint="eastAsia"/>
                <w:b/>
                <w:bCs/>
                <w:color w:val="auto"/>
                <w:lang w:val="en-US" w:eastAsia="zh-CN"/>
              </w:rPr>
            </w:pPr>
            <w:r>
              <w:rPr>
                <w:rFonts w:hint="eastAsia" w:cs="Times New Roman"/>
                <w:b/>
                <w:bCs/>
                <w:color w:val="auto"/>
                <w:lang w:val="en-US" w:eastAsia="zh-CN"/>
              </w:rPr>
              <w:t>原有项目技改后</w:t>
            </w:r>
            <w:r>
              <w:rPr>
                <w:rFonts w:hint="eastAsia"/>
                <w:b/>
                <w:bCs/>
                <w:color w:val="auto"/>
                <w:lang w:val="en-US" w:eastAsia="zh-CN"/>
              </w:rPr>
              <w:t>固体废物</w:t>
            </w:r>
            <w:r>
              <w:rPr>
                <w:rFonts w:hint="eastAsia" w:cs="Times New Roman"/>
                <w:b/>
                <w:bCs/>
                <w:color w:val="auto"/>
                <w:lang w:val="en-US" w:eastAsia="zh-CN"/>
              </w:rPr>
              <w:t>排放情况</w:t>
            </w:r>
          </w:p>
          <w:p w14:paraId="21D9FBBF">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中碎米</w:t>
            </w:r>
            <w:r>
              <w:rPr>
                <w:rFonts w:hint="default" w:ascii="Times New Roman" w:hAnsi="Times New Roman" w:cs="Times New Roman"/>
                <w:color w:val="auto"/>
                <w:sz w:val="24"/>
                <w:lang w:val="en-US" w:eastAsia="zh-CN"/>
              </w:rPr>
              <w:t>其他成分</w:t>
            </w:r>
            <w:r>
              <w:rPr>
                <w:rFonts w:hint="eastAsia" w:cs="Times New Roman"/>
                <w:color w:val="auto"/>
                <w:sz w:val="24"/>
                <w:lang w:val="en-US" w:eastAsia="zh-CN"/>
              </w:rPr>
              <w:t>12049</w:t>
            </w:r>
            <w:r>
              <w:rPr>
                <w:rFonts w:hint="default" w:ascii="Times New Roman" w:hAnsi="Times New Roman" w:eastAsia="宋体" w:cs="Times New Roman"/>
                <w:color w:val="auto"/>
                <w:sz w:val="24"/>
                <w:lang w:val="en-US" w:eastAsia="zh-CN"/>
              </w:rPr>
              <w:t>t/a、污泥：</w:t>
            </w:r>
            <w:r>
              <w:rPr>
                <w:rFonts w:hint="eastAsia" w:ascii="Times New Roman" w:hAnsi="Times New Roman" w:eastAsia="宋体" w:cs="Times New Roman"/>
                <w:color w:val="auto"/>
                <w:sz w:val="24"/>
                <w:lang w:val="en-US" w:eastAsia="zh-CN"/>
              </w:rPr>
              <w:t>829.62</w:t>
            </w:r>
            <w:r>
              <w:rPr>
                <w:rFonts w:hint="default" w:ascii="Times New Roman" w:hAnsi="Times New Roman" w:eastAsia="宋体" w:cs="Times New Roman"/>
                <w:color w:val="auto"/>
                <w:sz w:val="24"/>
                <w:lang w:val="en-US" w:eastAsia="zh-CN"/>
              </w:rPr>
              <w:t>t/a、炉渣：</w:t>
            </w:r>
            <w:r>
              <w:rPr>
                <w:rFonts w:hint="eastAsia" w:cs="Times New Roman"/>
                <w:color w:val="auto"/>
                <w:sz w:val="24"/>
                <w:lang w:val="en-US" w:eastAsia="zh-CN"/>
              </w:rPr>
              <w:t>3648</w:t>
            </w:r>
            <w:r>
              <w:rPr>
                <w:rFonts w:hint="default" w:ascii="Times New Roman" w:hAnsi="Times New Roman" w:eastAsia="宋体" w:cs="Times New Roman"/>
                <w:color w:val="auto"/>
                <w:sz w:val="24"/>
                <w:lang w:val="en-US" w:eastAsia="zh-CN"/>
              </w:rPr>
              <w:t>t/a，危险废物：废树脂</w:t>
            </w:r>
            <w:r>
              <w:rPr>
                <w:rFonts w:hint="default" w:ascii="Times New Roman" w:hAnsi="Times New Roman" w:cs="Times New Roman"/>
                <w:color w:val="auto"/>
                <w:sz w:val="24"/>
                <w:lang w:val="en-US" w:eastAsia="zh-CN"/>
              </w:rPr>
              <w:t>9.522</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脱色</w:t>
            </w:r>
            <w:r>
              <w:rPr>
                <w:rFonts w:hint="default" w:ascii="Times New Roman" w:hAnsi="Times New Roman" w:eastAsia="宋体" w:cs="Times New Roman"/>
                <w:color w:val="auto"/>
                <w:sz w:val="24"/>
                <w:lang w:val="en-US" w:eastAsia="zh-CN"/>
              </w:rPr>
              <w:t>废活性炭</w:t>
            </w:r>
            <w:r>
              <w:rPr>
                <w:rFonts w:hint="eastAsia" w:cs="Times New Roman"/>
                <w:color w:val="auto"/>
                <w:sz w:val="24"/>
                <w:lang w:val="en-US" w:eastAsia="zh-CN"/>
              </w:rPr>
              <w:t>228</w:t>
            </w:r>
            <w:r>
              <w:rPr>
                <w:rFonts w:hint="default" w:ascii="Times New Roman" w:hAnsi="Times New Roman" w:eastAsia="宋体" w:cs="Times New Roman"/>
                <w:color w:val="auto"/>
                <w:sz w:val="24"/>
                <w:lang w:val="en-US" w:eastAsia="zh-CN"/>
              </w:rPr>
              <w:t>t/a、实验室废液</w:t>
            </w:r>
            <w:r>
              <w:rPr>
                <w:rFonts w:hint="default" w:ascii="Times New Roman" w:hAnsi="Times New Roman" w:cs="Times New Roman"/>
                <w:color w:val="auto"/>
                <w:sz w:val="24"/>
                <w:lang w:val="en-US" w:eastAsia="zh-CN"/>
              </w:rPr>
              <w:t>2.56</w:t>
            </w:r>
            <w:r>
              <w:rPr>
                <w:rFonts w:hint="default" w:ascii="Times New Roman" w:hAnsi="Times New Roman" w:eastAsia="宋体" w:cs="Times New Roman"/>
                <w:color w:val="auto"/>
                <w:sz w:val="24"/>
                <w:lang w:val="en-US" w:eastAsia="zh-CN"/>
              </w:rPr>
              <w:t>t/a、实验室废试剂空瓶0.015t/a，生活垃圾</w:t>
            </w:r>
            <w:r>
              <w:rPr>
                <w:rFonts w:hint="default" w:ascii="Times New Roman" w:hAnsi="Times New Roman" w:cs="Times New Roman"/>
                <w:color w:val="auto"/>
                <w:sz w:val="24"/>
                <w:lang w:val="en-US" w:eastAsia="zh-CN"/>
              </w:rPr>
              <w:t>17.6</w:t>
            </w:r>
            <w:r>
              <w:rPr>
                <w:rFonts w:hint="default" w:ascii="Times New Roman" w:hAnsi="Times New Roman" w:eastAsia="宋体" w:cs="Times New Roman"/>
                <w:color w:val="auto"/>
                <w:sz w:val="24"/>
                <w:lang w:val="en-US" w:eastAsia="zh-CN"/>
              </w:rPr>
              <w:t>t/a。</w:t>
            </w:r>
          </w:p>
          <w:p w14:paraId="3465D2A2">
            <w:pPr>
              <w:keepNext w:val="0"/>
              <w:keepLines w:val="0"/>
              <w:pageBreakBefore/>
              <w:widowControl/>
              <w:numPr>
                <w:ilvl w:val="0"/>
                <w:numId w:val="0"/>
              </w:numPr>
              <w:suppressLineNumbers w:val="0"/>
              <w:spacing w:before="0" w:beforeLines="0" w:beforeAutospacing="0" w:after="0" w:afterLines="0" w:afterAutospacing="0"/>
              <w:ind w:left="0" w:right="0" w:firstLine="482" w:firstLineChars="200"/>
              <w:jc w:val="left"/>
              <w:rPr>
                <w:rFonts w:hint="eastAsia"/>
                <w:b/>
                <w:bCs/>
                <w:color w:val="auto"/>
                <w:sz w:val="24"/>
                <w:szCs w:val="24"/>
                <w:lang w:val="en-US" w:eastAsia="zh-CN"/>
              </w:rPr>
            </w:pPr>
            <w:r>
              <w:rPr>
                <w:rFonts w:hint="eastAsia"/>
                <w:b/>
                <w:bCs/>
                <w:color w:val="auto"/>
                <w:sz w:val="24"/>
                <w:szCs w:val="24"/>
                <w:lang w:val="en-US" w:eastAsia="zh-CN"/>
              </w:rPr>
              <w:t>6、现有工程污染排放总量汇总</w:t>
            </w:r>
          </w:p>
          <w:p w14:paraId="70CF01D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color w:val="auto"/>
                <w:sz w:val="24"/>
                <w:szCs w:val="24"/>
                <w:lang w:val="en-US" w:eastAsia="zh-CN"/>
              </w:rPr>
            </w:pPr>
            <w:r>
              <w:rPr>
                <w:rFonts w:hint="eastAsia"/>
                <w:color w:val="auto"/>
                <w:sz w:val="24"/>
                <w:szCs w:val="24"/>
                <w:lang w:val="en-US" w:eastAsia="zh-CN"/>
              </w:rPr>
              <w:t>现有工程污染排放情况如下：</w:t>
            </w:r>
          </w:p>
          <w:p w14:paraId="00708C78">
            <w:pPr>
              <w:keepNext w:val="0"/>
              <w:keepLines w:val="0"/>
              <w:pageBreakBefore/>
              <w:widowControl/>
              <w:numPr>
                <w:ilvl w:val="0"/>
                <w:numId w:val="7"/>
              </w:numPr>
              <w:suppressLineNumbers w:val="0"/>
              <w:tabs>
                <w:tab w:val="left" w:pos="0"/>
              </w:tabs>
              <w:spacing w:before="0" w:beforeLines="0" w:beforeAutospacing="0" w:after="0" w:afterLines="0" w:afterAutospacing="0"/>
              <w:ind w:left="0" w:leftChars="0" w:right="0" w:firstLine="0" w:firstLineChars="0"/>
              <w:jc w:val="center"/>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现有项目</w:t>
            </w:r>
            <w:r>
              <w:rPr>
                <w:rFonts w:hint="default" w:ascii="Times New Roman" w:hAnsi="Times New Roman" w:eastAsia="宋体" w:cs="Times New Roman"/>
                <w:b/>
                <w:color w:val="auto"/>
                <w:kern w:val="0"/>
                <w:sz w:val="24"/>
                <w:szCs w:val="24"/>
                <w:lang w:val="en-US" w:eastAsia="zh-CN" w:bidi="ar-SA"/>
              </w:rPr>
              <w:t>污染物排放情况一览表</w:t>
            </w:r>
          </w:p>
          <w:tbl>
            <w:tblPr>
              <w:tblStyle w:val="30"/>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2"/>
              <w:gridCol w:w="960"/>
              <w:gridCol w:w="960"/>
              <w:gridCol w:w="960"/>
              <w:gridCol w:w="960"/>
              <w:gridCol w:w="961"/>
            </w:tblGrid>
            <w:tr w14:paraId="6607B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62" w:type="pct"/>
                  <w:vAlign w:val="center"/>
                </w:tcPr>
                <w:p w14:paraId="1D5669DC">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种类</w:t>
                  </w:r>
                </w:p>
              </w:tc>
              <w:tc>
                <w:tcPr>
                  <w:tcW w:w="607" w:type="pct"/>
                  <w:vAlign w:val="center"/>
                </w:tcPr>
                <w:p w14:paraId="234FDCF9">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污染物</w:t>
                  </w:r>
                </w:p>
              </w:tc>
              <w:tc>
                <w:tcPr>
                  <w:tcW w:w="607" w:type="pct"/>
                  <w:vAlign w:val="center"/>
                </w:tcPr>
                <w:p w14:paraId="3144B40F">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单位</w:t>
                  </w:r>
                </w:p>
              </w:tc>
              <w:tc>
                <w:tcPr>
                  <w:tcW w:w="607" w:type="pct"/>
                  <w:vAlign w:val="center"/>
                </w:tcPr>
                <w:p w14:paraId="036A446A">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现有项目排放量</w:t>
                  </w:r>
                </w:p>
              </w:tc>
              <w:tc>
                <w:tcPr>
                  <w:tcW w:w="607" w:type="pct"/>
                  <w:vAlign w:val="center"/>
                </w:tcPr>
                <w:p w14:paraId="5C2598DC">
                  <w:pPr>
                    <w:pStyle w:val="24"/>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eastAsia"/>
                      <w:color w:val="auto"/>
                      <w:lang w:val="en-US" w:eastAsia="zh-CN"/>
                    </w:rPr>
                    <w:t>原有项目改造后排放量</w:t>
                  </w:r>
                </w:p>
              </w:tc>
              <w:tc>
                <w:tcPr>
                  <w:tcW w:w="607" w:type="pct"/>
                  <w:vAlign w:val="center"/>
                </w:tcPr>
                <w:p w14:paraId="3608F245">
                  <w:pPr>
                    <w:pStyle w:val="24"/>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eastAsia"/>
                      <w:color w:val="auto"/>
                      <w:lang w:val="en-US" w:eastAsia="zh-CN"/>
                    </w:rPr>
                    <w:t>削减量</w:t>
                  </w:r>
                </w:p>
              </w:tc>
            </w:tr>
            <w:tr w14:paraId="17C93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restart"/>
                  <w:vAlign w:val="center"/>
                </w:tcPr>
                <w:p w14:paraId="1518A4DE">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w:t>
                  </w:r>
                </w:p>
              </w:tc>
              <w:tc>
                <w:tcPr>
                  <w:tcW w:w="607" w:type="pct"/>
                  <w:vAlign w:val="center"/>
                </w:tcPr>
                <w:p w14:paraId="4E10ECA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颗粒物</w:t>
                  </w:r>
                </w:p>
              </w:tc>
              <w:tc>
                <w:tcPr>
                  <w:tcW w:w="607" w:type="pct"/>
                  <w:vAlign w:val="center"/>
                </w:tcPr>
                <w:p w14:paraId="70C5823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60" w:type="dxa"/>
                  <w:vAlign w:val="center"/>
                </w:tcPr>
                <w:p w14:paraId="7154E93F">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0.096</w:t>
                  </w:r>
                </w:p>
              </w:tc>
              <w:tc>
                <w:tcPr>
                  <w:tcW w:w="960" w:type="dxa"/>
                  <w:vAlign w:val="center"/>
                </w:tcPr>
                <w:p w14:paraId="29E756BD">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0.091</w:t>
                  </w:r>
                </w:p>
              </w:tc>
              <w:tc>
                <w:tcPr>
                  <w:tcW w:w="958" w:type="dxa"/>
                  <w:vAlign w:val="center"/>
                </w:tcPr>
                <w:p w14:paraId="45639745">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-0.005</w:t>
                  </w:r>
                </w:p>
              </w:tc>
            </w:tr>
            <w:tr w14:paraId="3ED1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6AA6F5E3">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363FF81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SO</w:t>
                  </w:r>
                  <w:r>
                    <w:rPr>
                      <w:rFonts w:hint="default" w:ascii="Times New Roman" w:hAnsi="Times New Roman" w:cs="Times New Roman"/>
                      <w:color w:val="auto"/>
                      <w:vertAlign w:val="subscript"/>
                      <w:lang w:val="en-US" w:eastAsia="zh-CN"/>
                    </w:rPr>
                    <w:t>2</w:t>
                  </w:r>
                </w:p>
              </w:tc>
              <w:tc>
                <w:tcPr>
                  <w:tcW w:w="607" w:type="pct"/>
                  <w:vAlign w:val="center"/>
                </w:tcPr>
                <w:p w14:paraId="0692AE8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60" w:type="dxa"/>
                  <w:vAlign w:val="center"/>
                </w:tcPr>
                <w:p w14:paraId="048036F9">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6.53</w:t>
                  </w:r>
                </w:p>
              </w:tc>
              <w:tc>
                <w:tcPr>
                  <w:tcW w:w="960" w:type="dxa"/>
                  <w:vAlign w:val="center"/>
                </w:tcPr>
                <w:p w14:paraId="088C54A5">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6.2</w:t>
                  </w:r>
                </w:p>
              </w:tc>
              <w:tc>
                <w:tcPr>
                  <w:tcW w:w="958" w:type="dxa"/>
                  <w:vAlign w:val="center"/>
                </w:tcPr>
                <w:p w14:paraId="5280D178">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-0.33</w:t>
                  </w:r>
                </w:p>
              </w:tc>
            </w:tr>
            <w:tr w14:paraId="298CA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44845CE0">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376DC4C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NOx</w:t>
                  </w:r>
                </w:p>
              </w:tc>
              <w:tc>
                <w:tcPr>
                  <w:tcW w:w="607" w:type="pct"/>
                  <w:vAlign w:val="center"/>
                </w:tcPr>
                <w:p w14:paraId="46650D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60" w:type="dxa"/>
                  <w:vAlign w:val="center"/>
                </w:tcPr>
                <w:p w14:paraId="1CAE937A">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19.58</w:t>
                  </w:r>
                </w:p>
              </w:tc>
              <w:tc>
                <w:tcPr>
                  <w:tcW w:w="960" w:type="dxa"/>
                  <w:vAlign w:val="center"/>
                </w:tcPr>
                <w:p w14:paraId="0D390326">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18.6</w:t>
                  </w:r>
                </w:p>
              </w:tc>
              <w:tc>
                <w:tcPr>
                  <w:tcW w:w="958" w:type="dxa"/>
                  <w:vAlign w:val="center"/>
                </w:tcPr>
                <w:p w14:paraId="5A31812D">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-0.98</w:t>
                  </w:r>
                </w:p>
              </w:tc>
            </w:tr>
            <w:tr w14:paraId="23EF6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restart"/>
                  <w:vAlign w:val="center"/>
                </w:tcPr>
                <w:p w14:paraId="712BC789">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废水</w:t>
                  </w:r>
                </w:p>
              </w:tc>
              <w:tc>
                <w:tcPr>
                  <w:tcW w:w="607" w:type="pct"/>
                  <w:vAlign w:val="center"/>
                </w:tcPr>
                <w:p w14:paraId="1DE1E8F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废水量</w:t>
                  </w:r>
                </w:p>
              </w:tc>
              <w:tc>
                <w:tcPr>
                  <w:tcW w:w="607" w:type="pct"/>
                  <w:vAlign w:val="center"/>
                </w:tcPr>
                <w:p w14:paraId="120AEC9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7AEB5030">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628896</w:t>
                  </w:r>
                </w:p>
              </w:tc>
              <w:tc>
                <w:tcPr>
                  <w:tcW w:w="607" w:type="pct"/>
                  <w:vAlign w:val="center"/>
                </w:tcPr>
                <w:p w14:paraId="7C13DD8F">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546158.4</w:t>
                  </w:r>
                </w:p>
              </w:tc>
              <w:tc>
                <w:tcPr>
                  <w:tcW w:w="958" w:type="dxa"/>
                  <w:vAlign w:val="center"/>
                </w:tcPr>
                <w:p w14:paraId="4FC4706E">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-82737.6</w:t>
                  </w:r>
                </w:p>
              </w:tc>
            </w:tr>
            <w:tr w14:paraId="6081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2657A861">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3501C27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607" w:type="pct"/>
                  <w:vAlign w:val="center"/>
                </w:tcPr>
                <w:p w14:paraId="546E79B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06A65848">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59.75</w:t>
                  </w:r>
                </w:p>
              </w:tc>
              <w:tc>
                <w:tcPr>
                  <w:tcW w:w="607" w:type="pct"/>
                  <w:vAlign w:val="center"/>
                </w:tcPr>
                <w:p w14:paraId="07AD8AAE">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51.89</w:t>
                  </w:r>
                </w:p>
              </w:tc>
              <w:tc>
                <w:tcPr>
                  <w:tcW w:w="958" w:type="dxa"/>
                  <w:vAlign w:val="center"/>
                </w:tcPr>
                <w:p w14:paraId="375A9B21">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-7.86</w:t>
                  </w:r>
                </w:p>
              </w:tc>
            </w:tr>
            <w:tr w14:paraId="4F15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05B9FF08">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52DBDB8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607" w:type="pct"/>
                  <w:vAlign w:val="center"/>
                </w:tcPr>
                <w:p w14:paraId="20568CE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08D29BE9">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5.35</w:t>
                  </w:r>
                </w:p>
              </w:tc>
              <w:tc>
                <w:tcPr>
                  <w:tcW w:w="607" w:type="pct"/>
                  <w:vAlign w:val="center"/>
                </w:tcPr>
                <w:p w14:paraId="1ADE012F">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4.64</w:t>
                  </w:r>
                </w:p>
              </w:tc>
              <w:tc>
                <w:tcPr>
                  <w:tcW w:w="958" w:type="dxa"/>
                  <w:vAlign w:val="center"/>
                </w:tcPr>
                <w:p w14:paraId="3742B37B">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-0.71</w:t>
                  </w:r>
                </w:p>
              </w:tc>
            </w:tr>
            <w:tr w14:paraId="43488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30BF8B78">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61C5030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SS</w:t>
                  </w:r>
                </w:p>
              </w:tc>
              <w:tc>
                <w:tcPr>
                  <w:tcW w:w="607" w:type="pct"/>
                  <w:vAlign w:val="center"/>
                </w:tcPr>
                <w:p w14:paraId="6A908FC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5518A931">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13.21</w:t>
                  </w:r>
                </w:p>
              </w:tc>
              <w:tc>
                <w:tcPr>
                  <w:tcW w:w="607" w:type="pct"/>
                  <w:vAlign w:val="center"/>
                </w:tcPr>
                <w:p w14:paraId="1B4909E5">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11.47</w:t>
                  </w:r>
                </w:p>
              </w:tc>
              <w:tc>
                <w:tcPr>
                  <w:tcW w:w="958" w:type="dxa"/>
                  <w:vAlign w:val="center"/>
                </w:tcPr>
                <w:p w14:paraId="34188732">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-1.74</w:t>
                  </w:r>
                </w:p>
              </w:tc>
            </w:tr>
            <w:tr w14:paraId="123B7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3AF83CBC">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02BFDADA">
                  <w:pPr>
                    <w:pStyle w:val="61"/>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ascii="Times New Roman" w:hAnsi="Times New Roman" w:eastAsia="宋体" w:cs="Times New Roman"/>
                      <w:color w:val="auto"/>
                      <w:lang w:val="en-US" w:eastAsia="zh-CN"/>
                    </w:rPr>
                    <w:t>TP</w:t>
                  </w:r>
                </w:p>
              </w:tc>
              <w:tc>
                <w:tcPr>
                  <w:tcW w:w="607" w:type="pct"/>
                  <w:vAlign w:val="center"/>
                </w:tcPr>
                <w:p w14:paraId="1949BED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56B3A86B">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0.113</w:t>
                  </w:r>
                </w:p>
              </w:tc>
              <w:tc>
                <w:tcPr>
                  <w:tcW w:w="607" w:type="pct"/>
                  <w:vAlign w:val="center"/>
                </w:tcPr>
                <w:p w14:paraId="5DCA2A8B">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0.098</w:t>
                  </w:r>
                </w:p>
              </w:tc>
              <w:tc>
                <w:tcPr>
                  <w:tcW w:w="958" w:type="dxa"/>
                  <w:vAlign w:val="center"/>
                </w:tcPr>
                <w:p w14:paraId="61E16186">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-0.015</w:t>
                  </w:r>
                </w:p>
              </w:tc>
            </w:tr>
            <w:tr w14:paraId="325B7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7121BA6F">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1F034777">
                  <w:pPr>
                    <w:pStyle w:val="61"/>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ascii="Times New Roman" w:hAnsi="Times New Roman" w:eastAsia="宋体" w:cs="Times New Roman"/>
                      <w:color w:val="auto"/>
                      <w:lang w:val="en-US" w:eastAsia="zh-CN"/>
                    </w:rPr>
                    <w:t>TN</w:t>
                  </w:r>
                </w:p>
              </w:tc>
              <w:tc>
                <w:tcPr>
                  <w:tcW w:w="607" w:type="pct"/>
                  <w:vAlign w:val="center"/>
                </w:tcPr>
                <w:p w14:paraId="5DEEBB2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6018437C">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3.72</w:t>
                  </w:r>
                </w:p>
              </w:tc>
              <w:tc>
                <w:tcPr>
                  <w:tcW w:w="607" w:type="pct"/>
                  <w:vAlign w:val="center"/>
                </w:tcPr>
                <w:p w14:paraId="54D4F9EB">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3.23</w:t>
                  </w:r>
                </w:p>
              </w:tc>
              <w:tc>
                <w:tcPr>
                  <w:tcW w:w="958" w:type="dxa"/>
                  <w:vAlign w:val="center"/>
                </w:tcPr>
                <w:p w14:paraId="5CDCC46F">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-0.49</w:t>
                  </w:r>
                </w:p>
              </w:tc>
            </w:tr>
            <w:tr w14:paraId="3DBF3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760B2B0E">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30F98E8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607" w:type="pct"/>
                  <w:vAlign w:val="center"/>
                </w:tcPr>
                <w:p w14:paraId="7BA0D69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50AA10C9">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0.849</w:t>
                  </w:r>
                </w:p>
              </w:tc>
              <w:tc>
                <w:tcPr>
                  <w:tcW w:w="607" w:type="pct"/>
                  <w:vAlign w:val="center"/>
                </w:tcPr>
                <w:p w14:paraId="2E7D0193">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0.737</w:t>
                  </w:r>
                </w:p>
              </w:tc>
              <w:tc>
                <w:tcPr>
                  <w:tcW w:w="958" w:type="dxa"/>
                  <w:vAlign w:val="center"/>
                </w:tcPr>
                <w:p w14:paraId="5BF5B9F0">
                  <w:pPr>
                    <w:pStyle w:val="6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-0.112</w:t>
                  </w:r>
                </w:p>
              </w:tc>
            </w:tr>
            <w:tr w14:paraId="214EE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restart"/>
                  <w:vAlign w:val="center"/>
                </w:tcPr>
                <w:p w14:paraId="2078844B">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一般固废</w:t>
                  </w:r>
                </w:p>
              </w:tc>
              <w:tc>
                <w:tcPr>
                  <w:tcW w:w="607" w:type="pct"/>
                  <w:vAlign w:val="center"/>
                </w:tcPr>
                <w:p w14:paraId="1C9C5E2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中碎米其他成分</w:t>
                  </w:r>
                </w:p>
              </w:tc>
              <w:tc>
                <w:tcPr>
                  <w:tcW w:w="607" w:type="pct"/>
                  <w:vAlign w:val="center"/>
                </w:tcPr>
                <w:p w14:paraId="0A661C8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44E1400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12049</w:t>
                  </w:r>
                </w:p>
              </w:tc>
              <w:tc>
                <w:tcPr>
                  <w:tcW w:w="607" w:type="pct"/>
                  <w:vAlign w:val="center"/>
                </w:tcPr>
                <w:p w14:paraId="1C67A3F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12049</w:t>
                  </w:r>
                </w:p>
              </w:tc>
              <w:tc>
                <w:tcPr>
                  <w:tcW w:w="958" w:type="dxa"/>
                  <w:vAlign w:val="center"/>
                </w:tcPr>
                <w:p w14:paraId="7730440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0</w:t>
                  </w:r>
                </w:p>
              </w:tc>
            </w:tr>
            <w:tr w14:paraId="17935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0B72AB00">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03C28B6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炉渣</w:t>
                  </w:r>
                </w:p>
              </w:tc>
              <w:tc>
                <w:tcPr>
                  <w:tcW w:w="607" w:type="pct"/>
                  <w:vAlign w:val="center"/>
                </w:tcPr>
                <w:p w14:paraId="3188CE1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0217479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3840</w:t>
                  </w:r>
                </w:p>
              </w:tc>
              <w:tc>
                <w:tcPr>
                  <w:tcW w:w="607" w:type="pct"/>
                  <w:vAlign w:val="center"/>
                </w:tcPr>
                <w:p w14:paraId="05F2253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3648</w:t>
                  </w:r>
                </w:p>
              </w:tc>
              <w:tc>
                <w:tcPr>
                  <w:tcW w:w="958" w:type="dxa"/>
                  <w:vAlign w:val="center"/>
                </w:tcPr>
                <w:p w14:paraId="1D1FA27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r>
                    <w:rPr>
                      <w:rFonts w:hint="eastAsia" w:cs="Times New Roman"/>
                      <w:color w:val="auto"/>
                      <w:lang w:val="en-US" w:eastAsia="zh-CN"/>
                    </w:rPr>
                    <w:t>190</w:t>
                  </w:r>
                </w:p>
              </w:tc>
            </w:tr>
            <w:tr w14:paraId="58933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16BE467E">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75DE9B4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废树脂</w:t>
                  </w:r>
                </w:p>
              </w:tc>
              <w:tc>
                <w:tcPr>
                  <w:tcW w:w="607" w:type="pct"/>
                  <w:vAlign w:val="center"/>
                </w:tcPr>
                <w:p w14:paraId="250CC44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2A23095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9.552</w:t>
                  </w:r>
                </w:p>
              </w:tc>
              <w:tc>
                <w:tcPr>
                  <w:tcW w:w="607" w:type="pct"/>
                  <w:vAlign w:val="center"/>
                </w:tcPr>
                <w:p w14:paraId="7AC78EE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9.552</w:t>
                  </w:r>
                </w:p>
              </w:tc>
              <w:tc>
                <w:tcPr>
                  <w:tcW w:w="958" w:type="dxa"/>
                  <w:vAlign w:val="center"/>
                </w:tcPr>
                <w:p w14:paraId="0EA61D1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r>
            <w:tr w14:paraId="25103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076ED5C0">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619C5E4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脱色废活性炭</w:t>
                  </w:r>
                </w:p>
              </w:tc>
              <w:tc>
                <w:tcPr>
                  <w:tcW w:w="607" w:type="pct"/>
                  <w:vAlign w:val="center"/>
                </w:tcPr>
                <w:p w14:paraId="773DD2B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2CFA86F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w:t>
                  </w:r>
                </w:p>
              </w:tc>
              <w:tc>
                <w:tcPr>
                  <w:tcW w:w="607" w:type="pct"/>
                  <w:vAlign w:val="center"/>
                </w:tcPr>
                <w:p w14:paraId="40BC12E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228</w:t>
                  </w:r>
                </w:p>
              </w:tc>
              <w:tc>
                <w:tcPr>
                  <w:tcW w:w="958" w:type="dxa"/>
                  <w:vAlign w:val="center"/>
                </w:tcPr>
                <w:p w14:paraId="1B3BAF6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-12</w:t>
                  </w:r>
                </w:p>
              </w:tc>
            </w:tr>
            <w:tr w14:paraId="70AE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2D70BAF2">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6CCA6C9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污泥</w:t>
                  </w:r>
                </w:p>
              </w:tc>
              <w:tc>
                <w:tcPr>
                  <w:tcW w:w="607" w:type="pct"/>
                  <w:vAlign w:val="center"/>
                </w:tcPr>
                <w:p w14:paraId="2F989BF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1BBCED1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955.3</w:t>
                  </w:r>
                </w:p>
              </w:tc>
              <w:tc>
                <w:tcPr>
                  <w:tcW w:w="607" w:type="pct"/>
                  <w:vAlign w:val="center"/>
                </w:tcPr>
                <w:p w14:paraId="52C6023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829.62</w:t>
                  </w:r>
                </w:p>
              </w:tc>
              <w:tc>
                <w:tcPr>
                  <w:tcW w:w="958" w:type="dxa"/>
                  <w:vAlign w:val="center"/>
                </w:tcPr>
                <w:p w14:paraId="38044DC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-125.68</w:t>
                  </w:r>
                </w:p>
              </w:tc>
            </w:tr>
            <w:tr w14:paraId="4A1DB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continue"/>
                  <w:vAlign w:val="center"/>
                </w:tcPr>
                <w:p w14:paraId="0411CD7A">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2D59847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生活垃圾</w:t>
                  </w:r>
                </w:p>
              </w:tc>
              <w:tc>
                <w:tcPr>
                  <w:tcW w:w="607" w:type="pct"/>
                  <w:vAlign w:val="center"/>
                </w:tcPr>
                <w:p w14:paraId="3D3B69E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2A83342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17.6</w:t>
                  </w:r>
                </w:p>
              </w:tc>
              <w:tc>
                <w:tcPr>
                  <w:tcW w:w="607" w:type="pct"/>
                  <w:vAlign w:val="center"/>
                </w:tcPr>
                <w:p w14:paraId="1637C89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17.6</w:t>
                  </w:r>
                </w:p>
              </w:tc>
              <w:tc>
                <w:tcPr>
                  <w:tcW w:w="958" w:type="dxa"/>
                  <w:vAlign w:val="center"/>
                </w:tcPr>
                <w:p w14:paraId="26281DF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r>
            <w:tr w14:paraId="1681A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962" w:type="pct"/>
                  <w:vMerge w:val="restart"/>
                  <w:vAlign w:val="center"/>
                </w:tcPr>
                <w:p w14:paraId="038DD053">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危险固废</w:t>
                  </w:r>
                </w:p>
              </w:tc>
              <w:tc>
                <w:tcPr>
                  <w:tcW w:w="607" w:type="pct"/>
                  <w:vAlign w:val="center"/>
                </w:tcPr>
                <w:p w14:paraId="452859E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实验室废液</w:t>
                  </w:r>
                </w:p>
              </w:tc>
              <w:tc>
                <w:tcPr>
                  <w:tcW w:w="607" w:type="pct"/>
                  <w:vAlign w:val="center"/>
                </w:tcPr>
                <w:p w14:paraId="012E2A0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7ED929A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2.56</w:t>
                  </w:r>
                </w:p>
              </w:tc>
              <w:tc>
                <w:tcPr>
                  <w:tcW w:w="607" w:type="pct"/>
                  <w:vAlign w:val="center"/>
                </w:tcPr>
                <w:p w14:paraId="2C38B51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2.56</w:t>
                  </w:r>
                </w:p>
              </w:tc>
              <w:tc>
                <w:tcPr>
                  <w:tcW w:w="958" w:type="dxa"/>
                  <w:vAlign w:val="center"/>
                </w:tcPr>
                <w:p w14:paraId="308CEFB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r>
            <w:tr w14:paraId="75C9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962" w:type="pct"/>
                  <w:vMerge w:val="continue"/>
                  <w:vAlign w:val="center"/>
                </w:tcPr>
                <w:p w14:paraId="1EEDB881">
                  <w:pPr>
                    <w:pStyle w:val="24"/>
                    <w:keepNext w:val="0"/>
                    <w:keepLines w:val="0"/>
                    <w:suppressLineNumbers w:val="0"/>
                    <w:bidi w:val="0"/>
                    <w:spacing w:before="0" w:beforeAutospacing="0" w:after="0" w:afterAutospacing="0"/>
                    <w:ind w:right="0"/>
                    <w:rPr>
                      <w:rFonts w:hint="default" w:ascii="Times New Roman" w:hAnsi="Times New Roman" w:cs="Times New Roman"/>
                      <w:color w:val="auto"/>
                      <w:lang w:val="en-US" w:eastAsia="zh-CN"/>
                    </w:rPr>
                  </w:pPr>
                </w:p>
              </w:tc>
              <w:tc>
                <w:tcPr>
                  <w:tcW w:w="607" w:type="pct"/>
                  <w:vAlign w:val="center"/>
                </w:tcPr>
                <w:p w14:paraId="7C3E63C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实验室废试剂空瓶</w:t>
                  </w:r>
                </w:p>
              </w:tc>
              <w:tc>
                <w:tcPr>
                  <w:tcW w:w="607" w:type="pct"/>
                  <w:vAlign w:val="center"/>
                </w:tcPr>
                <w:p w14:paraId="6F9070F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607" w:type="pct"/>
                  <w:vAlign w:val="center"/>
                </w:tcPr>
                <w:p w14:paraId="03BE583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c>
                <w:tcPr>
                  <w:tcW w:w="607" w:type="pct"/>
                  <w:vAlign w:val="center"/>
                </w:tcPr>
                <w:p w14:paraId="5C10AD0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0.015</w:t>
                  </w:r>
                </w:p>
              </w:tc>
              <w:tc>
                <w:tcPr>
                  <w:tcW w:w="958" w:type="dxa"/>
                  <w:vAlign w:val="center"/>
                </w:tcPr>
                <w:p w14:paraId="184FB98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r>
          </w:tbl>
          <w:p w14:paraId="6647C70E">
            <w:pPr>
              <w:keepNext w:val="0"/>
              <w:keepLines w:val="0"/>
              <w:suppressLineNumbers w:val="0"/>
              <w:bidi w:val="0"/>
              <w:spacing w:before="0" w:beforeAutospacing="0" w:after="0" w:afterAutospacing="0"/>
              <w:ind w:left="0" w:right="0"/>
              <w:rPr>
                <w:rFonts w:hint="default" w:ascii="Times New Roman" w:hAnsi="Times New Roman" w:cs="Times New Roman"/>
                <w:b/>
                <w:bCs/>
                <w:color w:val="auto"/>
                <w:lang w:val="en-US" w:eastAsia="zh-CN"/>
              </w:rPr>
            </w:pPr>
            <w:r>
              <w:rPr>
                <w:rFonts w:hint="eastAsia" w:cs="Times New Roman"/>
                <w:b/>
                <w:bCs/>
                <w:color w:val="auto"/>
                <w:lang w:val="en-US" w:eastAsia="zh-CN"/>
              </w:rPr>
              <w:t>7、</w:t>
            </w:r>
            <w:r>
              <w:rPr>
                <w:rFonts w:hint="default" w:ascii="Times New Roman" w:hAnsi="Times New Roman" w:cs="Times New Roman"/>
                <w:b/>
                <w:bCs/>
                <w:color w:val="auto"/>
                <w:lang w:val="en-US" w:eastAsia="zh-CN"/>
              </w:rPr>
              <w:t>厂区主要存在问题如下：</w:t>
            </w:r>
          </w:p>
          <w:p w14:paraId="00FBB454">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①危险废物暂存间标识牌过期；</w:t>
            </w:r>
          </w:p>
          <w:p w14:paraId="06FF287A">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②固废堆放较为杂乱；</w:t>
            </w:r>
          </w:p>
          <w:p w14:paraId="0F212D4A">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③未设置应急事故池；</w:t>
            </w:r>
          </w:p>
          <w:p w14:paraId="558E4D54">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整改措施：</w:t>
            </w:r>
          </w:p>
          <w:p w14:paraId="0AC3A3E5">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①更新危险废物标识牌；</w:t>
            </w:r>
          </w:p>
          <w:p w14:paraId="689B718D">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②固废分区堆放；</w:t>
            </w:r>
          </w:p>
          <w:p w14:paraId="607DD4C9">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③设置应急事故池（</w:t>
            </w:r>
            <w:r>
              <w:rPr>
                <w:rFonts w:hint="eastAsia" w:cs="Times New Roman"/>
                <w:color w:val="auto"/>
                <w:lang w:val="en-US" w:eastAsia="zh-CN"/>
              </w:rPr>
              <w:t>2</w:t>
            </w:r>
            <w:r>
              <w:rPr>
                <w:rFonts w:hint="default" w:ascii="Times New Roman" w:hAnsi="Times New Roman" w:cs="Times New Roman"/>
                <w:color w:val="auto"/>
                <w:lang w:val="en-US" w:eastAsia="zh-CN"/>
              </w:rPr>
              <w:t>00</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val="en-US" w:eastAsia="zh-CN"/>
              </w:rPr>
              <w:t>）。</w:t>
            </w:r>
          </w:p>
        </w:tc>
      </w:tr>
    </w:tbl>
    <w:p w14:paraId="0787C5B9">
      <w:pPr>
        <w:pStyle w:val="25"/>
        <w:numPr>
          <w:ilvl w:val="0"/>
          <w:numId w:val="0"/>
        </w:numPr>
        <w:jc w:val="center"/>
        <w:outlineLvl w:val="0"/>
        <w:rPr>
          <w:rFonts w:hint="eastAsia" w:ascii="黑体" w:hAnsi="黑体" w:eastAsia="黑体" w:cs="Times New Roman"/>
          <w:snapToGrid w:val="0"/>
          <w:color w:val="auto"/>
          <w:sz w:val="30"/>
          <w:szCs w:val="30"/>
        </w:rPr>
        <w:sectPr>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7DC0014D">
      <w:pPr>
        <w:pStyle w:val="25"/>
        <w:jc w:val="center"/>
        <w:outlineLvl w:val="0"/>
        <w:rPr>
          <w:rFonts w:ascii="黑体" w:hAnsi="黑体" w:eastAsia="黑体"/>
          <w:snapToGrid w:val="0"/>
          <w:color w:val="auto"/>
          <w:sz w:val="30"/>
          <w:szCs w:val="30"/>
        </w:rPr>
      </w:pPr>
      <w:bookmarkStart w:id="16" w:name="_Toc11403"/>
      <w:r>
        <w:rPr>
          <w:rFonts w:hint="eastAsia" w:ascii="黑体" w:hAnsi="黑体" w:eastAsia="黑体"/>
          <w:snapToGrid w:val="0"/>
          <w:color w:val="auto"/>
          <w:sz w:val="30"/>
          <w:szCs w:val="30"/>
        </w:rPr>
        <w:t>三、区域环境质量现状、环境保护目标及评价标准</w:t>
      </w:r>
      <w:bookmarkEnd w:id="16"/>
    </w:p>
    <w:tbl>
      <w:tblPr>
        <w:tblStyle w:val="29"/>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26"/>
        <w:gridCol w:w="8097"/>
      </w:tblGrid>
      <w:tr w14:paraId="638DDF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25" w:hRule="atLeast"/>
          <w:jc w:val="center"/>
        </w:trPr>
        <w:tc>
          <w:tcPr>
            <w:tcW w:w="250" w:type="pct"/>
            <w:noWrap w:val="0"/>
            <w:vAlign w:val="center"/>
          </w:tcPr>
          <w:p w14:paraId="7A05174F">
            <w:pPr>
              <w:pStyle w:val="61"/>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区域</w:t>
            </w:r>
          </w:p>
          <w:p w14:paraId="3C778F8B">
            <w:pPr>
              <w:pStyle w:val="61"/>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环境</w:t>
            </w:r>
          </w:p>
          <w:p w14:paraId="6A7B514C">
            <w:pPr>
              <w:pStyle w:val="61"/>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质量</w:t>
            </w:r>
          </w:p>
          <w:p w14:paraId="7F055151">
            <w:pPr>
              <w:pStyle w:val="61"/>
              <w:keepNext w:val="0"/>
              <w:keepLines w:val="0"/>
              <w:suppressLineNumbers w:val="0"/>
              <w:bidi w:val="0"/>
              <w:spacing w:before="0" w:beforeAutospacing="0" w:after="0" w:afterAutospacing="0"/>
              <w:ind w:left="0" w:right="0"/>
              <w:jc w:val="center"/>
              <w:rPr>
                <w:rFonts w:hint="eastAsia" w:ascii="宋体" w:hAnsi="宋体" w:cs="宋体"/>
                <w:color w:val="auto"/>
                <w:kern w:val="0"/>
                <w:szCs w:val="21"/>
              </w:rPr>
            </w:pPr>
            <w:r>
              <w:rPr>
                <w:rFonts w:hint="eastAsia" w:cs="Times New Roman"/>
                <w:color w:val="auto"/>
              </w:rPr>
              <w:t>现状</w:t>
            </w:r>
          </w:p>
        </w:tc>
        <w:tc>
          <w:tcPr>
            <w:tcW w:w="4750" w:type="pct"/>
            <w:noWrap w:val="0"/>
            <w:vAlign w:val="center"/>
          </w:tcPr>
          <w:p w14:paraId="2A7976ED">
            <w:pPr>
              <w:pStyle w:val="83"/>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1、地表水环境质量现状</w:t>
            </w:r>
          </w:p>
          <w:p w14:paraId="027E2931">
            <w:pPr>
              <w:pStyle w:val="83"/>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2025年4月江西省宜春生态环境监测中心对全市主要流域18个断面水质进行了监测</w:t>
            </w:r>
            <w:r>
              <w:rPr>
                <w:rFonts w:hint="eastAsia"/>
                <w:color w:val="auto"/>
                <w:lang w:eastAsia="zh-CN"/>
              </w:rPr>
              <w:t>，</w:t>
            </w:r>
            <w:r>
              <w:rPr>
                <w:rFonts w:hint="eastAsia"/>
                <w:color w:val="auto"/>
              </w:rPr>
              <w:t>对我市范围内其他中心监测的15个断面水质数据进行了收集。监测评价指标为pH、溶解氧、高锰酸盐指数、化学需氧量、五日生化需氧量、氨氮、总磷、铜、锌、氟化物、硒、砷、汞、镉、六价铬、铅、氰化物、挥发酚、石油类、阴离子表面活性剂、硫化物共21项。监测评价标准为《地表水环境质量标准》</w:t>
            </w:r>
            <w:r>
              <w:rPr>
                <w:rFonts w:hint="eastAsia"/>
                <w:color w:val="auto"/>
                <w:lang w:eastAsia="zh-CN"/>
              </w:rPr>
              <w:t>（</w:t>
            </w:r>
            <w:r>
              <w:rPr>
                <w:rFonts w:hint="eastAsia"/>
                <w:color w:val="auto"/>
              </w:rPr>
              <w:t>GB3838-2002</w:t>
            </w:r>
            <w:r>
              <w:rPr>
                <w:rFonts w:hint="eastAsia"/>
                <w:color w:val="auto"/>
                <w:lang w:eastAsia="zh-CN"/>
              </w:rPr>
              <w:t>）</w:t>
            </w:r>
            <w:r>
              <w:rPr>
                <w:rFonts w:hint="eastAsia"/>
                <w:color w:val="auto"/>
              </w:rPr>
              <w:t>。</w:t>
            </w:r>
          </w:p>
          <w:p w14:paraId="768EC9D7">
            <w:pPr>
              <w:pStyle w:val="83"/>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根据江西省宜春生态环境监测中心发布的检测结果公示（网址http</w:t>
            </w:r>
            <w:r>
              <w:rPr>
                <w:rFonts w:hint="eastAsia"/>
                <w:color w:val="auto"/>
                <w:lang w:eastAsia="zh-CN"/>
              </w:rPr>
              <w:t>:</w:t>
            </w:r>
            <w:r>
              <w:rPr>
                <w:rFonts w:hint="eastAsia"/>
                <w:color w:val="auto"/>
              </w:rPr>
              <w:t>//sthjj.yichun.gov.cn/ycssthjj/hjzlzkbb/202506/7b431dc773bf49b582e4e448a24ba8c9.shtmll）</w:t>
            </w:r>
            <w:r>
              <w:rPr>
                <w:rFonts w:hint="eastAsia"/>
                <w:color w:val="auto"/>
                <w:lang w:eastAsia="zh-CN"/>
              </w:rPr>
              <w:t>，</w:t>
            </w:r>
            <w:r>
              <w:rPr>
                <w:rFonts w:hint="eastAsia"/>
                <w:color w:val="auto"/>
              </w:rPr>
              <w:t>锦江</w:t>
            </w:r>
            <w:r>
              <w:rPr>
                <w:rFonts w:hint="eastAsia"/>
                <w:color w:val="auto"/>
                <w:lang w:val="en-US" w:eastAsia="zh-CN"/>
              </w:rPr>
              <w:t>高安市青州村断面</w:t>
            </w:r>
            <w:r>
              <w:rPr>
                <w:rFonts w:hint="eastAsia"/>
                <w:color w:val="auto"/>
              </w:rPr>
              <w:t>能够满足《地表水环境质量标准》</w:t>
            </w:r>
            <w:r>
              <w:rPr>
                <w:rFonts w:hint="eastAsia"/>
                <w:color w:val="auto"/>
                <w:lang w:eastAsia="zh-CN"/>
              </w:rPr>
              <w:t>（</w:t>
            </w:r>
            <w:r>
              <w:rPr>
                <w:rFonts w:hint="eastAsia"/>
                <w:color w:val="auto"/>
              </w:rPr>
              <w:t>GB3838-2002</w:t>
            </w:r>
            <w:r>
              <w:rPr>
                <w:rFonts w:hint="eastAsia"/>
                <w:color w:val="auto"/>
                <w:lang w:eastAsia="zh-CN"/>
              </w:rPr>
              <w:t>）Ⅲ类</w:t>
            </w:r>
            <w:r>
              <w:rPr>
                <w:rFonts w:hint="eastAsia"/>
                <w:color w:val="auto"/>
              </w:rPr>
              <w:t>标准要求</w:t>
            </w:r>
            <w:r>
              <w:rPr>
                <w:rFonts w:hint="eastAsia"/>
                <w:color w:val="auto"/>
                <w:lang w:eastAsia="zh-CN"/>
              </w:rPr>
              <w:t>，</w:t>
            </w:r>
            <w:r>
              <w:rPr>
                <w:rFonts w:hint="eastAsia"/>
                <w:color w:val="auto"/>
              </w:rPr>
              <w:t>水环境质量良好。</w:t>
            </w:r>
          </w:p>
          <w:p w14:paraId="7909B188">
            <w:pPr>
              <w:pStyle w:val="8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color w:val="auto"/>
              </w:rPr>
            </w:pPr>
            <w:r>
              <w:rPr>
                <w:rFonts w:hint="default"/>
                <w:color w:val="auto"/>
              </w:rPr>
              <w:drawing>
                <wp:anchor distT="0" distB="0" distL="114300" distR="114300" simplePos="0" relativeHeight="251672576" behindDoc="0" locked="0" layoutInCell="1" allowOverlap="1">
                  <wp:simplePos x="0" y="0"/>
                  <wp:positionH relativeFrom="column">
                    <wp:posOffset>808355</wp:posOffset>
                  </wp:positionH>
                  <wp:positionV relativeFrom="paragraph">
                    <wp:posOffset>3453130</wp:posOffset>
                  </wp:positionV>
                  <wp:extent cx="3536950" cy="285115"/>
                  <wp:effectExtent l="0" t="0" r="6350" b="635"/>
                  <wp:wrapSquare wrapText="bothSides"/>
                  <wp:docPr id="2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3"/>
                          <pic:cNvPicPr>
                            <a:picLocks noChangeAspect="1"/>
                          </pic:cNvPicPr>
                        </pic:nvPicPr>
                        <pic:blipFill>
                          <a:blip r:embed="rId22"/>
                          <a:stretch>
                            <a:fillRect/>
                          </a:stretch>
                        </pic:blipFill>
                        <pic:spPr>
                          <a:xfrm>
                            <a:off x="0" y="0"/>
                            <a:ext cx="3536950" cy="285115"/>
                          </a:xfrm>
                          <a:prstGeom prst="rect">
                            <a:avLst/>
                          </a:prstGeom>
                          <a:noFill/>
                          <a:ln>
                            <a:noFill/>
                          </a:ln>
                        </pic:spPr>
                      </pic:pic>
                    </a:graphicData>
                  </a:graphic>
                </wp:anchor>
              </w:drawing>
            </w:r>
            <w:r>
              <w:rPr>
                <w:rFonts w:hint="eastAsia"/>
                <w:color w:val="auto"/>
              </w:rPr>
              <w:drawing>
                <wp:anchor distT="0" distB="0" distL="114300" distR="114300" simplePos="0" relativeHeight="251673600" behindDoc="0" locked="0" layoutInCell="1" allowOverlap="1">
                  <wp:simplePos x="0" y="0"/>
                  <wp:positionH relativeFrom="column">
                    <wp:posOffset>14605</wp:posOffset>
                  </wp:positionH>
                  <wp:positionV relativeFrom="paragraph">
                    <wp:posOffset>55245</wp:posOffset>
                  </wp:positionV>
                  <wp:extent cx="4999355" cy="3446780"/>
                  <wp:effectExtent l="0" t="0" r="10795" b="1270"/>
                  <wp:wrapSquare wrapText="bothSides"/>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
                          <pic:cNvPicPr>
                            <a:picLocks noChangeAspect="1"/>
                          </pic:cNvPicPr>
                        </pic:nvPicPr>
                        <pic:blipFill>
                          <a:blip r:embed="rId23"/>
                          <a:stretch>
                            <a:fillRect/>
                          </a:stretch>
                        </pic:blipFill>
                        <pic:spPr>
                          <a:xfrm>
                            <a:off x="0" y="0"/>
                            <a:ext cx="4999355" cy="3446780"/>
                          </a:xfrm>
                          <a:prstGeom prst="rect">
                            <a:avLst/>
                          </a:prstGeom>
                          <a:noFill/>
                          <a:ln>
                            <a:noFill/>
                          </a:ln>
                        </pic:spPr>
                      </pic:pic>
                    </a:graphicData>
                  </a:graphic>
                </wp:anchor>
              </w:drawing>
            </w:r>
          </w:p>
          <w:p w14:paraId="73BA99D2">
            <w:pPr>
              <w:pStyle w:val="83"/>
              <w:keepNext w:val="0"/>
              <w:keepLines w:val="0"/>
              <w:widowControl/>
              <w:suppressLineNumbers w:val="0"/>
              <w:spacing w:before="0" w:beforeAutospacing="0" w:after="0" w:afterAutospacing="0"/>
              <w:ind w:left="0" w:right="0" w:firstLine="480"/>
              <w:jc w:val="both"/>
              <w:rPr>
                <w:rFonts w:hint="eastAsia"/>
                <w:color w:val="auto"/>
              </w:rPr>
            </w:pPr>
          </w:p>
          <w:p w14:paraId="131F1AE1">
            <w:pPr>
              <w:pStyle w:val="83"/>
              <w:keepNext w:val="0"/>
              <w:keepLines w:val="0"/>
              <w:widowControl/>
              <w:suppressLineNumbers w:val="0"/>
              <w:spacing w:before="0" w:beforeAutospacing="0" w:after="0" w:afterAutospacing="0" w:line="360" w:lineRule="auto"/>
              <w:ind w:left="0" w:right="0" w:firstLine="480"/>
              <w:jc w:val="both"/>
              <w:rPr>
                <w:rFonts w:hint="eastAsia"/>
                <w:color w:val="auto"/>
              </w:rPr>
            </w:pPr>
            <w:r>
              <w:rPr>
                <w:rFonts w:hint="eastAsia"/>
                <w:color w:val="auto"/>
              </w:rPr>
              <w:t>2、大气环境</w:t>
            </w:r>
            <w:r>
              <w:rPr>
                <w:rFonts w:hint="eastAsia"/>
                <w:color w:val="auto"/>
                <w:lang w:eastAsia="zh-CN"/>
              </w:rPr>
              <w:t>质量</w:t>
            </w:r>
            <w:r>
              <w:rPr>
                <w:rFonts w:hint="eastAsia"/>
                <w:color w:val="auto"/>
              </w:rPr>
              <w:t>现状</w:t>
            </w:r>
          </w:p>
          <w:p w14:paraId="20F71D38">
            <w:pPr>
              <w:pStyle w:val="83"/>
              <w:keepNext w:val="0"/>
              <w:keepLines w:val="0"/>
              <w:widowControl/>
              <w:suppressLineNumbers w:val="0"/>
              <w:spacing w:before="0" w:beforeAutospacing="0" w:after="0" w:afterAutospacing="0" w:line="360" w:lineRule="auto"/>
              <w:ind w:left="0" w:right="0" w:firstLine="480"/>
              <w:jc w:val="both"/>
              <w:rPr>
                <w:rFonts w:hint="eastAsia"/>
                <w:color w:val="auto"/>
              </w:rPr>
            </w:pPr>
            <w:r>
              <w:rPr>
                <w:rFonts w:hint="default" w:ascii="Times New Roman" w:hAnsi="Times New Roman" w:cs="Times New Roman"/>
                <w:color w:val="auto"/>
                <w:lang w:val="en-US" w:eastAsia="zh-CN"/>
              </w:rPr>
              <w:t>1）</w:t>
            </w:r>
            <w:r>
              <w:rPr>
                <w:rFonts w:hint="eastAsia" w:cs="Times New Roman"/>
                <w:color w:val="auto"/>
                <w:lang w:val="en-US" w:eastAsia="zh-CN"/>
              </w:rPr>
              <w:t>本项目</w:t>
            </w:r>
            <w:r>
              <w:rPr>
                <w:rFonts w:hint="eastAsia"/>
                <w:color w:val="auto"/>
              </w:rPr>
              <w:t>常规因子引用</w:t>
            </w:r>
            <w:r>
              <w:rPr>
                <w:rFonts w:hint="eastAsia"/>
                <w:color w:val="auto"/>
                <w:lang w:eastAsia="zh-CN"/>
              </w:rPr>
              <w:t>江西省生态环境厅</w:t>
            </w:r>
            <w:r>
              <w:rPr>
                <w:rFonts w:hint="eastAsia"/>
                <w:color w:val="auto"/>
              </w:rPr>
              <w:t>网站发布的202</w:t>
            </w:r>
            <w:r>
              <w:rPr>
                <w:rFonts w:hint="eastAsia"/>
                <w:color w:val="auto"/>
                <w:lang w:val="en-US" w:eastAsia="zh-CN"/>
              </w:rPr>
              <w:t>4</w:t>
            </w:r>
            <w:r>
              <w:rPr>
                <w:rFonts w:hint="eastAsia"/>
                <w:color w:val="auto"/>
              </w:rPr>
              <w:t>年江西省环境状况公报中</w:t>
            </w:r>
            <w:r>
              <w:rPr>
                <w:rFonts w:hint="eastAsia"/>
                <w:color w:val="auto"/>
                <w:lang w:eastAsia="zh-CN"/>
              </w:rPr>
              <w:t>宜春市高安市</w:t>
            </w:r>
            <w:r>
              <w:rPr>
                <w:rFonts w:hint="eastAsia"/>
                <w:color w:val="auto"/>
              </w:rPr>
              <w:t>环境质量现状数据</w:t>
            </w:r>
            <w:r>
              <w:rPr>
                <w:rFonts w:hint="eastAsia"/>
                <w:color w:val="auto"/>
                <w:lang w:eastAsia="zh-CN"/>
              </w:rPr>
              <w:t>，</w:t>
            </w:r>
            <w:r>
              <w:rPr>
                <w:rFonts w:hint="eastAsia"/>
                <w:color w:val="auto"/>
              </w:rPr>
              <w:t>监测结果见下表3-1。</w:t>
            </w:r>
          </w:p>
          <w:p w14:paraId="2F9906F3">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表3-1 项目所在区域空气质量现状评价表</w:t>
            </w:r>
          </w:p>
          <w:tbl>
            <w:tblPr>
              <w:tblStyle w:val="29"/>
              <w:tblW w:w="499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15"/>
              <w:gridCol w:w="1736"/>
              <w:gridCol w:w="1188"/>
              <w:gridCol w:w="1158"/>
              <w:gridCol w:w="1342"/>
              <w:gridCol w:w="1331"/>
            </w:tblGrid>
            <w:tr w14:paraId="699DFE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222E0523">
                  <w:pPr>
                    <w:pStyle w:val="58"/>
                    <w:keepNext w:val="0"/>
                    <w:keepLines w:val="0"/>
                    <w:suppressLineNumbers w:val="0"/>
                    <w:bidi w:val="0"/>
                    <w:spacing w:before="0" w:beforeAutospacing="0" w:after="0" w:afterAutospacing="0"/>
                    <w:ind w:left="0" w:right="0"/>
                    <w:rPr>
                      <w:rFonts w:hint="eastAsia"/>
                    </w:rPr>
                  </w:pPr>
                  <w:r>
                    <w:rPr>
                      <w:rFonts w:hint="eastAsia"/>
                    </w:rPr>
                    <w:t>污染物</w:t>
                  </w:r>
                </w:p>
              </w:tc>
              <w:tc>
                <w:tcPr>
                  <w:tcW w:w="1736" w:type="dxa"/>
                  <w:tcBorders>
                    <w:tl2br w:val="nil"/>
                    <w:tr2bl w:val="nil"/>
                  </w:tcBorders>
                  <w:noWrap w:val="0"/>
                  <w:vAlign w:val="center"/>
                </w:tcPr>
                <w:p w14:paraId="41131FB7">
                  <w:pPr>
                    <w:pStyle w:val="58"/>
                    <w:keepNext w:val="0"/>
                    <w:keepLines w:val="0"/>
                    <w:suppressLineNumbers w:val="0"/>
                    <w:bidi w:val="0"/>
                    <w:spacing w:before="0" w:beforeAutospacing="0" w:after="0" w:afterAutospacing="0"/>
                    <w:ind w:left="0" w:right="0"/>
                    <w:rPr>
                      <w:rFonts w:hint="eastAsia"/>
                    </w:rPr>
                  </w:pPr>
                  <w:r>
                    <w:rPr>
                      <w:rFonts w:hint="eastAsia"/>
                    </w:rPr>
                    <w:t>年评价指标</w:t>
                  </w:r>
                </w:p>
              </w:tc>
              <w:tc>
                <w:tcPr>
                  <w:tcW w:w="1188" w:type="dxa"/>
                  <w:tcBorders>
                    <w:tl2br w:val="nil"/>
                    <w:tr2bl w:val="nil"/>
                  </w:tcBorders>
                  <w:noWrap w:val="0"/>
                  <w:vAlign w:val="center"/>
                </w:tcPr>
                <w:p w14:paraId="342426B0">
                  <w:pPr>
                    <w:pStyle w:val="58"/>
                    <w:keepNext w:val="0"/>
                    <w:keepLines w:val="0"/>
                    <w:suppressLineNumbers w:val="0"/>
                    <w:bidi w:val="0"/>
                    <w:spacing w:before="0" w:beforeAutospacing="0" w:after="0" w:afterAutospacing="0"/>
                    <w:ind w:left="0" w:right="0"/>
                    <w:rPr>
                      <w:rFonts w:hint="eastAsia"/>
                      <w:lang w:eastAsia="zh-CN"/>
                    </w:rPr>
                  </w:pPr>
                  <w:r>
                    <w:rPr>
                      <w:rFonts w:hint="eastAsia"/>
                    </w:rPr>
                    <w:t>现状浓度</w:t>
                  </w:r>
                  <w:r>
                    <w:rPr>
                      <w:rFonts w:hint="eastAsia"/>
                      <w:lang w:eastAsia="zh-CN"/>
                    </w:rPr>
                    <w:t>（</w:t>
                  </w:r>
                  <w:r>
                    <w:rPr>
                      <w:rFonts w:hint="eastAsia"/>
                    </w:rPr>
                    <w:t>µg/</w:t>
                  </w:r>
                  <w:r>
                    <w:rPr>
                      <w:rFonts w:hint="default"/>
                      <w:lang w:val="en-US" w:eastAsia="zh-CN"/>
                    </w:rPr>
                    <w:t>m</w:t>
                  </w:r>
                  <w:r>
                    <w:rPr>
                      <w:rFonts w:hint="default"/>
                      <w:vertAlign w:val="superscript"/>
                      <w:lang w:val="en-US" w:eastAsia="zh-CN"/>
                    </w:rPr>
                    <w:t>3</w:t>
                  </w:r>
                  <w:r>
                    <w:rPr>
                      <w:rFonts w:hint="eastAsia"/>
                      <w:lang w:eastAsia="zh-CN"/>
                    </w:rPr>
                    <w:t>）</w:t>
                  </w:r>
                </w:p>
              </w:tc>
              <w:tc>
                <w:tcPr>
                  <w:tcW w:w="1158" w:type="dxa"/>
                  <w:tcBorders>
                    <w:tl2br w:val="nil"/>
                    <w:tr2bl w:val="nil"/>
                  </w:tcBorders>
                  <w:noWrap w:val="0"/>
                  <w:vAlign w:val="center"/>
                </w:tcPr>
                <w:p w14:paraId="72552FED">
                  <w:pPr>
                    <w:pStyle w:val="58"/>
                    <w:keepNext w:val="0"/>
                    <w:keepLines w:val="0"/>
                    <w:suppressLineNumbers w:val="0"/>
                    <w:bidi w:val="0"/>
                    <w:spacing w:before="0" w:beforeAutospacing="0" w:after="0" w:afterAutospacing="0"/>
                    <w:ind w:left="0" w:right="0"/>
                    <w:rPr>
                      <w:rFonts w:hint="eastAsia"/>
                      <w:lang w:eastAsia="zh-CN"/>
                    </w:rPr>
                  </w:pPr>
                  <w:r>
                    <w:rPr>
                      <w:rFonts w:hint="eastAsia"/>
                    </w:rPr>
                    <w:t>标准值</w:t>
                  </w:r>
                  <w:r>
                    <w:rPr>
                      <w:rFonts w:hint="eastAsia"/>
                      <w:lang w:eastAsia="zh-CN"/>
                    </w:rPr>
                    <w:t>（</w:t>
                  </w:r>
                  <w:r>
                    <w:rPr>
                      <w:rFonts w:hint="eastAsia"/>
                    </w:rPr>
                    <w:t>µg/</w:t>
                  </w:r>
                  <w:r>
                    <w:rPr>
                      <w:rFonts w:hint="default"/>
                      <w:lang w:val="en-US" w:eastAsia="zh-CN"/>
                    </w:rPr>
                    <w:t>m</w:t>
                  </w:r>
                  <w:r>
                    <w:rPr>
                      <w:rFonts w:hint="default"/>
                      <w:vertAlign w:val="superscript"/>
                      <w:lang w:val="en-US" w:eastAsia="zh-CN"/>
                    </w:rPr>
                    <w:t>3</w:t>
                  </w:r>
                  <w:r>
                    <w:rPr>
                      <w:rFonts w:hint="eastAsia"/>
                      <w:lang w:eastAsia="zh-CN"/>
                    </w:rPr>
                    <w:t>）</w:t>
                  </w:r>
                </w:p>
              </w:tc>
              <w:tc>
                <w:tcPr>
                  <w:tcW w:w="1342" w:type="dxa"/>
                  <w:tcBorders>
                    <w:tl2br w:val="nil"/>
                    <w:tr2bl w:val="nil"/>
                  </w:tcBorders>
                  <w:noWrap w:val="0"/>
                  <w:vAlign w:val="center"/>
                </w:tcPr>
                <w:p w14:paraId="25BF52AB">
                  <w:pPr>
                    <w:pStyle w:val="58"/>
                    <w:keepNext w:val="0"/>
                    <w:keepLines w:val="0"/>
                    <w:suppressLineNumbers w:val="0"/>
                    <w:bidi w:val="0"/>
                    <w:spacing w:before="0" w:beforeAutospacing="0" w:after="0" w:afterAutospacing="0"/>
                    <w:ind w:left="0" w:right="0"/>
                    <w:rPr>
                      <w:rFonts w:hint="eastAsia"/>
                    </w:rPr>
                  </w:pPr>
                  <w:r>
                    <w:rPr>
                      <w:rFonts w:hint="eastAsia"/>
                    </w:rPr>
                    <w:t>占标率%</w:t>
                  </w:r>
                </w:p>
              </w:tc>
              <w:tc>
                <w:tcPr>
                  <w:tcW w:w="1331" w:type="dxa"/>
                  <w:tcBorders>
                    <w:tl2br w:val="nil"/>
                    <w:tr2bl w:val="nil"/>
                  </w:tcBorders>
                  <w:noWrap w:val="0"/>
                  <w:vAlign w:val="center"/>
                </w:tcPr>
                <w:p w14:paraId="61B32620">
                  <w:pPr>
                    <w:pStyle w:val="58"/>
                    <w:keepNext w:val="0"/>
                    <w:keepLines w:val="0"/>
                    <w:suppressLineNumbers w:val="0"/>
                    <w:bidi w:val="0"/>
                    <w:spacing w:before="0" w:beforeAutospacing="0" w:after="0" w:afterAutospacing="0"/>
                    <w:ind w:left="0" w:right="0"/>
                    <w:rPr>
                      <w:rFonts w:hint="eastAsia"/>
                    </w:rPr>
                  </w:pPr>
                  <w:r>
                    <w:rPr>
                      <w:rFonts w:hint="eastAsia"/>
                    </w:rPr>
                    <w:t>达标情况</w:t>
                  </w:r>
                </w:p>
              </w:tc>
            </w:tr>
            <w:tr w14:paraId="43BCE6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0119C52F">
                  <w:pPr>
                    <w:pStyle w:val="58"/>
                    <w:keepNext w:val="0"/>
                    <w:keepLines w:val="0"/>
                    <w:suppressLineNumbers w:val="0"/>
                    <w:bidi w:val="0"/>
                    <w:spacing w:before="0" w:beforeAutospacing="0" w:after="0" w:afterAutospacing="0"/>
                    <w:ind w:left="0" w:right="0"/>
                    <w:rPr>
                      <w:rFonts w:hint="eastAsia"/>
                    </w:rPr>
                  </w:pPr>
                  <w:r>
                    <w:rPr>
                      <w:rFonts w:hint="default"/>
                      <w:lang w:eastAsia="zh-CN"/>
                    </w:rPr>
                    <w:t>PM</w:t>
                  </w:r>
                  <w:r>
                    <w:rPr>
                      <w:rFonts w:hint="default"/>
                      <w:vertAlign w:val="subscript"/>
                      <w:lang w:eastAsia="zh-CN"/>
                    </w:rPr>
                    <w:t>2.5</w:t>
                  </w:r>
                </w:p>
              </w:tc>
              <w:tc>
                <w:tcPr>
                  <w:tcW w:w="1736" w:type="dxa"/>
                  <w:tcBorders>
                    <w:tl2br w:val="nil"/>
                    <w:tr2bl w:val="nil"/>
                  </w:tcBorders>
                  <w:noWrap w:val="0"/>
                  <w:vAlign w:val="center"/>
                </w:tcPr>
                <w:p w14:paraId="6C6CD75B">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年平均质量浓度</w:t>
                  </w:r>
                </w:p>
              </w:tc>
              <w:tc>
                <w:tcPr>
                  <w:tcW w:w="1188" w:type="dxa"/>
                  <w:tcBorders>
                    <w:tl2br w:val="nil"/>
                    <w:tr2bl w:val="nil"/>
                  </w:tcBorders>
                  <w:noWrap w:val="0"/>
                  <w:vAlign w:val="center"/>
                </w:tcPr>
                <w:p w14:paraId="4743DE36">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23.4</w:t>
                  </w:r>
                </w:p>
              </w:tc>
              <w:tc>
                <w:tcPr>
                  <w:tcW w:w="1158" w:type="dxa"/>
                  <w:tcBorders>
                    <w:tl2br w:val="nil"/>
                    <w:tr2bl w:val="nil"/>
                  </w:tcBorders>
                  <w:noWrap w:val="0"/>
                  <w:vAlign w:val="center"/>
                </w:tcPr>
                <w:p w14:paraId="66D3CBC0">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3</w:t>
                  </w:r>
                  <w:r>
                    <w:rPr>
                      <w:rFonts w:hint="eastAsia"/>
                      <w:lang w:val="en-US" w:eastAsia="zh-CN"/>
                    </w:rPr>
                    <w:t>0</w:t>
                  </w:r>
                </w:p>
              </w:tc>
              <w:tc>
                <w:tcPr>
                  <w:tcW w:w="1342" w:type="dxa"/>
                  <w:tcBorders>
                    <w:tl2br w:val="nil"/>
                    <w:tr2bl w:val="nil"/>
                  </w:tcBorders>
                  <w:noWrap w:val="0"/>
                  <w:vAlign w:val="center"/>
                </w:tcPr>
                <w:p w14:paraId="61605A64">
                  <w:pPr>
                    <w:pStyle w:val="58"/>
                    <w:keepNext w:val="0"/>
                    <w:keepLines w:val="0"/>
                    <w:suppressLineNumbers w:val="0"/>
                    <w:bidi w:val="0"/>
                    <w:spacing w:before="0" w:beforeAutospacing="0" w:after="0" w:afterAutospacing="0"/>
                    <w:ind w:left="0" w:right="0"/>
                    <w:rPr>
                      <w:rFonts w:hint="eastAsia"/>
                    </w:rPr>
                  </w:pPr>
                  <w:r>
                    <w:rPr>
                      <w:rFonts w:hint="eastAsia"/>
                      <w:lang w:val="en-US" w:eastAsia="zh-CN"/>
                    </w:rPr>
                    <w:t>78</w:t>
                  </w:r>
                </w:p>
              </w:tc>
              <w:tc>
                <w:tcPr>
                  <w:tcW w:w="1331" w:type="dxa"/>
                  <w:tcBorders>
                    <w:tl2br w:val="nil"/>
                    <w:tr2bl w:val="nil"/>
                  </w:tcBorders>
                  <w:noWrap w:val="0"/>
                  <w:vAlign w:val="center"/>
                </w:tcPr>
                <w:p w14:paraId="1CA9E629">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r w14:paraId="580493A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26CF5FDE">
                  <w:pPr>
                    <w:pStyle w:val="58"/>
                    <w:keepNext w:val="0"/>
                    <w:keepLines w:val="0"/>
                    <w:suppressLineNumbers w:val="0"/>
                    <w:bidi w:val="0"/>
                    <w:spacing w:before="0" w:beforeAutospacing="0" w:after="0" w:afterAutospacing="0"/>
                    <w:ind w:left="0" w:right="0"/>
                    <w:rPr>
                      <w:rFonts w:hint="eastAsia"/>
                    </w:rPr>
                  </w:pPr>
                  <w:r>
                    <w:rPr>
                      <w:rFonts w:hint="default"/>
                      <w:lang w:eastAsia="zh-CN"/>
                    </w:rPr>
                    <w:t>PM</w:t>
                  </w:r>
                  <w:r>
                    <w:rPr>
                      <w:rFonts w:hint="default"/>
                      <w:vertAlign w:val="subscript"/>
                      <w:lang w:eastAsia="zh-CN"/>
                    </w:rPr>
                    <w:t>10</w:t>
                  </w:r>
                </w:p>
              </w:tc>
              <w:tc>
                <w:tcPr>
                  <w:tcW w:w="1736" w:type="dxa"/>
                  <w:tcBorders>
                    <w:tl2br w:val="nil"/>
                    <w:tr2bl w:val="nil"/>
                  </w:tcBorders>
                  <w:noWrap w:val="0"/>
                  <w:vAlign w:val="center"/>
                </w:tcPr>
                <w:p w14:paraId="035957A9">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年平均质量浓度</w:t>
                  </w:r>
                </w:p>
              </w:tc>
              <w:tc>
                <w:tcPr>
                  <w:tcW w:w="1188" w:type="dxa"/>
                  <w:tcBorders>
                    <w:tl2br w:val="nil"/>
                    <w:tr2bl w:val="nil"/>
                  </w:tcBorders>
                  <w:noWrap w:val="0"/>
                  <w:vAlign w:val="center"/>
                </w:tcPr>
                <w:p w14:paraId="2BAA2C09">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38</w:t>
                  </w:r>
                </w:p>
              </w:tc>
              <w:tc>
                <w:tcPr>
                  <w:tcW w:w="1158" w:type="dxa"/>
                  <w:tcBorders>
                    <w:tl2br w:val="nil"/>
                    <w:tr2bl w:val="nil"/>
                  </w:tcBorders>
                  <w:noWrap w:val="0"/>
                  <w:vAlign w:val="center"/>
                </w:tcPr>
                <w:p w14:paraId="364BACD7">
                  <w:pPr>
                    <w:pStyle w:val="58"/>
                    <w:keepNext w:val="0"/>
                    <w:keepLines w:val="0"/>
                    <w:suppressLineNumbers w:val="0"/>
                    <w:bidi w:val="0"/>
                    <w:spacing w:before="0" w:beforeAutospacing="0" w:after="0" w:afterAutospacing="0"/>
                    <w:ind w:left="0" w:right="0"/>
                    <w:rPr>
                      <w:rFonts w:hint="eastAsia"/>
                    </w:rPr>
                  </w:pPr>
                  <w:r>
                    <w:rPr>
                      <w:rFonts w:hint="eastAsia"/>
                      <w:lang w:val="en-US" w:eastAsia="zh-CN"/>
                    </w:rPr>
                    <w:t>6</w:t>
                  </w:r>
                  <w:r>
                    <w:rPr>
                      <w:rFonts w:hint="default"/>
                      <w:lang w:val="en-US" w:eastAsia="zh-CN"/>
                    </w:rPr>
                    <w:t>0</w:t>
                  </w:r>
                </w:p>
              </w:tc>
              <w:tc>
                <w:tcPr>
                  <w:tcW w:w="1342" w:type="dxa"/>
                  <w:tcBorders>
                    <w:tl2br w:val="nil"/>
                    <w:tr2bl w:val="nil"/>
                  </w:tcBorders>
                  <w:noWrap w:val="0"/>
                  <w:vAlign w:val="center"/>
                </w:tcPr>
                <w:p w14:paraId="5B9458B4">
                  <w:pPr>
                    <w:pStyle w:val="58"/>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63.33</w:t>
                  </w:r>
                </w:p>
              </w:tc>
              <w:tc>
                <w:tcPr>
                  <w:tcW w:w="1331" w:type="dxa"/>
                  <w:tcBorders>
                    <w:tl2br w:val="nil"/>
                    <w:tr2bl w:val="nil"/>
                  </w:tcBorders>
                  <w:noWrap w:val="0"/>
                  <w:vAlign w:val="center"/>
                </w:tcPr>
                <w:p w14:paraId="1B4F1B25">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r w14:paraId="04B8C6B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764AACD5">
                  <w:pPr>
                    <w:pStyle w:val="58"/>
                    <w:keepNext w:val="0"/>
                    <w:keepLines w:val="0"/>
                    <w:suppressLineNumbers w:val="0"/>
                    <w:bidi w:val="0"/>
                    <w:spacing w:before="0" w:beforeAutospacing="0" w:after="0" w:afterAutospacing="0"/>
                    <w:ind w:left="0" w:right="0"/>
                    <w:rPr>
                      <w:rFonts w:hint="default"/>
                      <w:lang w:val="en-US" w:eastAsia="zh-CN"/>
                    </w:rPr>
                  </w:pPr>
                  <w:r>
                    <w:rPr>
                      <w:rFonts w:hint="default"/>
                      <w:lang w:eastAsia="zh-CN"/>
                    </w:rPr>
                    <w:t>NO</w:t>
                  </w:r>
                  <w:r>
                    <w:rPr>
                      <w:rFonts w:hint="default"/>
                      <w:vertAlign w:val="subscript"/>
                      <w:lang w:eastAsia="zh-CN"/>
                    </w:rPr>
                    <w:t>2</w:t>
                  </w:r>
                </w:p>
              </w:tc>
              <w:tc>
                <w:tcPr>
                  <w:tcW w:w="1736" w:type="dxa"/>
                  <w:tcBorders>
                    <w:tl2br w:val="nil"/>
                    <w:tr2bl w:val="nil"/>
                  </w:tcBorders>
                  <w:noWrap w:val="0"/>
                  <w:vAlign w:val="center"/>
                </w:tcPr>
                <w:p w14:paraId="69E1A5DE">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年平均质量浓度</w:t>
                  </w:r>
                </w:p>
              </w:tc>
              <w:tc>
                <w:tcPr>
                  <w:tcW w:w="1188" w:type="dxa"/>
                  <w:tcBorders>
                    <w:tl2br w:val="nil"/>
                    <w:tr2bl w:val="nil"/>
                  </w:tcBorders>
                  <w:noWrap w:val="0"/>
                  <w:vAlign w:val="center"/>
                </w:tcPr>
                <w:p w14:paraId="383C4A89">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20</w:t>
                  </w:r>
                </w:p>
              </w:tc>
              <w:tc>
                <w:tcPr>
                  <w:tcW w:w="1158" w:type="dxa"/>
                  <w:tcBorders>
                    <w:tl2br w:val="nil"/>
                    <w:tr2bl w:val="nil"/>
                  </w:tcBorders>
                  <w:noWrap w:val="0"/>
                  <w:vAlign w:val="center"/>
                </w:tcPr>
                <w:p w14:paraId="130CE2E3">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40</w:t>
                  </w:r>
                </w:p>
              </w:tc>
              <w:tc>
                <w:tcPr>
                  <w:tcW w:w="1342" w:type="dxa"/>
                  <w:tcBorders>
                    <w:tl2br w:val="nil"/>
                    <w:tr2bl w:val="nil"/>
                  </w:tcBorders>
                  <w:noWrap w:val="0"/>
                  <w:vAlign w:val="center"/>
                </w:tcPr>
                <w:p w14:paraId="6977BB95">
                  <w:pPr>
                    <w:pStyle w:val="58"/>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50</w:t>
                  </w:r>
                </w:p>
              </w:tc>
              <w:tc>
                <w:tcPr>
                  <w:tcW w:w="1331" w:type="dxa"/>
                  <w:tcBorders>
                    <w:tl2br w:val="nil"/>
                    <w:tr2bl w:val="nil"/>
                  </w:tcBorders>
                  <w:noWrap w:val="0"/>
                  <w:vAlign w:val="center"/>
                </w:tcPr>
                <w:p w14:paraId="16F68570">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r w14:paraId="021FEA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1694A0B5">
                  <w:pPr>
                    <w:pStyle w:val="58"/>
                    <w:keepNext w:val="0"/>
                    <w:keepLines w:val="0"/>
                    <w:suppressLineNumbers w:val="0"/>
                    <w:bidi w:val="0"/>
                    <w:spacing w:before="0" w:beforeAutospacing="0" w:after="0" w:afterAutospacing="0"/>
                    <w:ind w:left="0" w:right="0"/>
                    <w:rPr>
                      <w:rFonts w:hint="eastAsia"/>
                    </w:rPr>
                  </w:pPr>
                  <w:r>
                    <w:rPr>
                      <w:rFonts w:hint="default"/>
                      <w:lang w:eastAsia="zh-CN"/>
                    </w:rPr>
                    <w:t>SO</w:t>
                  </w:r>
                  <w:r>
                    <w:rPr>
                      <w:rFonts w:hint="default"/>
                      <w:vertAlign w:val="subscript"/>
                      <w:lang w:eastAsia="zh-CN"/>
                    </w:rPr>
                    <w:t>2</w:t>
                  </w:r>
                </w:p>
              </w:tc>
              <w:tc>
                <w:tcPr>
                  <w:tcW w:w="1736" w:type="dxa"/>
                  <w:tcBorders>
                    <w:tl2br w:val="nil"/>
                    <w:tr2bl w:val="nil"/>
                  </w:tcBorders>
                  <w:noWrap w:val="0"/>
                  <w:vAlign w:val="center"/>
                </w:tcPr>
                <w:p w14:paraId="271C0E2E">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年平均质量浓度</w:t>
                  </w:r>
                </w:p>
              </w:tc>
              <w:tc>
                <w:tcPr>
                  <w:tcW w:w="1188" w:type="dxa"/>
                  <w:tcBorders>
                    <w:tl2br w:val="nil"/>
                    <w:tr2bl w:val="nil"/>
                  </w:tcBorders>
                  <w:noWrap w:val="0"/>
                  <w:vAlign w:val="center"/>
                </w:tcPr>
                <w:p w14:paraId="45C7533B">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11</w:t>
                  </w:r>
                </w:p>
              </w:tc>
              <w:tc>
                <w:tcPr>
                  <w:tcW w:w="1158" w:type="dxa"/>
                  <w:tcBorders>
                    <w:tl2br w:val="nil"/>
                    <w:tr2bl w:val="nil"/>
                  </w:tcBorders>
                  <w:noWrap w:val="0"/>
                  <w:vAlign w:val="center"/>
                </w:tcPr>
                <w:p w14:paraId="562DB7D2">
                  <w:pPr>
                    <w:pStyle w:val="58"/>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60</w:t>
                  </w:r>
                </w:p>
              </w:tc>
              <w:tc>
                <w:tcPr>
                  <w:tcW w:w="1342" w:type="dxa"/>
                  <w:tcBorders>
                    <w:tl2br w:val="nil"/>
                    <w:tr2bl w:val="nil"/>
                  </w:tcBorders>
                  <w:noWrap w:val="0"/>
                  <w:vAlign w:val="center"/>
                </w:tcPr>
                <w:p w14:paraId="2E12789B">
                  <w:pPr>
                    <w:pStyle w:val="58"/>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18.33</w:t>
                  </w:r>
                </w:p>
              </w:tc>
              <w:tc>
                <w:tcPr>
                  <w:tcW w:w="1331" w:type="dxa"/>
                  <w:tcBorders>
                    <w:tl2br w:val="nil"/>
                    <w:tr2bl w:val="nil"/>
                  </w:tcBorders>
                  <w:noWrap w:val="0"/>
                  <w:vAlign w:val="center"/>
                </w:tcPr>
                <w:p w14:paraId="77BE8A49">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r w14:paraId="554E1CC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033179CD">
                  <w:pPr>
                    <w:pStyle w:val="58"/>
                    <w:keepNext w:val="0"/>
                    <w:keepLines w:val="0"/>
                    <w:suppressLineNumbers w:val="0"/>
                    <w:bidi w:val="0"/>
                    <w:spacing w:before="0" w:beforeAutospacing="0" w:after="0" w:afterAutospacing="0"/>
                    <w:ind w:left="0" w:right="0"/>
                    <w:rPr>
                      <w:rFonts w:hint="eastAsia"/>
                    </w:rPr>
                  </w:pPr>
                  <w:r>
                    <w:rPr>
                      <w:rFonts w:hint="default"/>
                      <w:lang w:eastAsia="zh-CN"/>
                    </w:rPr>
                    <w:t>CO</w:t>
                  </w:r>
                </w:p>
              </w:tc>
              <w:tc>
                <w:tcPr>
                  <w:tcW w:w="1736" w:type="dxa"/>
                  <w:tcBorders>
                    <w:tl2br w:val="nil"/>
                    <w:tr2bl w:val="nil"/>
                  </w:tcBorders>
                  <w:noWrap w:val="0"/>
                  <w:vAlign w:val="center"/>
                </w:tcPr>
                <w:p w14:paraId="7D2B34FA">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第95百分位数日平均质量浓度</w:t>
                  </w:r>
                </w:p>
              </w:tc>
              <w:tc>
                <w:tcPr>
                  <w:tcW w:w="1188" w:type="dxa"/>
                  <w:tcBorders>
                    <w:tl2br w:val="nil"/>
                    <w:tr2bl w:val="nil"/>
                  </w:tcBorders>
                  <w:noWrap w:val="0"/>
                  <w:vAlign w:val="center"/>
                </w:tcPr>
                <w:p w14:paraId="5CC91C60">
                  <w:pPr>
                    <w:pStyle w:val="58"/>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900</w:t>
                  </w:r>
                </w:p>
              </w:tc>
              <w:tc>
                <w:tcPr>
                  <w:tcW w:w="1158" w:type="dxa"/>
                  <w:tcBorders>
                    <w:tl2br w:val="nil"/>
                    <w:tr2bl w:val="nil"/>
                  </w:tcBorders>
                  <w:noWrap w:val="0"/>
                  <w:vAlign w:val="center"/>
                </w:tcPr>
                <w:p w14:paraId="18D2A457">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4000</w:t>
                  </w:r>
                </w:p>
              </w:tc>
              <w:tc>
                <w:tcPr>
                  <w:tcW w:w="1342" w:type="dxa"/>
                  <w:tcBorders>
                    <w:tl2br w:val="nil"/>
                    <w:tr2bl w:val="nil"/>
                  </w:tcBorders>
                  <w:noWrap w:val="0"/>
                  <w:vAlign w:val="center"/>
                </w:tcPr>
                <w:p w14:paraId="1B52B2F5">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22.5</w:t>
                  </w:r>
                </w:p>
              </w:tc>
              <w:tc>
                <w:tcPr>
                  <w:tcW w:w="1331" w:type="dxa"/>
                  <w:tcBorders>
                    <w:tl2br w:val="nil"/>
                    <w:tr2bl w:val="nil"/>
                  </w:tcBorders>
                  <w:noWrap w:val="0"/>
                  <w:vAlign w:val="center"/>
                </w:tcPr>
                <w:p w14:paraId="1C133E04">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r w14:paraId="3606F8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3D72D07E">
                  <w:pPr>
                    <w:pStyle w:val="58"/>
                    <w:keepNext w:val="0"/>
                    <w:keepLines w:val="0"/>
                    <w:suppressLineNumbers w:val="0"/>
                    <w:bidi w:val="0"/>
                    <w:spacing w:before="0" w:beforeAutospacing="0" w:after="0" w:afterAutospacing="0"/>
                    <w:ind w:left="0" w:right="0"/>
                    <w:rPr>
                      <w:rFonts w:hint="eastAsia"/>
                    </w:rPr>
                  </w:pPr>
                  <w:r>
                    <w:rPr>
                      <w:rFonts w:hint="default"/>
                      <w:lang w:eastAsia="zh-CN"/>
                    </w:rPr>
                    <w:t>O</w:t>
                  </w:r>
                  <w:r>
                    <w:rPr>
                      <w:rFonts w:hint="default"/>
                      <w:vertAlign w:val="subscript"/>
                      <w:lang w:eastAsia="zh-CN"/>
                    </w:rPr>
                    <w:t>3</w:t>
                  </w:r>
                </w:p>
              </w:tc>
              <w:tc>
                <w:tcPr>
                  <w:tcW w:w="1736" w:type="dxa"/>
                  <w:tcBorders>
                    <w:tl2br w:val="nil"/>
                    <w:tr2bl w:val="nil"/>
                  </w:tcBorders>
                  <w:noWrap w:val="0"/>
                  <w:vAlign w:val="center"/>
                </w:tcPr>
                <w:p w14:paraId="0C33B796">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第90百分位数8h平均质量浓度</w:t>
                  </w:r>
                </w:p>
              </w:tc>
              <w:tc>
                <w:tcPr>
                  <w:tcW w:w="1188" w:type="dxa"/>
                  <w:tcBorders>
                    <w:tl2br w:val="nil"/>
                    <w:tr2bl w:val="nil"/>
                  </w:tcBorders>
                  <w:noWrap w:val="0"/>
                  <w:vAlign w:val="center"/>
                </w:tcPr>
                <w:p w14:paraId="0E3E05DA">
                  <w:pPr>
                    <w:pStyle w:val="58"/>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134</w:t>
                  </w:r>
                </w:p>
              </w:tc>
              <w:tc>
                <w:tcPr>
                  <w:tcW w:w="1158" w:type="dxa"/>
                  <w:tcBorders>
                    <w:tl2br w:val="nil"/>
                    <w:tr2bl w:val="nil"/>
                  </w:tcBorders>
                  <w:noWrap w:val="0"/>
                  <w:vAlign w:val="center"/>
                </w:tcPr>
                <w:p w14:paraId="2EC602A8">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160</w:t>
                  </w:r>
                </w:p>
              </w:tc>
              <w:tc>
                <w:tcPr>
                  <w:tcW w:w="1342" w:type="dxa"/>
                  <w:tcBorders>
                    <w:tl2br w:val="nil"/>
                    <w:tr2bl w:val="nil"/>
                  </w:tcBorders>
                  <w:noWrap w:val="0"/>
                  <w:vAlign w:val="center"/>
                </w:tcPr>
                <w:p w14:paraId="728A5DE0">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83.75</w:t>
                  </w:r>
                </w:p>
              </w:tc>
              <w:tc>
                <w:tcPr>
                  <w:tcW w:w="1331" w:type="dxa"/>
                  <w:tcBorders>
                    <w:tl2br w:val="nil"/>
                    <w:tr2bl w:val="nil"/>
                  </w:tcBorders>
                  <w:noWrap w:val="0"/>
                  <w:vAlign w:val="center"/>
                </w:tcPr>
                <w:p w14:paraId="395FDBE7">
                  <w:pPr>
                    <w:pStyle w:val="58"/>
                    <w:keepNext w:val="0"/>
                    <w:keepLines w:val="0"/>
                    <w:suppressLineNumbers w:val="0"/>
                    <w:bidi w:val="0"/>
                    <w:spacing w:before="0" w:beforeAutospacing="0" w:after="0" w:afterAutospacing="0"/>
                    <w:ind w:left="0" w:right="0"/>
                    <w:rPr>
                      <w:rFonts w:hint="eastAsia"/>
                    </w:rPr>
                  </w:pPr>
                  <w:r>
                    <w:rPr>
                      <w:rFonts w:hint="default"/>
                      <w:lang w:val="en-US" w:eastAsia="zh-CN"/>
                    </w:rPr>
                    <w:t>达标</w:t>
                  </w:r>
                </w:p>
              </w:tc>
            </w:tr>
          </w:tbl>
          <w:p w14:paraId="67A983C3">
            <w:pPr>
              <w:pStyle w:val="83"/>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项目所在区域</w:t>
            </w:r>
            <w:r>
              <w:rPr>
                <w:rFonts w:hint="eastAsia"/>
                <w:color w:val="auto"/>
                <w:lang w:val="en-US" w:eastAsia="zh-CN"/>
              </w:rPr>
              <w:t>SO</w:t>
            </w:r>
            <w:r>
              <w:rPr>
                <w:rFonts w:hint="eastAsia"/>
                <w:color w:val="auto"/>
                <w:vertAlign w:val="subscript"/>
                <w:lang w:val="en-US" w:eastAsia="zh-CN"/>
              </w:rPr>
              <w:t>2</w:t>
            </w:r>
            <w:r>
              <w:rPr>
                <w:rFonts w:hint="eastAsia"/>
                <w:color w:val="auto"/>
              </w:rPr>
              <w:t>、NO</w:t>
            </w:r>
            <w:r>
              <w:rPr>
                <w:rFonts w:hint="eastAsia"/>
                <w:color w:val="auto"/>
                <w:vertAlign w:val="subscript"/>
              </w:rPr>
              <w:t>2</w:t>
            </w:r>
            <w:r>
              <w:rPr>
                <w:rFonts w:hint="eastAsia"/>
                <w:color w:val="auto"/>
              </w:rPr>
              <w:t>、PM</w:t>
            </w:r>
            <w:r>
              <w:rPr>
                <w:rFonts w:hint="eastAsia"/>
                <w:color w:val="auto"/>
                <w:vertAlign w:val="subscript"/>
              </w:rPr>
              <w:t>10</w:t>
            </w:r>
            <w:r>
              <w:rPr>
                <w:rFonts w:hint="eastAsia"/>
                <w:color w:val="auto"/>
              </w:rPr>
              <w:t>、</w:t>
            </w:r>
            <w:r>
              <w:rPr>
                <w:rFonts w:hint="eastAsia" w:cs="Times New Roman"/>
                <w:color w:val="auto"/>
                <w:lang w:val="en-US" w:eastAsia="zh-CN"/>
              </w:rPr>
              <w:t>PM</w:t>
            </w:r>
            <w:r>
              <w:rPr>
                <w:rFonts w:hint="eastAsia" w:cs="Times New Roman"/>
                <w:color w:val="auto"/>
                <w:vertAlign w:val="subscript"/>
                <w:lang w:val="en-US" w:eastAsia="zh-CN"/>
              </w:rPr>
              <w:t>2.5</w:t>
            </w:r>
            <w:r>
              <w:rPr>
                <w:rFonts w:hint="eastAsia"/>
                <w:color w:val="auto"/>
              </w:rPr>
              <w:t>、CO、O</w:t>
            </w:r>
            <w:r>
              <w:rPr>
                <w:rFonts w:hint="eastAsia"/>
                <w:color w:val="auto"/>
                <w:vertAlign w:val="subscript"/>
              </w:rPr>
              <w:t>3</w:t>
            </w:r>
            <w:r>
              <w:rPr>
                <w:rFonts w:hint="eastAsia"/>
                <w:color w:val="auto"/>
              </w:rPr>
              <w:t>年均值均达到</w:t>
            </w:r>
            <w:r>
              <w:rPr>
                <w:rFonts w:hint="eastAsia"/>
                <w:color w:val="auto"/>
                <w:lang w:eastAsia="zh-CN"/>
              </w:rPr>
              <w:t>《环境空气质量标准》（GB3095-2026）过渡阶段浓度限值的二级标准要求，</w:t>
            </w:r>
            <w:r>
              <w:rPr>
                <w:rFonts w:hint="eastAsia"/>
                <w:color w:val="auto"/>
              </w:rPr>
              <w:t>表明项目所在地属于达标区。</w:t>
            </w:r>
          </w:p>
          <w:p w14:paraId="4012B4B4">
            <w:pPr>
              <w:pStyle w:val="83"/>
              <w:keepNext w:val="0"/>
              <w:keepLines w:val="0"/>
              <w:widowControl/>
              <w:numPr>
                <w:ilvl w:val="0"/>
                <w:numId w:val="0"/>
              </w:numPr>
              <w:suppressLineNumbers w:val="0"/>
              <w:spacing w:before="0" w:beforeAutospacing="0" w:after="0" w:afterAutospacing="0"/>
              <w:ind w:left="0" w:leftChars="0" w:right="0" w:rightChars="0" w:firstLine="480" w:firstLineChars="200"/>
              <w:jc w:val="both"/>
              <w:rPr>
                <w:rFonts w:hint="eastAsia"/>
                <w:color w:val="auto"/>
                <w:lang w:eastAsia="zh-CN"/>
              </w:rPr>
            </w:pPr>
            <w:r>
              <w:rPr>
                <w:rFonts w:hint="eastAsia" w:ascii="Times New Roman" w:hAnsi="Times New Roman" w:eastAsia="宋体" w:cs="Times New Roman"/>
                <w:color w:val="auto"/>
                <w:sz w:val="24"/>
                <w:szCs w:val="24"/>
                <w:lang w:val="en-US" w:eastAsia="zh-CN" w:bidi="ar-SA"/>
              </w:rPr>
              <w:t>2）</w:t>
            </w:r>
            <w:r>
              <w:rPr>
                <w:rFonts w:hint="eastAsia"/>
                <w:color w:val="auto"/>
                <w:lang w:eastAsia="zh-CN"/>
              </w:rPr>
              <w:t>为了解企业周围环境空气现状，本次评价以TSP</w:t>
            </w:r>
            <w:r>
              <w:rPr>
                <w:rFonts w:hint="eastAsia"/>
                <w:color w:val="auto"/>
                <w:lang w:val="en-US" w:eastAsia="zh-CN"/>
              </w:rPr>
              <w:t>与NOx</w:t>
            </w:r>
            <w:r>
              <w:rPr>
                <w:rFonts w:hint="eastAsia"/>
                <w:color w:val="auto"/>
                <w:lang w:eastAsia="zh-CN"/>
              </w:rPr>
              <w:t>作为本次评价的其他污染物指标。本评价在2025年</w:t>
            </w:r>
            <w:r>
              <w:rPr>
                <w:rFonts w:hint="eastAsia"/>
                <w:color w:val="auto"/>
                <w:lang w:val="en-US" w:eastAsia="zh-CN"/>
              </w:rPr>
              <w:t>7</w:t>
            </w:r>
            <w:r>
              <w:rPr>
                <w:rFonts w:hint="eastAsia"/>
                <w:color w:val="auto"/>
                <w:lang w:eastAsia="zh-CN"/>
              </w:rPr>
              <w:t>月</w:t>
            </w:r>
            <w:r>
              <w:rPr>
                <w:rFonts w:hint="eastAsia"/>
                <w:color w:val="auto"/>
                <w:lang w:val="en-US" w:eastAsia="zh-CN"/>
              </w:rPr>
              <w:t>22</w:t>
            </w:r>
            <w:r>
              <w:rPr>
                <w:rFonts w:hint="eastAsia"/>
                <w:color w:val="auto"/>
                <w:lang w:eastAsia="zh-CN"/>
              </w:rPr>
              <w:t>日-2</w:t>
            </w:r>
            <w:r>
              <w:rPr>
                <w:rFonts w:hint="eastAsia"/>
                <w:color w:val="auto"/>
                <w:lang w:val="en-US" w:eastAsia="zh-CN"/>
              </w:rPr>
              <w:t>4</w:t>
            </w:r>
            <w:r>
              <w:rPr>
                <w:rFonts w:hint="eastAsia"/>
                <w:color w:val="auto"/>
                <w:lang w:eastAsia="zh-CN"/>
              </w:rPr>
              <w:t>日委托</w:t>
            </w:r>
            <w:r>
              <w:rPr>
                <w:rFonts w:hint="eastAsia"/>
                <w:color w:val="auto"/>
                <w:lang w:val="zh-CN" w:eastAsia="zh-CN"/>
              </w:rPr>
              <w:t>南昌宇环检测技术有限公司</w:t>
            </w:r>
            <w:r>
              <w:rPr>
                <w:rFonts w:hint="eastAsia"/>
                <w:color w:val="auto"/>
                <w:lang w:eastAsia="zh-CN"/>
              </w:rPr>
              <w:t>对项目所在地TSP</w:t>
            </w:r>
            <w:r>
              <w:rPr>
                <w:rFonts w:hint="eastAsia"/>
                <w:color w:val="auto"/>
                <w:lang w:val="en-US" w:eastAsia="zh-CN"/>
              </w:rPr>
              <w:t>与NOx</w:t>
            </w:r>
            <w:r>
              <w:rPr>
                <w:rFonts w:hint="eastAsia"/>
                <w:color w:val="auto"/>
                <w:lang w:eastAsia="zh-CN"/>
              </w:rPr>
              <w:t>进行监测。</w:t>
            </w:r>
          </w:p>
          <w:p w14:paraId="3F84D196">
            <w:pPr>
              <w:pStyle w:val="83"/>
              <w:keepNext w:val="0"/>
              <w:keepLines w:val="0"/>
              <w:widowControl/>
              <w:numPr>
                <w:ilvl w:val="0"/>
                <w:numId w:val="0"/>
              </w:numPr>
              <w:suppressLineNumbers w:val="0"/>
              <w:spacing w:before="0" w:beforeAutospacing="0" w:after="0" w:afterAutospacing="0"/>
              <w:ind w:left="0" w:leftChars="0" w:right="0" w:rightChars="0" w:firstLine="480" w:firstLineChars="200"/>
              <w:jc w:val="both"/>
              <w:rPr>
                <w:rFonts w:hint="eastAsia"/>
                <w:color w:val="auto"/>
                <w:lang w:eastAsia="zh-CN"/>
              </w:rPr>
            </w:pPr>
            <w:r>
              <w:rPr>
                <w:rFonts w:hint="eastAsia"/>
                <w:color w:val="auto"/>
                <w:lang w:eastAsia="zh-CN"/>
              </w:rPr>
              <w:t>本次环境空气监测及评价结果见表3-2。</w:t>
            </w:r>
          </w:p>
          <w:p w14:paraId="4E12A70C">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 xml:space="preserve">表3-2 </w:t>
            </w:r>
            <w:r>
              <w:rPr>
                <w:rFonts w:hint="eastAsia" w:ascii="Times New Roman" w:hAnsi="Times New Roman" w:eastAsia="宋体" w:cs="Times New Roman"/>
                <w:b/>
                <w:color w:val="auto"/>
                <w:kern w:val="0"/>
                <w:sz w:val="24"/>
                <w:szCs w:val="24"/>
                <w:lang w:val="en-US" w:eastAsia="zh-CN" w:bidi="ar-SA"/>
              </w:rPr>
              <w:t>其他污染物补充监测点基本信息表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020"/>
              <w:gridCol w:w="1006"/>
              <w:gridCol w:w="1908"/>
              <w:gridCol w:w="1924"/>
              <w:gridCol w:w="1007"/>
            </w:tblGrid>
            <w:tr w14:paraId="1AD61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pct"/>
                  <w:vAlign w:val="center"/>
                </w:tcPr>
                <w:p w14:paraId="4C028743">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监测点位</w:t>
                  </w:r>
                </w:p>
              </w:tc>
              <w:tc>
                <w:tcPr>
                  <w:tcW w:w="648" w:type="pct"/>
                  <w:vAlign w:val="center"/>
                </w:tcPr>
                <w:p w14:paraId="0D960EAC">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监测因子</w:t>
                  </w:r>
                </w:p>
              </w:tc>
              <w:tc>
                <w:tcPr>
                  <w:tcW w:w="639" w:type="pct"/>
                  <w:vAlign w:val="center"/>
                </w:tcPr>
                <w:p w14:paraId="49B3741D">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平均时间</w:t>
                  </w:r>
                </w:p>
              </w:tc>
              <w:tc>
                <w:tcPr>
                  <w:tcW w:w="1212" w:type="pct"/>
                  <w:vAlign w:val="center"/>
                </w:tcPr>
                <w:p w14:paraId="0882D420">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评价标准（</w:t>
                  </w:r>
                  <w:r>
                    <w:rPr>
                      <w:rFonts w:hint="eastAsia" w:ascii="宋体" w:hAnsi="宋体" w:eastAsia="宋体" w:cs="宋体"/>
                      <w:color w:val="auto"/>
                      <w:lang w:val="en-US" w:eastAsia="zh-CN"/>
                    </w:rPr>
                    <w:t>µ</w:t>
                  </w:r>
                  <w:r>
                    <w:rPr>
                      <w:rFonts w:hint="eastAsia" w:cs="Times New Roman"/>
                      <w:color w:val="auto"/>
                      <w:lang w:val="en-US" w:eastAsia="zh-CN"/>
                    </w:rPr>
                    <w:t>g/</w:t>
                  </w:r>
                  <w:r>
                    <w:rPr>
                      <w:rFonts w:hint="default"/>
                      <w:color w:val="auto"/>
                      <w:lang w:val="en-US" w:eastAsia="zh-CN"/>
                    </w:rPr>
                    <w:t>m</w:t>
                  </w:r>
                  <w:r>
                    <w:rPr>
                      <w:rFonts w:hint="default"/>
                      <w:color w:val="auto"/>
                      <w:vertAlign w:val="superscript"/>
                      <w:lang w:val="en-US" w:eastAsia="zh-CN"/>
                    </w:rPr>
                    <w:t>3</w:t>
                  </w:r>
                  <w:r>
                    <w:rPr>
                      <w:rFonts w:hint="eastAsia" w:cs="Times New Roman"/>
                      <w:color w:val="auto"/>
                      <w:lang w:val="en-US" w:eastAsia="zh-CN"/>
                    </w:rPr>
                    <w:t>）</w:t>
                  </w:r>
                </w:p>
              </w:tc>
              <w:tc>
                <w:tcPr>
                  <w:tcW w:w="1222" w:type="pct"/>
                  <w:vAlign w:val="center"/>
                </w:tcPr>
                <w:p w14:paraId="593A7F72">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浓度范围（µg/</w:t>
                  </w:r>
                  <w:r>
                    <w:rPr>
                      <w:rFonts w:hint="default"/>
                      <w:color w:val="auto"/>
                      <w:lang w:val="en-US" w:eastAsia="zh-CN"/>
                    </w:rPr>
                    <w:t>m</w:t>
                  </w:r>
                  <w:r>
                    <w:rPr>
                      <w:rFonts w:hint="default"/>
                      <w:color w:val="auto"/>
                      <w:vertAlign w:val="superscript"/>
                      <w:lang w:val="en-US" w:eastAsia="zh-CN"/>
                    </w:rPr>
                    <w:t>3</w:t>
                  </w:r>
                  <w:r>
                    <w:rPr>
                      <w:rFonts w:hint="eastAsia" w:cs="Times New Roman"/>
                      <w:color w:val="auto"/>
                      <w:lang w:val="en-US" w:eastAsia="zh-CN"/>
                    </w:rPr>
                    <w:t>）</w:t>
                  </w:r>
                </w:p>
              </w:tc>
              <w:tc>
                <w:tcPr>
                  <w:tcW w:w="639" w:type="pct"/>
                  <w:vAlign w:val="center"/>
                </w:tcPr>
                <w:p w14:paraId="1A7B7B00">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达标情况</w:t>
                  </w:r>
                </w:p>
              </w:tc>
            </w:tr>
            <w:tr w14:paraId="7B753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pct"/>
                  <w:vMerge w:val="restart"/>
                  <w:vAlign w:val="center"/>
                </w:tcPr>
                <w:p w14:paraId="510F8EAD">
                  <w:pPr>
                    <w:pStyle w:val="61"/>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湾头街</w:t>
                  </w:r>
                </w:p>
              </w:tc>
              <w:tc>
                <w:tcPr>
                  <w:tcW w:w="648" w:type="pct"/>
                  <w:vAlign w:val="center"/>
                </w:tcPr>
                <w:p w14:paraId="2BD95867">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TSP</w:t>
                  </w:r>
                </w:p>
              </w:tc>
              <w:tc>
                <w:tcPr>
                  <w:tcW w:w="639" w:type="pct"/>
                  <w:vAlign w:val="center"/>
                </w:tcPr>
                <w:p w14:paraId="14EEAB18">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日均值</w:t>
                  </w:r>
                </w:p>
              </w:tc>
              <w:tc>
                <w:tcPr>
                  <w:tcW w:w="1212" w:type="pct"/>
                  <w:vAlign w:val="center"/>
                </w:tcPr>
                <w:p w14:paraId="033EF855">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300</w:t>
                  </w:r>
                </w:p>
              </w:tc>
              <w:tc>
                <w:tcPr>
                  <w:tcW w:w="1222" w:type="pct"/>
                  <w:vAlign w:val="center"/>
                </w:tcPr>
                <w:p w14:paraId="46FCA856">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112-123</w:t>
                  </w:r>
                </w:p>
              </w:tc>
              <w:tc>
                <w:tcPr>
                  <w:tcW w:w="639" w:type="pct"/>
                  <w:vAlign w:val="center"/>
                </w:tcPr>
                <w:p w14:paraId="4074DCC1">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达标</w:t>
                  </w:r>
                </w:p>
              </w:tc>
            </w:tr>
            <w:tr w14:paraId="429E5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pct"/>
                  <w:vMerge w:val="continue"/>
                  <w:vAlign w:val="center"/>
                </w:tcPr>
                <w:p w14:paraId="66432F0B">
                  <w:pPr>
                    <w:pStyle w:val="61"/>
                    <w:keepNext w:val="0"/>
                    <w:keepLines w:val="0"/>
                    <w:suppressLineNumbers w:val="0"/>
                    <w:bidi w:val="0"/>
                    <w:spacing w:before="0" w:beforeAutospacing="0" w:after="0" w:afterAutospacing="0"/>
                    <w:ind w:left="0" w:right="0"/>
                    <w:jc w:val="center"/>
                    <w:rPr>
                      <w:rFonts w:hint="eastAsia"/>
                      <w:color w:val="auto"/>
                      <w:lang w:val="en-US" w:eastAsia="zh-CN"/>
                    </w:rPr>
                  </w:pPr>
                </w:p>
              </w:tc>
              <w:tc>
                <w:tcPr>
                  <w:tcW w:w="648" w:type="pct"/>
                  <w:vAlign w:val="center"/>
                </w:tcPr>
                <w:p w14:paraId="48476E91">
                  <w:pPr>
                    <w:pStyle w:val="61"/>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s="Times New Roman"/>
                      <w:color w:val="auto"/>
                      <w:lang w:val="en-US" w:eastAsia="zh-CN"/>
                    </w:rPr>
                    <w:t>NOx</w:t>
                  </w:r>
                </w:p>
              </w:tc>
              <w:tc>
                <w:tcPr>
                  <w:tcW w:w="639" w:type="pct"/>
                  <w:vAlign w:val="center"/>
                </w:tcPr>
                <w:p w14:paraId="191412A7">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日均值</w:t>
                  </w:r>
                </w:p>
              </w:tc>
              <w:tc>
                <w:tcPr>
                  <w:tcW w:w="1212" w:type="pct"/>
                  <w:vAlign w:val="center"/>
                </w:tcPr>
                <w:p w14:paraId="0F3563CD">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100</w:t>
                  </w:r>
                </w:p>
              </w:tc>
              <w:tc>
                <w:tcPr>
                  <w:tcW w:w="1222" w:type="pct"/>
                  <w:vAlign w:val="center"/>
                </w:tcPr>
                <w:p w14:paraId="22D4FC04">
                  <w:pPr>
                    <w:pStyle w:val="61"/>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68-72</w:t>
                  </w:r>
                </w:p>
              </w:tc>
              <w:tc>
                <w:tcPr>
                  <w:tcW w:w="639" w:type="pct"/>
                  <w:vAlign w:val="center"/>
                </w:tcPr>
                <w:p w14:paraId="6AFE75E7">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lang w:val="en-US" w:eastAsia="zh-CN"/>
                    </w:rPr>
                  </w:pPr>
                  <w:r>
                    <w:rPr>
                      <w:rFonts w:hint="eastAsia" w:cs="Times New Roman"/>
                      <w:color w:val="auto"/>
                      <w:lang w:val="en-US" w:eastAsia="zh-CN"/>
                    </w:rPr>
                    <w:t>达标</w:t>
                  </w:r>
                </w:p>
              </w:tc>
            </w:tr>
          </w:tbl>
          <w:p w14:paraId="649AF71C">
            <w:pPr>
              <w:pStyle w:val="78"/>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由表3-2可知，项目区域TSP与NOx环境质量现状可满足《环境空气质量标准》（GB3095-2026）过渡阶段浓度限值的二级标准要求。评价区域内的空气质量环境现状良好，满足功能区划要求。</w:t>
            </w:r>
          </w:p>
          <w:p w14:paraId="4531785B">
            <w:pPr>
              <w:pStyle w:val="78"/>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3、声环境质量现状</w:t>
            </w:r>
          </w:p>
          <w:p w14:paraId="7BB25AFB">
            <w:pPr>
              <w:keepNext w:val="0"/>
              <w:keepLines w:val="0"/>
              <w:suppressLineNumbers w:val="0"/>
              <w:bidi w:val="0"/>
              <w:spacing w:before="0" w:beforeAutospacing="0" w:after="0" w:afterAutospacing="0"/>
              <w:ind w:left="0" w:right="0"/>
              <w:rPr>
                <w:rFonts w:hint="default"/>
                <w:color w:val="auto"/>
              </w:rPr>
            </w:pPr>
            <w:r>
              <w:rPr>
                <w:rFonts w:hint="default"/>
                <w:color w:val="auto"/>
              </w:rPr>
              <w:t>本评价在20</w:t>
            </w:r>
            <w:r>
              <w:rPr>
                <w:rFonts w:hint="eastAsia"/>
                <w:color w:val="auto"/>
                <w:lang w:val="en-US" w:eastAsia="zh-CN"/>
              </w:rPr>
              <w:t>24</w:t>
            </w:r>
            <w:r>
              <w:rPr>
                <w:rFonts w:hint="default"/>
                <w:color w:val="auto"/>
              </w:rPr>
              <w:t>年</w:t>
            </w:r>
            <w:r>
              <w:rPr>
                <w:rFonts w:hint="eastAsia"/>
                <w:color w:val="auto"/>
                <w:lang w:val="en-US" w:eastAsia="zh-CN"/>
              </w:rPr>
              <w:t>7月23日</w:t>
            </w:r>
            <w:r>
              <w:rPr>
                <w:rFonts w:hint="default"/>
                <w:color w:val="auto"/>
                <w:lang w:eastAsia="zh-CN"/>
              </w:rPr>
              <w:t>委托</w:t>
            </w:r>
            <w:r>
              <w:rPr>
                <w:rFonts w:hint="eastAsia"/>
                <w:color w:val="auto"/>
                <w:lang w:eastAsia="zh-CN"/>
              </w:rPr>
              <w:t>南昌宇环检测技术有限公司</w:t>
            </w:r>
            <w:r>
              <w:rPr>
                <w:rFonts w:hint="default"/>
                <w:color w:val="auto"/>
              </w:rPr>
              <w:t>对项目所在区域声环境进行了监测，分昼夜两个时段进行监测。</w:t>
            </w:r>
          </w:p>
          <w:p w14:paraId="44C29883">
            <w:pPr>
              <w:keepNext w:val="0"/>
              <w:keepLines w:val="0"/>
              <w:suppressLineNumbers w:val="0"/>
              <w:bidi w:val="0"/>
              <w:spacing w:before="0" w:beforeAutospacing="0" w:after="0" w:afterAutospacing="0"/>
              <w:ind w:left="0" w:right="0"/>
              <w:rPr>
                <w:rFonts w:hint="default"/>
                <w:color w:val="auto"/>
              </w:rPr>
            </w:pPr>
            <w:r>
              <w:rPr>
                <w:rFonts w:hint="default"/>
                <w:color w:val="auto"/>
              </w:rPr>
              <w:t>（</w:t>
            </w:r>
            <w:r>
              <w:rPr>
                <w:rFonts w:hint="default"/>
                <w:color w:val="auto"/>
                <w:lang w:val="en-US" w:eastAsia="zh-CN"/>
              </w:rPr>
              <w:t>1</w:t>
            </w:r>
            <w:r>
              <w:rPr>
                <w:rFonts w:hint="default"/>
                <w:color w:val="auto"/>
              </w:rPr>
              <w:t>）测量结果：测量结果见表</w:t>
            </w:r>
            <w:r>
              <w:rPr>
                <w:rFonts w:hint="eastAsia"/>
                <w:color w:val="auto"/>
                <w:lang w:val="en-US" w:eastAsia="zh-CN"/>
              </w:rPr>
              <w:t>3-3</w:t>
            </w:r>
            <w:r>
              <w:rPr>
                <w:rFonts w:hint="default"/>
                <w:color w:val="auto"/>
              </w:rPr>
              <w:t>。</w:t>
            </w:r>
          </w:p>
          <w:p w14:paraId="61FC5B5E">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表3-3 项目所在地噪声现状监测数据表</w:t>
            </w:r>
          </w:p>
          <w:tbl>
            <w:tblPr>
              <w:tblStyle w:val="29"/>
              <w:tblW w:w="7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4"/>
              <w:gridCol w:w="2203"/>
              <w:gridCol w:w="1067"/>
              <w:gridCol w:w="1069"/>
              <w:gridCol w:w="1864"/>
            </w:tblGrid>
            <w:tr w14:paraId="0DB76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734" w:type="dxa"/>
                  <w:tcBorders>
                    <w:tl2br w:val="nil"/>
                    <w:tr2bl w:val="nil"/>
                  </w:tcBorders>
                  <w:noWrap w:val="0"/>
                  <w:vAlign w:val="center"/>
                </w:tcPr>
                <w:p w14:paraId="6BE48FB0">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序号</w:t>
                  </w:r>
                </w:p>
              </w:tc>
              <w:tc>
                <w:tcPr>
                  <w:tcW w:w="2203" w:type="dxa"/>
                  <w:tcBorders>
                    <w:tl2br w:val="nil"/>
                    <w:tr2bl w:val="nil"/>
                  </w:tcBorders>
                  <w:noWrap w:val="0"/>
                  <w:vAlign w:val="center"/>
                </w:tcPr>
                <w:p w14:paraId="72B6CB03">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测量点位描述</w:t>
                  </w:r>
                </w:p>
              </w:tc>
              <w:tc>
                <w:tcPr>
                  <w:tcW w:w="1067" w:type="dxa"/>
                  <w:tcBorders>
                    <w:tl2br w:val="nil"/>
                    <w:tr2bl w:val="nil"/>
                  </w:tcBorders>
                  <w:noWrap w:val="0"/>
                  <w:vAlign w:val="center"/>
                </w:tcPr>
                <w:p w14:paraId="34F3D2C3">
                  <w:pPr>
                    <w:pStyle w:val="61"/>
                    <w:keepNext w:val="0"/>
                    <w:keepLines w:val="0"/>
                    <w:suppressLineNumbers w:val="0"/>
                    <w:bidi w:val="0"/>
                    <w:spacing w:before="0" w:beforeAutospacing="0" w:after="0" w:afterAutospacing="0"/>
                    <w:ind w:left="0" w:right="0"/>
                    <w:rPr>
                      <w:rFonts w:hint="eastAsia" w:eastAsia="宋体"/>
                      <w:color w:val="auto"/>
                      <w:lang w:eastAsia="zh-CN"/>
                    </w:rPr>
                  </w:pPr>
                  <w:r>
                    <w:rPr>
                      <w:rFonts w:hint="default"/>
                      <w:color w:val="auto"/>
                    </w:rPr>
                    <w:t>昼间dB</w:t>
                  </w:r>
                  <w:r>
                    <w:rPr>
                      <w:rFonts w:hint="eastAsia"/>
                      <w:color w:val="auto"/>
                      <w:lang w:eastAsia="zh-CN"/>
                    </w:rPr>
                    <w:t>（</w:t>
                  </w:r>
                  <w:r>
                    <w:rPr>
                      <w:rFonts w:hint="default"/>
                      <w:color w:val="auto"/>
                    </w:rPr>
                    <w:t>A</w:t>
                  </w:r>
                  <w:r>
                    <w:rPr>
                      <w:rFonts w:hint="eastAsia"/>
                      <w:color w:val="auto"/>
                      <w:lang w:eastAsia="zh-CN"/>
                    </w:rPr>
                    <w:t>）</w:t>
                  </w:r>
                </w:p>
              </w:tc>
              <w:tc>
                <w:tcPr>
                  <w:tcW w:w="1069" w:type="dxa"/>
                  <w:tcBorders>
                    <w:tl2br w:val="nil"/>
                    <w:tr2bl w:val="nil"/>
                  </w:tcBorders>
                  <w:noWrap w:val="0"/>
                  <w:vAlign w:val="center"/>
                </w:tcPr>
                <w:p w14:paraId="13016AA1">
                  <w:pPr>
                    <w:pStyle w:val="61"/>
                    <w:keepNext w:val="0"/>
                    <w:keepLines w:val="0"/>
                    <w:suppressLineNumbers w:val="0"/>
                    <w:bidi w:val="0"/>
                    <w:spacing w:before="0" w:beforeAutospacing="0" w:after="0" w:afterAutospacing="0"/>
                    <w:ind w:left="0" w:right="0"/>
                    <w:rPr>
                      <w:rFonts w:hint="eastAsia" w:eastAsia="宋体"/>
                      <w:color w:val="auto"/>
                      <w:lang w:eastAsia="zh-CN"/>
                    </w:rPr>
                  </w:pPr>
                  <w:r>
                    <w:rPr>
                      <w:rFonts w:hint="default"/>
                      <w:color w:val="auto"/>
                    </w:rPr>
                    <w:t>夜间dB</w:t>
                  </w:r>
                  <w:r>
                    <w:rPr>
                      <w:rFonts w:hint="eastAsia"/>
                      <w:color w:val="auto"/>
                      <w:lang w:eastAsia="zh-CN"/>
                    </w:rPr>
                    <w:t>（</w:t>
                  </w:r>
                  <w:r>
                    <w:rPr>
                      <w:rFonts w:hint="default"/>
                      <w:color w:val="auto"/>
                    </w:rPr>
                    <w:t>A</w:t>
                  </w:r>
                  <w:r>
                    <w:rPr>
                      <w:rFonts w:hint="eastAsia"/>
                      <w:color w:val="auto"/>
                      <w:lang w:eastAsia="zh-CN"/>
                    </w:rPr>
                    <w:t>）</w:t>
                  </w:r>
                </w:p>
              </w:tc>
              <w:tc>
                <w:tcPr>
                  <w:tcW w:w="1864" w:type="dxa"/>
                  <w:tcBorders>
                    <w:tl2br w:val="nil"/>
                    <w:tr2bl w:val="nil"/>
                  </w:tcBorders>
                  <w:noWrap w:val="0"/>
                  <w:vAlign w:val="center"/>
                </w:tcPr>
                <w:p w14:paraId="1725E295">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备注</w:t>
                  </w:r>
                </w:p>
              </w:tc>
            </w:tr>
            <w:tr w14:paraId="728D6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734" w:type="dxa"/>
                  <w:tcBorders>
                    <w:tl2br w:val="nil"/>
                    <w:tr2bl w:val="nil"/>
                  </w:tcBorders>
                  <w:noWrap w:val="0"/>
                  <w:vAlign w:val="center"/>
                </w:tcPr>
                <w:p w14:paraId="61111373">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7月23日</w:t>
                  </w:r>
                </w:p>
              </w:tc>
              <w:tc>
                <w:tcPr>
                  <w:tcW w:w="2203" w:type="dxa"/>
                  <w:tcBorders>
                    <w:tl2br w:val="nil"/>
                    <w:tr2bl w:val="nil"/>
                  </w:tcBorders>
                  <w:noWrap w:val="0"/>
                  <w:vAlign w:val="center"/>
                </w:tcPr>
                <w:p w14:paraId="582A18B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厂界东侧外</w:t>
                  </w:r>
                  <w:r>
                    <w:rPr>
                      <w:rFonts w:hint="default"/>
                      <w:color w:val="auto"/>
                      <w:lang w:val="en-US" w:eastAsia="zh-CN"/>
                    </w:rPr>
                    <w:t>1m处</w:t>
                  </w:r>
                  <w:r>
                    <w:rPr>
                      <w:rFonts w:hint="eastAsia"/>
                      <w:color w:val="auto"/>
                      <w:lang w:val="en-US" w:eastAsia="zh-CN"/>
                    </w:rPr>
                    <w:t>N1</w:t>
                  </w:r>
                </w:p>
              </w:tc>
              <w:tc>
                <w:tcPr>
                  <w:tcW w:w="1067" w:type="dxa"/>
                  <w:tcBorders>
                    <w:tl2br w:val="nil"/>
                    <w:tr2bl w:val="nil"/>
                  </w:tcBorders>
                  <w:noWrap w:val="0"/>
                  <w:vAlign w:val="center"/>
                </w:tcPr>
                <w:p w14:paraId="4B208E28">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56.3</w:t>
                  </w:r>
                </w:p>
              </w:tc>
              <w:tc>
                <w:tcPr>
                  <w:tcW w:w="1069" w:type="dxa"/>
                  <w:tcBorders>
                    <w:tl2br w:val="nil"/>
                    <w:tr2bl w:val="nil"/>
                  </w:tcBorders>
                  <w:noWrap w:val="0"/>
                  <w:vAlign w:val="center"/>
                </w:tcPr>
                <w:p w14:paraId="31D686C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47.6</w:t>
                  </w:r>
                </w:p>
              </w:tc>
              <w:tc>
                <w:tcPr>
                  <w:tcW w:w="1864" w:type="dxa"/>
                  <w:vMerge w:val="restart"/>
                  <w:tcBorders>
                    <w:tl2br w:val="nil"/>
                    <w:tr2bl w:val="nil"/>
                  </w:tcBorders>
                  <w:noWrap w:val="0"/>
                  <w:vAlign w:val="center"/>
                </w:tcPr>
                <w:p w14:paraId="45628E17">
                  <w:pPr>
                    <w:pStyle w:val="61"/>
                    <w:keepNext w:val="0"/>
                    <w:keepLines w:val="0"/>
                    <w:suppressLineNumbers w:val="0"/>
                    <w:bidi w:val="0"/>
                    <w:spacing w:before="0" w:beforeAutospacing="0" w:after="0" w:afterAutospacing="0"/>
                    <w:ind w:left="0" w:right="0"/>
                    <w:rPr>
                      <w:rFonts w:hint="default"/>
                      <w:color w:val="auto"/>
                    </w:rPr>
                  </w:pPr>
                  <w:r>
                    <w:rPr>
                      <w:rFonts w:hint="default"/>
                      <w:color w:val="auto"/>
                    </w:rPr>
                    <w:t>《工业企业厂界环境噪声排放标准》</w:t>
                  </w:r>
                  <w:r>
                    <w:rPr>
                      <w:rFonts w:hint="default"/>
                      <w:color w:val="auto"/>
                      <w:lang w:val="en-US" w:eastAsia="zh-CN"/>
                    </w:rPr>
                    <w:t>（</w:t>
                  </w:r>
                  <w:r>
                    <w:rPr>
                      <w:rFonts w:hint="eastAsia"/>
                      <w:color w:val="auto"/>
                      <w:lang w:val="en-US" w:eastAsia="zh-CN"/>
                    </w:rPr>
                    <w:t>GB</w:t>
                  </w:r>
                  <w:r>
                    <w:rPr>
                      <w:rFonts w:hint="default"/>
                      <w:color w:val="auto"/>
                    </w:rPr>
                    <w:t>12348-2008</w:t>
                  </w:r>
                  <w:r>
                    <w:rPr>
                      <w:rFonts w:hint="default"/>
                      <w:color w:val="auto"/>
                      <w:lang w:val="en-US" w:eastAsia="zh-CN"/>
                    </w:rPr>
                    <w:t>）中</w:t>
                  </w:r>
                  <w:r>
                    <w:rPr>
                      <w:rFonts w:hint="eastAsia"/>
                      <w:color w:val="auto"/>
                      <w:lang w:val="en-US" w:eastAsia="zh-CN"/>
                    </w:rPr>
                    <w:t>2</w:t>
                  </w:r>
                  <w:r>
                    <w:rPr>
                      <w:rFonts w:hint="default"/>
                      <w:color w:val="auto"/>
                      <w:lang w:val="en-US" w:eastAsia="zh-CN"/>
                    </w:rPr>
                    <w:t>类标准</w:t>
                  </w:r>
                </w:p>
              </w:tc>
            </w:tr>
            <w:tr w14:paraId="38088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734" w:type="dxa"/>
                  <w:tcBorders>
                    <w:tl2br w:val="nil"/>
                    <w:tr2bl w:val="nil"/>
                  </w:tcBorders>
                  <w:noWrap w:val="0"/>
                  <w:vAlign w:val="center"/>
                </w:tcPr>
                <w:p w14:paraId="657699A0">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7月23日</w:t>
                  </w:r>
                </w:p>
              </w:tc>
              <w:tc>
                <w:tcPr>
                  <w:tcW w:w="2203" w:type="dxa"/>
                  <w:tcBorders>
                    <w:tl2br w:val="nil"/>
                    <w:tr2bl w:val="nil"/>
                  </w:tcBorders>
                  <w:noWrap w:val="0"/>
                  <w:vAlign w:val="center"/>
                </w:tcPr>
                <w:p w14:paraId="2B83DDF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厂界南侧外</w:t>
                  </w:r>
                  <w:r>
                    <w:rPr>
                      <w:rFonts w:hint="default"/>
                      <w:color w:val="auto"/>
                      <w:lang w:val="en-US" w:eastAsia="zh-CN"/>
                    </w:rPr>
                    <w:t>1m处</w:t>
                  </w:r>
                  <w:r>
                    <w:rPr>
                      <w:rFonts w:hint="eastAsia"/>
                      <w:color w:val="auto"/>
                      <w:lang w:val="en-US" w:eastAsia="zh-CN"/>
                    </w:rPr>
                    <w:t>N2</w:t>
                  </w:r>
                </w:p>
              </w:tc>
              <w:tc>
                <w:tcPr>
                  <w:tcW w:w="1067" w:type="dxa"/>
                  <w:tcBorders>
                    <w:tl2br w:val="nil"/>
                    <w:tr2bl w:val="nil"/>
                  </w:tcBorders>
                  <w:noWrap w:val="0"/>
                  <w:vAlign w:val="center"/>
                </w:tcPr>
                <w:p w14:paraId="4204367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58.7</w:t>
                  </w:r>
                </w:p>
              </w:tc>
              <w:tc>
                <w:tcPr>
                  <w:tcW w:w="1069" w:type="dxa"/>
                  <w:tcBorders>
                    <w:tl2br w:val="nil"/>
                    <w:tr2bl w:val="nil"/>
                  </w:tcBorders>
                  <w:noWrap w:val="0"/>
                  <w:vAlign w:val="center"/>
                </w:tcPr>
                <w:p w14:paraId="7F37E5DC">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48.3</w:t>
                  </w:r>
                </w:p>
              </w:tc>
              <w:tc>
                <w:tcPr>
                  <w:tcW w:w="1864" w:type="dxa"/>
                  <w:vMerge w:val="continue"/>
                  <w:tcBorders>
                    <w:tl2br w:val="nil"/>
                    <w:tr2bl w:val="nil"/>
                  </w:tcBorders>
                  <w:noWrap w:val="0"/>
                  <w:vAlign w:val="center"/>
                </w:tcPr>
                <w:p w14:paraId="24408CE1">
                  <w:pPr>
                    <w:pStyle w:val="61"/>
                    <w:keepNext w:val="0"/>
                    <w:keepLines w:val="0"/>
                    <w:suppressLineNumbers w:val="0"/>
                    <w:bidi w:val="0"/>
                    <w:spacing w:before="0" w:beforeAutospacing="0" w:after="0" w:afterAutospacing="0"/>
                    <w:ind w:left="0" w:right="0"/>
                    <w:rPr>
                      <w:rFonts w:hint="default"/>
                      <w:color w:val="auto"/>
                    </w:rPr>
                  </w:pPr>
                </w:p>
              </w:tc>
            </w:tr>
            <w:tr w14:paraId="0C76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734" w:type="dxa"/>
                  <w:tcBorders>
                    <w:tl2br w:val="nil"/>
                    <w:tr2bl w:val="nil"/>
                  </w:tcBorders>
                  <w:noWrap w:val="0"/>
                  <w:vAlign w:val="center"/>
                </w:tcPr>
                <w:p w14:paraId="0FE98317">
                  <w:pPr>
                    <w:pStyle w:val="61"/>
                    <w:keepNext w:val="0"/>
                    <w:keepLines w:val="0"/>
                    <w:suppressLineNumbers w:val="0"/>
                    <w:bidi w:val="0"/>
                    <w:spacing w:before="0" w:beforeAutospacing="0" w:after="0" w:afterAutospacing="0"/>
                    <w:ind w:left="0" w:right="0"/>
                    <w:rPr>
                      <w:rFonts w:hint="default"/>
                      <w:color w:val="auto"/>
                      <w:lang w:eastAsia="zh-CN"/>
                    </w:rPr>
                  </w:pPr>
                  <w:r>
                    <w:rPr>
                      <w:rFonts w:hint="eastAsia"/>
                      <w:color w:val="auto"/>
                      <w:lang w:val="en-US" w:eastAsia="zh-CN"/>
                    </w:rPr>
                    <w:t>7月23日</w:t>
                  </w:r>
                </w:p>
              </w:tc>
              <w:tc>
                <w:tcPr>
                  <w:tcW w:w="2203" w:type="dxa"/>
                  <w:tcBorders>
                    <w:tl2br w:val="nil"/>
                    <w:tr2bl w:val="nil"/>
                  </w:tcBorders>
                  <w:noWrap w:val="0"/>
                  <w:vAlign w:val="center"/>
                </w:tcPr>
                <w:p w14:paraId="226E389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厂界西侧外</w:t>
                  </w:r>
                  <w:r>
                    <w:rPr>
                      <w:rFonts w:hint="default"/>
                      <w:color w:val="auto"/>
                      <w:lang w:val="en-US" w:eastAsia="zh-CN"/>
                    </w:rPr>
                    <w:t>1m处</w:t>
                  </w:r>
                  <w:r>
                    <w:rPr>
                      <w:rFonts w:hint="eastAsia"/>
                      <w:color w:val="auto"/>
                      <w:lang w:val="en-US" w:eastAsia="zh-CN"/>
                    </w:rPr>
                    <w:t>N3</w:t>
                  </w:r>
                </w:p>
              </w:tc>
              <w:tc>
                <w:tcPr>
                  <w:tcW w:w="1067" w:type="dxa"/>
                  <w:tcBorders>
                    <w:tl2br w:val="nil"/>
                    <w:tr2bl w:val="nil"/>
                  </w:tcBorders>
                  <w:noWrap w:val="0"/>
                  <w:vAlign w:val="center"/>
                </w:tcPr>
                <w:p w14:paraId="46648DBB">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54.0</w:t>
                  </w:r>
                </w:p>
              </w:tc>
              <w:tc>
                <w:tcPr>
                  <w:tcW w:w="1069" w:type="dxa"/>
                  <w:tcBorders>
                    <w:tl2br w:val="nil"/>
                    <w:tr2bl w:val="nil"/>
                  </w:tcBorders>
                  <w:noWrap w:val="0"/>
                  <w:vAlign w:val="center"/>
                </w:tcPr>
                <w:p w14:paraId="60037F46">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44.8</w:t>
                  </w:r>
                </w:p>
              </w:tc>
              <w:tc>
                <w:tcPr>
                  <w:tcW w:w="1864" w:type="dxa"/>
                  <w:vMerge w:val="continue"/>
                  <w:tcBorders>
                    <w:tl2br w:val="nil"/>
                    <w:tr2bl w:val="nil"/>
                  </w:tcBorders>
                  <w:noWrap w:val="0"/>
                  <w:vAlign w:val="center"/>
                </w:tcPr>
                <w:p w14:paraId="5621E274">
                  <w:pPr>
                    <w:pStyle w:val="61"/>
                    <w:keepNext w:val="0"/>
                    <w:keepLines w:val="0"/>
                    <w:suppressLineNumbers w:val="0"/>
                    <w:bidi w:val="0"/>
                    <w:spacing w:before="0" w:beforeAutospacing="0" w:after="0" w:afterAutospacing="0"/>
                    <w:ind w:left="0" w:right="0"/>
                    <w:rPr>
                      <w:rFonts w:hint="default"/>
                      <w:color w:val="auto"/>
                    </w:rPr>
                  </w:pPr>
                </w:p>
              </w:tc>
            </w:tr>
            <w:tr w14:paraId="6CC7C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734" w:type="dxa"/>
                  <w:tcBorders>
                    <w:tl2br w:val="nil"/>
                    <w:tr2bl w:val="nil"/>
                  </w:tcBorders>
                  <w:noWrap w:val="0"/>
                  <w:vAlign w:val="center"/>
                </w:tcPr>
                <w:p w14:paraId="19B96540">
                  <w:pPr>
                    <w:pStyle w:val="6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7月23日</w:t>
                  </w:r>
                </w:p>
              </w:tc>
              <w:tc>
                <w:tcPr>
                  <w:tcW w:w="2203" w:type="dxa"/>
                  <w:tcBorders>
                    <w:tl2br w:val="nil"/>
                    <w:tr2bl w:val="nil"/>
                  </w:tcBorders>
                  <w:noWrap w:val="0"/>
                  <w:vAlign w:val="center"/>
                </w:tcPr>
                <w:p w14:paraId="7CC4B042">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厂界北侧外</w:t>
                  </w:r>
                  <w:r>
                    <w:rPr>
                      <w:rFonts w:hint="default"/>
                      <w:color w:val="auto"/>
                      <w:lang w:val="en-US" w:eastAsia="zh-CN"/>
                    </w:rPr>
                    <w:t>1m处</w:t>
                  </w:r>
                  <w:r>
                    <w:rPr>
                      <w:rFonts w:hint="eastAsia"/>
                      <w:color w:val="auto"/>
                      <w:lang w:val="en-US" w:eastAsia="zh-CN"/>
                    </w:rPr>
                    <w:t>N4</w:t>
                  </w:r>
                </w:p>
              </w:tc>
              <w:tc>
                <w:tcPr>
                  <w:tcW w:w="1067" w:type="dxa"/>
                  <w:tcBorders>
                    <w:tl2br w:val="nil"/>
                    <w:tr2bl w:val="nil"/>
                  </w:tcBorders>
                  <w:noWrap w:val="0"/>
                  <w:vAlign w:val="center"/>
                </w:tcPr>
                <w:p w14:paraId="359ACCDD">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58.3</w:t>
                  </w:r>
                </w:p>
              </w:tc>
              <w:tc>
                <w:tcPr>
                  <w:tcW w:w="1069" w:type="dxa"/>
                  <w:tcBorders>
                    <w:tl2br w:val="nil"/>
                    <w:tr2bl w:val="nil"/>
                  </w:tcBorders>
                  <w:noWrap w:val="0"/>
                  <w:vAlign w:val="center"/>
                </w:tcPr>
                <w:p w14:paraId="40F8236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48.9</w:t>
                  </w:r>
                </w:p>
              </w:tc>
              <w:tc>
                <w:tcPr>
                  <w:tcW w:w="1864" w:type="dxa"/>
                  <w:vMerge w:val="continue"/>
                  <w:tcBorders>
                    <w:tl2br w:val="nil"/>
                    <w:tr2bl w:val="nil"/>
                  </w:tcBorders>
                  <w:noWrap w:val="0"/>
                  <w:vAlign w:val="center"/>
                </w:tcPr>
                <w:p w14:paraId="59A26B80">
                  <w:pPr>
                    <w:pStyle w:val="61"/>
                    <w:keepNext w:val="0"/>
                    <w:keepLines w:val="0"/>
                    <w:suppressLineNumbers w:val="0"/>
                    <w:bidi w:val="0"/>
                    <w:spacing w:before="0" w:beforeAutospacing="0" w:after="0" w:afterAutospacing="0"/>
                    <w:ind w:left="0" w:right="0"/>
                    <w:rPr>
                      <w:rFonts w:hint="default"/>
                      <w:color w:val="auto"/>
                    </w:rPr>
                  </w:pPr>
                </w:p>
              </w:tc>
            </w:tr>
            <w:tr w14:paraId="2EFF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734" w:type="dxa"/>
                  <w:tcBorders>
                    <w:tl2br w:val="nil"/>
                    <w:tr2bl w:val="nil"/>
                  </w:tcBorders>
                  <w:noWrap w:val="0"/>
                  <w:vAlign w:val="center"/>
                </w:tcPr>
                <w:p w14:paraId="10B98453">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7月23日</w:t>
                  </w:r>
                </w:p>
              </w:tc>
              <w:tc>
                <w:tcPr>
                  <w:tcW w:w="2203" w:type="dxa"/>
                  <w:tcBorders>
                    <w:tl2br w:val="nil"/>
                    <w:tr2bl w:val="nil"/>
                  </w:tcBorders>
                  <w:noWrap w:val="0"/>
                  <w:vAlign w:val="center"/>
                </w:tcPr>
                <w:p w14:paraId="1B7527AF">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钟家村N5</w:t>
                  </w:r>
                </w:p>
              </w:tc>
              <w:tc>
                <w:tcPr>
                  <w:tcW w:w="1067" w:type="dxa"/>
                  <w:tcBorders>
                    <w:tl2br w:val="nil"/>
                    <w:tr2bl w:val="nil"/>
                  </w:tcBorders>
                  <w:noWrap w:val="0"/>
                  <w:vAlign w:val="center"/>
                </w:tcPr>
                <w:p w14:paraId="4E47FB34">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53.8</w:t>
                  </w:r>
                </w:p>
              </w:tc>
              <w:tc>
                <w:tcPr>
                  <w:tcW w:w="1069" w:type="dxa"/>
                  <w:tcBorders>
                    <w:tl2br w:val="nil"/>
                    <w:tr2bl w:val="nil"/>
                  </w:tcBorders>
                  <w:noWrap w:val="0"/>
                  <w:vAlign w:val="center"/>
                </w:tcPr>
                <w:p w14:paraId="21A55EA9">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43.8</w:t>
                  </w:r>
                </w:p>
              </w:tc>
              <w:tc>
                <w:tcPr>
                  <w:tcW w:w="1864" w:type="dxa"/>
                  <w:vMerge w:val="restart"/>
                  <w:tcBorders>
                    <w:tl2br w:val="nil"/>
                    <w:tr2bl w:val="nil"/>
                  </w:tcBorders>
                  <w:noWrap w:val="0"/>
                  <w:vAlign w:val="center"/>
                </w:tcPr>
                <w:p w14:paraId="322EC4C8">
                  <w:pPr>
                    <w:pStyle w:val="6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《声环境质量标准》（GB3096-2008）中</w:t>
                  </w:r>
                  <w:r>
                    <w:rPr>
                      <w:rFonts w:hint="eastAsia"/>
                      <w:color w:val="auto"/>
                      <w:lang w:val="en-US" w:eastAsia="zh-CN"/>
                    </w:rPr>
                    <w:t>2</w:t>
                  </w:r>
                  <w:r>
                    <w:rPr>
                      <w:rFonts w:hint="default"/>
                      <w:color w:val="auto"/>
                      <w:lang w:val="en-US" w:eastAsia="zh-CN"/>
                    </w:rPr>
                    <w:t>类标准</w:t>
                  </w:r>
                </w:p>
              </w:tc>
            </w:tr>
            <w:tr w14:paraId="4040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734" w:type="dxa"/>
                  <w:tcBorders>
                    <w:tl2br w:val="nil"/>
                    <w:tr2bl w:val="nil"/>
                  </w:tcBorders>
                  <w:noWrap w:val="0"/>
                  <w:vAlign w:val="center"/>
                </w:tcPr>
                <w:p w14:paraId="4BDD48EF">
                  <w:pPr>
                    <w:pStyle w:val="6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7月23日</w:t>
                  </w:r>
                </w:p>
              </w:tc>
              <w:tc>
                <w:tcPr>
                  <w:tcW w:w="2203" w:type="dxa"/>
                  <w:tcBorders>
                    <w:tl2br w:val="nil"/>
                    <w:tr2bl w:val="nil"/>
                  </w:tcBorders>
                  <w:noWrap w:val="0"/>
                  <w:vAlign w:val="center"/>
                </w:tcPr>
                <w:p w14:paraId="65A9202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湾头街N6</w:t>
                  </w:r>
                </w:p>
              </w:tc>
              <w:tc>
                <w:tcPr>
                  <w:tcW w:w="1067" w:type="dxa"/>
                  <w:tcBorders>
                    <w:tl2br w:val="nil"/>
                    <w:tr2bl w:val="nil"/>
                  </w:tcBorders>
                  <w:noWrap w:val="0"/>
                  <w:vAlign w:val="center"/>
                </w:tcPr>
                <w:p w14:paraId="46F489F5">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52.3</w:t>
                  </w:r>
                </w:p>
              </w:tc>
              <w:tc>
                <w:tcPr>
                  <w:tcW w:w="1069" w:type="dxa"/>
                  <w:tcBorders>
                    <w:tl2br w:val="nil"/>
                    <w:tr2bl w:val="nil"/>
                  </w:tcBorders>
                  <w:noWrap w:val="0"/>
                  <w:vAlign w:val="center"/>
                </w:tcPr>
                <w:p w14:paraId="1BD9BA4A">
                  <w:pPr>
                    <w:pStyle w:val="6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42.4</w:t>
                  </w:r>
                </w:p>
              </w:tc>
              <w:tc>
                <w:tcPr>
                  <w:tcW w:w="1864" w:type="dxa"/>
                  <w:vMerge w:val="continue"/>
                  <w:tcBorders>
                    <w:tl2br w:val="nil"/>
                    <w:tr2bl w:val="nil"/>
                  </w:tcBorders>
                  <w:noWrap w:val="0"/>
                  <w:vAlign w:val="center"/>
                </w:tcPr>
                <w:p w14:paraId="6C16D4BB">
                  <w:pPr>
                    <w:pStyle w:val="61"/>
                    <w:keepNext w:val="0"/>
                    <w:keepLines w:val="0"/>
                    <w:suppressLineNumbers w:val="0"/>
                    <w:bidi w:val="0"/>
                    <w:spacing w:before="0" w:beforeAutospacing="0" w:after="0" w:afterAutospacing="0"/>
                    <w:ind w:left="0" w:right="0"/>
                    <w:rPr>
                      <w:rFonts w:hint="default"/>
                      <w:color w:val="auto"/>
                    </w:rPr>
                  </w:pPr>
                </w:p>
              </w:tc>
            </w:tr>
          </w:tbl>
          <w:p w14:paraId="0F471486">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default"/>
                <w:color w:val="auto"/>
              </w:rPr>
              <w:t>由表</w:t>
            </w:r>
            <w:r>
              <w:rPr>
                <w:rFonts w:hint="eastAsia"/>
                <w:color w:val="auto"/>
                <w:lang w:val="en-US" w:eastAsia="zh-CN"/>
              </w:rPr>
              <w:t>3-2</w:t>
            </w:r>
            <w:r>
              <w:rPr>
                <w:rFonts w:hint="default"/>
                <w:color w:val="auto"/>
              </w:rPr>
              <w:t>可见，项目所在地</w:t>
            </w:r>
            <w:r>
              <w:rPr>
                <w:rFonts w:hint="eastAsia"/>
                <w:color w:val="auto"/>
                <w:lang w:eastAsia="zh-CN"/>
              </w:rPr>
              <w:t>北面、西面、东面、</w:t>
            </w:r>
            <w:r>
              <w:rPr>
                <w:rFonts w:hint="eastAsia"/>
                <w:color w:val="auto"/>
                <w:lang w:val="en-US" w:eastAsia="zh-CN"/>
              </w:rPr>
              <w:t>南面</w:t>
            </w:r>
            <w:r>
              <w:rPr>
                <w:rFonts w:hint="eastAsia"/>
                <w:color w:val="auto"/>
                <w:lang w:eastAsia="zh-CN"/>
              </w:rPr>
              <w:t>、</w:t>
            </w:r>
            <w:r>
              <w:rPr>
                <w:rFonts w:hint="eastAsia"/>
                <w:color w:val="auto"/>
                <w:lang w:val="en-US" w:eastAsia="zh-CN"/>
              </w:rPr>
              <w:t>敏感点钟家村、湾头街</w:t>
            </w:r>
            <w:r>
              <w:rPr>
                <w:rFonts w:hint="default"/>
                <w:color w:val="auto"/>
              </w:rPr>
              <w:t>噪声水平为</w:t>
            </w:r>
            <w:r>
              <w:rPr>
                <w:rFonts w:hint="eastAsia"/>
                <w:color w:val="auto"/>
                <w:lang w:val="en-US" w:eastAsia="zh-CN"/>
              </w:rPr>
              <w:t>52.3</w:t>
            </w:r>
            <w:r>
              <w:rPr>
                <w:rFonts w:hint="default"/>
                <w:color w:val="auto"/>
              </w:rPr>
              <w:t>～</w:t>
            </w:r>
            <w:r>
              <w:rPr>
                <w:rFonts w:hint="eastAsia"/>
                <w:color w:val="auto"/>
                <w:lang w:val="en-US" w:eastAsia="zh-CN"/>
              </w:rPr>
              <w:t>58.7</w:t>
            </w:r>
            <w:r>
              <w:rPr>
                <w:rFonts w:hint="default"/>
                <w:color w:val="auto"/>
              </w:rPr>
              <w:t>dB</w:t>
            </w:r>
            <w:r>
              <w:rPr>
                <w:rFonts w:hint="eastAsia"/>
                <w:color w:val="auto"/>
                <w:lang w:eastAsia="zh-CN"/>
              </w:rPr>
              <w:t>（</w:t>
            </w:r>
            <w:r>
              <w:rPr>
                <w:rFonts w:hint="default"/>
                <w:color w:val="auto"/>
              </w:rPr>
              <w:t>A</w:t>
            </w:r>
            <w:r>
              <w:rPr>
                <w:rFonts w:hint="eastAsia"/>
                <w:color w:val="auto"/>
                <w:lang w:eastAsia="zh-CN"/>
              </w:rPr>
              <w:t>）</w:t>
            </w:r>
            <w:r>
              <w:rPr>
                <w:rFonts w:hint="default"/>
                <w:color w:val="auto"/>
              </w:rPr>
              <w:t>，夜间噪声水平为</w:t>
            </w:r>
            <w:r>
              <w:rPr>
                <w:rFonts w:hint="eastAsia"/>
                <w:color w:val="auto"/>
                <w:lang w:val="en-US" w:eastAsia="zh-CN"/>
              </w:rPr>
              <w:t>42.4</w:t>
            </w:r>
            <w:r>
              <w:rPr>
                <w:rFonts w:hint="default"/>
                <w:color w:val="auto"/>
              </w:rPr>
              <w:t>～</w:t>
            </w:r>
            <w:r>
              <w:rPr>
                <w:rFonts w:hint="eastAsia"/>
                <w:color w:val="auto"/>
                <w:lang w:val="en-US" w:eastAsia="zh-CN"/>
              </w:rPr>
              <w:t>48.9</w:t>
            </w:r>
            <w:r>
              <w:rPr>
                <w:rFonts w:hint="default"/>
                <w:color w:val="auto"/>
              </w:rPr>
              <w:t>dB</w:t>
            </w:r>
            <w:r>
              <w:rPr>
                <w:rFonts w:hint="eastAsia"/>
                <w:color w:val="auto"/>
                <w:lang w:eastAsia="zh-CN"/>
              </w:rPr>
              <w:t>（</w:t>
            </w:r>
            <w:r>
              <w:rPr>
                <w:rFonts w:hint="default"/>
                <w:color w:val="auto"/>
              </w:rPr>
              <w:t>A</w:t>
            </w:r>
            <w:r>
              <w:rPr>
                <w:rFonts w:hint="eastAsia"/>
                <w:color w:val="auto"/>
                <w:lang w:eastAsia="zh-CN"/>
              </w:rPr>
              <w:t>）</w:t>
            </w:r>
            <w:r>
              <w:rPr>
                <w:rFonts w:hint="default"/>
                <w:color w:val="auto"/>
                <w:lang w:eastAsia="zh-CN"/>
              </w:rPr>
              <w:t>，</w:t>
            </w:r>
            <w:r>
              <w:rPr>
                <w:rFonts w:hint="eastAsia"/>
                <w:color w:val="auto"/>
                <w:lang w:val="en-US" w:eastAsia="zh-CN"/>
              </w:rPr>
              <w:t>厂界</w:t>
            </w:r>
            <w:r>
              <w:rPr>
                <w:rFonts w:hint="default"/>
                <w:color w:val="auto"/>
                <w:lang w:val="en-US" w:eastAsia="zh-CN"/>
              </w:rPr>
              <w:t>四周</w:t>
            </w:r>
            <w:r>
              <w:rPr>
                <w:rFonts w:hint="eastAsia"/>
                <w:color w:val="auto"/>
                <w:lang w:val="en-US" w:eastAsia="zh-CN"/>
              </w:rPr>
              <w:t>满足</w:t>
            </w:r>
            <w:r>
              <w:rPr>
                <w:rFonts w:hint="default"/>
                <w:color w:val="auto"/>
              </w:rPr>
              <w:t>《工业企业厂界环境噪声排放标准》</w:t>
            </w:r>
            <w:r>
              <w:rPr>
                <w:rFonts w:hint="default"/>
                <w:color w:val="auto"/>
                <w:lang w:val="en-US" w:eastAsia="zh-CN"/>
              </w:rPr>
              <w:t>（</w:t>
            </w:r>
            <w:r>
              <w:rPr>
                <w:rFonts w:hint="eastAsia"/>
                <w:color w:val="auto"/>
                <w:lang w:val="en-US" w:eastAsia="zh-CN"/>
              </w:rPr>
              <w:t>GB</w:t>
            </w:r>
            <w:r>
              <w:rPr>
                <w:rFonts w:hint="default"/>
                <w:color w:val="auto"/>
              </w:rPr>
              <w:t>12348-2008</w:t>
            </w:r>
            <w:r>
              <w:rPr>
                <w:rFonts w:hint="default"/>
                <w:color w:val="auto"/>
                <w:lang w:val="en-US" w:eastAsia="zh-CN"/>
              </w:rPr>
              <w:t>）中</w:t>
            </w:r>
            <w:r>
              <w:rPr>
                <w:rFonts w:hint="eastAsia"/>
                <w:color w:val="auto"/>
                <w:lang w:val="en-US" w:eastAsia="zh-CN"/>
              </w:rPr>
              <w:t>2</w:t>
            </w:r>
            <w:r>
              <w:rPr>
                <w:rFonts w:hint="default"/>
                <w:color w:val="auto"/>
                <w:lang w:val="en-US" w:eastAsia="zh-CN"/>
              </w:rPr>
              <w:t>类标准</w:t>
            </w:r>
            <w:r>
              <w:rPr>
                <w:rFonts w:hint="eastAsia"/>
                <w:color w:val="auto"/>
                <w:lang w:val="en-US" w:eastAsia="zh-CN"/>
              </w:rPr>
              <w:t>，钟家村、湾头街</w:t>
            </w:r>
            <w:r>
              <w:rPr>
                <w:rFonts w:hint="default"/>
                <w:color w:val="auto"/>
                <w:lang w:val="en-US" w:eastAsia="zh-CN"/>
              </w:rPr>
              <w:t>能满足</w:t>
            </w:r>
            <w:r>
              <w:rPr>
                <w:rFonts w:hint="default"/>
                <w:color w:val="auto"/>
              </w:rPr>
              <w:t>《声环境质量标准》（GB3096-2008）中</w:t>
            </w:r>
            <w:r>
              <w:rPr>
                <w:rFonts w:hint="eastAsia"/>
                <w:color w:val="auto"/>
                <w:lang w:val="en-US" w:eastAsia="zh-CN"/>
              </w:rPr>
              <w:t>2</w:t>
            </w:r>
            <w:r>
              <w:rPr>
                <w:rFonts w:hint="default"/>
                <w:color w:val="auto"/>
                <w:lang w:val="en-US" w:eastAsia="zh-CN"/>
              </w:rPr>
              <w:t>类标准</w:t>
            </w:r>
            <w:r>
              <w:rPr>
                <w:rFonts w:hint="eastAsia" w:cs="Times New Roman"/>
                <w:color w:val="auto"/>
                <w:lang w:val="en-US" w:eastAsia="zh-CN"/>
              </w:rPr>
              <w:t>。</w:t>
            </w:r>
          </w:p>
          <w:p w14:paraId="3D929534">
            <w:pPr>
              <w:pStyle w:val="78"/>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4、生态环境</w:t>
            </w:r>
          </w:p>
          <w:p w14:paraId="710656D2">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eastAsia="zh-CN"/>
              </w:rPr>
              <w:t>技改项目</w:t>
            </w:r>
            <w:r>
              <w:rPr>
                <w:rFonts w:hint="eastAsia" w:cs="Times New Roman"/>
                <w:color w:val="auto"/>
                <w:lang w:val="en-US" w:eastAsia="zh-CN"/>
              </w:rPr>
              <w:t>所在</w:t>
            </w:r>
            <w:r>
              <w:rPr>
                <w:rFonts w:hint="eastAsia" w:cs="Times New Roman"/>
                <w:color w:val="auto"/>
                <w:lang w:eastAsia="zh-CN"/>
              </w:rPr>
              <w:t>区域</w:t>
            </w:r>
            <w:r>
              <w:rPr>
                <w:rFonts w:hint="eastAsia" w:cs="Times New Roman"/>
                <w:color w:val="auto"/>
              </w:rPr>
              <w:t>不涉及自然保护区、风景名胜区、饮用水水源保护区等环境敏感区</w:t>
            </w:r>
            <w:r>
              <w:rPr>
                <w:rFonts w:hint="eastAsia" w:cs="Times New Roman"/>
                <w:color w:val="auto"/>
                <w:lang w:eastAsia="zh-CN"/>
              </w:rPr>
              <w:t>。</w:t>
            </w:r>
            <w:r>
              <w:rPr>
                <w:rFonts w:hint="eastAsia" w:cs="Times New Roman"/>
                <w:color w:val="auto"/>
                <w:lang w:val="en-US" w:eastAsia="zh-CN"/>
              </w:rPr>
              <w:t>占地范围内不含生态环境保护目标，项目排放口位于</w:t>
            </w:r>
            <w:r>
              <w:rPr>
                <w:rFonts w:hint="eastAsia"/>
                <w:color w:val="auto"/>
                <w:lang w:val="en-US" w:eastAsia="zh-CN"/>
              </w:rPr>
              <w:t>江西高安锦江国家湿地公园内</w:t>
            </w:r>
            <w:r>
              <w:rPr>
                <w:rFonts w:hint="eastAsia" w:cs="Times New Roman"/>
                <w:color w:val="auto"/>
                <w:lang w:val="en-US" w:eastAsia="zh-CN"/>
              </w:rPr>
              <w:t>，项目已经取得污水排放许可，锦江高安市青州村断面位于项目污水排放口下游（青州村断面位于</w:t>
            </w:r>
            <w:r>
              <w:rPr>
                <w:rFonts w:hint="eastAsia"/>
                <w:color w:val="auto"/>
                <w:lang w:val="en-US" w:eastAsia="zh-CN"/>
              </w:rPr>
              <w:t>江西高安锦江国家湿地公园</w:t>
            </w:r>
            <w:r>
              <w:rPr>
                <w:rFonts w:hint="eastAsia" w:cs="Times New Roman"/>
                <w:color w:val="auto"/>
                <w:lang w:val="en-US" w:eastAsia="zh-CN"/>
              </w:rPr>
              <w:t>），锦江高安市青州村断面能够满足《地表水环境质量标准》（GB3838-2002）Ⅲ类标准要求，锦江水质良好。</w:t>
            </w:r>
          </w:p>
          <w:p w14:paraId="6F150837">
            <w:pPr>
              <w:pStyle w:val="7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江西高安锦江国家湿地公园植物以芦苇、香蒲、茭草等挺水植物为主，并在锦江两岸种植枫杨、水杉固土防洪。代表性动物为草鸮、白鹇、凤头鹰、鸳鸯等。</w:t>
            </w:r>
          </w:p>
          <w:p w14:paraId="70951B57">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5、地下水、土壤环境</w:t>
            </w:r>
          </w:p>
          <w:p w14:paraId="1FB4966C">
            <w:pPr>
              <w:pStyle w:val="78"/>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根据《建设项目环境影响报告表编制指南（污染影响类）（试行）》的相关规定：原则上不开展环境质量现状调查。项目地下水、土壤环境污染途径为车间、危险废物暂存间、储罐区、乙醇回收区泄漏渗透。由于技改项目车间、危险废物暂存间、储罐区、乙醇回收区采取了防渗措施，满足防腐防渗要求，切断了泄漏渗透途径。故不开展地下水、土壤环境质量现状调查。</w:t>
            </w:r>
          </w:p>
        </w:tc>
      </w:tr>
      <w:tr w14:paraId="3D229B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527" w:hRule="atLeast"/>
          <w:jc w:val="center"/>
        </w:trPr>
        <w:tc>
          <w:tcPr>
            <w:tcW w:w="250" w:type="pct"/>
            <w:noWrap w:val="0"/>
            <w:vAlign w:val="center"/>
          </w:tcPr>
          <w:p w14:paraId="5FCC5B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环境</w:t>
            </w:r>
          </w:p>
          <w:p w14:paraId="715169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保护目标</w:t>
            </w:r>
          </w:p>
        </w:tc>
        <w:tc>
          <w:tcPr>
            <w:tcW w:w="4750" w:type="pct"/>
            <w:noWrap w:val="0"/>
            <w:vAlign w:val="top"/>
          </w:tcPr>
          <w:p w14:paraId="4749A932">
            <w:pPr>
              <w:pStyle w:val="78"/>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eastAsia="zh-CN"/>
              </w:rPr>
              <w:t>技改项目</w:t>
            </w:r>
            <w:r>
              <w:rPr>
                <w:rFonts w:hint="default" w:cs="Times New Roman"/>
                <w:color w:val="auto"/>
              </w:rPr>
              <w:t>位于</w:t>
            </w:r>
            <w:r>
              <w:rPr>
                <w:rFonts w:hint="eastAsia" w:cs="Times New Roman"/>
                <w:color w:val="auto"/>
                <w:lang w:eastAsia="zh-CN"/>
              </w:rPr>
              <w:t>江西省高安市蓝坊镇湾头，</w:t>
            </w:r>
            <w:r>
              <w:rPr>
                <w:rFonts w:hint="default" w:cs="Times New Roman"/>
                <w:color w:val="auto"/>
              </w:rPr>
              <w:t>项目周边环境质量良好</w:t>
            </w:r>
            <w:r>
              <w:rPr>
                <w:rFonts w:hint="eastAsia" w:cs="Times New Roman"/>
                <w:color w:val="auto"/>
                <w:lang w:eastAsia="zh-CN"/>
              </w:rPr>
              <w:t>，</w:t>
            </w:r>
            <w:r>
              <w:rPr>
                <w:rFonts w:hint="default" w:cs="Times New Roman"/>
                <w:color w:val="auto"/>
              </w:rPr>
              <w:t>在评价范围内无名胜古迹、重要公共设施</w:t>
            </w:r>
            <w:r>
              <w:rPr>
                <w:rFonts w:hint="eastAsia" w:cs="Times New Roman"/>
                <w:color w:val="auto"/>
                <w:lang w:eastAsia="zh-CN"/>
              </w:rPr>
              <w:t>，</w:t>
            </w:r>
            <w:r>
              <w:rPr>
                <w:rFonts w:hint="default" w:cs="Times New Roman"/>
                <w:color w:val="auto"/>
              </w:rPr>
              <w:t>也无特殊保护区</w:t>
            </w:r>
            <w:r>
              <w:rPr>
                <w:rFonts w:hint="eastAsia" w:cs="Times New Roman"/>
                <w:color w:val="auto"/>
                <w:lang w:eastAsia="zh-CN"/>
              </w:rPr>
              <w:t>，</w:t>
            </w:r>
            <w:r>
              <w:rPr>
                <w:rFonts w:hint="default" w:cs="Times New Roman"/>
                <w:color w:val="auto"/>
              </w:rPr>
              <w:t>环境保护目标为一般环境保护区域。</w:t>
            </w:r>
          </w:p>
          <w:p w14:paraId="63229FAB">
            <w:pPr>
              <w:pStyle w:val="78"/>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（1）保护该区空气质量，使其符合《环境空气质量标准》（GB3095－2012）及其修改单二级标准要求；</w:t>
            </w:r>
          </w:p>
          <w:p w14:paraId="355CC6A0">
            <w:pPr>
              <w:pStyle w:val="78"/>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（2）保护地表水环境质量，使其符合《地表水环境质量标准》（GB3838-2002）Ⅲ类标准要求；</w:t>
            </w:r>
          </w:p>
          <w:p w14:paraId="3373CC70">
            <w:pPr>
              <w:pStyle w:val="78"/>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（3）保护该区声环境质量，使其符合《声环境质量标准》（GB3096-2008）中2类标准的要求。</w:t>
            </w:r>
          </w:p>
          <w:p w14:paraId="30A12BC3">
            <w:pPr>
              <w:pStyle w:val="78"/>
              <w:keepNext w:val="0"/>
              <w:keepLines w:val="0"/>
              <w:suppressLineNumbers w:val="0"/>
              <w:bidi w:val="0"/>
              <w:spacing w:before="0" w:beforeAutospacing="0" w:after="0" w:afterAutospacing="0"/>
              <w:ind w:left="0" w:right="0"/>
              <w:jc w:val="both"/>
              <w:rPr>
                <w:rFonts w:hint="default" w:cs="Times New Roman"/>
                <w:color w:val="auto"/>
                <w:lang w:val="en-US" w:eastAsia="zh-CN"/>
              </w:rPr>
            </w:pPr>
            <w:r>
              <w:rPr>
                <w:rFonts w:hint="default" w:cs="Times New Roman"/>
                <w:color w:val="auto"/>
                <w:lang w:val="en-US" w:eastAsia="zh-CN"/>
              </w:rPr>
              <w:t>根据对建设项目所在地周边环境现状的踏勘</w:t>
            </w:r>
            <w:r>
              <w:rPr>
                <w:rFonts w:hint="eastAsia" w:cs="Times New Roman"/>
                <w:color w:val="auto"/>
                <w:lang w:val="en-US" w:eastAsia="zh-CN"/>
              </w:rPr>
              <w:t>，</w:t>
            </w:r>
            <w:r>
              <w:rPr>
                <w:rFonts w:hint="default" w:cs="Times New Roman"/>
                <w:color w:val="auto"/>
                <w:lang w:val="en-US" w:eastAsia="zh-CN"/>
              </w:rPr>
              <w:t>项目评价范围内不涉及风景名胜、文物古迹、自然保护区、饮用水源保护区等需要特殊保护的环境敏感目标</w:t>
            </w:r>
            <w:r>
              <w:rPr>
                <w:rFonts w:hint="eastAsia" w:cs="Times New Roman"/>
                <w:color w:val="auto"/>
                <w:lang w:val="en-US" w:eastAsia="zh-CN"/>
              </w:rPr>
              <w:t>，</w:t>
            </w:r>
            <w:r>
              <w:rPr>
                <w:rFonts w:hint="default" w:cs="Times New Roman"/>
                <w:color w:val="auto"/>
                <w:lang w:val="en-US" w:eastAsia="zh-CN"/>
              </w:rPr>
              <w:t>评价区域内没有珍稀动植物。</w:t>
            </w:r>
          </w:p>
          <w:p w14:paraId="2A0AF64E">
            <w:pPr>
              <w:pStyle w:val="78"/>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主要环境保护目标详见表3-4所示。</w:t>
            </w:r>
          </w:p>
          <w:p w14:paraId="2965817E">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 xml:space="preserve">表3-4 </w:t>
            </w:r>
            <w:r>
              <w:rPr>
                <w:rFonts w:hint="eastAsia" w:ascii="Times New Roman" w:hAnsi="Times New Roman" w:eastAsia="宋体" w:cs="Times New Roman"/>
                <w:b/>
                <w:color w:val="auto"/>
                <w:kern w:val="0"/>
                <w:sz w:val="24"/>
                <w:szCs w:val="24"/>
                <w:lang w:val="en-US" w:eastAsia="zh-CN" w:bidi="ar-SA"/>
              </w:rPr>
              <w:t>技改项目</w:t>
            </w:r>
            <w:r>
              <w:rPr>
                <w:rFonts w:hint="default" w:ascii="Times New Roman" w:hAnsi="Times New Roman" w:eastAsia="宋体" w:cs="Times New Roman"/>
                <w:b/>
                <w:color w:val="auto"/>
                <w:kern w:val="0"/>
                <w:sz w:val="24"/>
                <w:szCs w:val="24"/>
                <w:lang w:val="en-US" w:eastAsia="zh-CN" w:bidi="ar-SA"/>
              </w:rPr>
              <w:t>主要环境保护目标</w:t>
            </w:r>
            <w:r>
              <w:rPr>
                <w:rFonts w:hint="eastAsia" w:ascii="Times New Roman" w:hAnsi="Times New Roman" w:eastAsia="宋体" w:cs="Times New Roman"/>
                <w:b/>
                <w:color w:val="auto"/>
                <w:kern w:val="0"/>
                <w:sz w:val="24"/>
                <w:szCs w:val="24"/>
                <w:lang w:val="en-US" w:eastAsia="zh-CN" w:bidi="ar-SA"/>
              </w:rPr>
              <w:t>一览表</w:t>
            </w:r>
          </w:p>
          <w:tbl>
            <w:tblPr>
              <w:tblStyle w:val="29"/>
              <w:tblW w:w="499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57" w:type="dxa"/>
                <w:bottom w:w="0" w:type="dxa"/>
                <w:right w:w="57" w:type="dxa"/>
              </w:tblCellMar>
            </w:tblPr>
            <w:tblGrid>
              <w:gridCol w:w="625"/>
              <w:gridCol w:w="573"/>
              <w:gridCol w:w="576"/>
              <w:gridCol w:w="753"/>
              <w:gridCol w:w="653"/>
              <w:gridCol w:w="917"/>
              <w:gridCol w:w="1378"/>
              <w:gridCol w:w="688"/>
              <w:gridCol w:w="846"/>
              <w:gridCol w:w="862"/>
            </w:tblGrid>
            <w:tr w14:paraId="001A92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vMerge w:val="restart"/>
                  <w:tcBorders>
                    <w:tl2br w:val="nil"/>
                    <w:tr2bl w:val="nil"/>
                  </w:tcBorders>
                  <w:noWrap w:val="0"/>
                  <w:vAlign w:val="center"/>
                </w:tcPr>
                <w:p w14:paraId="71EACA29">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名称</w:t>
                  </w:r>
                </w:p>
              </w:tc>
              <w:tc>
                <w:tcPr>
                  <w:tcW w:w="729" w:type="pct"/>
                  <w:gridSpan w:val="2"/>
                  <w:tcBorders>
                    <w:tl2br w:val="nil"/>
                    <w:tr2bl w:val="nil"/>
                  </w:tcBorders>
                  <w:noWrap w:val="0"/>
                  <w:vAlign w:val="center"/>
                </w:tcPr>
                <w:p w14:paraId="2BABD8AB">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坐标/m</w:t>
                  </w:r>
                </w:p>
              </w:tc>
              <w:tc>
                <w:tcPr>
                  <w:tcW w:w="478" w:type="pct"/>
                  <w:vMerge w:val="restart"/>
                  <w:tcBorders>
                    <w:tl2br w:val="nil"/>
                    <w:tr2bl w:val="nil"/>
                  </w:tcBorders>
                  <w:noWrap w:val="0"/>
                  <w:vAlign w:val="center"/>
                </w:tcPr>
                <w:p w14:paraId="6E8D3E39">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保护对象</w:t>
                  </w:r>
                </w:p>
              </w:tc>
              <w:tc>
                <w:tcPr>
                  <w:tcW w:w="414" w:type="pct"/>
                  <w:vMerge w:val="restart"/>
                  <w:tcBorders>
                    <w:tl2br w:val="nil"/>
                    <w:tr2bl w:val="nil"/>
                  </w:tcBorders>
                  <w:noWrap w:val="0"/>
                  <w:vAlign w:val="center"/>
                </w:tcPr>
                <w:p w14:paraId="490E774A">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保护内容</w:t>
                  </w:r>
                </w:p>
              </w:tc>
              <w:tc>
                <w:tcPr>
                  <w:tcW w:w="582" w:type="pct"/>
                  <w:vMerge w:val="restart"/>
                  <w:tcBorders>
                    <w:tl2br w:val="nil"/>
                    <w:tr2bl w:val="nil"/>
                  </w:tcBorders>
                  <w:noWrap w:val="0"/>
                  <w:vAlign w:val="center"/>
                </w:tcPr>
                <w:p w14:paraId="22903624">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规模</w:t>
                  </w:r>
                </w:p>
              </w:tc>
              <w:tc>
                <w:tcPr>
                  <w:tcW w:w="875" w:type="pct"/>
                  <w:vMerge w:val="restart"/>
                  <w:tcBorders>
                    <w:tl2br w:val="nil"/>
                    <w:tr2bl w:val="nil"/>
                  </w:tcBorders>
                  <w:noWrap w:val="0"/>
                  <w:vAlign w:val="center"/>
                </w:tcPr>
                <w:p w14:paraId="5DB0915A">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环境功能区</w:t>
                  </w:r>
                </w:p>
              </w:tc>
              <w:tc>
                <w:tcPr>
                  <w:tcW w:w="437" w:type="pct"/>
                  <w:vMerge w:val="restart"/>
                  <w:tcBorders>
                    <w:tl2br w:val="nil"/>
                    <w:tr2bl w:val="nil"/>
                  </w:tcBorders>
                  <w:noWrap w:val="0"/>
                  <w:vAlign w:val="center"/>
                </w:tcPr>
                <w:p w14:paraId="25242CFA">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相对厂址方位</w:t>
                  </w:r>
                </w:p>
              </w:tc>
              <w:tc>
                <w:tcPr>
                  <w:tcW w:w="537" w:type="pct"/>
                  <w:vMerge w:val="restart"/>
                  <w:tcBorders>
                    <w:tl2br w:val="nil"/>
                    <w:tr2bl w:val="nil"/>
                  </w:tcBorders>
                  <w:noWrap w:val="0"/>
                  <w:vAlign w:val="center"/>
                </w:tcPr>
                <w:p w14:paraId="00360587">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相对</w:t>
                  </w:r>
                  <w:r>
                    <w:rPr>
                      <w:rFonts w:hint="eastAsia" w:cs="Times New Roman"/>
                      <w:color w:val="auto"/>
                      <w:spacing w:val="4"/>
                      <w:lang w:eastAsia="zh-CN"/>
                    </w:rPr>
                    <w:t>厂界</w:t>
                  </w:r>
                  <w:r>
                    <w:rPr>
                      <w:rFonts w:hint="default" w:cs="Times New Roman"/>
                      <w:color w:val="auto"/>
                      <w:spacing w:val="4"/>
                    </w:rPr>
                    <w:t>距离/m</w:t>
                  </w:r>
                </w:p>
              </w:tc>
              <w:tc>
                <w:tcPr>
                  <w:tcW w:w="547" w:type="pct"/>
                  <w:vMerge w:val="restart"/>
                  <w:tcBorders>
                    <w:tl2br w:val="nil"/>
                    <w:tr2bl w:val="nil"/>
                  </w:tcBorders>
                  <w:noWrap w:val="0"/>
                  <w:vAlign w:val="center"/>
                </w:tcPr>
                <w:p w14:paraId="259DA797">
                  <w:pPr>
                    <w:pStyle w:val="61"/>
                    <w:keepNext w:val="0"/>
                    <w:keepLines w:val="0"/>
                    <w:suppressLineNumbers w:val="0"/>
                    <w:spacing w:before="0" w:beforeAutospacing="0" w:after="0" w:afterAutospacing="0"/>
                    <w:ind w:left="0" w:right="0"/>
                    <w:rPr>
                      <w:rFonts w:hint="default" w:eastAsia="宋体" w:cs="Times New Roman"/>
                      <w:color w:val="auto"/>
                      <w:spacing w:val="4"/>
                      <w:lang w:val="en-US" w:eastAsia="zh-CN"/>
                    </w:rPr>
                  </w:pPr>
                  <w:r>
                    <w:rPr>
                      <w:rFonts w:hint="eastAsia" w:cs="Times New Roman"/>
                      <w:color w:val="auto"/>
                      <w:spacing w:val="4"/>
                      <w:lang w:val="en-US" w:eastAsia="zh-CN"/>
                    </w:rPr>
                    <w:t>相对车间距离/m</w:t>
                  </w:r>
                </w:p>
              </w:tc>
            </w:tr>
            <w:tr w14:paraId="4146A9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vMerge w:val="continue"/>
                  <w:tcBorders>
                    <w:tl2br w:val="nil"/>
                    <w:tr2bl w:val="nil"/>
                  </w:tcBorders>
                  <w:noWrap w:val="0"/>
                  <w:vAlign w:val="center"/>
                </w:tcPr>
                <w:p w14:paraId="431A815B">
                  <w:pPr>
                    <w:pStyle w:val="61"/>
                    <w:keepNext w:val="0"/>
                    <w:keepLines w:val="0"/>
                    <w:suppressLineNumbers w:val="0"/>
                    <w:spacing w:before="0" w:beforeAutospacing="0" w:after="0" w:afterAutospacing="0"/>
                    <w:ind w:left="0" w:right="0"/>
                    <w:rPr>
                      <w:rFonts w:hint="default" w:cs="Times New Roman"/>
                      <w:color w:val="auto"/>
                      <w:spacing w:val="4"/>
                    </w:rPr>
                  </w:pPr>
                </w:p>
              </w:tc>
              <w:tc>
                <w:tcPr>
                  <w:tcW w:w="363" w:type="pct"/>
                  <w:tcBorders>
                    <w:tl2br w:val="nil"/>
                    <w:tr2bl w:val="nil"/>
                  </w:tcBorders>
                  <w:noWrap w:val="0"/>
                  <w:vAlign w:val="center"/>
                </w:tcPr>
                <w:p w14:paraId="4FC6017C">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X</w:t>
                  </w:r>
                </w:p>
              </w:tc>
              <w:tc>
                <w:tcPr>
                  <w:tcW w:w="365" w:type="pct"/>
                  <w:tcBorders>
                    <w:tl2br w:val="nil"/>
                    <w:tr2bl w:val="nil"/>
                  </w:tcBorders>
                  <w:noWrap w:val="0"/>
                  <w:vAlign w:val="center"/>
                </w:tcPr>
                <w:p w14:paraId="6F9FCAFD">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Y</w:t>
                  </w:r>
                </w:p>
              </w:tc>
              <w:tc>
                <w:tcPr>
                  <w:tcW w:w="478" w:type="pct"/>
                  <w:vMerge w:val="continue"/>
                  <w:tcBorders>
                    <w:tl2br w:val="nil"/>
                    <w:tr2bl w:val="nil"/>
                  </w:tcBorders>
                  <w:noWrap w:val="0"/>
                  <w:vAlign w:val="center"/>
                </w:tcPr>
                <w:p w14:paraId="3E994A1F">
                  <w:pPr>
                    <w:pStyle w:val="61"/>
                    <w:keepNext w:val="0"/>
                    <w:keepLines w:val="0"/>
                    <w:suppressLineNumbers w:val="0"/>
                    <w:spacing w:before="0" w:beforeAutospacing="0" w:after="0" w:afterAutospacing="0"/>
                    <w:ind w:left="0" w:right="0"/>
                    <w:rPr>
                      <w:rFonts w:hint="default" w:cs="Times New Roman"/>
                      <w:color w:val="auto"/>
                      <w:spacing w:val="4"/>
                    </w:rPr>
                  </w:pPr>
                </w:p>
              </w:tc>
              <w:tc>
                <w:tcPr>
                  <w:tcW w:w="414" w:type="pct"/>
                  <w:vMerge w:val="continue"/>
                  <w:tcBorders>
                    <w:tl2br w:val="nil"/>
                    <w:tr2bl w:val="nil"/>
                  </w:tcBorders>
                  <w:noWrap w:val="0"/>
                  <w:vAlign w:val="center"/>
                </w:tcPr>
                <w:p w14:paraId="33EF178B">
                  <w:pPr>
                    <w:pStyle w:val="61"/>
                    <w:keepNext w:val="0"/>
                    <w:keepLines w:val="0"/>
                    <w:suppressLineNumbers w:val="0"/>
                    <w:spacing w:before="0" w:beforeAutospacing="0" w:after="0" w:afterAutospacing="0"/>
                    <w:ind w:left="0" w:right="0"/>
                    <w:rPr>
                      <w:rFonts w:hint="default" w:cs="Times New Roman"/>
                      <w:color w:val="auto"/>
                      <w:spacing w:val="4"/>
                    </w:rPr>
                  </w:pPr>
                </w:p>
              </w:tc>
              <w:tc>
                <w:tcPr>
                  <w:tcW w:w="582" w:type="pct"/>
                  <w:vMerge w:val="continue"/>
                  <w:tcBorders>
                    <w:tl2br w:val="nil"/>
                    <w:tr2bl w:val="nil"/>
                  </w:tcBorders>
                  <w:noWrap w:val="0"/>
                  <w:vAlign w:val="center"/>
                </w:tcPr>
                <w:p w14:paraId="1199E84B">
                  <w:pPr>
                    <w:pStyle w:val="61"/>
                    <w:keepNext w:val="0"/>
                    <w:keepLines w:val="0"/>
                    <w:suppressLineNumbers w:val="0"/>
                    <w:spacing w:before="0" w:beforeAutospacing="0" w:after="0" w:afterAutospacing="0"/>
                    <w:ind w:left="0" w:right="0"/>
                    <w:rPr>
                      <w:rFonts w:hint="default" w:cs="Times New Roman"/>
                      <w:color w:val="auto"/>
                      <w:spacing w:val="4"/>
                    </w:rPr>
                  </w:pPr>
                </w:p>
              </w:tc>
              <w:tc>
                <w:tcPr>
                  <w:tcW w:w="875" w:type="pct"/>
                  <w:vMerge w:val="continue"/>
                  <w:tcBorders>
                    <w:tl2br w:val="nil"/>
                    <w:tr2bl w:val="nil"/>
                  </w:tcBorders>
                  <w:noWrap w:val="0"/>
                  <w:vAlign w:val="center"/>
                </w:tcPr>
                <w:p w14:paraId="115BA1DD">
                  <w:pPr>
                    <w:pStyle w:val="61"/>
                    <w:keepNext w:val="0"/>
                    <w:keepLines w:val="0"/>
                    <w:suppressLineNumbers w:val="0"/>
                    <w:spacing w:before="0" w:beforeAutospacing="0" w:after="0" w:afterAutospacing="0"/>
                    <w:ind w:left="0" w:right="0"/>
                    <w:rPr>
                      <w:rFonts w:hint="default" w:cs="Times New Roman"/>
                      <w:color w:val="auto"/>
                      <w:spacing w:val="4"/>
                    </w:rPr>
                  </w:pPr>
                </w:p>
              </w:tc>
              <w:tc>
                <w:tcPr>
                  <w:tcW w:w="437" w:type="pct"/>
                  <w:vMerge w:val="continue"/>
                  <w:tcBorders>
                    <w:tl2br w:val="nil"/>
                    <w:tr2bl w:val="nil"/>
                  </w:tcBorders>
                  <w:noWrap w:val="0"/>
                  <w:vAlign w:val="center"/>
                </w:tcPr>
                <w:p w14:paraId="18B3ECB6">
                  <w:pPr>
                    <w:pStyle w:val="61"/>
                    <w:keepNext w:val="0"/>
                    <w:keepLines w:val="0"/>
                    <w:suppressLineNumbers w:val="0"/>
                    <w:spacing w:before="0" w:beforeAutospacing="0" w:after="0" w:afterAutospacing="0"/>
                    <w:ind w:left="0" w:right="0"/>
                    <w:rPr>
                      <w:rFonts w:hint="default" w:cs="Times New Roman"/>
                      <w:color w:val="auto"/>
                      <w:spacing w:val="4"/>
                    </w:rPr>
                  </w:pPr>
                </w:p>
              </w:tc>
              <w:tc>
                <w:tcPr>
                  <w:tcW w:w="537" w:type="pct"/>
                  <w:vMerge w:val="continue"/>
                  <w:tcBorders>
                    <w:tl2br w:val="nil"/>
                    <w:tr2bl w:val="nil"/>
                  </w:tcBorders>
                  <w:noWrap w:val="0"/>
                  <w:vAlign w:val="center"/>
                </w:tcPr>
                <w:p w14:paraId="786DEF29">
                  <w:pPr>
                    <w:pStyle w:val="61"/>
                    <w:keepNext w:val="0"/>
                    <w:keepLines w:val="0"/>
                    <w:suppressLineNumbers w:val="0"/>
                    <w:spacing w:before="0" w:beforeAutospacing="0" w:after="0" w:afterAutospacing="0"/>
                    <w:ind w:left="0" w:right="0"/>
                    <w:rPr>
                      <w:rFonts w:hint="default" w:cs="Times New Roman"/>
                      <w:color w:val="auto"/>
                      <w:spacing w:val="4"/>
                    </w:rPr>
                  </w:pPr>
                </w:p>
              </w:tc>
              <w:tc>
                <w:tcPr>
                  <w:tcW w:w="547" w:type="pct"/>
                  <w:vMerge w:val="continue"/>
                  <w:tcBorders>
                    <w:tl2br w:val="nil"/>
                    <w:tr2bl w:val="nil"/>
                  </w:tcBorders>
                  <w:noWrap w:val="0"/>
                  <w:vAlign w:val="center"/>
                </w:tcPr>
                <w:p w14:paraId="398B3F46">
                  <w:pPr>
                    <w:pStyle w:val="61"/>
                    <w:keepNext w:val="0"/>
                    <w:keepLines w:val="0"/>
                    <w:suppressLineNumbers w:val="0"/>
                    <w:spacing w:before="0" w:beforeAutospacing="0" w:after="0" w:afterAutospacing="0"/>
                    <w:ind w:left="0" w:right="0"/>
                    <w:rPr>
                      <w:rFonts w:hint="default" w:cs="Times New Roman"/>
                      <w:color w:val="auto"/>
                      <w:spacing w:val="4"/>
                    </w:rPr>
                  </w:pPr>
                </w:p>
              </w:tc>
            </w:tr>
            <w:tr w14:paraId="2AF8CB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427" w:hRule="atLeast"/>
                <w:jc w:val="center"/>
              </w:trPr>
              <w:tc>
                <w:tcPr>
                  <w:tcW w:w="397" w:type="pct"/>
                  <w:vMerge w:val="restart"/>
                  <w:tcBorders>
                    <w:tl2br w:val="nil"/>
                    <w:tr2bl w:val="nil"/>
                  </w:tcBorders>
                  <w:noWrap w:val="0"/>
                  <w:vAlign w:val="center"/>
                </w:tcPr>
                <w:p w14:paraId="53381DB5">
                  <w:pPr>
                    <w:pStyle w:val="61"/>
                    <w:keepNext w:val="0"/>
                    <w:keepLines w:val="0"/>
                    <w:suppressLineNumbers w:val="0"/>
                    <w:spacing w:before="0" w:beforeAutospacing="0" w:after="0" w:afterAutospacing="0"/>
                    <w:ind w:left="0" w:right="0"/>
                    <w:rPr>
                      <w:rFonts w:hint="default" w:cs="Times New Roman"/>
                      <w:color w:val="auto"/>
                      <w:spacing w:val="4"/>
                    </w:rPr>
                  </w:pPr>
                  <w:r>
                    <w:rPr>
                      <w:rFonts w:hint="default" w:cs="Times New Roman"/>
                      <w:color w:val="auto"/>
                      <w:spacing w:val="4"/>
                    </w:rPr>
                    <w:t>环境空气</w:t>
                  </w:r>
                </w:p>
              </w:tc>
              <w:tc>
                <w:tcPr>
                  <w:tcW w:w="363" w:type="pct"/>
                  <w:tcBorders>
                    <w:tl2br w:val="nil"/>
                    <w:tr2bl w:val="nil"/>
                  </w:tcBorders>
                  <w:noWrap w:val="0"/>
                  <w:vAlign w:val="center"/>
                </w:tcPr>
                <w:p w14:paraId="7EC3EB99">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0</w:t>
                  </w:r>
                </w:p>
              </w:tc>
              <w:tc>
                <w:tcPr>
                  <w:tcW w:w="365" w:type="pct"/>
                  <w:tcBorders>
                    <w:tl2br w:val="nil"/>
                    <w:tr2bl w:val="nil"/>
                  </w:tcBorders>
                  <w:noWrap w:val="0"/>
                  <w:vAlign w:val="center"/>
                </w:tcPr>
                <w:p w14:paraId="73CB139B">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352</w:t>
                  </w:r>
                </w:p>
              </w:tc>
              <w:tc>
                <w:tcPr>
                  <w:tcW w:w="478" w:type="pct"/>
                  <w:tcBorders>
                    <w:tl2br w:val="nil"/>
                    <w:tr2bl w:val="nil"/>
                  </w:tcBorders>
                  <w:noWrap w:val="0"/>
                  <w:vAlign w:val="center"/>
                </w:tcPr>
                <w:p w14:paraId="360ED6DD">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吴村</w:t>
                  </w:r>
                </w:p>
              </w:tc>
              <w:tc>
                <w:tcPr>
                  <w:tcW w:w="414" w:type="pct"/>
                  <w:tcBorders>
                    <w:tl2br w:val="nil"/>
                    <w:tr2bl w:val="nil"/>
                  </w:tcBorders>
                  <w:noWrap w:val="0"/>
                  <w:vAlign w:val="center"/>
                </w:tcPr>
                <w:p w14:paraId="5AED62E8">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268D974A">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100人</w:t>
                  </w:r>
                </w:p>
              </w:tc>
              <w:tc>
                <w:tcPr>
                  <w:tcW w:w="875" w:type="pct"/>
                  <w:vMerge w:val="restart"/>
                  <w:tcBorders>
                    <w:tl2br w:val="nil"/>
                    <w:tr2bl w:val="nil"/>
                  </w:tcBorders>
                  <w:noWrap w:val="0"/>
                  <w:vAlign w:val="center"/>
                </w:tcPr>
                <w:p w14:paraId="2D80CE53">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（GB3095-2026）中二级标准</w:t>
                  </w:r>
                </w:p>
              </w:tc>
              <w:tc>
                <w:tcPr>
                  <w:tcW w:w="437" w:type="pct"/>
                  <w:tcBorders>
                    <w:tl2br w:val="nil"/>
                    <w:tr2bl w:val="nil"/>
                  </w:tcBorders>
                  <w:noWrap w:val="0"/>
                  <w:vAlign w:val="center"/>
                </w:tcPr>
                <w:p w14:paraId="5774DD69">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北</w:t>
                  </w:r>
                </w:p>
              </w:tc>
              <w:tc>
                <w:tcPr>
                  <w:tcW w:w="537" w:type="pct"/>
                  <w:tcBorders>
                    <w:tl2br w:val="nil"/>
                    <w:tr2bl w:val="nil"/>
                  </w:tcBorders>
                  <w:noWrap w:val="0"/>
                  <w:vAlign w:val="center"/>
                </w:tcPr>
                <w:p w14:paraId="7FBB023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282</w:t>
                  </w:r>
                </w:p>
              </w:tc>
              <w:tc>
                <w:tcPr>
                  <w:tcW w:w="547" w:type="pct"/>
                  <w:tcBorders>
                    <w:tl2br w:val="nil"/>
                    <w:tr2bl w:val="nil"/>
                  </w:tcBorders>
                  <w:noWrap w:val="0"/>
                  <w:vAlign w:val="center"/>
                </w:tcPr>
                <w:p w14:paraId="759035A9">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342</w:t>
                  </w:r>
                </w:p>
              </w:tc>
            </w:tr>
            <w:tr w14:paraId="5E14A2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vMerge w:val="continue"/>
                  <w:tcBorders>
                    <w:tl2br w:val="nil"/>
                    <w:tr2bl w:val="nil"/>
                  </w:tcBorders>
                  <w:noWrap w:val="0"/>
                  <w:vAlign w:val="center"/>
                </w:tcPr>
                <w:p w14:paraId="0BF7488D">
                  <w:pPr>
                    <w:pStyle w:val="61"/>
                    <w:keepNext w:val="0"/>
                    <w:keepLines w:val="0"/>
                    <w:suppressLineNumbers w:val="0"/>
                    <w:spacing w:before="0" w:beforeAutospacing="0" w:after="0" w:afterAutospacing="0"/>
                    <w:ind w:left="0" w:right="0"/>
                    <w:rPr>
                      <w:rFonts w:hint="default" w:cs="Times New Roman"/>
                      <w:color w:val="auto"/>
                      <w:spacing w:val="4"/>
                    </w:rPr>
                  </w:pPr>
                </w:p>
              </w:tc>
              <w:tc>
                <w:tcPr>
                  <w:tcW w:w="363" w:type="pct"/>
                  <w:tcBorders>
                    <w:tl2br w:val="nil"/>
                    <w:tr2bl w:val="nil"/>
                  </w:tcBorders>
                  <w:noWrap w:val="0"/>
                  <w:vAlign w:val="center"/>
                </w:tcPr>
                <w:p w14:paraId="658AAF12">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397</w:t>
                  </w:r>
                </w:p>
              </w:tc>
              <w:tc>
                <w:tcPr>
                  <w:tcW w:w="365" w:type="pct"/>
                  <w:tcBorders>
                    <w:tl2br w:val="nil"/>
                    <w:tr2bl w:val="nil"/>
                  </w:tcBorders>
                  <w:noWrap w:val="0"/>
                  <w:vAlign w:val="center"/>
                </w:tcPr>
                <w:p w14:paraId="072F7735">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147</w:t>
                  </w:r>
                </w:p>
              </w:tc>
              <w:tc>
                <w:tcPr>
                  <w:tcW w:w="478" w:type="pct"/>
                  <w:tcBorders>
                    <w:tl2br w:val="nil"/>
                    <w:tr2bl w:val="nil"/>
                  </w:tcBorders>
                  <w:noWrap w:val="0"/>
                  <w:vAlign w:val="center"/>
                </w:tcPr>
                <w:p w14:paraId="607170BA">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兔子</w:t>
                  </w:r>
                  <w:r>
                    <w:rPr>
                      <w:rFonts w:hint="default" w:cs="Times New Roman"/>
                      <w:color w:val="auto"/>
                      <w:spacing w:val="4"/>
                      <w:lang w:val="en-US" w:eastAsia="zh-CN"/>
                    </w:rPr>
                    <w:t>埠</w:t>
                  </w:r>
                </w:p>
              </w:tc>
              <w:tc>
                <w:tcPr>
                  <w:tcW w:w="414" w:type="pct"/>
                  <w:tcBorders>
                    <w:tl2br w:val="nil"/>
                    <w:tr2bl w:val="nil"/>
                  </w:tcBorders>
                  <w:noWrap w:val="0"/>
                  <w:vAlign w:val="center"/>
                </w:tcPr>
                <w:p w14:paraId="61223335">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2BF147A4">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80人</w:t>
                  </w:r>
                </w:p>
              </w:tc>
              <w:tc>
                <w:tcPr>
                  <w:tcW w:w="875" w:type="pct"/>
                  <w:vMerge w:val="continue"/>
                  <w:tcBorders>
                    <w:tl2br w:val="nil"/>
                    <w:tr2bl w:val="nil"/>
                  </w:tcBorders>
                  <w:noWrap w:val="0"/>
                  <w:vAlign w:val="center"/>
                </w:tcPr>
                <w:p w14:paraId="2A033402">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p>
              </w:tc>
              <w:tc>
                <w:tcPr>
                  <w:tcW w:w="437" w:type="pct"/>
                  <w:tcBorders>
                    <w:tl2br w:val="nil"/>
                    <w:tr2bl w:val="nil"/>
                  </w:tcBorders>
                  <w:noWrap w:val="0"/>
                  <w:vAlign w:val="center"/>
                </w:tcPr>
                <w:p w14:paraId="7C4D83E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东北</w:t>
                  </w:r>
                </w:p>
              </w:tc>
              <w:tc>
                <w:tcPr>
                  <w:tcW w:w="537" w:type="pct"/>
                  <w:tcBorders>
                    <w:tl2br w:val="nil"/>
                    <w:tr2bl w:val="nil"/>
                  </w:tcBorders>
                  <w:noWrap w:val="0"/>
                  <w:vAlign w:val="center"/>
                </w:tcPr>
                <w:p w14:paraId="21A911CF">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393</w:t>
                  </w:r>
                </w:p>
              </w:tc>
              <w:tc>
                <w:tcPr>
                  <w:tcW w:w="547" w:type="pct"/>
                  <w:tcBorders>
                    <w:tl2br w:val="nil"/>
                    <w:tr2bl w:val="nil"/>
                  </w:tcBorders>
                  <w:noWrap w:val="0"/>
                  <w:vAlign w:val="center"/>
                </w:tcPr>
                <w:p w14:paraId="51E655FA">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460</w:t>
                  </w:r>
                </w:p>
              </w:tc>
            </w:tr>
            <w:tr w14:paraId="1B1CEEF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vMerge w:val="continue"/>
                  <w:tcBorders>
                    <w:tl2br w:val="nil"/>
                    <w:tr2bl w:val="nil"/>
                  </w:tcBorders>
                  <w:noWrap w:val="0"/>
                  <w:vAlign w:val="center"/>
                </w:tcPr>
                <w:p w14:paraId="20632CEF">
                  <w:pPr>
                    <w:pStyle w:val="61"/>
                    <w:keepNext w:val="0"/>
                    <w:keepLines w:val="0"/>
                    <w:suppressLineNumbers w:val="0"/>
                    <w:spacing w:before="0" w:beforeAutospacing="0" w:after="0" w:afterAutospacing="0"/>
                    <w:ind w:left="0" w:right="0"/>
                    <w:rPr>
                      <w:rFonts w:hint="default" w:cs="Times New Roman"/>
                      <w:color w:val="auto"/>
                      <w:spacing w:val="4"/>
                    </w:rPr>
                  </w:pPr>
                </w:p>
              </w:tc>
              <w:tc>
                <w:tcPr>
                  <w:tcW w:w="363" w:type="pct"/>
                  <w:tcBorders>
                    <w:tl2br w:val="nil"/>
                    <w:tr2bl w:val="nil"/>
                  </w:tcBorders>
                  <w:noWrap w:val="0"/>
                  <w:vAlign w:val="center"/>
                </w:tcPr>
                <w:p w14:paraId="74AD2F58">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35</w:t>
                  </w:r>
                </w:p>
              </w:tc>
              <w:tc>
                <w:tcPr>
                  <w:tcW w:w="365" w:type="pct"/>
                  <w:tcBorders>
                    <w:tl2br w:val="nil"/>
                    <w:tr2bl w:val="nil"/>
                  </w:tcBorders>
                  <w:noWrap w:val="0"/>
                  <w:vAlign w:val="center"/>
                </w:tcPr>
                <w:p w14:paraId="319BE1A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-70</w:t>
                  </w:r>
                </w:p>
              </w:tc>
              <w:tc>
                <w:tcPr>
                  <w:tcW w:w="478" w:type="pct"/>
                  <w:tcBorders>
                    <w:tl2br w:val="nil"/>
                    <w:tr2bl w:val="nil"/>
                  </w:tcBorders>
                  <w:noWrap w:val="0"/>
                  <w:vAlign w:val="center"/>
                </w:tcPr>
                <w:p w14:paraId="2BBC26A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钟家村</w:t>
                  </w:r>
                </w:p>
              </w:tc>
              <w:tc>
                <w:tcPr>
                  <w:tcW w:w="414" w:type="pct"/>
                  <w:tcBorders>
                    <w:tl2br w:val="nil"/>
                    <w:tr2bl w:val="nil"/>
                  </w:tcBorders>
                  <w:noWrap w:val="0"/>
                  <w:vAlign w:val="center"/>
                </w:tcPr>
                <w:p w14:paraId="5283B379">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065245E9">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50人</w:t>
                  </w:r>
                </w:p>
              </w:tc>
              <w:tc>
                <w:tcPr>
                  <w:tcW w:w="875" w:type="pct"/>
                  <w:vMerge w:val="continue"/>
                  <w:tcBorders>
                    <w:tl2br w:val="nil"/>
                    <w:tr2bl w:val="nil"/>
                  </w:tcBorders>
                  <w:noWrap w:val="0"/>
                  <w:vAlign w:val="center"/>
                </w:tcPr>
                <w:p w14:paraId="087E6F0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p>
              </w:tc>
              <w:tc>
                <w:tcPr>
                  <w:tcW w:w="437" w:type="pct"/>
                  <w:tcBorders>
                    <w:tl2br w:val="nil"/>
                    <w:tr2bl w:val="nil"/>
                  </w:tcBorders>
                  <w:noWrap w:val="0"/>
                  <w:vAlign w:val="center"/>
                </w:tcPr>
                <w:p w14:paraId="4706E6DF">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东南</w:t>
                  </w:r>
                </w:p>
              </w:tc>
              <w:tc>
                <w:tcPr>
                  <w:tcW w:w="537" w:type="pct"/>
                  <w:tcBorders>
                    <w:tl2br w:val="nil"/>
                    <w:tr2bl w:val="nil"/>
                  </w:tcBorders>
                  <w:noWrap w:val="0"/>
                  <w:vAlign w:val="center"/>
                </w:tcPr>
                <w:p w14:paraId="02E62A13">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3.1</w:t>
                  </w:r>
                </w:p>
              </w:tc>
              <w:tc>
                <w:tcPr>
                  <w:tcW w:w="547" w:type="pct"/>
                  <w:tcBorders>
                    <w:tl2br w:val="nil"/>
                    <w:tr2bl w:val="nil"/>
                  </w:tcBorders>
                  <w:noWrap w:val="0"/>
                  <w:vAlign w:val="center"/>
                </w:tcPr>
                <w:p w14:paraId="2D56960C">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92.1</w:t>
                  </w:r>
                </w:p>
              </w:tc>
            </w:tr>
            <w:tr w14:paraId="47D1FF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77" w:hRule="atLeast"/>
                <w:jc w:val="center"/>
              </w:trPr>
              <w:tc>
                <w:tcPr>
                  <w:tcW w:w="397" w:type="pct"/>
                  <w:vMerge w:val="continue"/>
                  <w:tcBorders>
                    <w:tl2br w:val="nil"/>
                    <w:tr2bl w:val="nil"/>
                  </w:tcBorders>
                  <w:noWrap w:val="0"/>
                  <w:vAlign w:val="center"/>
                </w:tcPr>
                <w:p w14:paraId="1ABC8E83">
                  <w:pPr>
                    <w:pStyle w:val="61"/>
                    <w:keepNext w:val="0"/>
                    <w:keepLines w:val="0"/>
                    <w:suppressLineNumbers w:val="0"/>
                    <w:spacing w:before="0" w:beforeAutospacing="0" w:after="0" w:afterAutospacing="0"/>
                    <w:ind w:left="0" w:right="0"/>
                    <w:rPr>
                      <w:rFonts w:hint="default" w:cs="Times New Roman"/>
                      <w:color w:val="auto"/>
                      <w:spacing w:val="4"/>
                    </w:rPr>
                  </w:pPr>
                </w:p>
              </w:tc>
              <w:tc>
                <w:tcPr>
                  <w:tcW w:w="363" w:type="pct"/>
                  <w:tcBorders>
                    <w:tl2br w:val="nil"/>
                    <w:tr2bl w:val="nil"/>
                  </w:tcBorders>
                  <w:noWrap w:val="0"/>
                  <w:vAlign w:val="center"/>
                </w:tcPr>
                <w:p w14:paraId="282D9C15">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-92</w:t>
                  </w:r>
                </w:p>
              </w:tc>
              <w:tc>
                <w:tcPr>
                  <w:tcW w:w="365" w:type="pct"/>
                  <w:tcBorders>
                    <w:tl2br w:val="nil"/>
                    <w:tr2bl w:val="nil"/>
                  </w:tcBorders>
                  <w:noWrap w:val="0"/>
                  <w:vAlign w:val="center"/>
                </w:tcPr>
                <w:p w14:paraId="2A5A3F1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-35</w:t>
                  </w:r>
                </w:p>
              </w:tc>
              <w:tc>
                <w:tcPr>
                  <w:tcW w:w="478" w:type="pct"/>
                  <w:tcBorders>
                    <w:tl2br w:val="nil"/>
                    <w:tr2bl w:val="nil"/>
                  </w:tcBorders>
                  <w:noWrap w:val="0"/>
                  <w:vAlign w:val="center"/>
                </w:tcPr>
                <w:p w14:paraId="68E3D6CC">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default" w:cs="Times New Roman"/>
                      <w:color w:val="auto"/>
                      <w:spacing w:val="4"/>
                      <w:lang w:val="en-US" w:eastAsia="zh-CN"/>
                    </w:rPr>
                    <w:t>湾头街</w:t>
                  </w:r>
                </w:p>
              </w:tc>
              <w:tc>
                <w:tcPr>
                  <w:tcW w:w="414" w:type="pct"/>
                  <w:tcBorders>
                    <w:tl2br w:val="nil"/>
                    <w:tr2bl w:val="nil"/>
                  </w:tcBorders>
                  <w:noWrap w:val="0"/>
                  <w:vAlign w:val="center"/>
                </w:tcPr>
                <w:p w14:paraId="166BCE3E">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3A2D2A12">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10人</w:t>
                  </w:r>
                </w:p>
              </w:tc>
              <w:tc>
                <w:tcPr>
                  <w:tcW w:w="875" w:type="pct"/>
                  <w:vMerge w:val="continue"/>
                  <w:tcBorders>
                    <w:tl2br w:val="nil"/>
                    <w:tr2bl w:val="nil"/>
                  </w:tcBorders>
                  <w:noWrap w:val="0"/>
                  <w:vAlign w:val="center"/>
                </w:tcPr>
                <w:p w14:paraId="49C9FE6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p>
              </w:tc>
              <w:tc>
                <w:tcPr>
                  <w:tcW w:w="437" w:type="pct"/>
                  <w:tcBorders>
                    <w:tl2br w:val="nil"/>
                    <w:tr2bl w:val="nil"/>
                  </w:tcBorders>
                  <w:noWrap w:val="0"/>
                  <w:vAlign w:val="center"/>
                </w:tcPr>
                <w:p w14:paraId="2DDF83A3">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西南</w:t>
                  </w:r>
                </w:p>
              </w:tc>
              <w:tc>
                <w:tcPr>
                  <w:tcW w:w="537" w:type="pct"/>
                  <w:tcBorders>
                    <w:tl2br w:val="nil"/>
                    <w:tr2bl w:val="nil"/>
                  </w:tcBorders>
                  <w:noWrap w:val="0"/>
                  <w:vAlign w:val="center"/>
                </w:tcPr>
                <w:p w14:paraId="6AB4D45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48.2</w:t>
                  </w:r>
                </w:p>
              </w:tc>
              <w:tc>
                <w:tcPr>
                  <w:tcW w:w="547" w:type="pct"/>
                  <w:tcBorders>
                    <w:tl2br w:val="nil"/>
                    <w:tr2bl w:val="nil"/>
                  </w:tcBorders>
                  <w:noWrap w:val="0"/>
                  <w:vAlign w:val="center"/>
                </w:tcPr>
                <w:p w14:paraId="5E822C31">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104.8</w:t>
                  </w:r>
                </w:p>
              </w:tc>
            </w:tr>
            <w:tr w14:paraId="44CF52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vMerge w:val="continue"/>
                  <w:tcBorders>
                    <w:tl2br w:val="nil"/>
                    <w:tr2bl w:val="nil"/>
                  </w:tcBorders>
                  <w:noWrap w:val="0"/>
                  <w:vAlign w:val="center"/>
                </w:tcPr>
                <w:p w14:paraId="5236F6C9">
                  <w:pPr>
                    <w:pStyle w:val="61"/>
                    <w:keepNext w:val="0"/>
                    <w:keepLines w:val="0"/>
                    <w:suppressLineNumbers w:val="0"/>
                    <w:spacing w:before="0" w:beforeAutospacing="0" w:after="0" w:afterAutospacing="0"/>
                    <w:ind w:left="0" w:right="0"/>
                    <w:rPr>
                      <w:rFonts w:hint="default" w:cs="Times New Roman"/>
                      <w:color w:val="auto"/>
                      <w:spacing w:val="4"/>
                    </w:rPr>
                  </w:pPr>
                </w:p>
              </w:tc>
              <w:tc>
                <w:tcPr>
                  <w:tcW w:w="363" w:type="pct"/>
                  <w:tcBorders>
                    <w:tl2br w:val="nil"/>
                    <w:tr2bl w:val="nil"/>
                  </w:tcBorders>
                  <w:noWrap w:val="0"/>
                  <w:vAlign w:val="center"/>
                </w:tcPr>
                <w:p w14:paraId="56E2B598">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-122</w:t>
                  </w:r>
                </w:p>
              </w:tc>
              <w:tc>
                <w:tcPr>
                  <w:tcW w:w="365" w:type="pct"/>
                  <w:tcBorders>
                    <w:tl2br w:val="nil"/>
                    <w:tr2bl w:val="nil"/>
                  </w:tcBorders>
                  <w:noWrap w:val="0"/>
                  <w:vAlign w:val="center"/>
                </w:tcPr>
                <w:p w14:paraId="2D65C21E">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-176</w:t>
                  </w:r>
                </w:p>
              </w:tc>
              <w:tc>
                <w:tcPr>
                  <w:tcW w:w="478" w:type="pct"/>
                  <w:tcBorders>
                    <w:tl2br w:val="nil"/>
                    <w:tr2bl w:val="nil"/>
                  </w:tcBorders>
                  <w:noWrap w:val="0"/>
                  <w:vAlign w:val="center"/>
                </w:tcPr>
                <w:p w14:paraId="4FBA2E2D">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default" w:cs="Times New Roman"/>
                      <w:color w:val="auto"/>
                      <w:spacing w:val="4"/>
                      <w:lang w:val="en-US" w:eastAsia="zh-CN"/>
                    </w:rPr>
                    <w:t>长乐宫</w:t>
                  </w:r>
                </w:p>
              </w:tc>
              <w:tc>
                <w:tcPr>
                  <w:tcW w:w="414" w:type="pct"/>
                  <w:tcBorders>
                    <w:tl2br w:val="nil"/>
                    <w:tr2bl w:val="nil"/>
                  </w:tcBorders>
                  <w:noWrap w:val="0"/>
                  <w:vAlign w:val="center"/>
                </w:tcPr>
                <w:p w14:paraId="677B3A69">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004F4DB0">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70人</w:t>
                  </w:r>
                </w:p>
              </w:tc>
              <w:tc>
                <w:tcPr>
                  <w:tcW w:w="875" w:type="pct"/>
                  <w:vMerge w:val="continue"/>
                  <w:tcBorders>
                    <w:tl2br w:val="nil"/>
                    <w:tr2bl w:val="nil"/>
                  </w:tcBorders>
                  <w:noWrap w:val="0"/>
                  <w:vAlign w:val="center"/>
                </w:tcPr>
                <w:p w14:paraId="6B04868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p>
              </w:tc>
              <w:tc>
                <w:tcPr>
                  <w:tcW w:w="437" w:type="pct"/>
                  <w:tcBorders>
                    <w:tl2br w:val="nil"/>
                    <w:tr2bl w:val="nil"/>
                  </w:tcBorders>
                  <w:noWrap w:val="0"/>
                  <w:vAlign w:val="center"/>
                </w:tcPr>
                <w:p w14:paraId="16E65412">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西南</w:t>
                  </w:r>
                </w:p>
              </w:tc>
              <w:tc>
                <w:tcPr>
                  <w:tcW w:w="537" w:type="pct"/>
                  <w:tcBorders>
                    <w:tl2br w:val="nil"/>
                    <w:tr2bl w:val="nil"/>
                  </w:tcBorders>
                  <w:noWrap w:val="0"/>
                  <w:vAlign w:val="center"/>
                </w:tcPr>
                <w:p w14:paraId="56F35BC3">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195</w:t>
                  </w:r>
                </w:p>
              </w:tc>
              <w:tc>
                <w:tcPr>
                  <w:tcW w:w="547" w:type="pct"/>
                  <w:tcBorders>
                    <w:tl2br w:val="nil"/>
                    <w:tr2bl w:val="nil"/>
                  </w:tcBorders>
                  <w:noWrap w:val="0"/>
                  <w:vAlign w:val="center"/>
                </w:tcPr>
                <w:p w14:paraId="78A460C6">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256</w:t>
                  </w:r>
                </w:p>
              </w:tc>
            </w:tr>
            <w:tr w14:paraId="593210F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tcBorders>
                    <w:tl2br w:val="nil"/>
                    <w:tr2bl w:val="nil"/>
                  </w:tcBorders>
                  <w:noWrap w:val="0"/>
                  <w:vAlign w:val="center"/>
                </w:tcPr>
                <w:p w14:paraId="0B1D63DE">
                  <w:pPr>
                    <w:pStyle w:val="61"/>
                    <w:keepNext w:val="0"/>
                    <w:keepLines w:val="0"/>
                    <w:suppressLineNumbers w:val="0"/>
                    <w:spacing w:before="0" w:beforeAutospacing="0" w:after="0" w:afterAutospacing="0"/>
                    <w:ind w:left="0" w:right="0"/>
                    <w:rPr>
                      <w:rFonts w:hint="default" w:eastAsia="宋体" w:cs="Times New Roman"/>
                      <w:color w:val="auto"/>
                      <w:spacing w:val="4"/>
                      <w:lang w:val="en-US" w:eastAsia="zh-CN"/>
                    </w:rPr>
                  </w:pPr>
                  <w:r>
                    <w:rPr>
                      <w:rFonts w:hint="eastAsia" w:cs="Times New Roman"/>
                      <w:color w:val="auto"/>
                      <w:spacing w:val="4"/>
                      <w:lang w:val="en-US" w:eastAsia="zh-CN"/>
                    </w:rPr>
                    <w:t>地表水</w:t>
                  </w:r>
                </w:p>
              </w:tc>
              <w:tc>
                <w:tcPr>
                  <w:tcW w:w="363" w:type="pct"/>
                  <w:tcBorders>
                    <w:tl2br w:val="nil"/>
                    <w:tr2bl w:val="nil"/>
                  </w:tcBorders>
                  <w:noWrap w:val="0"/>
                  <w:vAlign w:val="center"/>
                </w:tcPr>
                <w:p w14:paraId="1C50650D">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-96</w:t>
                  </w:r>
                </w:p>
              </w:tc>
              <w:tc>
                <w:tcPr>
                  <w:tcW w:w="365" w:type="pct"/>
                  <w:tcBorders>
                    <w:tl2br w:val="nil"/>
                    <w:tr2bl w:val="nil"/>
                  </w:tcBorders>
                  <w:noWrap w:val="0"/>
                  <w:vAlign w:val="center"/>
                </w:tcPr>
                <w:p w14:paraId="06097DF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63</w:t>
                  </w:r>
                </w:p>
              </w:tc>
              <w:tc>
                <w:tcPr>
                  <w:tcW w:w="478" w:type="pct"/>
                  <w:tcBorders>
                    <w:tl2br w:val="nil"/>
                    <w:tr2bl w:val="nil"/>
                  </w:tcBorders>
                  <w:noWrap w:val="0"/>
                  <w:vAlign w:val="center"/>
                </w:tcPr>
                <w:p w14:paraId="60E7D75A">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锦江</w:t>
                  </w:r>
                </w:p>
              </w:tc>
              <w:tc>
                <w:tcPr>
                  <w:tcW w:w="997" w:type="pct"/>
                  <w:gridSpan w:val="2"/>
                  <w:tcBorders>
                    <w:tl2br w:val="nil"/>
                    <w:tr2bl w:val="nil"/>
                  </w:tcBorders>
                  <w:noWrap w:val="0"/>
                  <w:vAlign w:val="center"/>
                </w:tcPr>
                <w:p w14:paraId="6F972B6A">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中河</w:t>
                  </w:r>
                </w:p>
              </w:tc>
              <w:tc>
                <w:tcPr>
                  <w:tcW w:w="875" w:type="pct"/>
                  <w:tcBorders>
                    <w:tl2br w:val="nil"/>
                    <w:tr2bl w:val="nil"/>
                  </w:tcBorders>
                  <w:noWrap w:val="0"/>
                  <w:vAlign w:val="center"/>
                </w:tcPr>
                <w:p w14:paraId="58FD59B0">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（GB3838-2002）中Ⅲ类标准</w:t>
                  </w:r>
                </w:p>
              </w:tc>
              <w:tc>
                <w:tcPr>
                  <w:tcW w:w="437" w:type="pct"/>
                  <w:tcBorders>
                    <w:tl2br w:val="nil"/>
                    <w:tr2bl w:val="nil"/>
                  </w:tcBorders>
                  <w:noWrap w:val="0"/>
                  <w:vAlign w:val="center"/>
                </w:tcPr>
                <w:p w14:paraId="495D6E11">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北</w:t>
                  </w:r>
                </w:p>
              </w:tc>
              <w:tc>
                <w:tcPr>
                  <w:tcW w:w="537" w:type="pct"/>
                  <w:tcBorders>
                    <w:tl2br w:val="nil"/>
                    <w:tr2bl w:val="nil"/>
                  </w:tcBorders>
                  <w:noWrap w:val="0"/>
                  <w:vAlign w:val="center"/>
                </w:tcPr>
                <w:p w14:paraId="3FF6E0C7">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68</w:t>
                  </w:r>
                </w:p>
              </w:tc>
              <w:tc>
                <w:tcPr>
                  <w:tcW w:w="547" w:type="pct"/>
                  <w:tcBorders>
                    <w:tl2br w:val="nil"/>
                    <w:tr2bl w:val="nil"/>
                  </w:tcBorders>
                  <w:noWrap w:val="0"/>
                  <w:vAlign w:val="center"/>
                </w:tcPr>
                <w:p w14:paraId="7A445F8A">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124.6</w:t>
                  </w:r>
                </w:p>
              </w:tc>
            </w:tr>
            <w:tr w14:paraId="17A18F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tcBorders>
                    <w:tl2br w:val="nil"/>
                    <w:tr2bl w:val="nil"/>
                  </w:tcBorders>
                  <w:noWrap w:val="0"/>
                  <w:vAlign w:val="center"/>
                </w:tcPr>
                <w:p w14:paraId="16087FC6">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声环境</w:t>
                  </w:r>
                </w:p>
              </w:tc>
              <w:tc>
                <w:tcPr>
                  <w:tcW w:w="363" w:type="pct"/>
                  <w:tcBorders>
                    <w:tl2br w:val="nil"/>
                    <w:tr2bl w:val="nil"/>
                  </w:tcBorders>
                  <w:noWrap w:val="0"/>
                  <w:vAlign w:val="center"/>
                </w:tcPr>
                <w:p w14:paraId="2AA1D7ED">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35</w:t>
                  </w:r>
                </w:p>
              </w:tc>
              <w:tc>
                <w:tcPr>
                  <w:tcW w:w="365" w:type="pct"/>
                  <w:tcBorders>
                    <w:tl2br w:val="nil"/>
                    <w:tr2bl w:val="nil"/>
                  </w:tcBorders>
                  <w:noWrap w:val="0"/>
                  <w:vAlign w:val="center"/>
                </w:tcPr>
                <w:p w14:paraId="1EE9031F">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-70</w:t>
                  </w:r>
                </w:p>
              </w:tc>
              <w:tc>
                <w:tcPr>
                  <w:tcW w:w="478" w:type="pct"/>
                  <w:tcBorders>
                    <w:tl2br w:val="nil"/>
                    <w:tr2bl w:val="nil"/>
                  </w:tcBorders>
                  <w:noWrap w:val="0"/>
                  <w:vAlign w:val="center"/>
                </w:tcPr>
                <w:p w14:paraId="22086A2C">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钟家村</w:t>
                  </w:r>
                </w:p>
              </w:tc>
              <w:tc>
                <w:tcPr>
                  <w:tcW w:w="414" w:type="pct"/>
                  <w:tcBorders>
                    <w:tl2br w:val="nil"/>
                    <w:tr2bl w:val="nil"/>
                  </w:tcBorders>
                  <w:noWrap w:val="0"/>
                  <w:vAlign w:val="center"/>
                </w:tcPr>
                <w:p w14:paraId="7C6B97C1">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居民</w:t>
                  </w:r>
                </w:p>
              </w:tc>
              <w:tc>
                <w:tcPr>
                  <w:tcW w:w="582" w:type="pct"/>
                  <w:tcBorders>
                    <w:tl2br w:val="nil"/>
                    <w:tr2bl w:val="nil"/>
                  </w:tcBorders>
                  <w:noWrap w:val="0"/>
                  <w:vAlign w:val="center"/>
                </w:tcPr>
                <w:p w14:paraId="2B8C3EC2">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50人</w:t>
                  </w:r>
                </w:p>
              </w:tc>
              <w:tc>
                <w:tcPr>
                  <w:tcW w:w="875" w:type="pct"/>
                  <w:tcBorders>
                    <w:tl2br w:val="nil"/>
                    <w:tr2bl w:val="nil"/>
                  </w:tcBorders>
                  <w:noWrap w:val="0"/>
                  <w:vAlign w:val="center"/>
                </w:tcPr>
                <w:p w14:paraId="60D4ADC6">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eastAsia" w:cs="Times New Roman"/>
                      <w:color w:val="auto"/>
                      <w:spacing w:val="4"/>
                      <w:lang w:val="en-US" w:eastAsia="zh-CN"/>
                    </w:rPr>
                    <w:t>（</w:t>
                  </w:r>
                  <w:r>
                    <w:rPr>
                      <w:rFonts w:hint="default" w:cs="Times New Roman"/>
                      <w:color w:val="auto"/>
                      <w:spacing w:val="4"/>
                      <w:lang w:val="en-US" w:eastAsia="zh-CN"/>
                    </w:rPr>
                    <w:t>GB3096-2008</w:t>
                  </w:r>
                  <w:r>
                    <w:rPr>
                      <w:rFonts w:hint="eastAsia" w:cs="Times New Roman"/>
                      <w:color w:val="auto"/>
                      <w:spacing w:val="4"/>
                      <w:lang w:val="en-US" w:eastAsia="zh-CN"/>
                    </w:rPr>
                    <w:t>）2类</w:t>
                  </w:r>
                </w:p>
              </w:tc>
              <w:tc>
                <w:tcPr>
                  <w:tcW w:w="437" w:type="pct"/>
                  <w:tcBorders>
                    <w:tl2br w:val="nil"/>
                    <w:tr2bl w:val="nil"/>
                  </w:tcBorders>
                  <w:noWrap w:val="0"/>
                  <w:vAlign w:val="center"/>
                </w:tcPr>
                <w:p w14:paraId="688EC9CA">
                  <w:pPr>
                    <w:pStyle w:val="61"/>
                    <w:keepNext w:val="0"/>
                    <w:keepLines w:val="0"/>
                    <w:suppressLineNumbers w:val="0"/>
                    <w:spacing w:before="0" w:beforeAutospacing="0" w:after="0" w:afterAutospacing="0"/>
                    <w:ind w:left="0" w:leftChars="0" w:right="0" w:rightChars="0" w:firstLine="0" w:firstLineChars="0"/>
                    <w:rPr>
                      <w:rFonts w:hint="eastAsia" w:cs="Times New Roman"/>
                      <w:color w:val="auto"/>
                      <w:spacing w:val="4"/>
                      <w:lang w:val="en-US" w:eastAsia="zh-CN"/>
                    </w:rPr>
                  </w:pPr>
                  <w:r>
                    <w:rPr>
                      <w:rFonts w:hint="eastAsia" w:cs="Times New Roman"/>
                      <w:color w:val="auto"/>
                      <w:spacing w:val="4"/>
                      <w:lang w:val="en-US" w:eastAsia="zh-CN"/>
                    </w:rPr>
                    <w:t>东南</w:t>
                  </w:r>
                </w:p>
              </w:tc>
              <w:tc>
                <w:tcPr>
                  <w:tcW w:w="537" w:type="pct"/>
                  <w:tcBorders>
                    <w:tl2br w:val="nil"/>
                    <w:tr2bl w:val="nil"/>
                  </w:tcBorders>
                  <w:noWrap w:val="0"/>
                  <w:vAlign w:val="center"/>
                </w:tcPr>
                <w:p w14:paraId="7CF5C276">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3.1</w:t>
                  </w:r>
                </w:p>
              </w:tc>
              <w:tc>
                <w:tcPr>
                  <w:tcW w:w="547" w:type="pct"/>
                  <w:tcBorders>
                    <w:tl2br w:val="nil"/>
                    <w:tr2bl w:val="nil"/>
                  </w:tcBorders>
                  <w:noWrap w:val="0"/>
                  <w:vAlign w:val="center"/>
                </w:tcPr>
                <w:p w14:paraId="2366C524">
                  <w:pPr>
                    <w:pStyle w:val="61"/>
                    <w:keepNext w:val="0"/>
                    <w:keepLines w:val="0"/>
                    <w:suppressLineNumbers w:val="0"/>
                    <w:spacing w:before="0" w:beforeAutospacing="0" w:after="0" w:afterAutospacing="0"/>
                    <w:ind w:left="0" w:leftChars="0" w:right="0" w:rightChars="0" w:firstLine="0" w:firstLineChars="0"/>
                    <w:rPr>
                      <w:rFonts w:hint="default" w:cs="Times New Roman"/>
                      <w:color w:val="auto"/>
                      <w:spacing w:val="4"/>
                      <w:lang w:val="en-US" w:eastAsia="zh-CN"/>
                    </w:rPr>
                  </w:pPr>
                  <w:r>
                    <w:rPr>
                      <w:rFonts w:hint="eastAsia" w:cs="Times New Roman"/>
                      <w:color w:val="auto"/>
                      <w:spacing w:val="4"/>
                      <w:lang w:val="en-US" w:eastAsia="zh-CN"/>
                    </w:rPr>
                    <w:t>92.1</w:t>
                  </w:r>
                </w:p>
              </w:tc>
            </w:tr>
            <w:tr w14:paraId="233EFF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tcBorders>
                    <w:tl2br w:val="nil"/>
                    <w:tr2bl w:val="nil"/>
                  </w:tcBorders>
                  <w:noWrap w:val="0"/>
                  <w:vAlign w:val="center"/>
                </w:tcPr>
                <w:p w14:paraId="124B7713">
                  <w:pPr>
                    <w:pStyle w:val="61"/>
                    <w:keepNext w:val="0"/>
                    <w:keepLines w:val="0"/>
                    <w:suppressLineNumbers w:val="0"/>
                    <w:spacing w:before="0" w:beforeAutospacing="0" w:after="0" w:afterAutospacing="0"/>
                    <w:ind w:left="0" w:right="0"/>
                    <w:rPr>
                      <w:rFonts w:hint="eastAsia" w:cs="Times New Roman"/>
                      <w:color w:val="auto"/>
                      <w:spacing w:val="4"/>
                      <w:lang w:eastAsia="zh-CN"/>
                    </w:rPr>
                  </w:pPr>
                  <w:r>
                    <w:rPr>
                      <w:rFonts w:hint="eastAsia" w:cs="Times New Roman"/>
                      <w:color w:val="auto"/>
                      <w:spacing w:val="4"/>
                      <w:lang w:eastAsia="zh-CN"/>
                    </w:rPr>
                    <w:t>地下水环境</w:t>
                  </w:r>
                </w:p>
              </w:tc>
              <w:tc>
                <w:tcPr>
                  <w:tcW w:w="4602" w:type="pct"/>
                  <w:gridSpan w:val="9"/>
                  <w:tcBorders>
                    <w:tl2br w:val="nil"/>
                    <w:tr2bl w:val="nil"/>
                  </w:tcBorders>
                  <w:noWrap w:val="0"/>
                  <w:vAlign w:val="center"/>
                </w:tcPr>
                <w:p w14:paraId="3835FBD8">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厂界外500m范围内不存在地下水集中式饮用水水源和热水、矿泉水、温泉等特殊地下水资源。</w:t>
                  </w:r>
                </w:p>
              </w:tc>
            </w:tr>
            <w:tr w14:paraId="4035865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397" w:type="pct"/>
                  <w:tcBorders>
                    <w:tl2br w:val="nil"/>
                    <w:tr2bl w:val="nil"/>
                  </w:tcBorders>
                  <w:noWrap w:val="0"/>
                  <w:vAlign w:val="center"/>
                </w:tcPr>
                <w:p w14:paraId="0389856E">
                  <w:pPr>
                    <w:pStyle w:val="61"/>
                    <w:keepNext w:val="0"/>
                    <w:keepLines w:val="0"/>
                    <w:suppressLineNumbers w:val="0"/>
                    <w:spacing w:before="0" w:beforeAutospacing="0" w:after="0" w:afterAutospacing="0"/>
                    <w:ind w:left="0" w:right="0"/>
                    <w:rPr>
                      <w:rFonts w:hint="eastAsia" w:cs="Times New Roman"/>
                      <w:color w:val="auto"/>
                      <w:spacing w:val="4"/>
                      <w:lang w:eastAsia="zh-CN"/>
                    </w:rPr>
                  </w:pPr>
                  <w:r>
                    <w:rPr>
                      <w:rFonts w:hint="eastAsia" w:cs="Times New Roman"/>
                      <w:color w:val="auto"/>
                      <w:spacing w:val="4"/>
                      <w:lang w:eastAsia="zh-CN"/>
                    </w:rPr>
                    <w:t>生态环境</w:t>
                  </w:r>
                </w:p>
              </w:tc>
              <w:tc>
                <w:tcPr>
                  <w:tcW w:w="4602" w:type="pct"/>
                  <w:gridSpan w:val="9"/>
                  <w:tcBorders>
                    <w:tl2br w:val="nil"/>
                    <w:tr2bl w:val="nil"/>
                  </w:tcBorders>
                  <w:noWrap w:val="0"/>
                  <w:vAlign w:val="center"/>
                </w:tcPr>
                <w:p w14:paraId="63AD669B">
                  <w:pPr>
                    <w:pStyle w:val="61"/>
                    <w:keepNext w:val="0"/>
                    <w:keepLines w:val="0"/>
                    <w:suppressLineNumbers w:val="0"/>
                    <w:spacing w:before="0" w:beforeAutospacing="0" w:after="0" w:afterAutospacing="0"/>
                    <w:ind w:left="0" w:right="0"/>
                    <w:rPr>
                      <w:rFonts w:hint="eastAsia" w:cs="Times New Roman"/>
                      <w:color w:val="auto"/>
                      <w:spacing w:val="4"/>
                      <w:lang w:val="en-US" w:eastAsia="zh-CN"/>
                    </w:rPr>
                  </w:pPr>
                  <w:r>
                    <w:rPr>
                      <w:rFonts w:hint="eastAsia" w:cs="Times New Roman"/>
                      <w:color w:val="auto"/>
                      <w:spacing w:val="4"/>
                      <w:lang w:val="en-US" w:eastAsia="zh-CN"/>
                    </w:rPr>
                    <w:t>项目厂界北侧124.6m处为</w:t>
                  </w:r>
                  <w:r>
                    <w:rPr>
                      <w:rFonts w:hint="eastAsia"/>
                      <w:color w:val="auto"/>
                      <w:lang w:val="en-US" w:eastAsia="zh-CN"/>
                    </w:rPr>
                    <w:t>江西高安锦江国家湿地公园</w:t>
                  </w:r>
                  <w:r>
                    <w:rPr>
                      <w:rFonts w:hint="eastAsia" w:cs="Times New Roman"/>
                      <w:color w:val="auto"/>
                      <w:spacing w:val="4"/>
                      <w:lang w:val="en-US" w:eastAsia="zh-CN"/>
                    </w:rPr>
                    <w:t>。</w:t>
                  </w:r>
                </w:p>
              </w:tc>
            </w:tr>
            <w:tr w14:paraId="1C9218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5000" w:type="pct"/>
                  <w:gridSpan w:val="10"/>
                  <w:tcBorders>
                    <w:tl2br w:val="nil"/>
                    <w:tr2bl w:val="nil"/>
                  </w:tcBorders>
                  <w:noWrap w:val="0"/>
                  <w:vAlign w:val="center"/>
                </w:tcPr>
                <w:p w14:paraId="1DBC6A0C">
                  <w:pPr>
                    <w:pStyle w:val="61"/>
                    <w:keepNext w:val="0"/>
                    <w:keepLines w:val="0"/>
                    <w:suppressLineNumbers w:val="0"/>
                    <w:spacing w:before="0" w:beforeAutospacing="0" w:after="0" w:afterAutospacing="0"/>
                    <w:ind w:left="0" w:right="0"/>
                    <w:rPr>
                      <w:rFonts w:hint="default" w:cs="Times New Roman"/>
                      <w:color w:val="auto"/>
                      <w:spacing w:val="4"/>
                      <w:lang w:val="en-US" w:eastAsia="zh-CN"/>
                    </w:rPr>
                  </w:pPr>
                  <w:r>
                    <w:rPr>
                      <w:rFonts w:hint="default" w:cs="Times New Roman"/>
                      <w:color w:val="auto"/>
                      <w:spacing w:val="4"/>
                      <w:lang w:val="en-US" w:eastAsia="zh-CN"/>
                    </w:rPr>
                    <w:t>以</w:t>
                  </w:r>
                  <w:r>
                    <w:rPr>
                      <w:rFonts w:hint="eastAsia" w:cs="Times New Roman"/>
                      <w:color w:val="auto"/>
                      <w:spacing w:val="4"/>
                      <w:lang w:val="en-US" w:eastAsia="zh-CN"/>
                    </w:rPr>
                    <w:t>技改</w:t>
                  </w:r>
                  <w:r>
                    <w:rPr>
                      <w:rFonts w:hint="default" w:cs="Times New Roman"/>
                      <w:color w:val="auto"/>
                      <w:spacing w:val="4"/>
                      <w:lang w:val="en-US" w:eastAsia="zh-CN"/>
                    </w:rPr>
                    <w:t>项目</w:t>
                  </w:r>
                  <w:r>
                    <w:rPr>
                      <w:rFonts w:hint="eastAsia" w:cs="Times New Roman"/>
                      <w:color w:val="auto"/>
                      <w:spacing w:val="4"/>
                      <w:lang w:val="en-US" w:eastAsia="zh-CN"/>
                    </w:rPr>
                    <w:t>车间</w:t>
                  </w:r>
                  <w:r>
                    <w:rPr>
                      <w:rFonts w:hint="default" w:cs="Times New Roman"/>
                      <w:color w:val="auto"/>
                      <w:spacing w:val="4"/>
                      <w:lang w:val="en-US" w:eastAsia="zh-CN"/>
                    </w:rPr>
                    <w:t>最</w:t>
                  </w:r>
                  <w:r>
                    <w:rPr>
                      <w:rFonts w:hint="eastAsia" w:cs="Times New Roman"/>
                      <w:color w:val="auto"/>
                      <w:spacing w:val="4"/>
                      <w:lang w:val="en-US" w:eastAsia="zh-CN"/>
                    </w:rPr>
                    <w:t>南</w:t>
                  </w:r>
                  <w:r>
                    <w:rPr>
                      <w:rFonts w:hint="default" w:cs="Times New Roman"/>
                      <w:color w:val="auto"/>
                      <w:spacing w:val="4"/>
                      <w:lang w:val="en-US" w:eastAsia="zh-CN"/>
                    </w:rPr>
                    <w:t>侧为原点坐标（0</w:t>
                  </w:r>
                  <w:r>
                    <w:rPr>
                      <w:rFonts w:hint="eastAsia" w:cs="Times New Roman"/>
                      <w:color w:val="auto"/>
                      <w:spacing w:val="4"/>
                      <w:lang w:val="en-US" w:eastAsia="zh-CN"/>
                    </w:rPr>
                    <w:t>，</w:t>
                  </w:r>
                  <w:r>
                    <w:rPr>
                      <w:rFonts w:hint="default" w:cs="Times New Roman"/>
                      <w:color w:val="auto"/>
                      <w:spacing w:val="4"/>
                      <w:lang w:val="en-US" w:eastAsia="zh-CN"/>
                    </w:rPr>
                    <w:t>0）</w:t>
                  </w:r>
                  <w:r>
                    <w:rPr>
                      <w:rFonts w:hint="eastAsia" w:cs="Times New Roman"/>
                      <w:color w:val="auto"/>
                      <w:spacing w:val="4"/>
                      <w:lang w:val="en-US" w:eastAsia="zh-CN"/>
                    </w:rPr>
                    <w:t>，</w:t>
                  </w:r>
                  <w:r>
                    <w:rPr>
                      <w:rFonts w:hint="default" w:cs="Times New Roman"/>
                      <w:color w:val="auto"/>
                      <w:spacing w:val="4"/>
                      <w:lang w:val="en-US" w:eastAsia="zh-CN"/>
                    </w:rPr>
                    <w:t>正东X轴为正方向</w:t>
                  </w:r>
                  <w:r>
                    <w:rPr>
                      <w:rFonts w:hint="eastAsia" w:cs="Times New Roman"/>
                      <w:color w:val="auto"/>
                      <w:spacing w:val="4"/>
                      <w:lang w:val="en-US" w:eastAsia="zh-CN"/>
                    </w:rPr>
                    <w:t>，</w:t>
                  </w:r>
                  <w:r>
                    <w:rPr>
                      <w:rFonts w:hint="default" w:cs="Times New Roman"/>
                      <w:color w:val="auto"/>
                      <w:spacing w:val="4"/>
                      <w:lang w:val="en-US" w:eastAsia="zh-CN"/>
                    </w:rPr>
                    <w:t>正北Y轴为正方向建立直角坐标系给对应坐标</w:t>
                  </w:r>
                  <w:r>
                    <w:rPr>
                      <w:rFonts w:hint="eastAsia" w:cs="Times New Roman"/>
                      <w:color w:val="auto"/>
                      <w:spacing w:val="4"/>
                      <w:lang w:val="en-US" w:eastAsia="zh-CN"/>
                    </w:rPr>
                    <w:t>，</w:t>
                  </w:r>
                  <w:r>
                    <w:rPr>
                      <w:rFonts w:hint="default" w:cs="Times New Roman"/>
                      <w:color w:val="auto"/>
                      <w:spacing w:val="4"/>
                      <w:lang w:val="en-US" w:eastAsia="zh-CN"/>
                    </w:rPr>
                    <w:t>X、Y坐标原点的经纬度为</w:t>
                  </w:r>
                  <w:r>
                    <w:rPr>
                      <w:rFonts w:hint="eastAsia" w:cs="Times New Roman"/>
                      <w:color w:val="auto"/>
                      <w:spacing w:val="4"/>
                      <w:lang w:val="en-US" w:eastAsia="zh-CN"/>
                    </w:rPr>
                    <w:t>（经度115度28分9.606秒，纬度28度25分35.226秒）</w:t>
                  </w:r>
                </w:p>
              </w:tc>
            </w:tr>
          </w:tbl>
          <w:p w14:paraId="23C42732">
            <w:pPr>
              <w:pStyle w:val="78"/>
              <w:keepNext w:val="0"/>
              <w:keepLines w:val="0"/>
              <w:suppressLineNumbers w:val="0"/>
              <w:bidi w:val="0"/>
              <w:spacing w:before="0" w:beforeAutospacing="0" w:after="0" w:afterAutospacing="0"/>
              <w:ind w:left="0" w:right="0"/>
              <w:jc w:val="both"/>
              <w:rPr>
                <w:rFonts w:hint="eastAsia" w:ascii="宋体" w:hAnsi="宋体" w:cs="宋体"/>
                <w:color w:val="auto"/>
                <w:kern w:val="0"/>
                <w:szCs w:val="21"/>
              </w:rPr>
            </w:pPr>
          </w:p>
        </w:tc>
      </w:tr>
      <w:tr w14:paraId="0797A8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50" w:type="pct"/>
            <w:noWrap w:val="0"/>
            <w:tcMar>
              <w:left w:w="28" w:type="dxa"/>
              <w:right w:w="28" w:type="dxa"/>
            </w:tcMar>
            <w:vAlign w:val="center"/>
          </w:tcPr>
          <w:p w14:paraId="5AD534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cs="Times New Roman"/>
                <w:color w:val="auto"/>
              </w:rPr>
            </w:pPr>
            <w:r>
              <w:rPr>
                <w:rFonts w:hint="eastAsia" w:ascii="宋体" w:hAnsi="宋体" w:cs="宋体"/>
                <w:color w:val="auto"/>
                <w:kern w:val="0"/>
                <w:szCs w:val="21"/>
              </w:rPr>
              <w:t>污</w:t>
            </w:r>
            <w:r>
              <w:rPr>
                <w:rFonts w:hint="eastAsia" w:cs="Times New Roman"/>
                <w:color w:val="auto"/>
              </w:rPr>
              <w:t>染物</w:t>
            </w:r>
          </w:p>
          <w:p w14:paraId="544D71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cs="Times New Roman"/>
                <w:color w:val="auto"/>
              </w:rPr>
            </w:pPr>
            <w:r>
              <w:rPr>
                <w:rFonts w:hint="eastAsia" w:cs="Times New Roman"/>
                <w:color w:val="auto"/>
              </w:rPr>
              <w:t>排放控制标准</w:t>
            </w:r>
          </w:p>
          <w:p w14:paraId="1DFD61C5">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48B8BBDA">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405949AE">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4302B736">
            <w:pPr>
              <w:keepNext w:val="0"/>
              <w:keepLines w:val="0"/>
              <w:suppressLineNumbers w:val="0"/>
              <w:adjustRightInd w:val="0"/>
              <w:snapToGrid w:val="0"/>
              <w:spacing w:before="0" w:beforeAutospacing="0" w:after="0" w:afterAutospacing="0"/>
              <w:ind w:left="0" w:right="0"/>
              <w:jc w:val="both"/>
              <w:rPr>
                <w:rFonts w:hint="eastAsia" w:ascii="宋体" w:hAnsi="宋体" w:cs="宋体"/>
                <w:color w:val="auto"/>
                <w:kern w:val="0"/>
                <w:szCs w:val="21"/>
              </w:rPr>
            </w:pPr>
          </w:p>
        </w:tc>
        <w:tc>
          <w:tcPr>
            <w:tcW w:w="4750" w:type="pct"/>
            <w:noWrap w:val="0"/>
            <w:vAlign w:val="center"/>
          </w:tcPr>
          <w:p w14:paraId="1158DEAF">
            <w:pPr>
              <w:pStyle w:val="78"/>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1、废水</w:t>
            </w:r>
          </w:p>
          <w:p w14:paraId="304FFBBA">
            <w:pPr>
              <w:pStyle w:val="83"/>
              <w:keepNext w:val="0"/>
              <w:keepLines w:val="0"/>
              <w:widowControl/>
              <w:suppressLineNumbers w:val="0"/>
              <w:spacing w:before="0" w:beforeAutospacing="0" w:after="0" w:afterAutospacing="0"/>
              <w:ind w:left="0" w:right="0" w:firstLine="480"/>
              <w:rPr>
                <w:rFonts w:hint="eastAsia"/>
                <w:color w:val="auto"/>
              </w:rPr>
            </w:pPr>
            <w:r>
              <w:rPr>
                <w:rFonts w:hint="default"/>
                <w:color w:val="auto"/>
                <w:lang w:val="en-US" w:eastAsia="zh-CN"/>
              </w:rPr>
              <w:t>水环真空泵</w:t>
            </w:r>
            <w:r>
              <w:rPr>
                <w:rFonts w:hint="eastAsia"/>
                <w:color w:val="auto"/>
                <w:lang w:val="en-US" w:eastAsia="zh-CN"/>
              </w:rPr>
              <w:t>、生活污</w:t>
            </w:r>
            <w:r>
              <w:rPr>
                <w:rFonts w:hint="eastAsia"/>
                <w:color w:val="auto"/>
              </w:rPr>
              <w:t>水</w:t>
            </w:r>
            <w:r>
              <w:rPr>
                <w:rFonts w:hint="eastAsia"/>
                <w:color w:val="auto"/>
                <w:lang w:val="en-US" w:eastAsia="zh-CN"/>
              </w:rPr>
              <w:t>经污水处理站处理</w:t>
            </w:r>
            <w:r>
              <w:rPr>
                <w:rFonts w:hint="eastAsia"/>
                <w:color w:val="auto"/>
              </w:rPr>
              <w:t>达到</w:t>
            </w:r>
            <w:r>
              <w:rPr>
                <w:rFonts w:hint="eastAsia"/>
                <w:color w:val="auto"/>
                <w:lang w:eastAsia="zh-CN"/>
              </w:rPr>
              <w:t>《淀粉工业水污染物排放标准》（GB 25461-2010）中表2直接排放标准限值</w:t>
            </w:r>
            <w:r>
              <w:rPr>
                <w:rFonts w:hint="eastAsia"/>
                <w:color w:val="auto"/>
                <w:lang w:val="en-US" w:eastAsia="zh-CN"/>
              </w:rPr>
              <w:t>后直接排入锦江</w:t>
            </w:r>
            <w:r>
              <w:rPr>
                <w:rFonts w:hint="eastAsia"/>
                <w:color w:val="auto"/>
                <w:lang w:eastAsia="zh-CN"/>
              </w:rPr>
              <w:t>，</w:t>
            </w:r>
            <w:r>
              <w:rPr>
                <w:rFonts w:hint="eastAsia"/>
                <w:color w:val="auto"/>
                <w:lang w:val="en-US" w:eastAsia="zh-CN"/>
              </w:rPr>
              <w:t>项目废水排放标准如下</w:t>
            </w:r>
            <w:r>
              <w:rPr>
                <w:rFonts w:hint="eastAsia"/>
                <w:color w:val="auto"/>
              </w:rPr>
              <w:t>。</w:t>
            </w:r>
          </w:p>
          <w:p w14:paraId="28C91D1D">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zh-CN" w:eastAsia="zh-CN" w:bidi="ar-SA"/>
              </w:rPr>
            </w:pPr>
            <w:r>
              <w:rPr>
                <w:rFonts w:hint="default" w:ascii="Times New Roman" w:hAnsi="Times New Roman" w:eastAsia="宋体" w:cs="Times New Roman"/>
                <w:b/>
                <w:color w:val="auto"/>
                <w:kern w:val="0"/>
                <w:sz w:val="24"/>
                <w:szCs w:val="24"/>
                <w:lang w:val="zh-CN" w:eastAsia="zh-CN" w:bidi="ar-SA"/>
              </w:rPr>
              <w:t xml:space="preserve">表3-5 </w:t>
            </w:r>
            <w:r>
              <w:rPr>
                <w:rFonts w:hint="eastAsia" w:ascii="Times New Roman" w:hAnsi="Times New Roman" w:eastAsia="宋体" w:cs="Times New Roman"/>
                <w:b/>
                <w:color w:val="auto"/>
                <w:kern w:val="0"/>
                <w:sz w:val="24"/>
                <w:szCs w:val="24"/>
                <w:lang w:val="zh-CN" w:eastAsia="zh-CN" w:bidi="ar-SA"/>
              </w:rPr>
              <w:t>废水排放标准</w:t>
            </w:r>
            <w:r>
              <w:rPr>
                <w:rFonts w:hint="default" w:ascii="Times New Roman" w:hAnsi="Times New Roman" w:eastAsia="宋体" w:cs="Times New Roman"/>
                <w:b/>
                <w:color w:val="auto"/>
                <w:kern w:val="0"/>
                <w:sz w:val="24"/>
                <w:szCs w:val="24"/>
                <w:lang w:val="zh-CN" w:eastAsia="zh-CN" w:bidi="ar-SA"/>
              </w:rPr>
              <w:t>（单位：mg/L，pH无量纲）</w:t>
            </w:r>
          </w:p>
          <w:tbl>
            <w:tblPr>
              <w:tblStyle w:val="29"/>
              <w:tblW w:w="7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646"/>
              <w:gridCol w:w="877"/>
              <w:gridCol w:w="785"/>
              <w:gridCol w:w="727"/>
              <w:gridCol w:w="623"/>
              <w:gridCol w:w="645"/>
              <w:gridCol w:w="838"/>
            </w:tblGrid>
            <w:tr w14:paraId="2791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735" w:type="pct"/>
                  <w:tcBorders>
                    <w:tl2br w:val="nil"/>
                    <w:tr2bl w:val="nil"/>
                  </w:tcBorders>
                  <w:vAlign w:val="center"/>
                </w:tcPr>
                <w:p w14:paraId="33CF614F">
                  <w:pPr>
                    <w:pStyle w:val="58"/>
                    <w:keepNext w:val="0"/>
                    <w:keepLines w:val="0"/>
                    <w:suppressLineNumbers w:val="0"/>
                    <w:spacing w:before="0" w:beforeAutospacing="0" w:after="0" w:afterAutospacing="0"/>
                    <w:ind w:left="0" w:right="0"/>
                    <w:rPr>
                      <w:rFonts w:hint="default"/>
                      <w:color w:val="auto"/>
                    </w:rPr>
                  </w:pPr>
                  <w:r>
                    <w:rPr>
                      <w:rFonts w:hint="eastAsia"/>
                      <w:color w:val="auto"/>
                    </w:rPr>
                    <w:t>项目</w:t>
                  </w:r>
                </w:p>
              </w:tc>
              <w:tc>
                <w:tcPr>
                  <w:tcW w:w="410" w:type="pct"/>
                  <w:tcBorders>
                    <w:tl2br w:val="nil"/>
                    <w:tr2bl w:val="nil"/>
                  </w:tcBorders>
                  <w:vAlign w:val="center"/>
                </w:tcPr>
                <w:p w14:paraId="2D3581F1">
                  <w:pPr>
                    <w:pStyle w:val="58"/>
                    <w:keepNext w:val="0"/>
                    <w:keepLines w:val="0"/>
                    <w:suppressLineNumbers w:val="0"/>
                    <w:spacing w:before="0" w:beforeAutospacing="0" w:after="0" w:afterAutospacing="0"/>
                    <w:ind w:left="0" w:right="0"/>
                    <w:rPr>
                      <w:rFonts w:hint="default"/>
                      <w:color w:val="auto"/>
                    </w:rPr>
                  </w:pPr>
                  <w:r>
                    <w:rPr>
                      <w:rFonts w:hint="eastAsia"/>
                      <w:color w:val="auto"/>
                    </w:rPr>
                    <w:t>pH</w:t>
                  </w:r>
                </w:p>
              </w:tc>
              <w:tc>
                <w:tcPr>
                  <w:tcW w:w="556" w:type="pct"/>
                  <w:tcBorders>
                    <w:tl2br w:val="nil"/>
                    <w:tr2bl w:val="nil"/>
                  </w:tcBorders>
                  <w:vAlign w:val="center"/>
                </w:tcPr>
                <w:p w14:paraId="58987067">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498" w:type="pct"/>
                  <w:tcBorders>
                    <w:tl2br w:val="nil"/>
                    <w:tr2bl w:val="nil"/>
                  </w:tcBorders>
                  <w:vAlign w:val="center"/>
                </w:tcPr>
                <w:p w14:paraId="79CC2FD5">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rPr>
                  </w:pPr>
                  <w:r>
                    <w:rPr>
                      <w:rFonts w:hint="eastAsia" w:cs="Times New Roman"/>
                      <w:color w:val="auto"/>
                      <w:lang w:val="en-US" w:eastAsia="zh-CN"/>
                    </w:rPr>
                    <w:t>BOD</w:t>
                  </w:r>
                  <w:r>
                    <w:rPr>
                      <w:rFonts w:hint="eastAsia" w:cs="Times New Roman"/>
                      <w:color w:val="auto"/>
                      <w:vertAlign w:val="subscript"/>
                      <w:lang w:val="en-US" w:eastAsia="zh-CN"/>
                    </w:rPr>
                    <w:t>5</w:t>
                  </w:r>
                </w:p>
              </w:tc>
              <w:tc>
                <w:tcPr>
                  <w:tcW w:w="461" w:type="pct"/>
                  <w:tcBorders>
                    <w:tl2br w:val="nil"/>
                    <w:tr2bl w:val="nil"/>
                  </w:tcBorders>
                  <w:vAlign w:val="center"/>
                </w:tcPr>
                <w:p w14:paraId="45BC0D6D">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SS</w:t>
                  </w:r>
                </w:p>
              </w:tc>
              <w:tc>
                <w:tcPr>
                  <w:tcW w:w="395" w:type="pct"/>
                  <w:tcBorders>
                    <w:tl2br w:val="nil"/>
                    <w:tr2bl w:val="nil"/>
                  </w:tcBorders>
                  <w:vAlign w:val="center"/>
                </w:tcPr>
                <w:p w14:paraId="78697DF4">
                  <w:pPr>
                    <w:pStyle w:val="5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TP</w:t>
                  </w:r>
                </w:p>
              </w:tc>
              <w:tc>
                <w:tcPr>
                  <w:tcW w:w="409" w:type="pct"/>
                  <w:tcBorders>
                    <w:tl2br w:val="nil"/>
                    <w:tr2bl w:val="nil"/>
                  </w:tcBorders>
                  <w:vAlign w:val="center"/>
                </w:tcPr>
                <w:p w14:paraId="6C8B79F9">
                  <w:pPr>
                    <w:pStyle w:val="5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TN</w:t>
                  </w:r>
                </w:p>
              </w:tc>
              <w:tc>
                <w:tcPr>
                  <w:tcW w:w="532" w:type="pct"/>
                  <w:tcBorders>
                    <w:tl2br w:val="nil"/>
                    <w:tr2bl w:val="nil"/>
                  </w:tcBorders>
                  <w:vAlign w:val="center"/>
                </w:tcPr>
                <w:p w14:paraId="47EA36A0">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r>
            <w:tr w14:paraId="775F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735" w:type="pct"/>
                  <w:tcBorders>
                    <w:tl2br w:val="nil"/>
                    <w:tr2bl w:val="nil"/>
                  </w:tcBorders>
                  <w:vAlign w:val="center"/>
                </w:tcPr>
                <w:p w14:paraId="68C9B3C9">
                  <w:pPr>
                    <w:pStyle w:val="58"/>
                    <w:keepNext w:val="0"/>
                    <w:keepLines w:val="0"/>
                    <w:suppressLineNumbers w:val="0"/>
                    <w:spacing w:before="0" w:beforeAutospacing="0" w:after="0" w:afterAutospacing="0"/>
                    <w:ind w:left="0" w:right="0"/>
                    <w:rPr>
                      <w:rFonts w:hint="eastAsia" w:eastAsia="宋体"/>
                      <w:color w:val="auto"/>
                      <w:lang w:eastAsia="zh-CN"/>
                    </w:rPr>
                  </w:pPr>
                  <w:r>
                    <w:rPr>
                      <w:rFonts w:hint="eastAsia"/>
                      <w:color w:val="auto"/>
                      <w:szCs w:val="21"/>
                      <w:lang w:eastAsia="zh-CN"/>
                    </w:rPr>
                    <w:t>《淀粉工业水污染物排放标准》（GB 25461-2010）中表2直接排放标准限值</w:t>
                  </w:r>
                </w:p>
              </w:tc>
              <w:tc>
                <w:tcPr>
                  <w:tcW w:w="410" w:type="pct"/>
                  <w:tcBorders>
                    <w:tl2br w:val="nil"/>
                    <w:tr2bl w:val="nil"/>
                  </w:tcBorders>
                  <w:vAlign w:val="center"/>
                </w:tcPr>
                <w:p w14:paraId="722753E7">
                  <w:pPr>
                    <w:pStyle w:val="58"/>
                    <w:keepNext w:val="0"/>
                    <w:keepLines w:val="0"/>
                    <w:suppressLineNumbers w:val="0"/>
                    <w:spacing w:before="0" w:beforeAutospacing="0" w:after="0" w:afterAutospacing="0"/>
                    <w:ind w:left="0" w:right="0"/>
                    <w:rPr>
                      <w:rFonts w:hint="default"/>
                      <w:color w:val="auto"/>
                    </w:rPr>
                  </w:pPr>
                  <w:r>
                    <w:rPr>
                      <w:rFonts w:hint="eastAsia"/>
                      <w:color w:val="auto"/>
                    </w:rPr>
                    <w:t>6~9</w:t>
                  </w:r>
                </w:p>
              </w:tc>
              <w:tc>
                <w:tcPr>
                  <w:tcW w:w="556" w:type="pct"/>
                  <w:tcBorders>
                    <w:tl2br w:val="nil"/>
                    <w:tr2bl w:val="nil"/>
                  </w:tcBorders>
                  <w:vAlign w:val="center"/>
                </w:tcPr>
                <w:p w14:paraId="61769948">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498" w:type="pct"/>
                  <w:tcBorders>
                    <w:tl2br w:val="nil"/>
                    <w:tr2bl w:val="nil"/>
                  </w:tcBorders>
                  <w:vAlign w:val="center"/>
                </w:tcPr>
                <w:p w14:paraId="0C154F42">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461" w:type="pct"/>
                  <w:tcBorders>
                    <w:tl2br w:val="nil"/>
                    <w:tr2bl w:val="nil"/>
                  </w:tcBorders>
                  <w:vAlign w:val="center"/>
                </w:tcPr>
                <w:p w14:paraId="33A797B7">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30</w:t>
                  </w:r>
                </w:p>
              </w:tc>
              <w:tc>
                <w:tcPr>
                  <w:tcW w:w="395" w:type="pct"/>
                  <w:tcBorders>
                    <w:tl2br w:val="nil"/>
                    <w:tr2bl w:val="nil"/>
                  </w:tcBorders>
                  <w:vAlign w:val="center"/>
                </w:tcPr>
                <w:p w14:paraId="693E8767">
                  <w:pPr>
                    <w:pStyle w:val="5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cs="Times New Roman"/>
                      <w:color w:val="auto"/>
                      <w:lang w:val="en-US" w:eastAsia="zh-CN"/>
                    </w:rPr>
                    <w:t>1</w:t>
                  </w:r>
                </w:p>
              </w:tc>
              <w:tc>
                <w:tcPr>
                  <w:tcW w:w="409" w:type="pct"/>
                  <w:tcBorders>
                    <w:tl2br w:val="nil"/>
                    <w:tr2bl w:val="nil"/>
                  </w:tcBorders>
                  <w:vAlign w:val="center"/>
                </w:tcPr>
                <w:p w14:paraId="20F76F3A">
                  <w:pPr>
                    <w:pStyle w:val="58"/>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30</w:t>
                  </w:r>
                </w:p>
              </w:tc>
              <w:tc>
                <w:tcPr>
                  <w:tcW w:w="532" w:type="pct"/>
                  <w:tcBorders>
                    <w:tl2br w:val="nil"/>
                    <w:tr2bl w:val="nil"/>
                  </w:tcBorders>
                  <w:vAlign w:val="center"/>
                </w:tcPr>
                <w:p w14:paraId="7F64F8CA">
                  <w:pPr>
                    <w:pStyle w:val="58"/>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r>
          </w:tbl>
          <w:p w14:paraId="0F2E45E8">
            <w:pPr>
              <w:pStyle w:val="83"/>
              <w:keepNext w:val="0"/>
              <w:keepLines w:val="0"/>
              <w:widowControl/>
              <w:suppressLineNumbers w:val="0"/>
              <w:spacing w:before="0" w:beforeAutospacing="0" w:after="0" w:afterAutospacing="0"/>
              <w:ind w:left="0" w:right="0" w:firstLine="480"/>
              <w:rPr>
                <w:rFonts w:hint="eastAsia"/>
                <w:color w:val="auto"/>
              </w:rPr>
            </w:pPr>
            <w:r>
              <w:rPr>
                <w:rFonts w:hint="eastAsia"/>
                <w:color w:val="auto"/>
              </w:rPr>
              <w:t>2、废气</w:t>
            </w:r>
          </w:p>
          <w:p w14:paraId="5C40A667">
            <w:pPr>
              <w:pStyle w:val="83"/>
              <w:keepNext w:val="0"/>
              <w:keepLines w:val="0"/>
              <w:widowControl/>
              <w:suppressLineNumbers w:val="0"/>
              <w:spacing w:before="0" w:beforeAutospacing="0" w:after="0" w:afterAutospacing="0"/>
              <w:ind w:left="0" w:right="0" w:firstLine="480"/>
              <w:jc w:val="both"/>
              <w:rPr>
                <w:rFonts w:hint="default" w:eastAsia="宋体"/>
                <w:color w:val="auto"/>
                <w:lang w:val="en-US" w:eastAsia="zh-CN"/>
              </w:rPr>
            </w:pPr>
            <w:r>
              <w:rPr>
                <w:rFonts w:hint="eastAsia"/>
                <w:color w:val="auto"/>
              </w:rPr>
              <w:t>项目运营期产生的大气污染物主要为</w:t>
            </w:r>
            <w:r>
              <w:rPr>
                <w:rFonts w:hint="eastAsia"/>
                <w:color w:val="auto"/>
                <w:lang w:val="en-US" w:eastAsia="zh-CN"/>
              </w:rPr>
              <w:t>上料、</w:t>
            </w:r>
            <w:r>
              <w:rPr>
                <w:rFonts w:hint="eastAsia"/>
                <w:color w:val="auto"/>
              </w:rPr>
              <w:t>破碎工序产生的粉尘</w:t>
            </w:r>
            <w:r>
              <w:rPr>
                <w:rFonts w:hint="eastAsia"/>
                <w:color w:val="auto"/>
                <w:lang w:val="en-US" w:eastAsia="zh-CN"/>
              </w:rPr>
              <w:t>以及冷凝、沉淀、过滤产生的挥发性有机物、锅炉烟气，</w:t>
            </w:r>
            <w:r>
              <w:rPr>
                <w:rFonts w:hint="eastAsia"/>
                <w:color w:val="auto"/>
              </w:rPr>
              <w:t>锅炉烟气</w:t>
            </w:r>
            <w:r>
              <w:rPr>
                <w:rFonts w:hint="default"/>
                <w:color w:val="auto"/>
              </w:rPr>
              <w:t>执行</w:t>
            </w:r>
            <w:r>
              <w:rPr>
                <w:rFonts w:hint="eastAsia"/>
                <w:color w:val="auto"/>
                <w:lang w:eastAsia="zh-CN"/>
              </w:rPr>
              <w:t>《锅炉大气污染物排放标准》（GB13271-2014）表2燃煤锅炉最高允许排放浓度</w:t>
            </w:r>
            <w:r>
              <w:rPr>
                <w:rFonts w:hint="eastAsia"/>
                <w:color w:val="auto"/>
                <w:lang w:val="en-US" w:eastAsia="zh-CN"/>
              </w:rPr>
              <w:t>，</w:t>
            </w:r>
            <w:r>
              <w:rPr>
                <w:rFonts w:hint="default"/>
                <w:color w:val="auto"/>
                <w:lang w:val="en-US" w:eastAsia="zh-CN"/>
              </w:rPr>
              <w:t>颗粒物排放执行《大气污染物综合排放标准》（GB16297-1996）排放标准</w:t>
            </w:r>
            <w:r>
              <w:rPr>
                <w:rFonts w:hint="eastAsia"/>
                <w:color w:val="auto"/>
                <w:lang w:val="en-US" w:eastAsia="zh-CN"/>
              </w:rPr>
              <w:t>，TVOC</w:t>
            </w:r>
            <w:r>
              <w:rPr>
                <w:rFonts w:hint="eastAsia"/>
                <w:color w:val="auto"/>
                <w:lang w:eastAsia="zh-CN"/>
              </w:rPr>
              <w:t>（</w:t>
            </w:r>
            <w:r>
              <w:rPr>
                <w:rFonts w:hint="eastAsia"/>
                <w:color w:val="auto"/>
                <w:lang w:val="en-US" w:eastAsia="zh-CN"/>
              </w:rPr>
              <w:t>乙醇以TVOC表征</w:t>
            </w:r>
            <w:r>
              <w:rPr>
                <w:rFonts w:hint="eastAsia"/>
                <w:color w:val="auto"/>
                <w:lang w:eastAsia="zh-CN"/>
              </w:rPr>
              <w:t>）</w:t>
            </w:r>
            <w:r>
              <w:rPr>
                <w:rFonts w:hint="default"/>
                <w:color w:val="auto"/>
                <w:lang w:val="en-US" w:eastAsia="zh-CN"/>
              </w:rPr>
              <w:t>排放</w:t>
            </w:r>
            <w:r>
              <w:rPr>
                <w:rFonts w:hint="eastAsia" w:cs="Times New Roman"/>
                <w:color w:val="auto"/>
                <w:lang w:val="en-US" w:eastAsia="zh-CN"/>
              </w:rPr>
              <w:t>执行《挥发性有机物综合排放控制标准（试行）》（DB36/2186-2025）（2026年07月01实施）</w:t>
            </w:r>
            <w:r>
              <w:rPr>
                <w:rFonts w:hint="eastAsia"/>
                <w:color w:val="auto"/>
                <w:lang w:val="en-US" w:eastAsia="zh-CN"/>
              </w:rPr>
              <w:t>，详细见下表；</w:t>
            </w:r>
          </w:p>
          <w:p w14:paraId="6F9CB1D1">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 xml:space="preserve">表3-6 </w:t>
            </w:r>
            <w:r>
              <w:rPr>
                <w:rFonts w:hint="default" w:ascii="Times New Roman" w:hAnsi="Times New Roman" w:eastAsia="宋体" w:cs="Times New Roman"/>
                <w:b/>
                <w:color w:val="auto"/>
                <w:kern w:val="0"/>
                <w:sz w:val="24"/>
                <w:szCs w:val="24"/>
                <w:lang w:val="zh-CN" w:eastAsia="zh-CN" w:bidi="ar-SA"/>
              </w:rPr>
              <w:t>大气污染物综合排放限值</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870"/>
              <w:gridCol w:w="1035"/>
              <w:gridCol w:w="959"/>
              <w:gridCol w:w="1815"/>
              <w:gridCol w:w="2348"/>
            </w:tblGrid>
            <w:tr w14:paraId="747FE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E0B57DD">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物质名称</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3AAE2BA">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排气筒高度</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01C3766">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排放浓度mg/</w:t>
                  </w:r>
                  <w:r>
                    <w:rPr>
                      <w:rFonts w:hint="default"/>
                      <w:color w:val="auto"/>
                      <w:lang w:val="en-US" w:eastAsia="zh-CN"/>
                    </w:rPr>
                    <w:t>m</w:t>
                  </w:r>
                  <w:r>
                    <w:rPr>
                      <w:rFonts w:hint="default"/>
                      <w:color w:val="auto"/>
                      <w:vertAlign w:val="superscript"/>
                      <w:lang w:val="en-US" w:eastAsia="zh-CN"/>
                    </w:rPr>
                    <w:t>3</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6EED327">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排放速率kg/h</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9CC1725">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无组织排放监控</w:t>
                  </w:r>
                  <w:r>
                    <w:rPr>
                      <w:rFonts w:hint="eastAsia" w:cs="Times New Roman"/>
                      <w:color w:val="auto"/>
                      <w:lang w:val="en-US" w:eastAsia="zh-CN"/>
                    </w:rPr>
                    <w:t>浓度</w:t>
                  </w:r>
                  <w:r>
                    <w:rPr>
                      <w:rFonts w:hint="eastAsia" w:eastAsia="宋体" w:cs="Times New Roman"/>
                      <w:color w:val="auto"/>
                      <w:lang w:val="en-US" w:eastAsia="zh-CN"/>
                    </w:rPr>
                    <w:t>限值mg/</w:t>
                  </w:r>
                  <w:r>
                    <w:rPr>
                      <w:rFonts w:hint="default"/>
                      <w:color w:val="auto"/>
                      <w:lang w:val="en-US" w:eastAsia="zh-CN"/>
                    </w:rPr>
                    <w:t>m</w:t>
                  </w:r>
                  <w:r>
                    <w:rPr>
                      <w:rFonts w:hint="default"/>
                      <w:color w:val="auto"/>
                      <w:vertAlign w:val="superscript"/>
                      <w:lang w:val="en-US" w:eastAsia="zh-CN"/>
                    </w:rPr>
                    <w:t>3</w:t>
                  </w:r>
                </w:p>
              </w:tc>
              <w:tc>
                <w:tcPr>
                  <w:tcW w:w="149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CF9D5B2">
                  <w:pPr>
                    <w:pStyle w:val="61"/>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eastAsia="宋体" w:cs="Times New Roman"/>
                      <w:color w:val="auto"/>
                      <w:lang w:val="en-US" w:eastAsia="zh-CN"/>
                    </w:rPr>
                    <w:t>标准来源</w:t>
                  </w:r>
                </w:p>
              </w:tc>
            </w:tr>
            <w:tr w14:paraId="2E69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0216589">
                  <w:pPr>
                    <w:pStyle w:val="61"/>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cs="Times New Roman"/>
                      <w:color w:val="auto"/>
                      <w:lang w:val="en-US" w:eastAsia="zh-CN"/>
                    </w:rPr>
                    <w:t>颗粒物</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4CF348E">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15</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45ADB44">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120</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5B711E4">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3.5</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A130EC6">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default" w:eastAsia="宋体" w:cs="Times New Roman"/>
                      <w:color w:val="auto"/>
                      <w:lang w:val="en-US" w:eastAsia="zh-CN"/>
                    </w:rPr>
                    <w:t>1.0</w:t>
                  </w:r>
                </w:p>
              </w:tc>
              <w:tc>
                <w:tcPr>
                  <w:tcW w:w="1491" w:type="pct"/>
                  <w:tcBorders>
                    <w:top w:val="single" w:color="auto" w:sz="4" w:space="0"/>
                    <w:left w:val="single" w:color="auto" w:sz="4" w:space="0"/>
                    <w:right w:val="single" w:color="auto" w:sz="4" w:space="0"/>
                    <w:tl2br w:val="nil"/>
                    <w:tr2bl w:val="nil"/>
                  </w:tcBorders>
                  <w:noWrap w:val="0"/>
                  <w:vAlign w:val="center"/>
                </w:tcPr>
                <w:p w14:paraId="6B424CA0">
                  <w:pPr>
                    <w:pStyle w:val="61"/>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eastAsia="宋体" w:cs="Times New Roman"/>
                      <w:color w:val="auto"/>
                      <w:lang w:val="en-US" w:eastAsia="zh-CN"/>
                    </w:rPr>
                    <w:t>《大气污染物综合排放标准》（GB16297-1996）</w:t>
                  </w:r>
                </w:p>
              </w:tc>
            </w:tr>
            <w:tr w14:paraId="4077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DCA0661">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eastAsia="宋体"/>
                      <w:color w:val="auto"/>
                      <w:lang w:val="en-US" w:eastAsia="zh-CN"/>
                    </w:rPr>
                    <w:t>TVOC</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DF8A0D2">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eastAsia="宋体"/>
                      <w:color w:val="auto"/>
                      <w:lang w:val="en-US" w:eastAsia="zh-CN"/>
                    </w:rPr>
                    <w:t>/</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0D0B44D">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eastAsia="宋体"/>
                      <w:color w:val="auto"/>
                      <w:lang w:val="en-US" w:eastAsia="zh-CN"/>
                    </w:rPr>
                    <w:t>100</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98E7E84">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eastAsia="宋体"/>
                      <w:color w:val="auto"/>
                      <w:lang w:val="en-US" w:eastAsia="zh-CN"/>
                    </w:rPr>
                    <w:t>/</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448E33B">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2.0</w:t>
                  </w:r>
                </w:p>
              </w:tc>
              <w:tc>
                <w:tcPr>
                  <w:tcW w:w="1491" w:type="pct"/>
                  <w:tcBorders>
                    <w:left w:val="single" w:color="auto" w:sz="4" w:space="0"/>
                    <w:right w:val="single" w:color="auto" w:sz="4" w:space="0"/>
                    <w:tl2br w:val="nil"/>
                    <w:tr2bl w:val="nil"/>
                  </w:tcBorders>
                  <w:noWrap w:val="0"/>
                  <w:vAlign w:val="center"/>
                </w:tcPr>
                <w:p w14:paraId="5846C4DB">
                  <w:pPr>
                    <w:pStyle w:val="61"/>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cs="Times New Roman"/>
                      <w:color w:val="auto"/>
                      <w:lang w:val="en-US" w:eastAsia="zh-CN"/>
                    </w:rPr>
                    <w:t>执行《挥发性有机物综合排放控制标准（试行）》（DB36/2186-2025）（2026年07月01实施）</w:t>
                  </w:r>
                </w:p>
              </w:tc>
            </w:tr>
            <w:tr w14:paraId="048AE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E5034C4">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rPr>
                    <w:t>颗粒物</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B91A473">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40</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5907AA4">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50</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C57EF57">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D8BD37C">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491" w:type="pct"/>
                  <w:vMerge w:val="restart"/>
                  <w:tcBorders>
                    <w:left w:val="single" w:color="auto" w:sz="4" w:space="0"/>
                    <w:right w:val="single" w:color="auto" w:sz="4" w:space="0"/>
                    <w:tl2br w:val="nil"/>
                    <w:tr2bl w:val="nil"/>
                  </w:tcBorders>
                  <w:noWrap w:val="0"/>
                  <w:vAlign w:val="center"/>
                </w:tcPr>
                <w:p w14:paraId="6E993ACB">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default"/>
                      <w:color w:val="auto"/>
                    </w:rPr>
                    <w:t>《锅炉大气污染物排放标准》（</w:t>
                  </w:r>
                  <w:r>
                    <w:rPr>
                      <w:rFonts w:hint="eastAsia"/>
                      <w:color w:val="auto"/>
                    </w:rPr>
                    <w:t>GB13271-2014）</w:t>
                  </w:r>
                </w:p>
              </w:tc>
            </w:tr>
            <w:tr w14:paraId="0096C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337DAF8">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default"/>
                      <w:color w:val="auto"/>
                    </w:rPr>
                    <w:t>SO₂</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B222DF3">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color w:val="auto"/>
                      <w:lang w:val="en-US" w:eastAsia="zh-CN"/>
                    </w:rPr>
                    <w:t>40</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918BF32">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300</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8EF5618">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29CD22C">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491" w:type="pct"/>
                  <w:vMerge w:val="continue"/>
                  <w:tcBorders>
                    <w:left w:val="single" w:color="auto" w:sz="4" w:space="0"/>
                    <w:right w:val="single" w:color="auto" w:sz="4" w:space="0"/>
                    <w:tl2br w:val="nil"/>
                    <w:tr2bl w:val="nil"/>
                  </w:tcBorders>
                  <w:noWrap w:val="0"/>
                  <w:vAlign w:val="center"/>
                </w:tcPr>
                <w:p w14:paraId="32B2FE86">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r>
            <w:tr w14:paraId="3EAC8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53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123CDD5">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color w:val="auto"/>
                      <w:lang w:val="en-US" w:eastAsia="zh-CN"/>
                    </w:rPr>
                    <w:t>NOx</w:t>
                  </w:r>
                </w:p>
              </w:tc>
              <w:tc>
                <w:tcPr>
                  <w:tcW w:w="5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9CFB0B4">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color w:val="auto"/>
                      <w:lang w:val="en-US" w:eastAsia="zh-CN"/>
                    </w:rPr>
                    <w:t>40</w:t>
                  </w:r>
                </w:p>
              </w:tc>
              <w:tc>
                <w:tcPr>
                  <w:tcW w:w="65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A0ED302">
                  <w:pPr>
                    <w:pStyle w:val="61"/>
                    <w:keepNext w:val="0"/>
                    <w:keepLines w:val="0"/>
                    <w:suppressLineNumbers w:val="0"/>
                    <w:bidi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300</w:t>
                  </w:r>
                </w:p>
              </w:tc>
              <w:tc>
                <w:tcPr>
                  <w:tcW w:w="60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83A46F6">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15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77AABDB">
                  <w:pPr>
                    <w:pStyle w:val="61"/>
                    <w:keepNext w:val="0"/>
                    <w:keepLines w:val="0"/>
                    <w:suppressLineNumbers w:val="0"/>
                    <w:bidi w:val="0"/>
                    <w:spacing w:before="0" w:beforeAutospacing="0" w:after="0" w:afterAutospacing="0"/>
                    <w:ind w:left="0" w:right="0"/>
                    <w:jc w:val="center"/>
                    <w:rPr>
                      <w:rFonts w:hint="eastAsia" w:eastAsia="宋体"/>
                      <w:color w:val="auto"/>
                      <w:lang w:val="en-US" w:eastAsia="zh-CN"/>
                    </w:rPr>
                  </w:pPr>
                  <w:r>
                    <w:rPr>
                      <w:rFonts w:hint="eastAsia" w:eastAsia="宋体"/>
                      <w:color w:val="auto"/>
                      <w:lang w:val="en-US" w:eastAsia="zh-CN"/>
                    </w:rPr>
                    <w:t>/</w:t>
                  </w:r>
                </w:p>
              </w:tc>
              <w:tc>
                <w:tcPr>
                  <w:tcW w:w="1491" w:type="pct"/>
                  <w:vMerge w:val="continue"/>
                  <w:tcBorders>
                    <w:left w:val="single" w:color="auto" w:sz="4" w:space="0"/>
                    <w:bottom w:val="single" w:color="auto" w:sz="4" w:space="0"/>
                    <w:right w:val="single" w:color="auto" w:sz="4" w:space="0"/>
                    <w:tl2br w:val="nil"/>
                    <w:tr2bl w:val="nil"/>
                  </w:tcBorders>
                  <w:noWrap w:val="0"/>
                  <w:vAlign w:val="center"/>
                </w:tcPr>
                <w:p w14:paraId="46C133D7">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r>
          </w:tbl>
          <w:p w14:paraId="6AA87A42">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 xml:space="preserve">表3-7 </w:t>
            </w:r>
            <w:r>
              <w:rPr>
                <w:rFonts w:hint="eastAsia" w:ascii="Times New Roman" w:hAnsi="Times New Roman" w:eastAsia="宋体" w:cs="Times New Roman"/>
                <w:b/>
                <w:color w:val="auto"/>
                <w:kern w:val="0"/>
                <w:sz w:val="24"/>
                <w:szCs w:val="24"/>
                <w:lang w:val="en-US" w:eastAsia="zh-CN" w:bidi="ar-SA"/>
              </w:rPr>
              <w:t>厂房外非甲烷总烃排放标准</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110"/>
              <w:gridCol w:w="2495"/>
              <w:gridCol w:w="1851"/>
              <w:gridCol w:w="1504"/>
            </w:tblGrid>
            <w:tr w14:paraId="7596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577" w:type="pct"/>
                  <w:tcBorders>
                    <w:tl2br w:val="nil"/>
                    <w:tr2bl w:val="nil"/>
                  </w:tcBorders>
                  <w:vAlign w:val="center"/>
                </w:tcPr>
                <w:p w14:paraId="3E83B0BD">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污染物项目</w:t>
                  </w:r>
                </w:p>
              </w:tc>
              <w:tc>
                <w:tcPr>
                  <w:tcW w:w="705" w:type="pct"/>
                  <w:tcBorders>
                    <w:tl2br w:val="nil"/>
                    <w:tr2bl w:val="nil"/>
                  </w:tcBorders>
                  <w:vAlign w:val="center"/>
                </w:tcPr>
                <w:p w14:paraId="51C456F2">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排放限值（mg/</w:t>
                  </w:r>
                  <w:r>
                    <w:rPr>
                      <w:rFonts w:hint="default"/>
                      <w:color w:val="auto"/>
                      <w:lang w:val="en-US" w:eastAsia="zh-CN"/>
                    </w:rPr>
                    <w:t>m</w:t>
                  </w:r>
                  <w:r>
                    <w:rPr>
                      <w:rFonts w:hint="default"/>
                      <w:color w:val="auto"/>
                      <w:vertAlign w:val="superscript"/>
                      <w:lang w:val="en-US" w:eastAsia="zh-CN"/>
                    </w:rPr>
                    <w:t>3</w:t>
                  </w:r>
                  <w:r>
                    <w:rPr>
                      <w:rFonts w:hint="eastAsia" w:cs="Times New Roman"/>
                      <w:color w:val="auto"/>
                      <w:lang w:val="en-US" w:eastAsia="zh-CN"/>
                    </w:rPr>
                    <w:t>）</w:t>
                  </w:r>
                </w:p>
              </w:tc>
              <w:tc>
                <w:tcPr>
                  <w:tcW w:w="1585" w:type="pct"/>
                  <w:tcBorders>
                    <w:tl2br w:val="nil"/>
                    <w:tr2bl w:val="nil"/>
                  </w:tcBorders>
                  <w:vAlign w:val="center"/>
                </w:tcPr>
                <w:p w14:paraId="4BBCE131">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限值含义</w:t>
                  </w:r>
                </w:p>
              </w:tc>
              <w:tc>
                <w:tcPr>
                  <w:tcW w:w="1176" w:type="pct"/>
                  <w:tcBorders>
                    <w:tl2br w:val="nil"/>
                    <w:tr2bl w:val="nil"/>
                  </w:tcBorders>
                  <w:vAlign w:val="center"/>
                </w:tcPr>
                <w:p w14:paraId="0AA34152">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无组织排放监控位置</w:t>
                  </w:r>
                </w:p>
              </w:tc>
              <w:tc>
                <w:tcPr>
                  <w:tcW w:w="955" w:type="pct"/>
                  <w:tcBorders>
                    <w:tl2br w:val="nil"/>
                    <w:tr2bl w:val="nil"/>
                  </w:tcBorders>
                  <w:vAlign w:val="center"/>
                </w:tcPr>
                <w:p w14:paraId="537A8608">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标准来源</w:t>
                  </w:r>
                </w:p>
              </w:tc>
            </w:tr>
            <w:tr w14:paraId="0D07E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577" w:type="pct"/>
                  <w:vMerge w:val="restart"/>
                  <w:tcBorders>
                    <w:tl2br w:val="nil"/>
                    <w:tr2bl w:val="nil"/>
                  </w:tcBorders>
                  <w:vAlign w:val="center"/>
                </w:tcPr>
                <w:p w14:paraId="5FC87FD0">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NMHC</w:t>
                  </w:r>
                </w:p>
              </w:tc>
              <w:tc>
                <w:tcPr>
                  <w:tcW w:w="705" w:type="pct"/>
                  <w:tcBorders>
                    <w:tl2br w:val="nil"/>
                    <w:tr2bl w:val="nil"/>
                  </w:tcBorders>
                  <w:vAlign w:val="center"/>
                </w:tcPr>
                <w:p w14:paraId="0B659827">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10</w:t>
                  </w:r>
                </w:p>
              </w:tc>
              <w:tc>
                <w:tcPr>
                  <w:tcW w:w="1585" w:type="pct"/>
                  <w:tcBorders>
                    <w:tl2br w:val="nil"/>
                    <w:tr2bl w:val="nil"/>
                  </w:tcBorders>
                  <w:vAlign w:val="center"/>
                </w:tcPr>
                <w:p w14:paraId="0393A469">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监控点处1h平均浓度值</w:t>
                  </w:r>
                </w:p>
              </w:tc>
              <w:tc>
                <w:tcPr>
                  <w:tcW w:w="1176" w:type="pct"/>
                  <w:vMerge w:val="restart"/>
                  <w:tcBorders>
                    <w:tl2br w:val="nil"/>
                    <w:tr2bl w:val="nil"/>
                  </w:tcBorders>
                  <w:vAlign w:val="center"/>
                </w:tcPr>
                <w:p w14:paraId="715B0DC0">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在生产车间门外下风向1m处设置监控点</w:t>
                  </w:r>
                </w:p>
              </w:tc>
              <w:tc>
                <w:tcPr>
                  <w:tcW w:w="955" w:type="pct"/>
                  <w:vMerge w:val="restart"/>
                  <w:tcBorders>
                    <w:tl2br w:val="nil"/>
                    <w:tr2bl w:val="nil"/>
                  </w:tcBorders>
                  <w:vAlign w:val="center"/>
                </w:tcPr>
                <w:p w14:paraId="32A465DF">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ascii="Times New Roman" w:hAnsi="Times New Roman" w:eastAsia="宋体" w:cs="Times New Roman"/>
                      <w:color w:val="auto"/>
                      <w:lang w:val="en-US" w:eastAsia="zh-CN"/>
                    </w:rPr>
                    <w:t>DB36/2186-2025</w:t>
                  </w:r>
                </w:p>
              </w:tc>
            </w:tr>
            <w:tr w14:paraId="34EF4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 w:hRule="atLeast"/>
                <w:jc w:val="center"/>
              </w:trPr>
              <w:tc>
                <w:tcPr>
                  <w:tcW w:w="577" w:type="pct"/>
                  <w:vMerge w:val="continue"/>
                  <w:tcBorders>
                    <w:tl2br w:val="nil"/>
                    <w:tr2bl w:val="nil"/>
                  </w:tcBorders>
                  <w:vAlign w:val="center"/>
                </w:tcPr>
                <w:p w14:paraId="1E99046C">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c>
                <w:tcPr>
                  <w:tcW w:w="705" w:type="pct"/>
                  <w:tcBorders>
                    <w:tl2br w:val="nil"/>
                    <w:tr2bl w:val="nil"/>
                  </w:tcBorders>
                  <w:vAlign w:val="center"/>
                </w:tcPr>
                <w:p w14:paraId="4CC491A6">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30</w:t>
                  </w:r>
                </w:p>
              </w:tc>
              <w:tc>
                <w:tcPr>
                  <w:tcW w:w="1585" w:type="pct"/>
                  <w:tcBorders>
                    <w:tl2br w:val="nil"/>
                    <w:tr2bl w:val="nil"/>
                  </w:tcBorders>
                  <w:vAlign w:val="center"/>
                </w:tcPr>
                <w:p w14:paraId="144B3D56">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监控点处任意一次浓度值</w:t>
                  </w:r>
                </w:p>
              </w:tc>
              <w:tc>
                <w:tcPr>
                  <w:tcW w:w="1176" w:type="pct"/>
                  <w:vMerge w:val="continue"/>
                  <w:tcBorders>
                    <w:tl2br w:val="nil"/>
                    <w:tr2bl w:val="nil"/>
                  </w:tcBorders>
                  <w:vAlign w:val="center"/>
                </w:tcPr>
                <w:p w14:paraId="16C20C1A">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c>
                <w:tcPr>
                  <w:tcW w:w="955" w:type="pct"/>
                  <w:vMerge w:val="continue"/>
                  <w:tcBorders>
                    <w:tl2br w:val="nil"/>
                    <w:tr2bl w:val="nil"/>
                  </w:tcBorders>
                  <w:vAlign w:val="center"/>
                </w:tcPr>
                <w:p w14:paraId="372E65CC">
                  <w:pPr>
                    <w:pStyle w:val="61"/>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r>
          </w:tbl>
          <w:p w14:paraId="3729DE88">
            <w:pPr>
              <w:pStyle w:val="83"/>
              <w:keepNext w:val="0"/>
              <w:keepLines w:val="0"/>
              <w:widowControl/>
              <w:suppressLineNumbers w:val="0"/>
              <w:spacing w:before="0" w:beforeAutospacing="0" w:after="0" w:afterAutospacing="0"/>
              <w:ind w:left="0" w:right="0" w:firstLine="480"/>
              <w:rPr>
                <w:rFonts w:hint="eastAsia"/>
                <w:color w:val="auto"/>
              </w:rPr>
            </w:pPr>
            <w:r>
              <w:rPr>
                <w:rFonts w:hint="eastAsia"/>
                <w:color w:val="auto"/>
              </w:rPr>
              <w:t>3、噪声</w:t>
            </w:r>
          </w:p>
          <w:p w14:paraId="4564F9A4">
            <w:pPr>
              <w:pStyle w:val="83"/>
              <w:keepNext w:val="0"/>
              <w:keepLines w:val="0"/>
              <w:widowControl/>
              <w:suppressLineNumbers w:val="0"/>
              <w:spacing w:before="0" w:beforeAutospacing="0" w:after="0" w:afterAutospacing="0"/>
              <w:ind w:left="0" w:right="0" w:firstLine="480"/>
              <w:jc w:val="both"/>
              <w:rPr>
                <w:rFonts w:hint="default"/>
                <w:color w:val="auto"/>
              </w:rPr>
            </w:pPr>
            <w:r>
              <w:rPr>
                <w:rFonts w:hint="eastAsia"/>
                <w:color w:val="auto"/>
              </w:rPr>
              <w:t>运营期边界噪声参照执行《工业企业厂界环境噪声排放标准》（GB12348-2008）“工业企业厂界环境噪声排放限值”中</w:t>
            </w:r>
            <w:r>
              <w:rPr>
                <w:rFonts w:hint="eastAsia"/>
                <w:color w:val="auto"/>
                <w:lang w:val="en-US" w:eastAsia="zh-CN"/>
              </w:rPr>
              <w:t>2</w:t>
            </w:r>
            <w:r>
              <w:rPr>
                <w:rFonts w:hint="eastAsia"/>
                <w:color w:val="auto"/>
              </w:rPr>
              <w:t>类标准。</w:t>
            </w:r>
          </w:p>
          <w:p w14:paraId="57AE2DC8">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表3-8 环境噪声评价标准 等效声级Leq</w:t>
            </w:r>
            <w:r>
              <w:rPr>
                <w:rFonts w:hint="eastAsia" w:ascii="Times New Roman" w:hAnsi="Times New Roman" w:eastAsia="宋体" w:cs="Times New Roman"/>
                <w:b/>
                <w:color w:val="auto"/>
                <w:kern w:val="0"/>
                <w:sz w:val="24"/>
                <w:szCs w:val="24"/>
                <w:lang w:val="en-US" w:eastAsia="zh-CN" w:bidi="ar-SA"/>
              </w:rPr>
              <w:t>（</w:t>
            </w:r>
            <w:r>
              <w:rPr>
                <w:rFonts w:hint="default" w:ascii="Times New Roman" w:hAnsi="Times New Roman" w:eastAsia="宋体" w:cs="Times New Roman"/>
                <w:b/>
                <w:color w:val="auto"/>
                <w:kern w:val="0"/>
                <w:sz w:val="24"/>
                <w:szCs w:val="24"/>
                <w:lang w:val="en-US" w:eastAsia="zh-CN" w:bidi="ar-SA"/>
              </w:rPr>
              <w:t>A</w:t>
            </w:r>
            <w:r>
              <w:rPr>
                <w:rFonts w:hint="eastAsia" w:ascii="Times New Roman" w:hAnsi="Times New Roman" w:eastAsia="宋体" w:cs="Times New Roman"/>
                <w:b/>
                <w:color w:val="auto"/>
                <w:kern w:val="0"/>
                <w:sz w:val="24"/>
                <w:szCs w:val="24"/>
                <w:lang w:val="en-US" w:eastAsia="zh-CN" w:bidi="ar-SA"/>
              </w:rPr>
              <w:t>）</w:t>
            </w:r>
          </w:p>
          <w:tbl>
            <w:tblPr>
              <w:tblStyle w:val="29"/>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4"/>
              <w:gridCol w:w="1865"/>
              <w:gridCol w:w="1385"/>
              <w:gridCol w:w="1385"/>
              <w:gridCol w:w="1534"/>
            </w:tblGrid>
            <w:tr w14:paraId="41C2BD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82" w:type="pct"/>
                  <w:tcBorders>
                    <w:tl2br w:val="nil"/>
                    <w:tr2bl w:val="nil"/>
                  </w:tcBorders>
                  <w:noWrap w:val="0"/>
                  <w:vAlign w:val="center"/>
                </w:tcPr>
                <w:p w14:paraId="2E40CC01">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适用区域</w:t>
                  </w:r>
                </w:p>
              </w:tc>
              <w:tc>
                <w:tcPr>
                  <w:tcW w:w="1184" w:type="pct"/>
                  <w:tcBorders>
                    <w:tl2br w:val="nil"/>
                    <w:tr2bl w:val="nil"/>
                  </w:tcBorders>
                  <w:noWrap w:val="0"/>
                  <w:vAlign w:val="center"/>
                </w:tcPr>
                <w:p w14:paraId="6E36544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类别</w:t>
                  </w:r>
                </w:p>
              </w:tc>
              <w:tc>
                <w:tcPr>
                  <w:tcW w:w="879" w:type="pct"/>
                  <w:tcBorders>
                    <w:tl2br w:val="nil"/>
                    <w:tr2bl w:val="nil"/>
                  </w:tcBorders>
                  <w:noWrap w:val="0"/>
                  <w:vAlign w:val="center"/>
                </w:tcPr>
                <w:p w14:paraId="6E4B9D9F">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昼间</w:t>
                  </w:r>
                </w:p>
              </w:tc>
              <w:tc>
                <w:tcPr>
                  <w:tcW w:w="879" w:type="pct"/>
                  <w:tcBorders>
                    <w:tl2br w:val="nil"/>
                    <w:tr2bl w:val="nil"/>
                  </w:tcBorders>
                  <w:noWrap w:val="0"/>
                  <w:vAlign w:val="center"/>
                </w:tcPr>
                <w:p w14:paraId="532EA8E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夜间</w:t>
                  </w:r>
                </w:p>
              </w:tc>
              <w:tc>
                <w:tcPr>
                  <w:tcW w:w="974" w:type="pct"/>
                  <w:tcBorders>
                    <w:tl2br w:val="nil"/>
                    <w:tr2bl w:val="nil"/>
                  </w:tcBorders>
                  <w:noWrap w:val="0"/>
                  <w:vAlign w:val="center"/>
                </w:tcPr>
                <w:p w14:paraId="4188CE52">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标准来源</w:t>
                  </w:r>
                </w:p>
              </w:tc>
            </w:tr>
            <w:tr w14:paraId="5AC227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82" w:type="pct"/>
                  <w:tcBorders>
                    <w:tl2br w:val="nil"/>
                    <w:tr2bl w:val="nil"/>
                  </w:tcBorders>
                  <w:noWrap w:val="0"/>
                  <w:vAlign w:val="center"/>
                </w:tcPr>
                <w:p w14:paraId="1A6AF92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工业区</w:t>
                  </w:r>
                </w:p>
              </w:tc>
              <w:tc>
                <w:tcPr>
                  <w:tcW w:w="1184" w:type="pct"/>
                  <w:tcBorders>
                    <w:tl2br w:val="nil"/>
                    <w:tr2bl w:val="nil"/>
                  </w:tcBorders>
                  <w:noWrap w:val="0"/>
                  <w:vAlign w:val="center"/>
                </w:tcPr>
                <w:p w14:paraId="562A15DB">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2</w:t>
                  </w:r>
                  <w:r>
                    <w:rPr>
                      <w:rFonts w:hint="default" w:cs="Times New Roman"/>
                      <w:color w:val="auto"/>
                    </w:rPr>
                    <w:t>类</w:t>
                  </w:r>
                </w:p>
              </w:tc>
              <w:tc>
                <w:tcPr>
                  <w:tcW w:w="879" w:type="pct"/>
                  <w:tcBorders>
                    <w:tl2br w:val="nil"/>
                    <w:tr2bl w:val="nil"/>
                  </w:tcBorders>
                  <w:noWrap w:val="0"/>
                  <w:vAlign w:val="center"/>
                </w:tcPr>
                <w:p w14:paraId="424005A0">
                  <w:pPr>
                    <w:pStyle w:val="61"/>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60</w:t>
                  </w:r>
                </w:p>
              </w:tc>
              <w:tc>
                <w:tcPr>
                  <w:tcW w:w="879" w:type="pct"/>
                  <w:tcBorders>
                    <w:tl2br w:val="nil"/>
                    <w:tr2bl w:val="nil"/>
                  </w:tcBorders>
                  <w:noWrap w:val="0"/>
                  <w:vAlign w:val="center"/>
                </w:tcPr>
                <w:p w14:paraId="486579BC">
                  <w:pPr>
                    <w:pStyle w:val="61"/>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w:t>
                  </w:r>
                </w:p>
              </w:tc>
              <w:tc>
                <w:tcPr>
                  <w:tcW w:w="974" w:type="pct"/>
                  <w:tcBorders>
                    <w:tl2br w:val="nil"/>
                    <w:tr2bl w:val="nil"/>
                  </w:tcBorders>
                  <w:noWrap w:val="0"/>
                  <w:vAlign w:val="center"/>
                </w:tcPr>
                <w:p w14:paraId="4B621C7C">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GB3096-2008</w:t>
                  </w:r>
                </w:p>
              </w:tc>
            </w:tr>
          </w:tbl>
          <w:p w14:paraId="548C5D71">
            <w:pPr>
              <w:pStyle w:val="78"/>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4、固体废物</w:t>
            </w:r>
          </w:p>
          <w:p w14:paraId="67DFCDD5">
            <w:pPr>
              <w:pStyle w:val="78"/>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一般固体废物</w:t>
            </w:r>
            <w:r>
              <w:rPr>
                <w:rFonts w:hint="eastAsia" w:cs="Times New Roman"/>
                <w:color w:val="auto"/>
                <w:lang w:val="en-US" w:eastAsia="zh-CN"/>
              </w:rPr>
              <w:t>贮存满足“防渗漏、防雨淋、防扬尘”</w:t>
            </w:r>
            <w:r>
              <w:rPr>
                <w:rFonts w:hint="eastAsia" w:cs="Times New Roman"/>
                <w:color w:val="auto"/>
              </w:rPr>
              <w:t>等有关规定</w:t>
            </w:r>
            <w:r>
              <w:rPr>
                <w:rFonts w:hint="eastAsia" w:cs="Times New Roman"/>
                <w:color w:val="auto"/>
                <w:lang w:eastAsia="zh-CN"/>
              </w:rPr>
              <w:t>，</w:t>
            </w:r>
            <w:r>
              <w:rPr>
                <w:rFonts w:hint="default" w:cs="Times New Roman"/>
                <w:color w:val="auto"/>
                <w:lang w:val="zh-CN"/>
              </w:rPr>
              <w:t>危险固体废物贮存</w:t>
            </w:r>
            <w:r>
              <w:rPr>
                <w:rFonts w:hint="eastAsia" w:cs="Times New Roman"/>
                <w:color w:val="auto"/>
                <w:lang w:val="en-US" w:eastAsia="zh-CN"/>
              </w:rPr>
              <w:t>满足</w:t>
            </w:r>
            <w:r>
              <w:rPr>
                <w:rFonts w:hint="default" w:cs="Times New Roman"/>
                <w:color w:val="auto"/>
                <w:lang w:val="zh-CN"/>
              </w:rPr>
              <w:t>《危险废物贮存污染控制标准》（GB18597-20</w:t>
            </w:r>
            <w:r>
              <w:rPr>
                <w:rFonts w:hint="eastAsia" w:cs="Times New Roman"/>
                <w:color w:val="auto"/>
                <w:lang w:val="en-US" w:eastAsia="zh-CN"/>
              </w:rPr>
              <w:t>23</w:t>
            </w:r>
            <w:r>
              <w:rPr>
                <w:rFonts w:hint="default" w:cs="Times New Roman"/>
                <w:color w:val="auto"/>
                <w:lang w:val="zh-CN"/>
              </w:rPr>
              <w:t>）</w:t>
            </w:r>
            <w:r>
              <w:rPr>
                <w:rFonts w:hint="eastAsia" w:cs="Times New Roman"/>
                <w:color w:val="auto"/>
                <w:lang w:val="zh-CN"/>
              </w:rPr>
              <w:t>有关规定</w:t>
            </w:r>
            <w:r>
              <w:rPr>
                <w:rFonts w:hint="eastAsia" w:cs="Times New Roman"/>
                <w:color w:val="auto"/>
              </w:rPr>
              <w:t>。</w:t>
            </w:r>
          </w:p>
        </w:tc>
      </w:tr>
      <w:tr w14:paraId="2D8191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696" w:hRule="atLeast"/>
          <w:jc w:val="center"/>
        </w:trPr>
        <w:tc>
          <w:tcPr>
            <w:tcW w:w="250" w:type="pct"/>
            <w:noWrap w:val="0"/>
            <w:vAlign w:val="center"/>
          </w:tcPr>
          <w:p w14:paraId="28D16881">
            <w:pPr>
              <w:pStyle w:val="61"/>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总量</w:t>
            </w:r>
          </w:p>
          <w:p w14:paraId="61011B5E">
            <w:pPr>
              <w:pStyle w:val="61"/>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控制</w:t>
            </w:r>
          </w:p>
          <w:p w14:paraId="0A465B1C">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指标</w:t>
            </w:r>
          </w:p>
          <w:p w14:paraId="3740E27F">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p>
        </w:tc>
        <w:tc>
          <w:tcPr>
            <w:tcW w:w="4750" w:type="pct"/>
            <w:noWrap w:val="0"/>
            <w:vAlign w:val="top"/>
          </w:tcPr>
          <w:p w14:paraId="79B0E7CF">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国家实行总量控制的污染物有化学需氧量、TP、氨氮、</w:t>
            </w:r>
            <w:r>
              <w:rPr>
                <w:rFonts w:hint="eastAsia"/>
                <w:color w:val="auto"/>
                <w:lang w:val="en-US" w:eastAsia="zh-CN"/>
              </w:rPr>
              <w:t>NOx</w:t>
            </w:r>
            <w:r>
              <w:rPr>
                <w:rFonts w:hint="eastAsia" w:cs="Times New Roman"/>
                <w:color w:val="auto"/>
                <w:lang w:val="en-US" w:eastAsia="zh-CN"/>
              </w:rPr>
              <w:t>、挥发性有机物。技改项目涉及的总量控制污染物为挥发性有机物。</w:t>
            </w:r>
          </w:p>
          <w:p w14:paraId="5766A547">
            <w:pPr>
              <w:pStyle w:val="78"/>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技改项目冷凝、沉淀、过滤废气经过废气处理设施处理后达到</w:t>
            </w:r>
            <w:r>
              <w:rPr>
                <w:rFonts w:hint="eastAsia" w:cs="Times New Roman"/>
                <w:color w:val="auto"/>
                <w:lang w:val="en-US" w:eastAsia="zh-CN"/>
              </w:rPr>
              <w:t>《挥发性有机物综合排放控制标准（试行）》（DB36/2186-2025）（2026年07月01实施）</w:t>
            </w:r>
            <w:r>
              <w:rPr>
                <w:rFonts w:hint="eastAsia" w:ascii="Times New Roman" w:hAnsi="Times New Roman" w:eastAsia="宋体" w:cs="Times New Roman"/>
                <w:color w:val="auto"/>
                <w:lang w:val="en-US" w:eastAsia="zh-CN"/>
              </w:rPr>
              <w:t>后高空排放。</w:t>
            </w:r>
          </w:p>
          <w:p w14:paraId="69D76919">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综上所述，技改项目排放总量控制指标：</w:t>
            </w:r>
          </w:p>
          <w:p w14:paraId="7EEA88FB">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废气控制指标：</w:t>
            </w:r>
          </w:p>
          <w:p w14:paraId="37165115">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表3-9 污染物总量控制指标</w:t>
            </w:r>
            <w:r>
              <w:rPr>
                <w:rFonts w:hint="eastAsia" w:ascii="Times New Roman" w:hAnsi="Times New Roman" w:eastAsia="宋体" w:cs="Times New Roman"/>
                <w:b/>
                <w:color w:val="auto"/>
                <w:kern w:val="0"/>
                <w:sz w:val="24"/>
                <w:szCs w:val="24"/>
                <w:lang w:val="en-US" w:eastAsia="zh-CN" w:bidi="ar-SA"/>
              </w:rPr>
              <w:t>（</w:t>
            </w:r>
            <w:r>
              <w:rPr>
                <w:rFonts w:hint="default" w:ascii="Times New Roman" w:hAnsi="Times New Roman" w:eastAsia="宋体" w:cs="Times New Roman"/>
                <w:b/>
                <w:color w:val="auto"/>
                <w:kern w:val="0"/>
                <w:sz w:val="24"/>
                <w:szCs w:val="24"/>
                <w:lang w:val="en-US" w:eastAsia="zh-CN" w:bidi="ar-SA"/>
              </w:rPr>
              <w:t>t/a</w:t>
            </w:r>
            <w:r>
              <w:rPr>
                <w:rFonts w:hint="eastAsia" w:ascii="Times New Roman" w:hAnsi="Times New Roman" w:eastAsia="宋体" w:cs="Times New Roman"/>
                <w:b/>
                <w:color w:val="auto"/>
                <w:kern w:val="0"/>
                <w:sz w:val="24"/>
                <w:szCs w:val="24"/>
                <w:lang w:val="en-US" w:eastAsia="zh-CN" w:bidi="ar-SA"/>
              </w:rPr>
              <w:t>）</w:t>
            </w:r>
          </w:p>
          <w:p w14:paraId="312AB3A1">
            <w:pPr>
              <w:keepNext w:val="0"/>
              <w:keepLines w:val="0"/>
              <w:suppressLineNumbers w:val="0"/>
              <w:spacing w:before="0" w:beforeAutospacing="0" w:after="0" w:afterAutospacing="0" w:line="76" w:lineRule="auto"/>
              <w:ind w:left="0" w:right="0"/>
              <w:rPr>
                <w:rFonts w:hint="default" w:ascii="Arial"/>
                <w:color w:val="auto"/>
                <w:sz w:val="2"/>
              </w:rPr>
            </w:pPr>
          </w:p>
          <w:tbl>
            <w:tblPr>
              <w:tblStyle w:val="116"/>
              <w:tblW w:w="78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54"/>
              <w:gridCol w:w="1177"/>
              <w:gridCol w:w="1135"/>
              <w:gridCol w:w="1163"/>
              <w:gridCol w:w="1169"/>
            </w:tblGrid>
            <w:tr w14:paraId="1D3FE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3FE4F28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1177" w:type="dxa"/>
                  <w:vAlign w:val="top"/>
                </w:tcPr>
                <w:p w14:paraId="39AF83A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default"/>
                      <w:color w:val="auto"/>
                      <w:sz w:val="21"/>
                      <w:szCs w:val="21"/>
                      <w:lang w:val="en-US" w:eastAsia="zh-CN"/>
                    </w:rPr>
                    <w:t>COD</w:t>
                  </w:r>
                  <w:r>
                    <w:rPr>
                      <w:rFonts w:hint="eastAsia"/>
                      <w:color w:val="auto"/>
                      <w:sz w:val="21"/>
                      <w:szCs w:val="21"/>
                      <w:lang w:val="en-US" w:eastAsia="zh-CN"/>
                    </w:rPr>
                    <w:t>cr</w:t>
                  </w:r>
                </w:p>
              </w:tc>
              <w:tc>
                <w:tcPr>
                  <w:tcW w:w="1135" w:type="dxa"/>
                  <w:vAlign w:val="top"/>
                </w:tcPr>
                <w:p w14:paraId="7AF2A3A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TP</w:t>
                  </w:r>
                </w:p>
              </w:tc>
              <w:tc>
                <w:tcPr>
                  <w:tcW w:w="1163" w:type="dxa"/>
                  <w:vAlign w:val="top"/>
                </w:tcPr>
                <w:p w14:paraId="4603850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NOx</w:t>
                  </w:r>
                </w:p>
              </w:tc>
              <w:tc>
                <w:tcPr>
                  <w:tcW w:w="1169" w:type="dxa"/>
                  <w:vAlign w:val="top"/>
                </w:tcPr>
                <w:p w14:paraId="617E0A6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VOCs</w:t>
                  </w:r>
                </w:p>
              </w:tc>
            </w:tr>
            <w:tr w14:paraId="403F8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7B2DFF1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eastAsia" w:cs="Times New Roman"/>
                      <w:color w:val="auto"/>
                      <w:sz w:val="21"/>
                      <w:szCs w:val="21"/>
                      <w:lang w:eastAsia="zh-CN"/>
                    </w:rPr>
                    <w:t>现有项目</w:t>
                  </w:r>
                  <w:r>
                    <w:rPr>
                      <w:rFonts w:hint="default" w:ascii="Times New Roman" w:hAnsi="Times New Roman" w:eastAsia="宋体" w:cs="Times New Roman"/>
                      <w:color w:val="auto"/>
                      <w:sz w:val="21"/>
                      <w:szCs w:val="21"/>
                    </w:rPr>
                    <w:t>达标后预计排放总量</w:t>
                  </w:r>
                </w:p>
              </w:tc>
              <w:tc>
                <w:tcPr>
                  <w:tcW w:w="1177" w:type="dxa"/>
                  <w:vAlign w:val="top"/>
                </w:tcPr>
                <w:p w14:paraId="625BF0E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59.75</w:t>
                  </w:r>
                </w:p>
              </w:tc>
              <w:tc>
                <w:tcPr>
                  <w:tcW w:w="1135" w:type="dxa"/>
                  <w:vAlign w:val="top"/>
                </w:tcPr>
                <w:p w14:paraId="457FF5B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0.113</w:t>
                  </w:r>
                </w:p>
              </w:tc>
              <w:tc>
                <w:tcPr>
                  <w:tcW w:w="1163" w:type="dxa"/>
                  <w:vAlign w:val="top"/>
                </w:tcPr>
                <w:p w14:paraId="24BA190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19.58</w:t>
                  </w:r>
                </w:p>
              </w:tc>
              <w:tc>
                <w:tcPr>
                  <w:tcW w:w="1169" w:type="dxa"/>
                  <w:vAlign w:val="top"/>
                </w:tcPr>
                <w:p w14:paraId="727D3A2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14:paraId="7C423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72135876">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default" w:cs="Times New Roman"/>
                      <w:color w:val="auto"/>
                      <w:sz w:val="21"/>
                      <w:szCs w:val="21"/>
                      <w:lang w:val="en-US" w:eastAsia="zh-CN"/>
                    </w:rPr>
                    <w:t>以新带老削减量</w:t>
                  </w:r>
                </w:p>
              </w:tc>
              <w:tc>
                <w:tcPr>
                  <w:tcW w:w="1177" w:type="dxa"/>
                  <w:vAlign w:val="top"/>
                </w:tcPr>
                <w:p w14:paraId="7343BBCD">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7.86</w:t>
                  </w:r>
                </w:p>
              </w:tc>
              <w:tc>
                <w:tcPr>
                  <w:tcW w:w="1135" w:type="dxa"/>
                  <w:vAlign w:val="top"/>
                </w:tcPr>
                <w:p w14:paraId="4FB29557">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0.015</w:t>
                  </w:r>
                </w:p>
              </w:tc>
              <w:tc>
                <w:tcPr>
                  <w:tcW w:w="1163" w:type="dxa"/>
                  <w:vAlign w:val="top"/>
                </w:tcPr>
                <w:p w14:paraId="3D00D56B">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0.98</w:t>
                  </w:r>
                </w:p>
              </w:tc>
              <w:tc>
                <w:tcPr>
                  <w:tcW w:w="1169" w:type="dxa"/>
                  <w:vAlign w:val="top"/>
                </w:tcPr>
                <w:p w14:paraId="7EE9B57D">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0</w:t>
                  </w:r>
                </w:p>
              </w:tc>
            </w:tr>
            <w:tr w14:paraId="3D5C5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05A8FB0F">
                  <w:pPr>
                    <w:pStyle w:val="61"/>
                    <w:keepNext w:val="0"/>
                    <w:keepLines w:val="0"/>
                    <w:suppressLineNumbers w:val="0"/>
                    <w:bidi w:val="0"/>
                    <w:spacing w:before="0" w:beforeAutospacing="0" w:after="0" w:afterAutospacing="0"/>
                    <w:ind w:left="0" w:right="0"/>
                    <w:rPr>
                      <w:rFonts w:hint="eastAsia" w:cs="Times New Roman"/>
                      <w:color w:val="auto"/>
                      <w:sz w:val="21"/>
                      <w:szCs w:val="21"/>
                      <w:lang w:eastAsia="zh-CN"/>
                    </w:rPr>
                  </w:pPr>
                  <w:r>
                    <w:rPr>
                      <w:rFonts w:hint="eastAsia" w:cs="Times New Roman"/>
                      <w:color w:val="auto"/>
                      <w:sz w:val="21"/>
                      <w:szCs w:val="21"/>
                      <w:lang w:val="en-US" w:eastAsia="zh-CN"/>
                    </w:rPr>
                    <w:t>本</w:t>
                  </w:r>
                  <w:r>
                    <w:rPr>
                      <w:rFonts w:hint="eastAsia" w:cs="Times New Roman"/>
                      <w:color w:val="auto"/>
                      <w:sz w:val="21"/>
                      <w:szCs w:val="21"/>
                      <w:lang w:eastAsia="zh-CN"/>
                    </w:rPr>
                    <w:t>项目</w:t>
                  </w:r>
                  <w:r>
                    <w:rPr>
                      <w:rFonts w:hint="default" w:ascii="Times New Roman" w:hAnsi="Times New Roman" w:eastAsia="宋体" w:cs="Times New Roman"/>
                      <w:color w:val="auto"/>
                      <w:sz w:val="21"/>
                      <w:szCs w:val="21"/>
                    </w:rPr>
                    <w:t>达标后预计排放总量</w:t>
                  </w:r>
                </w:p>
              </w:tc>
              <w:tc>
                <w:tcPr>
                  <w:tcW w:w="1177" w:type="dxa"/>
                  <w:vAlign w:val="top"/>
                </w:tcPr>
                <w:p w14:paraId="1D54BC4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0.085</w:t>
                  </w:r>
                </w:p>
              </w:tc>
              <w:tc>
                <w:tcPr>
                  <w:tcW w:w="1135" w:type="dxa"/>
                  <w:vAlign w:val="top"/>
                </w:tcPr>
                <w:p w14:paraId="0DCCDDD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0.0002</w:t>
                  </w:r>
                </w:p>
              </w:tc>
              <w:tc>
                <w:tcPr>
                  <w:tcW w:w="1163" w:type="dxa"/>
                  <w:shd w:val="clear" w:color="auto" w:fill="auto"/>
                  <w:vAlign w:val="top"/>
                </w:tcPr>
                <w:p w14:paraId="7E06561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0.39</w:t>
                  </w:r>
                </w:p>
              </w:tc>
              <w:tc>
                <w:tcPr>
                  <w:tcW w:w="1169" w:type="dxa"/>
                  <w:shd w:val="clear" w:color="auto" w:fill="auto"/>
                  <w:vAlign w:val="top"/>
                </w:tcPr>
                <w:p w14:paraId="1E41FAF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0.97</w:t>
                  </w:r>
                </w:p>
              </w:tc>
            </w:tr>
            <w:tr w14:paraId="70973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6EEF2E9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改扩建后全厂预计总排放量</w:t>
                  </w:r>
                </w:p>
              </w:tc>
              <w:tc>
                <w:tcPr>
                  <w:tcW w:w="1177" w:type="dxa"/>
                  <w:vAlign w:val="top"/>
                </w:tcPr>
                <w:p w14:paraId="6DE225C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51.975</w:t>
                  </w:r>
                </w:p>
              </w:tc>
              <w:tc>
                <w:tcPr>
                  <w:tcW w:w="1135" w:type="dxa"/>
                  <w:vAlign w:val="top"/>
                </w:tcPr>
                <w:p w14:paraId="4E2C4C6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0.0982</w:t>
                  </w:r>
                </w:p>
              </w:tc>
              <w:tc>
                <w:tcPr>
                  <w:tcW w:w="1163" w:type="dxa"/>
                  <w:vAlign w:val="top"/>
                </w:tcPr>
                <w:p w14:paraId="1844A80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18.99</w:t>
                  </w:r>
                </w:p>
              </w:tc>
              <w:tc>
                <w:tcPr>
                  <w:tcW w:w="1169" w:type="dxa"/>
                  <w:vAlign w:val="top"/>
                </w:tcPr>
                <w:p w14:paraId="0B2B3C7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0.97</w:t>
                  </w:r>
                </w:p>
              </w:tc>
            </w:tr>
            <w:tr w14:paraId="3CCA6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3254" w:type="dxa"/>
                  <w:vAlign w:val="top"/>
                </w:tcPr>
                <w:p w14:paraId="46F210B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已经申请总量指标</w:t>
                  </w:r>
                </w:p>
              </w:tc>
              <w:tc>
                <w:tcPr>
                  <w:tcW w:w="1177" w:type="dxa"/>
                  <w:vAlign w:val="top"/>
                </w:tcPr>
                <w:p w14:paraId="7E083DE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51.975</w:t>
                  </w:r>
                </w:p>
              </w:tc>
              <w:tc>
                <w:tcPr>
                  <w:tcW w:w="1135" w:type="dxa"/>
                  <w:vAlign w:val="top"/>
                </w:tcPr>
                <w:p w14:paraId="68E8B08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0.0982</w:t>
                  </w:r>
                </w:p>
              </w:tc>
              <w:tc>
                <w:tcPr>
                  <w:tcW w:w="1163" w:type="dxa"/>
                  <w:vAlign w:val="top"/>
                </w:tcPr>
                <w:p w14:paraId="6A1C0C4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18.99</w:t>
                  </w:r>
                </w:p>
              </w:tc>
              <w:tc>
                <w:tcPr>
                  <w:tcW w:w="1169" w:type="dxa"/>
                  <w:vAlign w:val="top"/>
                </w:tcPr>
                <w:p w14:paraId="39EA710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0.97</w:t>
                  </w:r>
                </w:p>
              </w:tc>
            </w:tr>
          </w:tbl>
          <w:p w14:paraId="742D7757">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技改项目CODcr排放量：890.752×95/1000000=0.085t/a</w:t>
            </w:r>
          </w:p>
          <w:p w14:paraId="6F5B6F72">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技改项目TP 排放量：890.752×0.18/1000000=0.0002t/a</w:t>
            </w:r>
          </w:p>
          <w:p w14:paraId="5BE4800A">
            <w:pPr>
              <w:pStyle w:val="78"/>
              <w:keepNext w:val="0"/>
              <w:keepLines w:val="0"/>
              <w:suppressLineNumbers w:val="0"/>
              <w:bidi w:val="0"/>
              <w:spacing w:before="0" w:beforeAutospacing="0" w:after="0" w:afterAutospacing="0"/>
              <w:ind w:left="0" w:right="0" w:firstLine="2160" w:firstLineChars="900"/>
              <w:rPr>
                <w:rFonts w:hint="eastAsia" w:cs="Times New Roman"/>
                <w:color w:val="auto"/>
                <w:szCs w:val="21"/>
              </w:rPr>
            </w:pPr>
          </w:p>
        </w:tc>
      </w:tr>
    </w:tbl>
    <w:p w14:paraId="250CDFAC">
      <w:pPr>
        <w:pStyle w:val="14"/>
        <w:bidi w:val="0"/>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bookmarkStart w:id="17" w:name="_Toc25108"/>
      <w:r>
        <w:rPr>
          <w:rFonts w:hint="eastAsia" w:ascii="黑体" w:hAnsi="黑体" w:eastAsia="黑体" w:cs="Times New Roman"/>
          <w:snapToGrid w:val="0"/>
          <w:color w:val="auto"/>
          <w:kern w:val="0"/>
          <w:sz w:val="30"/>
          <w:szCs w:val="30"/>
          <w:lang w:val="en-US" w:eastAsia="zh-CN" w:bidi="ar-SA"/>
        </w:rPr>
        <w:t>四、主要环境影响和保护措施</w:t>
      </w:r>
      <w:bookmarkEnd w:id="17"/>
    </w:p>
    <w:tbl>
      <w:tblPr>
        <w:tblStyle w:val="29"/>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8006"/>
      </w:tblGrid>
      <w:tr w14:paraId="01B94DF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27" w:hRule="atLeast"/>
        </w:trPr>
        <w:tc>
          <w:tcPr>
            <w:tcW w:w="303" w:type="pct"/>
            <w:noWrap w:val="0"/>
            <w:vAlign w:val="center"/>
          </w:tcPr>
          <w:p w14:paraId="62C7E1C0">
            <w:pPr>
              <w:pStyle w:val="25"/>
              <w:keepNext w:val="0"/>
              <w:keepLines w:val="0"/>
              <w:suppressLineNumbers w:val="0"/>
              <w:adjustRightInd w:val="0"/>
              <w:snapToGrid w:val="0"/>
              <w:spacing w:before="0" w:beforeAutospacing="0" w:after="0" w:afterAutospacing="0"/>
              <w:ind w:left="0" w:right="0"/>
              <w:jc w:val="center"/>
              <w:outlineLvl w:val="0"/>
              <w:rPr>
                <w:rFonts w:hint="default" w:cs="宋体"/>
                <w:color w:val="auto"/>
                <w:kern w:val="2"/>
                <w:szCs w:val="24"/>
              </w:rPr>
            </w:pPr>
            <w:bookmarkStart w:id="18" w:name="_Toc21192"/>
            <w:r>
              <w:rPr>
                <w:rFonts w:hint="eastAsia" w:cs="宋体"/>
                <w:color w:val="auto"/>
                <w:kern w:val="2"/>
                <w:szCs w:val="24"/>
              </w:rPr>
              <w:t>施工期环境影响</w:t>
            </w:r>
            <w:r>
              <w:rPr>
                <w:rFonts w:hint="default" w:cs="宋体"/>
                <w:color w:val="auto"/>
                <w:kern w:val="2"/>
                <w:szCs w:val="24"/>
              </w:rPr>
              <w:t>和</w:t>
            </w:r>
            <w:r>
              <w:rPr>
                <w:rFonts w:hint="eastAsia" w:cs="宋体"/>
                <w:color w:val="auto"/>
                <w:kern w:val="2"/>
                <w:szCs w:val="24"/>
              </w:rPr>
              <w:t>保护措施</w:t>
            </w:r>
            <w:bookmarkEnd w:id="18"/>
          </w:p>
          <w:p w14:paraId="155E96EE">
            <w:pPr>
              <w:pStyle w:val="25"/>
              <w:keepNext w:val="0"/>
              <w:keepLines w:val="0"/>
              <w:suppressLineNumbers w:val="0"/>
              <w:adjustRightInd w:val="0"/>
              <w:snapToGrid w:val="0"/>
              <w:spacing w:before="0" w:beforeAutospacing="0" w:after="0" w:afterAutospacing="0"/>
              <w:ind w:left="0" w:right="0"/>
              <w:jc w:val="center"/>
              <w:outlineLvl w:val="0"/>
              <w:rPr>
                <w:rFonts w:hint="eastAsia" w:cs="Times New Roman"/>
                <w:snapToGrid w:val="0"/>
                <w:color w:val="auto"/>
                <w:szCs w:val="24"/>
              </w:rPr>
            </w:pPr>
          </w:p>
        </w:tc>
        <w:tc>
          <w:tcPr>
            <w:tcW w:w="4696" w:type="pct"/>
            <w:noWrap w:val="0"/>
            <w:vAlign w:val="top"/>
          </w:tcPr>
          <w:p w14:paraId="11C6E7BC">
            <w:pPr>
              <w:pStyle w:val="78"/>
              <w:keepNext w:val="0"/>
              <w:keepLines w:val="0"/>
              <w:suppressLineNumbers w:val="0"/>
              <w:spacing w:before="0" w:beforeAutospacing="0" w:after="0" w:afterAutospacing="0"/>
              <w:ind w:left="0" w:right="0" w:firstLine="480"/>
              <w:rPr>
                <w:rFonts w:hint="eastAsia"/>
                <w:color w:val="auto"/>
                <w:lang w:val="en-US" w:eastAsia="zh-CN"/>
              </w:rPr>
            </w:pPr>
            <w:r>
              <w:rPr>
                <w:rFonts w:hint="eastAsia"/>
                <w:color w:val="auto"/>
                <w:lang w:val="en-US" w:eastAsia="zh-CN"/>
              </w:rPr>
              <w:t>技改项目在现有厂区内组织实施，在现有已建车间内实现生产线的建设，新建废气处理设施等少量环保工程，施工范围小。由于厂区内现有土建及房屋均已建设完成，因此施工期间产生的污染源主要是噪声，因此要求企业合理安排施工时间，施工时使用低噪声机械设备，同时在施工过程中施工单位应设专人对设备进行定期保养和维护，并负责对现场工作人员进行培训，严格按操作规范使用各类机械，确保施工期厂界环境噪声达标，不对周边敏感点造成影响。</w:t>
            </w:r>
          </w:p>
          <w:p w14:paraId="7321EC2B">
            <w:pPr>
              <w:pStyle w:val="78"/>
              <w:keepNext w:val="0"/>
              <w:keepLines w:val="0"/>
              <w:suppressLineNumbers w:val="0"/>
              <w:spacing w:before="0" w:beforeAutospacing="0" w:after="0" w:afterAutospacing="0"/>
              <w:ind w:left="0" w:right="0" w:firstLine="480"/>
              <w:rPr>
                <w:rFonts w:hint="eastAsia"/>
                <w:color w:val="auto"/>
                <w:lang w:val="en-US" w:eastAsia="zh-CN"/>
              </w:rPr>
            </w:pPr>
            <w:r>
              <w:rPr>
                <w:rFonts w:hint="eastAsia"/>
                <w:color w:val="auto"/>
                <w:lang w:val="en-US" w:eastAsia="zh-CN"/>
              </w:rPr>
              <w:t>技改项目施工期间，施工人员日常生活需排放一定量的生活污水，可依托厂区内现有污水管网实现生活污水的有效处置，减轻对地表水的污染。</w:t>
            </w:r>
          </w:p>
          <w:p w14:paraId="224FBB22">
            <w:pPr>
              <w:pStyle w:val="78"/>
              <w:keepNext w:val="0"/>
              <w:keepLines w:val="0"/>
              <w:suppressLineNumbers w:val="0"/>
              <w:spacing w:before="0" w:beforeAutospacing="0" w:after="0" w:afterAutospacing="0"/>
              <w:ind w:left="0" w:right="0" w:firstLine="480"/>
              <w:rPr>
                <w:rFonts w:hint="eastAsia" w:ascii="黑体" w:hAnsi="黑体" w:eastAsia="黑体" w:cs="Times New Roman"/>
                <w:snapToGrid w:val="0"/>
                <w:color w:val="auto"/>
                <w:sz w:val="30"/>
                <w:szCs w:val="30"/>
              </w:rPr>
            </w:pPr>
            <w:r>
              <w:rPr>
                <w:rFonts w:hint="eastAsia"/>
                <w:color w:val="auto"/>
                <w:lang w:val="en-US" w:eastAsia="zh-CN"/>
              </w:rPr>
              <w:t>因此施工期各种施工活动产生的大气扬尘、废水、噪声及固体废弃物均为短期影响，只要严格按照环保要求进行施工，对施工期产生的“三废”及噪声采取有效措施进行控制，预计施工期产生的“三废”及噪声对周围环境主要敏感点的日常生活影响有限，且随着施工的结束而消失。</w:t>
            </w:r>
          </w:p>
        </w:tc>
      </w:tr>
    </w:tbl>
    <w:p w14:paraId="22141170">
      <w:pPr>
        <w:pStyle w:val="25"/>
        <w:adjustRightInd w:val="0"/>
        <w:snapToGrid w:val="0"/>
        <w:spacing w:before="0" w:beforeAutospacing="0" w:after="0" w:afterAutospacing="0"/>
        <w:jc w:val="center"/>
        <w:outlineLvl w:val="0"/>
        <w:rPr>
          <w:rFonts w:cs="宋体"/>
          <w:color w:val="auto"/>
          <w:kern w:val="2"/>
          <w:szCs w:val="24"/>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9"/>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49"/>
        <w:gridCol w:w="13527"/>
      </w:tblGrid>
      <w:tr w14:paraId="21DF17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08" w:hRule="atLeast"/>
        </w:trPr>
        <w:tc>
          <w:tcPr>
            <w:tcW w:w="229" w:type="pct"/>
            <w:noWrap w:val="0"/>
            <w:vAlign w:val="center"/>
          </w:tcPr>
          <w:p w14:paraId="3E1743F5">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运营期环境影响</w:t>
            </w:r>
            <w:r>
              <w:rPr>
                <w:rFonts w:hint="default" w:cs="Times New Roman"/>
                <w:color w:val="auto"/>
              </w:rPr>
              <w:t>和</w:t>
            </w:r>
            <w:r>
              <w:rPr>
                <w:rFonts w:hint="eastAsia" w:cs="Times New Roman"/>
                <w:color w:val="auto"/>
              </w:rPr>
              <w:t>保护措施</w:t>
            </w:r>
          </w:p>
        </w:tc>
        <w:tc>
          <w:tcPr>
            <w:tcW w:w="4770" w:type="pct"/>
            <w:noWrap w:val="0"/>
            <w:vAlign w:val="top"/>
          </w:tcPr>
          <w:p w14:paraId="1F35D2C5">
            <w:pPr>
              <w:pStyle w:val="83"/>
              <w:keepNext w:val="0"/>
              <w:keepLines w:val="0"/>
              <w:widowControl/>
              <w:numPr>
                <w:ilvl w:val="0"/>
                <w:numId w:val="10"/>
              </w:numPr>
              <w:suppressLineNumbers w:val="0"/>
              <w:spacing w:before="0" w:beforeAutospacing="0" w:after="0" w:afterAutospacing="0"/>
              <w:ind w:left="0" w:right="0" w:firstLine="480"/>
              <w:rPr>
                <w:rFonts w:hint="eastAsia"/>
                <w:b/>
                <w:bCs/>
                <w:snapToGrid w:val="0"/>
                <w:color w:val="auto"/>
              </w:rPr>
            </w:pPr>
            <w:r>
              <w:rPr>
                <w:rFonts w:hint="eastAsia"/>
                <w:b/>
                <w:bCs/>
                <w:snapToGrid w:val="0"/>
                <w:color w:val="auto"/>
              </w:rPr>
              <w:t>废气</w:t>
            </w:r>
          </w:p>
          <w:p w14:paraId="0E3E0A6B">
            <w:pPr>
              <w:pStyle w:val="78"/>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本项目</w:t>
            </w:r>
            <w:r>
              <w:rPr>
                <w:rFonts w:hint="default" w:cs="Times New Roman"/>
                <w:color w:val="auto"/>
                <w:lang w:val="en-US" w:eastAsia="zh-CN"/>
              </w:rPr>
              <w:t>营运期产生废气主要为</w:t>
            </w:r>
            <w:r>
              <w:rPr>
                <w:rFonts w:hint="eastAsia" w:cs="Times New Roman"/>
                <w:color w:val="auto"/>
                <w:lang w:val="en-US" w:eastAsia="zh-CN"/>
              </w:rPr>
              <w:t>上料粉尘、</w:t>
            </w:r>
            <w:r>
              <w:rPr>
                <w:rFonts w:hint="default" w:cs="Times New Roman"/>
                <w:color w:val="auto"/>
                <w:lang w:val="en-US" w:eastAsia="zh-CN"/>
              </w:rPr>
              <w:t>破碎粉尘</w:t>
            </w:r>
            <w:r>
              <w:rPr>
                <w:rFonts w:hint="eastAsia" w:cs="Times New Roman"/>
                <w:color w:val="auto"/>
                <w:lang w:val="en-US" w:eastAsia="zh-CN"/>
              </w:rPr>
              <w:t>，冷凝、沉淀、过滤废气、</w:t>
            </w:r>
            <w:r>
              <w:rPr>
                <w:rFonts w:hint="eastAsia"/>
                <w:color w:val="auto"/>
                <w:lang w:val="en-US" w:eastAsia="zh-CN"/>
              </w:rPr>
              <w:t>锅炉废气、储罐废气。</w:t>
            </w:r>
          </w:p>
          <w:p w14:paraId="4E6EF4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eastAsia" w:cs="Times New Roman"/>
                <w:b/>
                <w:bCs/>
                <w:color w:val="auto"/>
                <w:highlight w:val="none"/>
              </w:rPr>
            </w:pPr>
            <w:r>
              <w:rPr>
                <w:rFonts w:hint="eastAsia" w:cs="Times New Roman"/>
                <w:b/>
                <w:bCs/>
                <w:color w:val="auto"/>
                <w:highlight w:val="none"/>
              </w:rPr>
              <w:t>（1）废气污染源情况</w:t>
            </w:r>
          </w:p>
          <w:p w14:paraId="3ECE664E">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zh-CN" w:eastAsia="zh-CN" w:bidi="ar-SA"/>
              </w:rPr>
            </w:pPr>
            <w:r>
              <w:rPr>
                <w:rFonts w:hint="default" w:ascii="Times New Roman" w:hAnsi="Times New Roman" w:eastAsia="宋体" w:cs="Times New Roman"/>
                <w:b/>
                <w:color w:val="auto"/>
                <w:kern w:val="0"/>
                <w:sz w:val="24"/>
                <w:szCs w:val="24"/>
                <w:lang w:val="zh-CN" w:eastAsia="zh-CN" w:bidi="ar-SA"/>
              </w:rPr>
              <w:t>废气污染源产生、正常排放汇总表</w:t>
            </w:r>
          </w:p>
          <w:tbl>
            <w:tblPr>
              <w:tblStyle w:val="29"/>
              <w:tblW w:w="498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6" w:type="dxa"/>
                <w:bottom w:w="0" w:type="dxa"/>
                <w:right w:w="6" w:type="dxa"/>
              </w:tblCellMar>
            </w:tblPr>
            <w:tblGrid>
              <w:gridCol w:w="528"/>
              <w:gridCol w:w="808"/>
              <w:gridCol w:w="487"/>
              <w:gridCol w:w="609"/>
              <w:gridCol w:w="468"/>
              <w:gridCol w:w="471"/>
              <w:gridCol w:w="542"/>
              <w:gridCol w:w="455"/>
              <w:gridCol w:w="455"/>
              <w:gridCol w:w="638"/>
              <w:gridCol w:w="848"/>
              <w:gridCol w:w="534"/>
              <w:gridCol w:w="457"/>
              <w:gridCol w:w="471"/>
              <w:gridCol w:w="540"/>
              <w:gridCol w:w="240"/>
              <w:gridCol w:w="332"/>
              <w:gridCol w:w="277"/>
              <w:gridCol w:w="548"/>
              <w:gridCol w:w="2732"/>
              <w:gridCol w:w="426"/>
              <w:gridCol w:w="412"/>
            </w:tblGrid>
            <w:tr w14:paraId="247D267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228" w:hRule="atLeast"/>
              </w:trPr>
              <w:tc>
                <w:tcPr>
                  <w:tcW w:w="198" w:type="pct"/>
                  <w:vMerge w:val="restart"/>
                  <w:tcBorders>
                    <w:tl2br w:val="nil"/>
                    <w:tr2bl w:val="nil"/>
                  </w:tcBorders>
                  <w:noWrap w:val="0"/>
                  <w:vAlign w:val="center"/>
                </w:tcPr>
                <w:p w14:paraId="6C5A08D5">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排放形式</w:t>
                  </w:r>
                </w:p>
              </w:tc>
              <w:tc>
                <w:tcPr>
                  <w:tcW w:w="304" w:type="pct"/>
                  <w:vMerge w:val="restart"/>
                  <w:tcBorders>
                    <w:tl2br w:val="nil"/>
                    <w:tr2bl w:val="nil"/>
                  </w:tcBorders>
                  <w:shd w:val="clear" w:color="auto" w:fill="auto"/>
                  <w:noWrap w:val="0"/>
                  <w:vAlign w:val="center"/>
                </w:tcPr>
                <w:p w14:paraId="0F79DFB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产排污环节</w:t>
                  </w:r>
                </w:p>
              </w:tc>
              <w:tc>
                <w:tcPr>
                  <w:tcW w:w="183" w:type="pct"/>
                  <w:vMerge w:val="restart"/>
                  <w:tcBorders>
                    <w:tl2br w:val="nil"/>
                    <w:tr2bl w:val="nil"/>
                  </w:tcBorders>
                  <w:noWrap w:val="0"/>
                  <w:vAlign w:val="center"/>
                </w:tcPr>
                <w:p w14:paraId="32FB21A6">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w:t>
                  </w:r>
                </w:p>
                <w:p w14:paraId="59E545EB">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种类</w:t>
                  </w:r>
                </w:p>
              </w:tc>
              <w:tc>
                <w:tcPr>
                  <w:tcW w:w="582" w:type="pct"/>
                  <w:gridSpan w:val="3"/>
                  <w:tcBorders>
                    <w:tl2br w:val="nil"/>
                    <w:tr2bl w:val="nil"/>
                  </w:tcBorders>
                  <w:noWrap w:val="0"/>
                  <w:vAlign w:val="center"/>
                </w:tcPr>
                <w:p w14:paraId="49DA51F7">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污染物产生量和浓度</w:t>
                  </w:r>
                </w:p>
              </w:tc>
              <w:tc>
                <w:tcPr>
                  <w:tcW w:w="1106" w:type="pct"/>
                  <w:gridSpan w:val="5"/>
                  <w:tcBorders>
                    <w:tl2br w:val="nil"/>
                    <w:tr2bl w:val="nil"/>
                  </w:tcBorders>
                  <w:noWrap w:val="0"/>
                  <w:vAlign w:val="center"/>
                </w:tcPr>
                <w:p w14:paraId="7E0F4FE8">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污染治理设施</w:t>
                  </w:r>
                </w:p>
              </w:tc>
              <w:tc>
                <w:tcPr>
                  <w:tcW w:w="550" w:type="pct"/>
                  <w:gridSpan w:val="3"/>
                  <w:tcBorders>
                    <w:tl2br w:val="nil"/>
                    <w:tr2bl w:val="nil"/>
                  </w:tcBorders>
                  <w:noWrap w:val="0"/>
                  <w:vAlign w:val="center"/>
                </w:tcPr>
                <w:p w14:paraId="1057903B">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污染物排放量和浓度</w:t>
                  </w:r>
                </w:p>
              </w:tc>
              <w:tc>
                <w:tcPr>
                  <w:tcW w:w="1758" w:type="pct"/>
                  <w:gridSpan w:val="6"/>
                  <w:tcBorders>
                    <w:tl2br w:val="nil"/>
                    <w:tr2bl w:val="nil"/>
                  </w:tcBorders>
                  <w:noWrap w:val="0"/>
                  <w:vAlign w:val="center"/>
                </w:tcPr>
                <w:p w14:paraId="59B48C67">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排放口基本情况</w:t>
                  </w:r>
                </w:p>
              </w:tc>
              <w:tc>
                <w:tcPr>
                  <w:tcW w:w="315" w:type="pct"/>
                  <w:gridSpan w:val="2"/>
                  <w:tcBorders>
                    <w:tl2br w:val="nil"/>
                    <w:tr2bl w:val="nil"/>
                  </w:tcBorders>
                  <w:noWrap w:val="0"/>
                  <w:vAlign w:val="center"/>
                </w:tcPr>
                <w:p w14:paraId="3EFA1C58">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排放标准</w:t>
                  </w:r>
                </w:p>
              </w:tc>
            </w:tr>
            <w:tr w14:paraId="20E639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829" w:hRule="atLeast"/>
              </w:trPr>
              <w:tc>
                <w:tcPr>
                  <w:tcW w:w="198" w:type="pct"/>
                  <w:vMerge w:val="continue"/>
                  <w:tcBorders>
                    <w:tl2br w:val="nil"/>
                    <w:tr2bl w:val="nil"/>
                  </w:tcBorders>
                  <w:noWrap w:val="0"/>
                  <w:vAlign w:val="center"/>
                </w:tcPr>
                <w:p w14:paraId="3F7133A3">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vMerge w:val="continue"/>
                  <w:tcBorders>
                    <w:tl2br w:val="nil"/>
                    <w:tr2bl w:val="nil"/>
                  </w:tcBorders>
                  <w:noWrap w:val="0"/>
                  <w:vAlign w:val="center"/>
                </w:tcPr>
                <w:p w14:paraId="2AA5BC7D">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183" w:type="pct"/>
                  <w:vMerge w:val="continue"/>
                  <w:tcBorders>
                    <w:tl2br w:val="nil"/>
                    <w:tr2bl w:val="nil"/>
                  </w:tcBorders>
                  <w:noWrap w:val="0"/>
                  <w:vAlign w:val="center"/>
                </w:tcPr>
                <w:p w14:paraId="4CD27351">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229" w:type="pct"/>
                  <w:vMerge w:val="restart"/>
                  <w:tcBorders>
                    <w:tl2br w:val="nil"/>
                    <w:tr2bl w:val="nil"/>
                  </w:tcBorders>
                  <w:noWrap w:val="0"/>
                  <w:vAlign w:val="center"/>
                </w:tcPr>
                <w:p w14:paraId="160D4FE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产生浓度</w:t>
                  </w:r>
                </w:p>
                <w:p w14:paraId="2BB75BD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rPr>
                    <w:t>mg/</w:t>
                  </w:r>
                  <w:r>
                    <w:rPr>
                      <w:rFonts w:hint="default"/>
                      <w:color w:val="auto"/>
                      <w:sz w:val="18"/>
                      <w:szCs w:val="18"/>
                      <w:lang w:val="en-US" w:eastAsia="zh-CN"/>
                    </w:rPr>
                    <w:t>m</w:t>
                  </w:r>
                  <w:r>
                    <w:rPr>
                      <w:rFonts w:hint="default"/>
                      <w:color w:val="auto"/>
                      <w:sz w:val="18"/>
                      <w:szCs w:val="18"/>
                      <w:vertAlign w:val="superscript"/>
                      <w:lang w:val="en-US" w:eastAsia="zh-CN"/>
                    </w:rPr>
                    <w:t>3</w:t>
                  </w:r>
                </w:p>
              </w:tc>
              <w:tc>
                <w:tcPr>
                  <w:tcW w:w="353" w:type="pct"/>
                  <w:gridSpan w:val="2"/>
                  <w:tcBorders>
                    <w:tl2br w:val="nil"/>
                    <w:tr2bl w:val="nil"/>
                  </w:tcBorders>
                  <w:noWrap w:val="0"/>
                  <w:vAlign w:val="center"/>
                </w:tcPr>
                <w:p w14:paraId="5DA5BEF1">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产生量</w:t>
                  </w:r>
                </w:p>
              </w:tc>
              <w:tc>
                <w:tcPr>
                  <w:tcW w:w="204" w:type="pct"/>
                  <w:tcBorders>
                    <w:tl2br w:val="nil"/>
                    <w:tr2bl w:val="nil"/>
                  </w:tcBorders>
                  <w:noWrap w:val="0"/>
                  <w:vAlign w:val="center"/>
                </w:tcPr>
                <w:p w14:paraId="0EA42B20">
                  <w:pPr>
                    <w:pStyle w:val="61"/>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处理能力</w:t>
                  </w:r>
                </w:p>
              </w:tc>
              <w:tc>
                <w:tcPr>
                  <w:tcW w:w="171" w:type="pct"/>
                  <w:tcBorders>
                    <w:tl2br w:val="nil"/>
                    <w:tr2bl w:val="nil"/>
                  </w:tcBorders>
                  <w:noWrap w:val="0"/>
                  <w:vAlign w:val="center"/>
                </w:tcPr>
                <w:p w14:paraId="6554417B">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收集效率</w:t>
                  </w:r>
                </w:p>
              </w:tc>
              <w:tc>
                <w:tcPr>
                  <w:tcW w:w="171" w:type="pct"/>
                  <w:tcBorders>
                    <w:tl2br w:val="nil"/>
                    <w:tr2bl w:val="nil"/>
                  </w:tcBorders>
                  <w:noWrap w:val="0"/>
                  <w:vAlign w:val="center"/>
                </w:tcPr>
                <w:p w14:paraId="1803DC1D">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去除效率</w:t>
                  </w:r>
                </w:p>
              </w:tc>
              <w:tc>
                <w:tcPr>
                  <w:tcW w:w="240" w:type="pct"/>
                  <w:vMerge w:val="restart"/>
                  <w:tcBorders>
                    <w:tl2br w:val="nil"/>
                    <w:tr2bl w:val="nil"/>
                  </w:tcBorders>
                  <w:noWrap w:val="0"/>
                  <w:vAlign w:val="center"/>
                </w:tcPr>
                <w:p w14:paraId="26E258C1">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是否可行技术</w:t>
                  </w:r>
                </w:p>
              </w:tc>
              <w:tc>
                <w:tcPr>
                  <w:tcW w:w="319" w:type="pct"/>
                  <w:vMerge w:val="restart"/>
                  <w:tcBorders>
                    <w:tl2br w:val="nil"/>
                    <w:tr2bl w:val="nil"/>
                  </w:tcBorders>
                  <w:noWrap w:val="0"/>
                  <w:vAlign w:val="center"/>
                </w:tcPr>
                <w:p w14:paraId="359FD435">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处理</w:t>
                  </w:r>
                </w:p>
                <w:p w14:paraId="60D026C6">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工艺</w:t>
                  </w:r>
                </w:p>
              </w:tc>
              <w:tc>
                <w:tcPr>
                  <w:tcW w:w="201" w:type="pct"/>
                  <w:vMerge w:val="restart"/>
                  <w:tcBorders>
                    <w:tl2br w:val="nil"/>
                    <w:tr2bl w:val="nil"/>
                  </w:tcBorders>
                  <w:noWrap w:val="0"/>
                  <w:vAlign w:val="center"/>
                </w:tcPr>
                <w:p w14:paraId="03E94024">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w:t>
                  </w:r>
                </w:p>
                <w:p w14:paraId="39FECD3F">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浓度</w:t>
                  </w:r>
                </w:p>
                <w:p w14:paraId="509B076A">
                  <w:pPr>
                    <w:pStyle w:val="61"/>
                    <w:keepNext w:val="0"/>
                    <w:keepLines w:val="0"/>
                    <w:suppressLineNumbers w:val="0"/>
                    <w:bidi w:val="0"/>
                    <w:spacing w:before="0" w:beforeAutospacing="0" w:after="0" w:afterAutospacing="0"/>
                    <w:ind w:left="0" w:right="0"/>
                    <w:rPr>
                      <w:rFonts w:hint="default" w:cs="Times New Roman"/>
                      <w:color w:val="auto"/>
                      <w:sz w:val="18"/>
                      <w:szCs w:val="18"/>
                      <w:lang w:eastAsia="zh-CN"/>
                    </w:rPr>
                  </w:pPr>
                  <w:r>
                    <w:rPr>
                      <w:rFonts w:hint="default" w:cs="Times New Roman"/>
                      <w:color w:val="auto"/>
                      <w:sz w:val="18"/>
                      <w:szCs w:val="18"/>
                    </w:rPr>
                    <w:t>mg/</w:t>
                  </w:r>
                  <w:r>
                    <w:rPr>
                      <w:rFonts w:hint="default"/>
                      <w:color w:val="auto"/>
                      <w:sz w:val="18"/>
                      <w:szCs w:val="18"/>
                      <w:lang w:val="en-US" w:eastAsia="zh-CN"/>
                    </w:rPr>
                    <w:t>m</w:t>
                  </w:r>
                  <w:r>
                    <w:rPr>
                      <w:rFonts w:hint="default"/>
                      <w:color w:val="auto"/>
                      <w:sz w:val="18"/>
                      <w:szCs w:val="18"/>
                      <w:vertAlign w:val="superscript"/>
                      <w:lang w:val="en-US" w:eastAsia="zh-CN"/>
                    </w:rPr>
                    <w:t>3</w:t>
                  </w:r>
                </w:p>
              </w:tc>
              <w:tc>
                <w:tcPr>
                  <w:tcW w:w="349" w:type="pct"/>
                  <w:gridSpan w:val="2"/>
                  <w:tcBorders>
                    <w:tl2br w:val="nil"/>
                    <w:tr2bl w:val="nil"/>
                  </w:tcBorders>
                  <w:noWrap w:val="0"/>
                  <w:vAlign w:val="center"/>
                </w:tcPr>
                <w:p w14:paraId="1F4CF579">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排放量</w:t>
                  </w:r>
                </w:p>
              </w:tc>
              <w:tc>
                <w:tcPr>
                  <w:tcW w:w="203" w:type="pct"/>
                  <w:tcBorders>
                    <w:tl2br w:val="nil"/>
                    <w:tr2bl w:val="nil"/>
                  </w:tcBorders>
                  <w:noWrap w:val="0"/>
                  <w:vAlign w:val="center"/>
                </w:tcPr>
                <w:p w14:paraId="398155DF">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编号及</w:t>
                  </w:r>
                </w:p>
                <w:p w14:paraId="1B1678AF">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名称</w:t>
                  </w:r>
                </w:p>
              </w:tc>
              <w:tc>
                <w:tcPr>
                  <w:tcW w:w="90" w:type="pct"/>
                  <w:tcBorders>
                    <w:tl2br w:val="nil"/>
                    <w:tr2bl w:val="nil"/>
                  </w:tcBorders>
                  <w:noWrap w:val="0"/>
                  <w:vAlign w:val="center"/>
                </w:tcPr>
                <w:p w14:paraId="5E890ECE">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高度</w:t>
                  </w:r>
                </w:p>
              </w:tc>
              <w:tc>
                <w:tcPr>
                  <w:tcW w:w="125" w:type="pct"/>
                  <w:tcBorders>
                    <w:tl2br w:val="nil"/>
                    <w:tr2bl w:val="nil"/>
                  </w:tcBorders>
                  <w:noWrap w:val="0"/>
                  <w:vAlign w:val="center"/>
                </w:tcPr>
                <w:p w14:paraId="2424F3B5">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内径</w:t>
                  </w:r>
                </w:p>
              </w:tc>
              <w:tc>
                <w:tcPr>
                  <w:tcW w:w="104" w:type="pct"/>
                  <w:tcBorders>
                    <w:tl2br w:val="nil"/>
                    <w:tr2bl w:val="nil"/>
                  </w:tcBorders>
                  <w:noWrap w:val="0"/>
                  <w:vAlign w:val="center"/>
                </w:tcPr>
                <w:p w14:paraId="628F0A67">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温度</w:t>
                  </w:r>
                </w:p>
              </w:tc>
              <w:tc>
                <w:tcPr>
                  <w:tcW w:w="206" w:type="pct"/>
                  <w:tcBorders>
                    <w:tl2br w:val="nil"/>
                    <w:tr2bl w:val="nil"/>
                  </w:tcBorders>
                  <w:noWrap w:val="0"/>
                  <w:vAlign w:val="center"/>
                </w:tcPr>
                <w:p w14:paraId="52184720">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类型</w:t>
                  </w:r>
                </w:p>
              </w:tc>
              <w:tc>
                <w:tcPr>
                  <w:tcW w:w="1028" w:type="pct"/>
                  <w:tcBorders>
                    <w:tl2br w:val="nil"/>
                    <w:tr2bl w:val="nil"/>
                  </w:tcBorders>
                  <w:noWrap w:val="0"/>
                  <w:vAlign w:val="center"/>
                </w:tcPr>
                <w:p w14:paraId="043F8B7B">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地理</w:t>
                  </w:r>
                </w:p>
                <w:p w14:paraId="7F108F1A">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坐标</w:t>
                  </w:r>
                </w:p>
              </w:tc>
              <w:tc>
                <w:tcPr>
                  <w:tcW w:w="160" w:type="pct"/>
                  <w:vMerge w:val="restart"/>
                  <w:tcBorders>
                    <w:tl2br w:val="nil"/>
                    <w:tr2bl w:val="nil"/>
                  </w:tcBorders>
                  <w:noWrap w:val="0"/>
                  <w:vAlign w:val="center"/>
                </w:tcPr>
                <w:p w14:paraId="6F0ADE97">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浓度</w:t>
                  </w:r>
                </w:p>
                <w:p w14:paraId="6879CAFD">
                  <w:pPr>
                    <w:pStyle w:val="61"/>
                    <w:keepNext w:val="0"/>
                    <w:keepLines w:val="0"/>
                    <w:suppressLineNumbers w:val="0"/>
                    <w:bidi w:val="0"/>
                    <w:spacing w:before="0" w:beforeAutospacing="0" w:after="0" w:afterAutospacing="0"/>
                    <w:ind w:left="0" w:right="0"/>
                    <w:rPr>
                      <w:rFonts w:hint="default" w:cs="Times New Roman"/>
                      <w:color w:val="auto"/>
                      <w:sz w:val="18"/>
                      <w:szCs w:val="18"/>
                      <w:lang w:eastAsia="zh-CN"/>
                    </w:rPr>
                  </w:pPr>
                  <w:r>
                    <w:rPr>
                      <w:rFonts w:hint="default" w:cs="Times New Roman"/>
                      <w:color w:val="auto"/>
                      <w:sz w:val="18"/>
                      <w:szCs w:val="18"/>
                    </w:rPr>
                    <w:t>mg/</w:t>
                  </w:r>
                  <w:r>
                    <w:rPr>
                      <w:rFonts w:hint="default"/>
                      <w:color w:val="auto"/>
                      <w:lang w:val="en-US" w:eastAsia="zh-CN"/>
                    </w:rPr>
                    <w:t>m</w:t>
                  </w:r>
                  <w:r>
                    <w:rPr>
                      <w:rFonts w:hint="default"/>
                      <w:color w:val="auto"/>
                      <w:vertAlign w:val="superscript"/>
                      <w:lang w:val="en-US" w:eastAsia="zh-CN"/>
                    </w:rPr>
                    <w:t>3</w:t>
                  </w:r>
                </w:p>
              </w:tc>
              <w:tc>
                <w:tcPr>
                  <w:tcW w:w="155" w:type="pct"/>
                  <w:vMerge w:val="restart"/>
                  <w:tcBorders>
                    <w:tl2br w:val="nil"/>
                    <w:tr2bl w:val="nil"/>
                  </w:tcBorders>
                  <w:noWrap w:val="0"/>
                  <w:vAlign w:val="center"/>
                </w:tcPr>
                <w:p w14:paraId="48488A0C">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速率</w:t>
                  </w:r>
                </w:p>
                <w:p w14:paraId="333B3C3A">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r>
            <w:tr w14:paraId="0EF2F1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11" w:hRule="atLeast"/>
              </w:trPr>
              <w:tc>
                <w:tcPr>
                  <w:tcW w:w="198" w:type="pct"/>
                  <w:vMerge w:val="continue"/>
                  <w:tcBorders>
                    <w:tl2br w:val="nil"/>
                    <w:tr2bl w:val="nil"/>
                  </w:tcBorders>
                  <w:noWrap w:val="0"/>
                  <w:vAlign w:val="center"/>
                </w:tcPr>
                <w:p w14:paraId="545D75BF">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vMerge w:val="continue"/>
                  <w:tcBorders>
                    <w:tl2br w:val="nil"/>
                    <w:tr2bl w:val="nil"/>
                  </w:tcBorders>
                  <w:noWrap w:val="0"/>
                  <w:vAlign w:val="center"/>
                </w:tcPr>
                <w:p w14:paraId="4331D5BB">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183" w:type="pct"/>
                  <w:vMerge w:val="continue"/>
                  <w:tcBorders>
                    <w:tl2br w:val="nil"/>
                    <w:tr2bl w:val="nil"/>
                  </w:tcBorders>
                  <w:noWrap w:val="0"/>
                  <w:vAlign w:val="center"/>
                </w:tcPr>
                <w:p w14:paraId="2A196039">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229" w:type="pct"/>
                  <w:vMerge w:val="continue"/>
                  <w:tcBorders>
                    <w:tl2br w:val="nil"/>
                    <w:tr2bl w:val="nil"/>
                  </w:tcBorders>
                  <w:noWrap w:val="0"/>
                  <w:vAlign w:val="center"/>
                </w:tcPr>
                <w:p w14:paraId="42806FE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rPr>
                  </w:pPr>
                </w:p>
              </w:tc>
              <w:tc>
                <w:tcPr>
                  <w:tcW w:w="176" w:type="pct"/>
                  <w:tcBorders>
                    <w:tl2br w:val="nil"/>
                    <w:tr2bl w:val="nil"/>
                  </w:tcBorders>
                  <w:noWrap w:val="0"/>
                  <w:vAlign w:val="center"/>
                </w:tcPr>
                <w:p w14:paraId="505BC2F4">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c>
                <w:tcPr>
                  <w:tcW w:w="177" w:type="pct"/>
                  <w:tcBorders>
                    <w:tl2br w:val="nil"/>
                    <w:tr2bl w:val="nil"/>
                  </w:tcBorders>
                  <w:noWrap w:val="0"/>
                  <w:vAlign w:val="center"/>
                </w:tcPr>
                <w:p w14:paraId="48228FC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t/a</w:t>
                  </w:r>
                </w:p>
              </w:tc>
              <w:tc>
                <w:tcPr>
                  <w:tcW w:w="204" w:type="pct"/>
                  <w:tcBorders>
                    <w:tl2br w:val="nil"/>
                    <w:tr2bl w:val="nil"/>
                  </w:tcBorders>
                  <w:noWrap w:val="0"/>
                  <w:vAlign w:val="center"/>
                </w:tcPr>
                <w:p w14:paraId="730A18E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rPr>
                  </w:pPr>
                  <w:r>
                    <w:rPr>
                      <w:rFonts w:hint="default"/>
                      <w:color w:val="auto"/>
                      <w:sz w:val="18"/>
                      <w:szCs w:val="18"/>
                      <w:lang w:val="en-US" w:eastAsia="zh-CN"/>
                    </w:rPr>
                    <w:t>m</w:t>
                  </w:r>
                  <w:r>
                    <w:rPr>
                      <w:rFonts w:hint="default"/>
                      <w:color w:val="auto"/>
                      <w:sz w:val="18"/>
                      <w:szCs w:val="18"/>
                      <w:vertAlign w:val="superscript"/>
                      <w:lang w:val="en-US" w:eastAsia="zh-CN"/>
                    </w:rPr>
                    <w:t>3</w:t>
                  </w:r>
                  <w:r>
                    <w:rPr>
                      <w:rFonts w:hint="default" w:ascii="Times New Roman" w:hAnsi="Times New Roman" w:eastAsia="宋体" w:cs="Times New Roman"/>
                      <w:color w:val="auto"/>
                      <w:sz w:val="18"/>
                      <w:szCs w:val="18"/>
                    </w:rPr>
                    <w:t>/h</w:t>
                  </w:r>
                </w:p>
              </w:tc>
              <w:tc>
                <w:tcPr>
                  <w:tcW w:w="171" w:type="pct"/>
                  <w:tcBorders>
                    <w:tl2br w:val="nil"/>
                    <w:tr2bl w:val="nil"/>
                  </w:tcBorders>
                  <w:noWrap w:val="0"/>
                  <w:vAlign w:val="center"/>
                </w:tcPr>
                <w:p w14:paraId="3D5D8B90">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71" w:type="pct"/>
                  <w:tcBorders>
                    <w:tl2br w:val="nil"/>
                    <w:tr2bl w:val="nil"/>
                  </w:tcBorders>
                  <w:noWrap w:val="0"/>
                  <w:vAlign w:val="center"/>
                </w:tcPr>
                <w:p w14:paraId="452CD8C4">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240" w:type="pct"/>
                  <w:vMerge w:val="continue"/>
                  <w:tcBorders>
                    <w:tl2br w:val="nil"/>
                    <w:tr2bl w:val="nil"/>
                  </w:tcBorders>
                  <w:noWrap w:val="0"/>
                  <w:vAlign w:val="center"/>
                </w:tcPr>
                <w:p w14:paraId="386BA7B9">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19" w:type="pct"/>
                  <w:vMerge w:val="continue"/>
                  <w:tcBorders>
                    <w:tl2br w:val="nil"/>
                    <w:tr2bl w:val="nil"/>
                  </w:tcBorders>
                  <w:noWrap w:val="0"/>
                  <w:vAlign w:val="center"/>
                </w:tcPr>
                <w:p w14:paraId="0E07F5B8">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201" w:type="pct"/>
                  <w:vMerge w:val="continue"/>
                  <w:tcBorders>
                    <w:tl2br w:val="nil"/>
                    <w:tr2bl w:val="nil"/>
                  </w:tcBorders>
                  <w:noWrap w:val="0"/>
                  <w:vAlign w:val="center"/>
                </w:tcPr>
                <w:p w14:paraId="6EB56DDF">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172" w:type="pct"/>
                  <w:tcBorders>
                    <w:tl2br w:val="nil"/>
                    <w:tr2bl w:val="nil"/>
                  </w:tcBorders>
                  <w:noWrap w:val="0"/>
                  <w:vAlign w:val="center"/>
                </w:tcPr>
                <w:p w14:paraId="675C8E32">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c>
                <w:tcPr>
                  <w:tcW w:w="177" w:type="pct"/>
                  <w:tcBorders>
                    <w:tl2br w:val="nil"/>
                    <w:tr2bl w:val="nil"/>
                  </w:tcBorders>
                  <w:noWrap w:val="0"/>
                  <w:vAlign w:val="center"/>
                </w:tcPr>
                <w:p w14:paraId="16B5F5DA">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t/a</w:t>
                  </w:r>
                </w:p>
              </w:tc>
              <w:tc>
                <w:tcPr>
                  <w:tcW w:w="203" w:type="pct"/>
                  <w:tcBorders>
                    <w:tl2br w:val="nil"/>
                    <w:tr2bl w:val="nil"/>
                  </w:tcBorders>
                  <w:noWrap w:val="0"/>
                  <w:vAlign w:val="center"/>
                </w:tcPr>
                <w:p w14:paraId="0B02DA12">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90" w:type="pct"/>
                  <w:tcBorders>
                    <w:tl2br w:val="nil"/>
                    <w:tr2bl w:val="nil"/>
                  </w:tcBorders>
                  <w:noWrap w:val="0"/>
                  <w:vAlign w:val="center"/>
                </w:tcPr>
                <w:p w14:paraId="3C985668">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m</w:t>
                  </w:r>
                </w:p>
              </w:tc>
              <w:tc>
                <w:tcPr>
                  <w:tcW w:w="125" w:type="pct"/>
                  <w:tcBorders>
                    <w:tl2br w:val="nil"/>
                    <w:tr2bl w:val="nil"/>
                  </w:tcBorders>
                  <w:noWrap w:val="0"/>
                  <w:vAlign w:val="center"/>
                </w:tcPr>
                <w:p w14:paraId="5CC01267">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m</w:t>
                  </w:r>
                </w:p>
              </w:tc>
              <w:tc>
                <w:tcPr>
                  <w:tcW w:w="104" w:type="pct"/>
                  <w:tcBorders>
                    <w:tl2br w:val="nil"/>
                    <w:tr2bl w:val="nil"/>
                  </w:tcBorders>
                  <w:noWrap w:val="0"/>
                  <w:vAlign w:val="center"/>
                </w:tcPr>
                <w:p w14:paraId="12AD75D1">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206" w:type="pct"/>
                  <w:tcBorders>
                    <w:tl2br w:val="nil"/>
                    <w:tr2bl w:val="nil"/>
                  </w:tcBorders>
                  <w:noWrap w:val="0"/>
                  <w:vAlign w:val="center"/>
                </w:tcPr>
                <w:p w14:paraId="2D0004FF">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028" w:type="pct"/>
                  <w:tcBorders>
                    <w:tl2br w:val="nil"/>
                    <w:tr2bl w:val="nil"/>
                  </w:tcBorders>
                  <w:noWrap w:val="0"/>
                  <w:vAlign w:val="center"/>
                </w:tcPr>
                <w:p w14:paraId="67E562C2">
                  <w:pPr>
                    <w:pStyle w:val="61"/>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60" w:type="pct"/>
                  <w:vMerge w:val="continue"/>
                  <w:tcBorders>
                    <w:tl2br w:val="nil"/>
                    <w:tr2bl w:val="nil"/>
                  </w:tcBorders>
                  <w:noWrap w:val="0"/>
                  <w:vAlign w:val="center"/>
                </w:tcPr>
                <w:p w14:paraId="6095A0FD">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155" w:type="pct"/>
                  <w:vMerge w:val="continue"/>
                  <w:tcBorders>
                    <w:tl2br w:val="nil"/>
                    <w:tr2bl w:val="nil"/>
                  </w:tcBorders>
                  <w:noWrap w:val="0"/>
                  <w:vAlign w:val="center"/>
                </w:tcPr>
                <w:p w14:paraId="358CD494">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r>
            <w:tr w14:paraId="6F286D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restart"/>
                  <w:tcBorders>
                    <w:tl2br w:val="nil"/>
                    <w:tr2bl w:val="nil"/>
                  </w:tcBorders>
                  <w:noWrap w:val="0"/>
                  <w:vAlign w:val="center"/>
                </w:tcPr>
                <w:p w14:paraId="318DB2B0">
                  <w:pPr>
                    <w:pStyle w:val="61"/>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有组织排放</w:t>
                  </w:r>
                </w:p>
              </w:tc>
              <w:tc>
                <w:tcPr>
                  <w:tcW w:w="304" w:type="pct"/>
                  <w:vMerge w:val="restart"/>
                  <w:tcBorders>
                    <w:tl2br w:val="nil"/>
                    <w:tr2bl w:val="nil"/>
                  </w:tcBorders>
                  <w:shd w:val="clear" w:color="auto" w:fill="auto"/>
                  <w:noWrap w:val="0"/>
                  <w:vAlign w:val="center"/>
                </w:tcPr>
                <w:p w14:paraId="1A04B5CC">
                  <w:pPr>
                    <w:pStyle w:val="61"/>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冷凝废气</w:t>
                  </w:r>
                </w:p>
              </w:tc>
              <w:tc>
                <w:tcPr>
                  <w:tcW w:w="183" w:type="pct"/>
                  <w:tcBorders>
                    <w:tl2br w:val="nil"/>
                    <w:tr2bl w:val="nil"/>
                  </w:tcBorders>
                  <w:shd w:val="clear" w:color="auto" w:fill="auto"/>
                  <w:noWrap w:val="0"/>
                  <w:vAlign w:val="center"/>
                </w:tcPr>
                <w:p w14:paraId="2D71D85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shd w:val="clear" w:color="auto" w:fill="auto"/>
                  <w:noWrap w:val="0"/>
                  <w:vAlign w:val="center"/>
                </w:tcPr>
                <w:p w14:paraId="49F7444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226</w:t>
                  </w:r>
                </w:p>
              </w:tc>
              <w:tc>
                <w:tcPr>
                  <w:tcW w:w="176" w:type="pct"/>
                  <w:tcBorders>
                    <w:tl2br w:val="nil"/>
                    <w:tr2bl w:val="nil"/>
                  </w:tcBorders>
                  <w:shd w:val="clear" w:color="auto" w:fill="auto"/>
                  <w:noWrap w:val="0"/>
                  <w:vAlign w:val="center"/>
                </w:tcPr>
                <w:p w14:paraId="04BB221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1.13</w:t>
                  </w:r>
                </w:p>
              </w:tc>
              <w:tc>
                <w:tcPr>
                  <w:tcW w:w="177" w:type="pct"/>
                  <w:tcBorders>
                    <w:tl2br w:val="nil"/>
                    <w:tr2bl w:val="nil"/>
                  </w:tcBorders>
                  <w:shd w:val="clear" w:color="auto" w:fill="auto"/>
                  <w:noWrap w:val="0"/>
                  <w:vAlign w:val="center"/>
                </w:tcPr>
                <w:p w14:paraId="5271553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8.668</w:t>
                  </w:r>
                </w:p>
              </w:tc>
              <w:tc>
                <w:tcPr>
                  <w:tcW w:w="204" w:type="pct"/>
                  <w:vMerge w:val="restart"/>
                  <w:tcBorders>
                    <w:tl2br w:val="nil"/>
                    <w:tr2bl w:val="nil"/>
                  </w:tcBorders>
                  <w:shd w:val="clear" w:color="auto" w:fill="auto"/>
                  <w:noWrap w:val="0"/>
                  <w:vAlign w:val="center"/>
                </w:tcPr>
                <w:p w14:paraId="1A3634F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5000</w:t>
                  </w:r>
                </w:p>
              </w:tc>
              <w:tc>
                <w:tcPr>
                  <w:tcW w:w="171" w:type="pct"/>
                  <w:tcBorders>
                    <w:tl2br w:val="nil"/>
                    <w:tr2bl w:val="nil"/>
                  </w:tcBorders>
                  <w:shd w:val="clear" w:color="auto" w:fill="auto"/>
                  <w:noWrap w:val="0"/>
                  <w:vAlign w:val="center"/>
                </w:tcPr>
                <w:p w14:paraId="5A639FA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95</w:t>
                  </w:r>
                </w:p>
              </w:tc>
              <w:tc>
                <w:tcPr>
                  <w:tcW w:w="171" w:type="pct"/>
                  <w:tcBorders>
                    <w:tl2br w:val="nil"/>
                    <w:tr2bl w:val="nil"/>
                  </w:tcBorders>
                  <w:shd w:val="clear" w:color="auto" w:fill="auto"/>
                  <w:noWrap w:val="0"/>
                  <w:vAlign w:val="center"/>
                </w:tcPr>
                <w:p w14:paraId="5716EC2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90</w:t>
                  </w:r>
                </w:p>
              </w:tc>
              <w:tc>
                <w:tcPr>
                  <w:tcW w:w="240" w:type="pct"/>
                  <w:tcBorders>
                    <w:tl2br w:val="nil"/>
                    <w:tr2bl w:val="nil"/>
                  </w:tcBorders>
                  <w:shd w:val="clear" w:color="auto" w:fill="auto"/>
                  <w:noWrap w:val="0"/>
                  <w:vAlign w:val="center"/>
                </w:tcPr>
                <w:p w14:paraId="2D0C74F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是</w:t>
                  </w:r>
                </w:p>
              </w:tc>
              <w:tc>
                <w:tcPr>
                  <w:tcW w:w="319" w:type="pct"/>
                  <w:vMerge w:val="restart"/>
                  <w:tcBorders>
                    <w:tl2br w:val="nil"/>
                    <w:tr2bl w:val="nil"/>
                  </w:tcBorders>
                  <w:shd w:val="clear" w:color="auto" w:fill="auto"/>
                  <w:noWrap w:val="0"/>
                  <w:vAlign w:val="center"/>
                </w:tcPr>
                <w:p w14:paraId="5F6858F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布袋除尘器+</w:t>
                  </w:r>
                  <w:r>
                    <w:rPr>
                      <w:rFonts w:hint="eastAsia" w:cs="Times New Roman"/>
                      <w:color w:val="auto"/>
                      <w:spacing w:val="0"/>
                      <w:kern w:val="0"/>
                      <w:sz w:val="18"/>
                      <w:szCs w:val="18"/>
                      <w:lang w:val="en-US" w:eastAsia="zh-CN" w:bidi="ar-SA"/>
                    </w:rPr>
                    <w:t>三级水喷淋装置</w:t>
                  </w:r>
                </w:p>
              </w:tc>
              <w:tc>
                <w:tcPr>
                  <w:tcW w:w="201" w:type="pct"/>
                  <w:tcBorders>
                    <w:tl2br w:val="nil"/>
                    <w:tr2bl w:val="nil"/>
                  </w:tcBorders>
                  <w:shd w:val="clear" w:color="auto" w:fill="auto"/>
                  <w:noWrap w:val="0"/>
                  <w:vAlign w:val="center"/>
                </w:tcPr>
                <w:p w14:paraId="05EBD47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shd w:val="clear" w:color="auto" w:fill="auto"/>
                  <w:noWrap w:val="0"/>
                  <w:vAlign w:val="center"/>
                </w:tcPr>
                <w:p w14:paraId="15568B2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7" w:type="pct"/>
                  <w:tcBorders>
                    <w:tl2br w:val="nil"/>
                    <w:tr2bl w:val="nil"/>
                  </w:tcBorders>
                  <w:shd w:val="clear" w:color="auto" w:fill="auto"/>
                  <w:noWrap w:val="0"/>
                  <w:vAlign w:val="center"/>
                </w:tcPr>
                <w:p w14:paraId="244ED9B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3" w:type="pct"/>
                  <w:tcBorders>
                    <w:tl2br w:val="nil"/>
                    <w:tr2bl w:val="nil"/>
                  </w:tcBorders>
                  <w:noWrap w:val="0"/>
                  <w:vAlign w:val="center"/>
                </w:tcPr>
                <w:p w14:paraId="2385265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6CDAB0F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262B79C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2D73AB2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1DEC4E3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351AF149">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0" w:type="pct"/>
                  <w:tcBorders>
                    <w:tl2br w:val="nil"/>
                    <w:tr2bl w:val="nil"/>
                  </w:tcBorders>
                  <w:noWrap w:val="0"/>
                  <w:vAlign w:val="center"/>
                </w:tcPr>
                <w:p w14:paraId="31330A6C">
                  <w:pPr>
                    <w:pStyle w:val="61"/>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55" w:type="pct"/>
                  <w:tcBorders>
                    <w:tl2br w:val="nil"/>
                    <w:tr2bl w:val="nil"/>
                  </w:tcBorders>
                  <w:noWrap w:val="0"/>
                  <w:vAlign w:val="center"/>
                </w:tcPr>
                <w:p w14:paraId="69D73E21">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ascii="Times New Roman" w:hAnsi="Times New Roman" w:eastAsia="宋体" w:cs="Times New Roman"/>
                      <w:color w:val="auto"/>
                      <w:sz w:val="18"/>
                      <w:szCs w:val="18"/>
                      <w:lang w:val="en-US" w:eastAsia="zh-CN"/>
                    </w:rPr>
                    <w:t>/</w:t>
                  </w:r>
                </w:p>
              </w:tc>
            </w:tr>
            <w:tr w14:paraId="143F915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continue"/>
                  <w:tcBorders>
                    <w:tl2br w:val="nil"/>
                    <w:tr2bl w:val="nil"/>
                  </w:tcBorders>
                  <w:noWrap w:val="0"/>
                  <w:vAlign w:val="center"/>
                </w:tcPr>
                <w:p w14:paraId="6C7993EF">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continue"/>
                  <w:tcBorders>
                    <w:tl2br w:val="nil"/>
                    <w:tr2bl w:val="nil"/>
                  </w:tcBorders>
                  <w:shd w:val="clear" w:color="auto" w:fill="auto"/>
                  <w:noWrap w:val="0"/>
                  <w:vAlign w:val="center"/>
                </w:tcPr>
                <w:p w14:paraId="12C7AB35">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3" w:type="pct"/>
                  <w:tcBorders>
                    <w:tl2br w:val="nil"/>
                    <w:tr2bl w:val="nil"/>
                  </w:tcBorders>
                  <w:shd w:val="clear" w:color="auto" w:fill="auto"/>
                  <w:noWrap w:val="0"/>
                  <w:vAlign w:val="center"/>
                </w:tcPr>
                <w:p w14:paraId="10A2547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29" w:type="pct"/>
                  <w:tcBorders>
                    <w:tl2br w:val="nil"/>
                    <w:tr2bl w:val="nil"/>
                  </w:tcBorders>
                  <w:shd w:val="clear" w:color="auto" w:fill="auto"/>
                  <w:noWrap w:val="0"/>
                  <w:vAlign w:val="center"/>
                </w:tcPr>
                <w:p w14:paraId="0750BFC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119.6</w:t>
                  </w:r>
                </w:p>
              </w:tc>
              <w:tc>
                <w:tcPr>
                  <w:tcW w:w="176" w:type="pct"/>
                  <w:tcBorders>
                    <w:tl2br w:val="nil"/>
                    <w:tr2bl w:val="nil"/>
                  </w:tcBorders>
                  <w:shd w:val="clear" w:color="auto" w:fill="auto"/>
                  <w:noWrap w:val="0"/>
                  <w:vAlign w:val="center"/>
                </w:tcPr>
                <w:p w14:paraId="0E2E3CA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0.598</w:t>
                  </w:r>
                </w:p>
              </w:tc>
              <w:tc>
                <w:tcPr>
                  <w:tcW w:w="177" w:type="pct"/>
                  <w:tcBorders>
                    <w:tl2br w:val="nil"/>
                    <w:tr2bl w:val="nil"/>
                  </w:tcBorders>
                  <w:shd w:val="clear" w:color="auto" w:fill="auto"/>
                  <w:noWrap w:val="0"/>
                  <w:vAlign w:val="center"/>
                </w:tcPr>
                <w:p w14:paraId="5F2DF0F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4.59</w:t>
                  </w:r>
                </w:p>
              </w:tc>
              <w:tc>
                <w:tcPr>
                  <w:tcW w:w="204" w:type="pct"/>
                  <w:vMerge w:val="continue"/>
                  <w:tcBorders>
                    <w:tl2br w:val="nil"/>
                    <w:tr2bl w:val="nil"/>
                  </w:tcBorders>
                  <w:shd w:val="clear" w:color="auto" w:fill="auto"/>
                  <w:noWrap w:val="0"/>
                  <w:vAlign w:val="center"/>
                </w:tcPr>
                <w:p w14:paraId="5B34209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171" w:type="pct"/>
                  <w:tcBorders>
                    <w:tl2br w:val="nil"/>
                    <w:tr2bl w:val="nil"/>
                  </w:tcBorders>
                  <w:shd w:val="clear" w:color="auto" w:fill="auto"/>
                  <w:noWrap w:val="0"/>
                  <w:vAlign w:val="center"/>
                </w:tcPr>
                <w:p w14:paraId="24C3CBC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95</w:t>
                  </w:r>
                </w:p>
              </w:tc>
              <w:tc>
                <w:tcPr>
                  <w:tcW w:w="171" w:type="pct"/>
                  <w:tcBorders>
                    <w:tl2br w:val="nil"/>
                    <w:tr2bl w:val="nil"/>
                  </w:tcBorders>
                  <w:shd w:val="clear" w:color="auto" w:fill="auto"/>
                  <w:noWrap w:val="0"/>
                  <w:vAlign w:val="center"/>
                </w:tcPr>
                <w:p w14:paraId="1D38519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99</w:t>
                  </w:r>
                </w:p>
              </w:tc>
              <w:tc>
                <w:tcPr>
                  <w:tcW w:w="240" w:type="pct"/>
                  <w:tcBorders>
                    <w:tl2br w:val="nil"/>
                    <w:tr2bl w:val="nil"/>
                  </w:tcBorders>
                  <w:shd w:val="clear" w:color="auto" w:fill="auto"/>
                  <w:noWrap w:val="0"/>
                  <w:vAlign w:val="center"/>
                </w:tcPr>
                <w:p w14:paraId="40CC189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是</w:t>
                  </w:r>
                </w:p>
              </w:tc>
              <w:tc>
                <w:tcPr>
                  <w:tcW w:w="319" w:type="pct"/>
                  <w:vMerge w:val="continue"/>
                  <w:tcBorders>
                    <w:tl2br w:val="nil"/>
                    <w:tr2bl w:val="nil"/>
                  </w:tcBorders>
                  <w:shd w:val="clear" w:color="auto" w:fill="auto"/>
                  <w:noWrap w:val="0"/>
                  <w:vAlign w:val="center"/>
                </w:tcPr>
                <w:p w14:paraId="4816819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201" w:type="pct"/>
                  <w:tcBorders>
                    <w:tl2br w:val="nil"/>
                    <w:tr2bl w:val="nil"/>
                  </w:tcBorders>
                  <w:shd w:val="clear" w:color="auto" w:fill="auto"/>
                  <w:noWrap w:val="0"/>
                  <w:vAlign w:val="center"/>
                </w:tcPr>
                <w:p w14:paraId="304E25A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shd w:val="clear" w:color="auto" w:fill="auto"/>
                  <w:noWrap w:val="0"/>
                  <w:vAlign w:val="center"/>
                </w:tcPr>
                <w:p w14:paraId="393B4EF4">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7" w:type="pct"/>
                  <w:tcBorders>
                    <w:tl2br w:val="nil"/>
                    <w:tr2bl w:val="nil"/>
                  </w:tcBorders>
                  <w:shd w:val="clear" w:color="auto" w:fill="auto"/>
                  <w:noWrap w:val="0"/>
                  <w:vAlign w:val="center"/>
                </w:tcPr>
                <w:p w14:paraId="43FCE02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3" w:type="pct"/>
                  <w:tcBorders>
                    <w:tl2br w:val="nil"/>
                    <w:tr2bl w:val="nil"/>
                  </w:tcBorders>
                  <w:noWrap w:val="0"/>
                  <w:vAlign w:val="center"/>
                </w:tcPr>
                <w:p w14:paraId="5815807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6B5A1FB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640CC3C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1E0C56A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66972E4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6BA520ED">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0" w:type="pct"/>
                  <w:tcBorders>
                    <w:tl2br w:val="nil"/>
                    <w:tr2bl w:val="nil"/>
                  </w:tcBorders>
                  <w:noWrap w:val="0"/>
                  <w:vAlign w:val="center"/>
                </w:tcPr>
                <w:p w14:paraId="7F20D9E3">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55" w:type="pct"/>
                  <w:tcBorders>
                    <w:tl2br w:val="nil"/>
                    <w:tr2bl w:val="nil"/>
                  </w:tcBorders>
                  <w:noWrap w:val="0"/>
                  <w:vAlign w:val="center"/>
                </w:tcPr>
                <w:p w14:paraId="38503C16">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r>
            <w:tr w14:paraId="33E6D1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106" w:hRule="atLeast"/>
              </w:trPr>
              <w:tc>
                <w:tcPr>
                  <w:tcW w:w="198" w:type="pct"/>
                  <w:vMerge w:val="continue"/>
                  <w:tcBorders>
                    <w:tl2br w:val="nil"/>
                    <w:tr2bl w:val="nil"/>
                  </w:tcBorders>
                  <w:noWrap w:val="0"/>
                  <w:vAlign w:val="center"/>
                </w:tcPr>
                <w:p w14:paraId="47293E1B">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tcBorders>
                    <w:tl2br w:val="nil"/>
                    <w:tr2bl w:val="nil"/>
                  </w:tcBorders>
                  <w:shd w:val="clear" w:color="auto" w:fill="auto"/>
                  <w:noWrap w:val="0"/>
                  <w:vAlign w:val="center"/>
                </w:tcPr>
                <w:p w14:paraId="2C67C65D">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沉淀、过滤废气</w:t>
                  </w:r>
                </w:p>
              </w:tc>
              <w:tc>
                <w:tcPr>
                  <w:tcW w:w="183" w:type="pct"/>
                  <w:tcBorders>
                    <w:tl2br w:val="nil"/>
                    <w:tr2bl w:val="nil"/>
                  </w:tcBorders>
                  <w:shd w:val="clear" w:color="auto" w:fill="auto"/>
                  <w:noWrap w:val="0"/>
                  <w:vAlign w:val="center"/>
                </w:tcPr>
                <w:p w14:paraId="52F3957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shd w:val="clear" w:color="auto" w:fill="auto"/>
                  <w:noWrap w:val="0"/>
                  <w:vAlign w:val="center"/>
                </w:tcPr>
                <w:p w14:paraId="4B24F44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27.8</w:t>
                  </w:r>
                </w:p>
              </w:tc>
              <w:tc>
                <w:tcPr>
                  <w:tcW w:w="176" w:type="pct"/>
                  <w:tcBorders>
                    <w:tl2br w:val="nil"/>
                    <w:tr2bl w:val="nil"/>
                  </w:tcBorders>
                  <w:shd w:val="clear" w:color="auto" w:fill="auto"/>
                  <w:noWrap w:val="0"/>
                  <w:vAlign w:val="center"/>
                </w:tcPr>
                <w:p w14:paraId="7DB0CA3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0.139</w:t>
                  </w:r>
                </w:p>
              </w:tc>
              <w:tc>
                <w:tcPr>
                  <w:tcW w:w="177" w:type="pct"/>
                  <w:tcBorders>
                    <w:tl2br w:val="nil"/>
                    <w:tr2bl w:val="nil"/>
                  </w:tcBorders>
                  <w:shd w:val="clear" w:color="auto" w:fill="auto"/>
                  <w:noWrap w:val="0"/>
                  <w:vAlign w:val="center"/>
                </w:tcPr>
                <w:p w14:paraId="1E33651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1.068</w:t>
                  </w:r>
                </w:p>
              </w:tc>
              <w:tc>
                <w:tcPr>
                  <w:tcW w:w="204" w:type="pct"/>
                  <w:tcBorders>
                    <w:tl2br w:val="nil"/>
                    <w:tr2bl w:val="nil"/>
                  </w:tcBorders>
                  <w:shd w:val="clear" w:color="auto" w:fill="auto"/>
                  <w:noWrap w:val="0"/>
                  <w:vAlign w:val="center"/>
                </w:tcPr>
                <w:p w14:paraId="305DED9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5000</w:t>
                  </w:r>
                </w:p>
              </w:tc>
              <w:tc>
                <w:tcPr>
                  <w:tcW w:w="171" w:type="pct"/>
                  <w:tcBorders>
                    <w:tl2br w:val="nil"/>
                    <w:tr2bl w:val="nil"/>
                  </w:tcBorders>
                  <w:shd w:val="clear" w:color="auto" w:fill="auto"/>
                  <w:noWrap w:val="0"/>
                  <w:vAlign w:val="center"/>
                </w:tcPr>
                <w:p w14:paraId="5A85F7B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80</w:t>
                  </w:r>
                </w:p>
              </w:tc>
              <w:tc>
                <w:tcPr>
                  <w:tcW w:w="171" w:type="pct"/>
                  <w:tcBorders>
                    <w:tl2br w:val="nil"/>
                    <w:tr2bl w:val="nil"/>
                  </w:tcBorders>
                  <w:shd w:val="clear" w:color="auto" w:fill="auto"/>
                  <w:noWrap w:val="0"/>
                  <w:vAlign w:val="center"/>
                </w:tcPr>
                <w:p w14:paraId="18A8813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90</w:t>
                  </w:r>
                </w:p>
              </w:tc>
              <w:tc>
                <w:tcPr>
                  <w:tcW w:w="240" w:type="pct"/>
                  <w:tcBorders>
                    <w:tl2br w:val="nil"/>
                    <w:tr2bl w:val="nil"/>
                  </w:tcBorders>
                  <w:shd w:val="clear" w:color="auto" w:fill="auto"/>
                  <w:noWrap w:val="0"/>
                  <w:vAlign w:val="center"/>
                </w:tcPr>
                <w:p w14:paraId="31C528C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shd w:val="clear" w:color="auto" w:fill="auto"/>
                  <w:noWrap w:val="0"/>
                  <w:vAlign w:val="center"/>
                </w:tcPr>
                <w:p w14:paraId="614C0C0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三级水喷淋装置</w:t>
                  </w:r>
                </w:p>
              </w:tc>
              <w:tc>
                <w:tcPr>
                  <w:tcW w:w="201" w:type="pct"/>
                  <w:tcBorders>
                    <w:tl2br w:val="nil"/>
                    <w:tr2bl w:val="nil"/>
                  </w:tcBorders>
                  <w:shd w:val="clear" w:color="auto" w:fill="auto"/>
                  <w:noWrap w:val="0"/>
                  <w:vAlign w:val="center"/>
                </w:tcPr>
                <w:p w14:paraId="0CFEDDFC">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shd w:val="clear" w:color="auto" w:fill="auto"/>
                  <w:noWrap w:val="0"/>
                  <w:vAlign w:val="center"/>
                </w:tcPr>
                <w:p w14:paraId="6C1F8B9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7" w:type="pct"/>
                  <w:tcBorders>
                    <w:tl2br w:val="nil"/>
                    <w:tr2bl w:val="nil"/>
                  </w:tcBorders>
                  <w:shd w:val="clear" w:color="auto" w:fill="auto"/>
                  <w:noWrap w:val="0"/>
                  <w:vAlign w:val="center"/>
                </w:tcPr>
                <w:p w14:paraId="790BD72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3" w:type="pct"/>
                  <w:tcBorders>
                    <w:tl2br w:val="nil"/>
                    <w:tr2bl w:val="nil"/>
                  </w:tcBorders>
                  <w:noWrap w:val="0"/>
                  <w:vAlign w:val="center"/>
                </w:tcPr>
                <w:p w14:paraId="16AE329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207E7F4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13A150B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0C36E45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6F30C7F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1ABDA4EA">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0" w:type="pct"/>
                  <w:tcBorders>
                    <w:tl2br w:val="nil"/>
                    <w:tr2bl w:val="nil"/>
                  </w:tcBorders>
                  <w:noWrap w:val="0"/>
                  <w:vAlign w:val="center"/>
                </w:tcPr>
                <w:p w14:paraId="3391CF15">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55" w:type="pct"/>
                  <w:tcBorders>
                    <w:tl2br w:val="nil"/>
                    <w:tr2bl w:val="nil"/>
                  </w:tcBorders>
                  <w:noWrap w:val="0"/>
                  <w:vAlign w:val="center"/>
                </w:tcPr>
                <w:p w14:paraId="6EF32301">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r>
            <w:tr w14:paraId="7FBEE88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continue"/>
                  <w:tcBorders>
                    <w:tl2br w:val="nil"/>
                    <w:tr2bl w:val="nil"/>
                  </w:tcBorders>
                  <w:noWrap w:val="0"/>
                  <w:vAlign w:val="center"/>
                </w:tcPr>
                <w:p w14:paraId="601C228A">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restart"/>
                  <w:tcBorders>
                    <w:tl2br w:val="nil"/>
                    <w:tr2bl w:val="nil"/>
                  </w:tcBorders>
                  <w:shd w:val="clear" w:color="auto" w:fill="auto"/>
                  <w:noWrap w:val="0"/>
                  <w:vAlign w:val="center"/>
                </w:tcPr>
                <w:p w14:paraId="0BF84843">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冷凝、沉淀、过滤废气</w:t>
                  </w:r>
                </w:p>
              </w:tc>
              <w:tc>
                <w:tcPr>
                  <w:tcW w:w="183" w:type="pct"/>
                  <w:tcBorders>
                    <w:tl2br w:val="nil"/>
                    <w:tr2bl w:val="nil"/>
                  </w:tcBorders>
                  <w:shd w:val="clear" w:color="auto" w:fill="auto"/>
                  <w:noWrap w:val="0"/>
                  <w:vAlign w:val="center"/>
                </w:tcPr>
                <w:p w14:paraId="6646A77E">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shd w:val="clear" w:color="auto" w:fill="auto"/>
                  <w:noWrap w:val="0"/>
                  <w:vAlign w:val="center"/>
                </w:tcPr>
                <w:p w14:paraId="72DBD77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126.7</w:t>
                  </w:r>
                </w:p>
              </w:tc>
              <w:tc>
                <w:tcPr>
                  <w:tcW w:w="176" w:type="pct"/>
                  <w:tcBorders>
                    <w:tl2br w:val="nil"/>
                    <w:tr2bl w:val="nil"/>
                  </w:tcBorders>
                  <w:shd w:val="clear" w:color="auto" w:fill="auto"/>
                  <w:noWrap w:val="0"/>
                  <w:vAlign w:val="center"/>
                </w:tcPr>
                <w:p w14:paraId="28B1997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1.267</w:t>
                  </w:r>
                </w:p>
              </w:tc>
              <w:tc>
                <w:tcPr>
                  <w:tcW w:w="177" w:type="pct"/>
                  <w:tcBorders>
                    <w:tl2br w:val="nil"/>
                    <w:tr2bl w:val="nil"/>
                  </w:tcBorders>
                  <w:shd w:val="clear" w:color="auto" w:fill="auto"/>
                  <w:noWrap w:val="0"/>
                  <w:vAlign w:val="center"/>
                </w:tcPr>
                <w:p w14:paraId="4C35AAA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9.736</w:t>
                  </w:r>
                </w:p>
              </w:tc>
              <w:tc>
                <w:tcPr>
                  <w:tcW w:w="204" w:type="pct"/>
                  <w:tcBorders>
                    <w:tl2br w:val="nil"/>
                    <w:tr2bl w:val="nil"/>
                  </w:tcBorders>
                  <w:shd w:val="clear" w:color="auto" w:fill="auto"/>
                  <w:noWrap w:val="0"/>
                  <w:vAlign w:val="center"/>
                </w:tcPr>
                <w:p w14:paraId="5FA0240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10000</w:t>
                  </w:r>
                </w:p>
              </w:tc>
              <w:tc>
                <w:tcPr>
                  <w:tcW w:w="171" w:type="pct"/>
                  <w:tcBorders>
                    <w:tl2br w:val="nil"/>
                    <w:tr2bl w:val="nil"/>
                  </w:tcBorders>
                  <w:shd w:val="clear" w:color="auto" w:fill="auto"/>
                  <w:noWrap w:val="0"/>
                  <w:vAlign w:val="center"/>
                </w:tcPr>
                <w:p w14:paraId="5DB258A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shd w:val="clear" w:color="auto" w:fill="auto"/>
                  <w:noWrap w:val="0"/>
                  <w:vAlign w:val="center"/>
                </w:tcPr>
                <w:p w14:paraId="7DFBFF4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shd w:val="clear" w:color="auto" w:fill="auto"/>
                  <w:noWrap w:val="0"/>
                  <w:vAlign w:val="center"/>
                </w:tcPr>
                <w:p w14:paraId="60BC895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319" w:type="pct"/>
                  <w:tcBorders>
                    <w:tl2br w:val="nil"/>
                    <w:tr2bl w:val="nil"/>
                  </w:tcBorders>
                  <w:shd w:val="clear" w:color="auto" w:fill="auto"/>
                  <w:noWrap w:val="0"/>
                  <w:vAlign w:val="center"/>
                </w:tcPr>
                <w:p w14:paraId="1D3C576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534" w:type="dxa"/>
                  <w:tcBorders>
                    <w:tl2br w:val="nil"/>
                    <w:tr2bl w:val="nil"/>
                  </w:tcBorders>
                  <w:shd w:val="clear" w:color="auto" w:fill="auto"/>
                  <w:noWrap w:val="0"/>
                  <w:vAlign w:val="center"/>
                </w:tcPr>
                <w:p w14:paraId="275006D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cs="Times New Roman"/>
                      <w:color w:val="auto"/>
                      <w:spacing w:val="0"/>
                      <w:kern w:val="0"/>
                      <w:sz w:val="18"/>
                      <w:szCs w:val="18"/>
                      <w:lang w:val="en-US" w:eastAsia="zh-CN" w:bidi="ar-SA"/>
                    </w:rPr>
                    <w:t>12.67</w:t>
                  </w:r>
                </w:p>
              </w:tc>
              <w:tc>
                <w:tcPr>
                  <w:tcW w:w="457" w:type="dxa"/>
                  <w:tcBorders>
                    <w:tl2br w:val="nil"/>
                    <w:tr2bl w:val="nil"/>
                  </w:tcBorders>
                  <w:shd w:val="clear" w:color="auto" w:fill="auto"/>
                  <w:noWrap w:val="0"/>
                  <w:vAlign w:val="center"/>
                </w:tcPr>
                <w:p w14:paraId="5368A82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0.1267</w:t>
                  </w:r>
                </w:p>
              </w:tc>
              <w:tc>
                <w:tcPr>
                  <w:tcW w:w="471" w:type="dxa"/>
                  <w:tcBorders>
                    <w:tl2br w:val="nil"/>
                    <w:tr2bl w:val="nil"/>
                  </w:tcBorders>
                  <w:shd w:val="clear" w:color="auto" w:fill="auto"/>
                  <w:noWrap w:val="0"/>
                  <w:vAlign w:val="center"/>
                </w:tcPr>
                <w:p w14:paraId="4269871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cs="Times New Roman"/>
                      <w:color w:val="auto"/>
                      <w:spacing w:val="0"/>
                      <w:kern w:val="0"/>
                      <w:sz w:val="18"/>
                      <w:szCs w:val="18"/>
                      <w:lang w:val="en-US" w:eastAsia="zh-CN" w:bidi="ar-SA"/>
                    </w:rPr>
                    <w:t>0.97</w:t>
                  </w:r>
                </w:p>
              </w:tc>
              <w:tc>
                <w:tcPr>
                  <w:tcW w:w="203" w:type="pct"/>
                  <w:vMerge w:val="restart"/>
                  <w:tcBorders>
                    <w:tl2br w:val="nil"/>
                    <w:tr2bl w:val="nil"/>
                  </w:tcBorders>
                  <w:noWrap w:val="0"/>
                  <w:vAlign w:val="center"/>
                </w:tcPr>
                <w:p w14:paraId="53A772F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DA00</w:t>
                  </w:r>
                  <w:r>
                    <w:rPr>
                      <w:rFonts w:hint="eastAsia" w:ascii="Times New Roman" w:hAnsi="Times New Roman" w:eastAsia="宋体" w:cs="Times New Roman"/>
                      <w:color w:val="auto"/>
                      <w:spacing w:val="0"/>
                      <w:kern w:val="0"/>
                      <w:sz w:val="18"/>
                      <w:szCs w:val="18"/>
                      <w:lang w:val="en-US" w:eastAsia="zh-CN" w:bidi="ar-SA"/>
                    </w:rPr>
                    <w:t>2</w:t>
                  </w:r>
                </w:p>
              </w:tc>
              <w:tc>
                <w:tcPr>
                  <w:tcW w:w="90" w:type="pct"/>
                  <w:vMerge w:val="restart"/>
                  <w:tcBorders>
                    <w:tl2br w:val="nil"/>
                    <w:tr2bl w:val="nil"/>
                  </w:tcBorders>
                  <w:noWrap w:val="0"/>
                  <w:vAlign w:val="center"/>
                </w:tcPr>
                <w:p w14:paraId="1AAD545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15</w:t>
                  </w:r>
                </w:p>
              </w:tc>
              <w:tc>
                <w:tcPr>
                  <w:tcW w:w="125" w:type="pct"/>
                  <w:vMerge w:val="restart"/>
                  <w:tcBorders>
                    <w:tl2br w:val="nil"/>
                    <w:tr2bl w:val="nil"/>
                  </w:tcBorders>
                  <w:noWrap w:val="0"/>
                  <w:vAlign w:val="center"/>
                </w:tcPr>
                <w:p w14:paraId="6018967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w:t>
                  </w:r>
                  <w:r>
                    <w:rPr>
                      <w:rFonts w:hint="eastAsia" w:cs="Times New Roman"/>
                      <w:color w:val="auto"/>
                      <w:spacing w:val="0"/>
                      <w:kern w:val="0"/>
                      <w:sz w:val="18"/>
                      <w:szCs w:val="18"/>
                      <w:lang w:val="en-US" w:eastAsia="zh-CN" w:bidi="ar-SA"/>
                    </w:rPr>
                    <w:t>5</w:t>
                  </w:r>
                </w:p>
              </w:tc>
              <w:tc>
                <w:tcPr>
                  <w:tcW w:w="104" w:type="pct"/>
                  <w:vMerge w:val="restart"/>
                  <w:tcBorders>
                    <w:tl2br w:val="nil"/>
                    <w:tr2bl w:val="nil"/>
                  </w:tcBorders>
                  <w:noWrap w:val="0"/>
                  <w:vAlign w:val="center"/>
                </w:tcPr>
                <w:p w14:paraId="608E644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25</w:t>
                  </w:r>
                </w:p>
              </w:tc>
              <w:tc>
                <w:tcPr>
                  <w:tcW w:w="206" w:type="pct"/>
                  <w:tcBorders>
                    <w:tl2br w:val="nil"/>
                    <w:tr2bl w:val="nil"/>
                  </w:tcBorders>
                  <w:noWrap w:val="0"/>
                  <w:vAlign w:val="center"/>
                </w:tcPr>
                <w:p w14:paraId="48B1268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一般排放口</w:t>
                  </w:r>
                </w:p>
              </w:tc>
              <w:tc>
                <w:tcPr>
                  <w:tcW w:w="1028" w:type="pct"/>
                  <w:vMerge w:val="restart"/>
                  <w:tcBorders>
                    <w:tl2br w:val="nil"/>
                    <w:tr2bl w:val="nil"/>
                  </w:tcBorders>
                  <w:noWrap w:val="0"/>
                  <w:vAlign w:val="center"/>
                </w:tcPr>
                <w:p w14:paraId="676BC4CD">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（经度115度28分9.606秒，纬度 28度25分35.226秒）</w:t>
                  </w:r>
                </w:p>
              </w:tc>
              <w:tc>
                <w:tcPr>
                  <w:tcW w:w="160" w:type="pct"/>
                  <w:tcBorders>
                    <w:tl2br w:val="nil"/>
                    <w:tr2bl w:val="nil"/>
                  </w:tcBorders>
                  <w:noWrap w:val="0"/>
                  <w:vAlign w:val="center"/>
                </w:tcPr>
                <w:p w14:paraId="08DA80E1">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100</w:t>
                  </w:r>
                </w:p>
              </w:tc>
              <w:tc>
                <w:tcPr>
                  <w:tcW w:w="155" w:type="pct"/>
                  <w:tcBorders>
                    <w:tl2br w:val="nil"/>
                    <w:tr2bl w:val="nil"/>
                  </w:tcBorders>
                  <w:noWrap w:val="0"/>
                  <w:vAlign w:val="center"/>
                </w:tcPr>
                <w:p w14:paraId="7620D497">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lang w:val="en-US" w:eastAsia="zh-CN"/>
                    </w:rPr>
                    <w:t>/</w:t>
                  </w:r>
                </w:p>
              </w:tc>
            </w:tr>
            <w:tr w14:paraId="016106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continue"/>
                  <w:tcBorders>
                    <w:tl2br w:val="nil"/>
                    <w:tr2bl w:val="nil"/>
                  </w:tcBorders>
                  <w:noWrap w:val="0"/>
                  <w:vAlign w:val="center"/>
                </w:tcPr>
                <w:p w14:paraId="1AA947F5">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continue"/>
                  <w:tcBorders>
                    <w:tl2br w:val="nil"/>
                    <w:tr2bl w:val="nil"/>
                  </w:tcBorders>
                  <w:shd w:val="clear" w:color="auto" w:fill="auto"/>
                  <w:noWrap w:val="0"/>
                  <w:vAlign w:val="center"/>
                </w:tcPr>
                <w:p w14:paraId="7499E704">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3" w:type="pct"/>
                  <w:tcBorders>
                    <w:tl2br w:val="nil"/>
                    <w:tr2bl w:val="nil"/>
                  </w:tcBorders>
                  <w:shd w:val="clear" w:color="auto" w:fill="auto"/>
                  <w:noWrap w:val="0"/>
                  <w:vAlign w:val="center"/>
                </w:tcPr>
                <w:p w14:paraId="3F499D7F">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29" w:type="pct"/>
                  <w:tcBorders>
                    <w:tl2br w:val="nil"/>
                    <w:tr2bl w:val="nil"/>
                  </w:tcBorders>
                  <w:shd w:val="clear" w:color="auto" w:fill="auto"/>
                  <w:noWrap w:val="0"/>
                  <w:vAlign w:val="center"/>
                </w:tcPr>
                <w:p w14:paraId="251ED24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59.8</w:t>
                  </w:r>
                </w:p>
              </w:tc>
              <w:tc>
                <w:tcPr>
                  <w:tcW w:w="176" w:type="pct"/>
                  <w:tcBorders>
                    <w:tl2br w:val="nil"/>
                    <w:tr2bl w:val="nil"/>
                  </w:tcBorders>
                  <w:shd w:val="clear" w:color="auto" w:fill="auto"/>
                  <w:noWrap w:val="0"/>
                  <w:vAlign w:val="center"/>
                </w:tcPr>
                <w:p w14:paraId="2C07493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0.598</w:t>
                  </w:r>
                </w:p>
              </w:tc>
              <w:tc>
                <w:tcPr>
                  <w:tcW w:w="177" w:type="pct"/>
                  <w:tcBorders>
                    <w:tl2br w:val="nil"/>
                    <w:tr2bl w:val="nil"/>
                  </w:tcBorders>
                  <w:shd w:val="clear" w:color="auto" w:fill="auto"/>
                  <w:noWrap w:val="0"/>
                  <w:vAlign w:val="center"/>
                </w:tcPr>
                <w:p w14:paraId="00DDA93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4.59</w:t>
                  </w:r>
                </w:p>
              </w:tc>
              <w:tc>
                <w:tcPr>
                  <w:tcW w:w="204" w:type="pct"/>
                  <w:tcBorders>
                    <w:tl2br w:val="nil"/>
                    <w:tr2bl w:val="nil"/>
                  </w:tcBorders>
                  <w:shd w:val="clear" w:color="auto" w:fill="auto"/>
                  <w:noWrap w:val="0"/>
                  <w:vAlign w:val="center"/>
                </w:tcPr>
                <w:p w14:paraId="7217D41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10000</w:t>
                  </w:r>
                </w:p>
              </w:tc>
              <w:tc>
                <w:tcPr>
                  <w:tcW w:w="171" w:type="pct"/>
                  <w:tcBorders>
                    <w:tl2br w:val="nil"/>
                    <w:tr2bl w:val="nil"/>
                  </w:tcBorders>
                  <w:shd w:val="clear" w:color="auto" w:fill="auto"/>
                  <w:noWrap w:val="0"/>
                  <w:vAlign w:val="center"/>
                </w:tcPr>
                <w:p w14:paraId="6A09AF3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shd w:val="clear" w:color="auto" w:fill="auto"/>
                  <w:noWrap w:val="0"/>
                  <w:vAlign w:val="center"/>
                </w:tcPr>
                <w:p w14:paraId="4BF988C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shd w:val="clear" w:color="auto" w:fill="auto"/>
                  <w:noWrap w:val="0"/>
                  <w:vAlign w:val="center"/>
                </w:tcPr>
                <w:p w14:paraId="093B4BB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319" w:type="pct"/>
                  <w:tcBorders>
                    <w:tl2br w:val="nil"/>
                    <w:tr2bl w:val="nil"/>
                  </w:tcBorders>
                  <w:shd w:val="clear" w:color="auto" w:fill="auto"/>
                  <w:noWrap w:val="0"/>
                  <w:vAlign w:val="center"/>
                </w:tcPr>
                <w:p w14:paraId="3B705FE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201" w:type="pct"/>
                  <w:tcBorders>
                    <w:tl2br w:val="nil"/>
                    <w:tr2bl w:val="nil"/>
                  </w:tcBorders>
                  <w:shd w:val="clear" w:color="auto" w:fill="auto"/>
                  <w:noWrap w:val="0"/>
                  <w:vAlign w:val="center"/>
                </w:tcPr>
                <w:p w14:paraId="16B5996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0.6</w:t>
                  </w:r>
                </w:p>
              </w:tc>
              <w:tc>
                <w:tcPr>
                  <w:tcW w:w="172" w:type="pct"/>
                  <w:tcBorders>
                    <w:tl2br w:val="nil"/>
                    <w:tr2bl w:val="nil"/>
                  </w:tcBorders>
                  <w:shd w:val="clear" w:color="auto" w:fill="auto"/>
                  <w:noWrap w:val="0"/>
                  <w:vAlign w:val="center"/>
                </w:tcPr>
                <w:p w14:paraId="6B54F6C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0.006</w:t>
                  </w:r>
                </w:p>
              </w:tc>
              <w:tc>
                <w:tcPr>
                  <w:tcW w:w="177" w:type="pct"/>
                  <w:tcBorders>
                    <w:tl2br w:val="nil"/>
                    <w:tr2bl w:val="nil"/>
                  </w:tcBorders>
                  <w:shd w:val="clear" w:color="auto" w:fill="auto"/>
                  <w:noWrap w:val="0"/>
                  <w:vAlign w:val="center"/>
                </w:tcPr>
                <w:p w14:paraId="75F3C14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0.046</w:t>
                  </w:r>
                </w:p>
              </w:tc>
              <w:tc>
                <w:tcPr>
                  <w:tcW w:w="203" w:type="pct"/>
                  <w:vMerge w:val="continue"/>
                  <w:tcBorders>
                    <w:tl2br w:val="nil"/>
                    <w:tr2bl w:val="nil"/>
                  </w:tcBorders>
                  <w:noWrap w:val="0"/>
                  <w:vAlign w:val="center"/>
                </w:tcPr>
                <w:p w14:paraId="3ACE29F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90" w:type="pct"/>
                  <w:vMerge w:val="continue"/>
                  <w:tcBorders>
                    <w:tl2br w:val="nil"/>
                    <w:tr2bl w:val="nil"/>
                  </w:tcBorders>
                  <w:noWrap w:val="0"/>
                  <w:vAlign w:val="center"/>
                </w:tcPr>
                <w:p w14:paraId="2933E1D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25" w:type="pct"/>
                  <w:vMerge w:val="continue"/>
                  <w:tcBorders>
                    <w:tl2br w:val="nil"/>
                    <w:tr2bl w:val="nil"/>
                  </w:tcBorders>
                  <w:noWrap w:val="0"/>
                  <w:vAlign w:val="center"/>
                </w:tcPr>
                <w:p w14:paraId="3C5FEB2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04" w:type="pct"/>
                  <w:vMerge w:val="continue"/>
                  <w:tcBorders>
                    <w:tl2br w:val="nil"/>
                    <w:tr2bl w:val="nil"/>
                  </w:tcBorders>
                  <w:noWrap w:val="0"/>
                  <w:vAlign w:val="center"/>
                </w:tcPr>
                <w:p w14:paraId="27EFEFFC">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206" w:type="pct"/>
                  <w:tcBorders>
                    <w:tl2br w:val="nil"/>
                    <w:tr2bl w:val="nil"/>
                  </w:tcBorders>
                  <w:noWrap w:val="0"/>
                  <w:vAlign w:val="center"/>
                </w:tcPr>
                <w:p w14:paraId="3B409B7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一般排放口</w:t>
                  </w:r>
                </w:p>
              </w:tc>
              <w:tc>
                <w:tcPr>
                  <w:tcW w:w="1028" w:type="pct"/>
                  <w:vMerge w:val="continue"/>
                  <w:tcBorders>
                    <w:tl2br w:val="nil"/>
                    <w:tr2bl w:val="nil"/>
                  </w:tcBorders>
                  <w:noWrap w:val="0"/>
                  <w:vAlign w:val="center"/>
                </w:tcPr>
                <w:p w14:paraId="08008B87">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60" w:type="pct"/>
                  <w:tcBorders>
                    <w:tl2br w:val="nil"/>
                    <w:tr2bl w:val="nil"/>
                  </w:tcBorders>
                  <w:noWrap w:val="0"/>
                  <w:vAlign w:val="center"/>
                </w:tcPr>
                <w:p w14:paraId="1D0E6768">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120</w:t>
                  </w:r>
                </w:p>
              </w:tc>
              <w:tc>
                <w:tcPr>
                  <w:tcW w:w="155" w:type="pct"/>
                  <w:tcBorders>
                    <w:tl2br w:val="nil"/>
                    <w:tr2bl w:val="nil"/>
                  </w:tcBorders>
                  <w:noWrap w:val="0"/>
                  <w:vAlign w:val="center"/>
                </w:tcPr>
                <w:p w14:paraId="2CC29E66">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1.75</w:t>
                  </w:r>
                </w:p>
              </w:tc>
            </w:tr>
            <w:tr w14:paraId="21C115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22" w:hRule="atLeast"/>
              </w:trPr>
              <w:tc>
                <w:tcPr>
                  <w:tcW w:w="198" w:type="pct"/>
                  <w:vMerge w:val="continue"/>
                  <w:tcBorders>
                    <w:tl2br w:val="nil"/>
                    <w:tr2bl w:val="nil"/>
                  </w:tcBorders>
                  <w:noWrap w:val="0"/>
                  <w:vAlign w:val="center"/>
                </w:tcPr>
                <w:p w14:paraId="5E83AF21">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restart"/>
                  <w:tcBorders>
                    <w:tl2br w:val="nil"/>
                    <w:tr2bl w:val="nil"/>
                  </w:tcBorders>
                  <w:shd w:val="clear" w:color="auto" w:fill="auto"/>
                  <w:noWrap w:val="0"/>
                  <w:vAlign w:val="center"/>
                </w:tcPr>
                <w:p w14:paraId="32B0565B">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锅炉烟气</w:t>
                  </w:r>
                </w:p>
              </w:tc>
              <w:tc>
                <w:tcPr>
                  <w:tcW w:w="183" w:type="pct"/>
                  <w:tcBorders>
                    <w:tl2br w:val="nil"/>
                    <w:tr2bl w:val="nil"/>
                  </w:tcBorders>
                  <w:shd w:val="clear" w:color="auto" w:fill="auto"/>
                  <w:noWrap w:val="0"/>
                  <w:vAlign w:val="center"/>
                </w:tcPr>
                <w:p w14:paraId="57DE7D36">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烟尘</w:t>
                  </w:r>
                </w:p>
              </w:tc>
              <w:tc>
                <w:tcPr>
                  <w:tcW w:w="609" w:type="dxa"/>
                  <w:tcBorders>
                    <w:tl2br w:val="nil"/>
                    <w:tr2bl w:val="nil"/>
                  </w:tcBorders>
                  <w:shd w:val="clear" w:color="auto" w:fill="auto"/>
                  <w:noWrap w:val="0"/>
                  <w:vAlign w:val="center"/>
                </w:tcPr>
                <w:p w14:paraId="4AE7367B">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79</w:t>
                  </w:r>
                </w:p>
              </w:tc>
              <w:tc>
                <w:tcPr>
                  <w:tcW w:w="468" w:type="dxa"/>
                  <w:tcBorders>
                    <w:tl2br w:val="nil"/>
                    <w:tr2bl w:val="nil"/>
                  </w:tcBorders>
                  <w:shd w:val="clear" w:color="auto" w:fill="auto"/>
                  <w:noWrap w:val="0"/>
                  <w:vAlign w:val="center"/>
                </w:tcPr>
                <w:p w14:paraId="760A2C26">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0.025</w:t>
                  </w:r>
                </w:p>
              </w:tc>
              <w:tc>
                <w:tcPr>
                  <w:tcW w:w="471" w:type="dxa"/>
                  <w:tcBorders>
                    <w:tl2br w:val="nil"/>
                    <w:tr2bl w:val="nil"/>
                  </w:tcBorders>
                  <w:shd w:val="clear" w:color="auto" w:fill="auto"/>
                  <w:noWrap w:val="0"/>
                  <w:vAlign w:val="center"/>
                </w:tcPr>
                <w:p w14:paraId="24203E0F">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0.19</w:t>
                  </w:r>
                </w:p>
              </w:tc>
              <w:tc>
                <w:tcPr>
                  <w:tcW w:w="204" w:type="pct"/>
                  <w:vMerge w:val="restart"/>
                  <w:tcBorders>
                    <w:tl2br w:val="nil"/>
                    <w:tr2bl w:val="nil"/>
                  </w:tcBorders>
                  <w:shd w:val="clear" w:color="auto" w:fill="auto"/>
                  <w:noWrap w:val="0"/>
                  <w:vAlign w:val="center"/>
                </w:tcPr>
                <w:p w14:paraId="6EA53D7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312</w:t>
                  </w:r>
                </w:p>
              </w:tc>
              <w:tc>
                <w:tcPr>
                  <w:tcW w:w="171" w:type="pct"/>
                  <w:vMerge w:val="restart"/>
                  <w:tcBorders>
                    <w:tl2br w:val="nil"/>
                    <w:tr2bl w:val="nil"/>
                  </w:tcBorders>
                  <w:shd w:val="clear" w:color="auto" w:fill="auto"/>
                  <w:noWrap w:val="0"/>
                  <w:vAlign w:val="center"/>
                </w:tcPr>
                <w:p w14:paraId="31E3840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100</w:t>
                  </w:r>
                </w:p>
              </w:tc>
              <w:tc>
                <w:tcPr>
                  <w:tcW w:w="171" w:type="pct"/>
                  <w:tcBorders>
                    <w:tl2br w:val="nil"/>
                    <w:tr2bl w:val="nil"/>
                  </w:tcBorders>
                  <w:shd w:val="clear" w:color="auto" w:fill="auto"/>
                  <w:noWrap w:val="0"/>
                  <w:vAlign w:val="center"/>
                </w:tcPr>
                <w:p w14:paraId="67738DF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99</w:t>
                  </w:r>
                </w:p>
              </w:tc>
              <w:tc>
                <w:tcPr>
                  <w:tcW w:w="240" w:type="pct"/>
                  <w:tcBorders>
                    <w:tl2br w:val="nil"/>
                    <w:tr2bl w:val="nil"/>
                  </w:tcBorders>
                  <w:shd w:val="clear" w:color="auto" w:fill="auto"/>
                  <w:noWrap w:val="0"/>
                  <w:vAlign w:val="center"/>
                </w:tcPr>
                <w:p w14:paraId="7364590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vMerge w:val="restart"/>
                  <w:tcBorders>
                    <w:tl2br w:val="nil"/>
                    <w:tr2bl w:val="nil"/>
                  </w:tcBorders>
                  <w:shd w:val="clear" w:color="auto" w:fill="auto"/>
                  <w:noWrap w:val="0"/>
                  <w:vAlign w:val="center"/>
                </w:tcPr>
                <w:p w14:paraId="3536375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布袋除尘器+40m高排气筒排放（DA001）</w:t>
                  </w:r>
                </w:p>
              </w:tc>
              <w:tc>
                <w:tcPr>
                  <w:tcW w:w="534" w:type="dxa"/>
                  <w:tcBorders>
                    <w:tl2br w:val="nil"/>
                    <w:tr2bl w:val="nil"/>
                  </w:tcBorders>
                  <w:shd w:val="clear" w:color="auto" w:fill="auto"/>
                  <w:noWrap w:val="0"/>
                  <w:vAlign w:val="center"/>
                </w:tcPr>
                <w:p w14:paraId="36E21846">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0.79</w:t>
                  </w:r>
                </w:p>
              </w:tc>
              <w:tc>
                <w:tcPr>
                  <w:tcW w:w="457" w:type="dxa"/>
                  <w:tcBorders>
                    <w:tl2br w:val="nil"/>
                    <w:tr2bl w:val="nil"/>
                  </w:tcBorders>
                  <w:shd w:val="clear" w:color="auto" w:fill="auto"/>
                  <w:noWrap w:val="0"/>
                  <w:vAlign w:val="center"/>
                </w:tcPr>
                <w:p w14:paraId="5AE10D84">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0.00025</w:t>
                  </w:r>
                </w:p>
              </w:tc>
              <w:tc>
                <w:tcPr>
                  <w:tcW w:w="471" w:type="dxa"/>
                  <w:tcBorders>
                    <w:tl2br w:val="nil"/>
                    <w:tr2bl w:val="nil"/>
                  </w:tcBorders>
                  <w:shd w:val="clear" w:color="auto" w:fill="auto"/>
                  <w:noWrap w:val="0"/>
                  <w:vAlign w:val="center"/>
                </w:tcPr>
                <w:p w14:paraId="2F9C07DC">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0.002</w:t>
                  </w:r>
                </w:p>
              </w:tc>
              <w:tc>
                <w:tcPr>
                  <w:tcW w:w="203" w:type="pct"/>
                  <w:vMerge w:val="restart"/>
                  <w:tcBorders>
                    <w:tl2br w:val="nil"/>
                    <w:tr2bl w:val="nil"/>
                  </w:tcBorders>
                  <w:noWrap w:val="0"/>
                  <w:vAlign w:val="center"/>
                </w:tcPr>
                <w:p w14:paraId="5AAF1503">
                  <w:pPr>
                    <w:pStyle w:val="5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DA001</w:t>
                  </w:r>
                </w:p>
              </w:tc>
              <w:tc>
                <w:tcPr>
                  <w:tcW w:w="90" w:type="pct"/>
                  <w:vMerge w:val="restart"/>
                  <w:tcBorders>
                    <w:tl2br w:val="nil"/>
                    <w:tr2bl w:val="nil"/>
                  </w:tcBorders>
                  <w:noWrap w:val="0"/>
                  <w:vAlign w:val="center"/>
                </w:tcPr>
                <w:p w14:paraId="11B0DF25">
                  <w:pPr>
                    <w:pStyle w:val="5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40</w:t>
                  </w:r>
                </w:p>
              </w:tc>
              <w:tc>
                <w:tcPr>
                  <w:tcW w:w="125" w:type="pct"/>
                  <w:vMerge w:val="restart"/>
                  <w:tcBorders>
                    <w:tl2br w:val="nil"/>
                    <w:tr2bl w:val="nil"/>
                  </w:tcBorders>
                  <w:noWrap w:val="0"/>
                  <w:vAlign w:val="center"/>
                </w:tcPr>
                <w:p w14:paraId="485DA84A">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1.5</w:t>
                  </w:r>
                </w:p>
              </w:tc>
              <w:tc>
                <w:tcPr>
                  <w:tcW w:w="104" w:type="pct"/>
                  <w:vMerge w:val="restart"/>
                  <w:tcBorders>
                    <w:tl2br w:val="nil"/>
                    <w:tr2bl w:val="nil"/>
                  </w:tcBorders>
                  <w:noWrap w:val="0"/>
                  <w:vAlign w:val="center"/>
                </w:tcPr>
                <w:p w14:paraId="0105BF1F">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45</w:t>
                  </w:r>
                </w:p>
              </w:tc>
              <w:tc>
                <w:tcPr>
                  <w:tcW w:w="206" w:type="pct"/>
                  <w:vMerge w:val="restart"/>
                  <w:tcBorders>
                    <w:tl2br w:val="nil"/>
                    <w:tr2bl w:val="nil"/>
                  </w:tcBorders>
                  <w:noWrap w:val="0"/>
                  <w:vAlign w:val="center"/>
                </w:tcPr>
                <w:p w14:paraId="11F02FF4">
                  <w:pPr>
                    <w:pStyle w:val="5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一般排放口</w:t>
                  </w:r>
                </w:p>
              </w:tc>
              <w:tc>
                <w:tcPr>
                  <w:tcW w:w="1028" w:type="pct"/>
                  <w:vMerge w:val="restart"/>
                  <w:tcBorders>
                    <w:tl2br w:val="nil"/>
                    <w:tr2bl w:val="nil"/>
                  </w:tcBorders>
                  <w:noWrap w:val="0"/>
                  <w:vAlign w:val="center"/>
                </w:tcPr>
                <w:p w14:paraId="1FC8D883">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（经度115度28分9.675秒，纬度 28度25分35.238秒）</w:t>
                  </w:r>
                </w:p>
              </w:tc>
              <w:tc>
                <w:tcPr>
                  <w:tcW w:w="426" w:type="dxa"/>
                  <w:tcBorders>
                    <w:tl2br w:val="nil"/>
                    <w:tr2bl w:val="nil"/>
                  </w:tcBorders>
                  <w:noWrap w:val="0"/>
                  <w:vAlign w:val="center"/>
                </w:tcPr>
                <w:p w14:paraId="2229C0C1">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50</w:t>
                  </w:r>
                </w:p>
              </w:tc>
              <w:tc>
                <w:tcPr>
                  <w:tcW w:w="155" w:type="pct"/>
                  <w:tcBorders>
                    <w:tl2br w:val="nil"/>
                    <w:tr2bl w:val="nil"/>
                  </w:tcBorders>
                  <w:noWrap w:val="0"/>
                  <w:vAlign w:val="center"/>
                </w:tcPr>
                <w:p w14:paraId="05C515BD">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r>
            <w:tr w14:paraId="15D802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continue"/>
                  <w:tcBorders>
                    <w:tl2br w:val="nil"/>
                    <w:tr2bl w:val="nil"/>
                  </w:tcBorders>
                  <w:noWrap w:val="0"/>
                  <w:vAlign w:val="center"/>
                </w:tcPr>
                <w:p w14:paraId="4790E4CF">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continue"/>
                  <w:tcBorders>
                    <w:tl2br w:val="nil"/>
                    <w:tr2bl w:val="nil"/>
                  </w:tcBorders>
                  <w:shd w:val="clear" w:color="auto" w:fill="auto"/>
                  <w:noWrap w:val="0"/>
                  <w:vAlign w:val="center"/>
                </w:tcPr>
                <w:p w14:paraId="2AA7C9BD">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3" w:type="pct"/>
                  <w:tcBorders>
                    <w:tl2br w:val="nil"/>
                    <w:tr2bl w:val="nil"/>
                  </w:tcBorders>
                  <w:shd w:val="clear" w:color="auto" w:fill="auto"/>
                  <w:noWrap w:val="0"/>
                  <w:vAlign w:val="center"/>
                </w:tcPr>
                <w:p w14:paraId="61478544">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rPr>
                    <w:t>SO₂</w:t>
                  </w:r>
                </w:p>
              </w:tc>
              <w:tc>
                <w:tcPr>
                  <w:tcW w:w="609" w:type="dxa"/>
                  <w:tcBorders>
                    <w:tl2br w:val="nil"/>
                    <w:tr2bl w:val="nil"/>
                  </w:tcBorders>
                  <w:shd w:val="clear" w:color="auto" w:fill="auto"/>
                  <w:noWrap w:val="0"/>
                  <w:vAlign w:val="center"/>
                </w:tcPr>
                <w:p w14:paraId="404A3192">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54</w:t>
                  </w:r>
                </w:p>
              </w:tc>
              <w:tc>
                <w:tcPr>
                  <w:tcW w:w="468" w:type="dxa"/>
                  <w:tcBorders>
                    <w:tl2br w:val="nil"/>
                    <w:tr2bl w:val="nil"/>
                  </w:tcBorders>
                  <w:shd w:val="clear" w:color="auto" w:fill="auto"/>
                  <w:noWrap w:val="0"/>
                  <w:vAlign w:val="center"/>
                </w:tcPr>
                <w:p w14:paraId="1F78D9C2">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0.017</w:t>
                  </w:r>
                </w:p>
              </w:tc>
              <w:tc>
                <w:tcPr>
                  <w:tcW w:w="471" w:type="dxa"/>
                  <w:tcBorders>
                    <w:tl2br w:val="nil"/>
                    <w:tr2bl w:val="nil"/>
                  </w:tcBorders>
                  <w:shd w:val="clear" w:color="auto" w:fill="auto"/>
                  <w:noWrap w:val="0"/>
                  <w:vAlign w:val="center"/>
                </w:tcPr>
                <w:p w14:paraId="1AD0F81C">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0.13</w:t>
                  </w:r>
                </w:p>
              </w:tc>
              <w:tc>
                <w:tcPr>
                  <w:tcW w:w="204" w:type="pct"/>
                  <w:vMerge w:val="continue"/>
                  <w:tcBorders>
                    <w:tl2br w:val="nil"/>
                    <w:tr2bl w:val="nil"/>
                  </w:tcBorders>
                  <w:shd w:val="clear" w:color="auto" w:fill="auto"/>
                  <w:noWrap w:val="0"/>
                  <w:vAlign w:val="center"/>
                </w:tcPr>
                <w:p w14:paraId="6A793EB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71" w:type="pct"/>
                  <w:vMerge w:val="continue"/>
                  <w:tcBorders>
                    <w:tl2br w:val="nil"/>
                    <w:tr2bl w:val="nil"/>
                  </w:tcBorders>
                  <w:shd w:val="clear" w:color="auto" w:fill="auto"/>
                  <w:noWrap w:val="0"/>
                  <w:vAlign w:val="center"/>
                </w:tcPr>
                <w:p w14:paraId="6E04E2D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71" w:type="pct"/>
                  <w:tcBorders>
                    <w:tl2br w:val="nil"/>
                    <w:tr2bl w:val="nil"/>
                  </w:tcBorders>
                  <w:shd w:val="clear" w:color="auto" w:fill="auto"/>
                  <w:noWrap w:val="0"/>
                  <w:vAlign w:val="center"/>
                </w:tcPr>
                <w:p w14:paraId="6684E50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w:t>
                  </w:r>
                </w:p>
              </w:tc>
              <w:tc>
                <w:tcPr>
                  <w:tcW w:w="240" w:type="pct"/>
                  <w:tcBorders>
                    <w:tl2br w:val="nil"/>
                    <w:tr2bl w:val="nil"/>
                  </w:tcBorders>
                  <w:shd w:val="clear" w:color="auto" w:fill="auto"/>
                  <w:noWrap w:val="0"/>
                  <w:vAlign w:val="center"/>
                </w:tcPr>
                <w:p w14:paraId="3AC3A08F">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vMerge w:val="continue"/>
                  <w:tcBorders>
                    <w:tl2br w:val="nil"/>
                    <w:tr2bl w:val="nil"/>
                  </w:tcBorders>
                  <w:shd w:val="clear" w:color="auto" w:fill="auto"/>
                  <w:noWrap w:val="0"/>
                  <w:vAlign w:val="center"/>
                </w:tcPr>
                <w:p w14:paraId="045CBE5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534" w:type="dxa"/>
                  <w:tcBorders>
                    <w:tl2br w:val="nil"/>
                    <w:tr2bl w:val="nil"/>
                  </w:tcBorders>
                  <w:shd w:val="clear" w:color="auto" w:fill="auto"/>
                  <w:noWrap w:val="0"/>
                  <w:vAlign w:val="center"/>
                </w:tcPr>
                <w:p w14:paraId="408B5F1C">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54</w:t>
                  </w:r>
                </w:p>
              </w:tc>
              <w:tc>
                <w:tcPr>
                  <w:tcW w:w="457" w:type="dxa"/>
                  <w:tcBorders>
                    <w:tl2br w:val="nil"/>
                    <w:tr2bl w:val="nil"/>
                  </w:tcBorders>
                  <w:shd w:val="clear" w:color="auto" w:fill="auto"/>
                  <w:noWrap w:val="0"/>
                  <w:vAlign w:val="center"/>
                </w:tcPr>
                <w:p w14:paraId="4C37161B">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0.017</w:t>
                  </w:r>
                </w:p>
              </w:tc>
              <w:tc>
                <w:tcPr>
                  <w:tcW w:w="471" w:type="dxa"/>
                  <w:tcBorders>
                    <w:tl2br w:val="nil"/>
                    <w:tr2bl w:val="nil"/>
                  </w:tcBorders>
                  <w:shd w:val="clear" w:color="auto" w:fill="auto"/>
                  <w:noWrap w:val="0"/>
                  <w:vAlign w:val="center"/>
                </w:tcPr>
                <w:p w14:paraId="4E58CBA7">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0.13</w:t>
                  </w:r>
                </w:p>
              </w:tc>
              <w:tc>
                <w:tcPr>
                  <w:tcW w:w="203" w:type="pct"/>
                  <w:vMerge w:val="continue"/>
                  <w:tcBorders>
                    <w:tl2br w:val="nil"/>
                    <w:tr2bl w:val="nil"/>
                  </w:tcBorders>
                  <w:noWrap w:val="0"/>
                  <w:vAlign w:val="center"/>
                </w:tcPr>
                <w:p w14:paraId="283FD8F9">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90" w:type="pct"/>
                  <w:vMerge w:val="continue"/>
                  <w:tcBorders>
                    <w:tl2br w:val="nil"/>
                    <w:tr2bl w:val="nil"/>
                  </w:tcBorders>
                  <w:noWrap w:val="0"/>
                  <w:vAlign w:val="center"/>
                </w:tcPr>
                <w:p w14:paraId="23192C79">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125" w:type="pct"/>
                  <w:vMerge w:val="continue"/>
                  <w:tcBorders>
                    <w:tl2br w:val="nil"/>
                    <w:tr2bl w:val="nil"/>
                  </w:tcBorders>
                  <w:noWrap w:val="0"/>
                  <w:vAlign w:val="center"/>
                </w:tcPr>
                <w:p w14:paraId="5B17F2C4">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104" w:type="pct"/>
                  <w:vMerge w:val="continue"/>
                  <w:tcBorders>
                    <w:tl2br w:val="nil"/>
                    <w:tr2bl w:val="nil"/>
                  </w:tcBorders>
                  <w:noWrap w:val="0"/>
                  <w:vAlign w:val="center"/>
                </w:tcPr>
                <w:p w14:paraId="550967A9">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206" w:type="pct"/>
                  <w:vMerge w:val="continue"/>
                  <w:tcBorders>
                    <w:tl2br w:val="nil"/>
                    <w:tr2bl w:val="nil"/>
                  </w:tcBorders>
                  <w:noWrap w:val="0"/>
                  <w:vAlign w:val="center"/>
                </w:tcPr>
                <w:p w14:paraId="4945C697">
                  <w:pPr>
                    <w:pStyle w:val="5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pacing w:val="0"/>
                      <w:kern w:val="0"/>
                      <w:sz w:val="18"/>
                      <w:szCs w:val="18"/>
                      <w:lang w:val="en-US" w:eastAsia="zh-CN" w:bidi="ar-SA"/>
                    </w:rPr>
                  </w:pPr>
                </w:p>
              </w:tc>
              <w:tc>
                <w:tcPr>
                  <w:tcW w:w="1028" w:type="pct"/>
                  <w:vMerge w:val="continue"/>
                  <w:tcBorders>
                    <w:tl2br w:val="nil"/>
                    <w:tr2bl w:val="nil"/>
                  </w:tcBorders>
                  <w:noWrap w:val="0"/>
                  <w:vAlign w:val="center"/>
                </w:tcPr>
                <w:p w14:paraId="7199F0EE">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426" w:type="dxa"/>
                  <w:tcBorders>
                    <w:tl2br w:val="nil"/>
                    <w:tr2bl w:val="nil"/>
                  </w:tcBorders>
                  <w:noWrap w:val="0"/>
                  <w:vAlign w:val="center"/>
                </w:tcPr>
                <w:p w14:paraId="449D8471">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300</w:t>
                  </w:r>
                </w:p>
              </w:tc>
              <w:tc>
                <w:tcPr>
                  <w:tcW w:w="155" w:type="pct"/>
                  <w:tcBorders>
                    <w:tl2br w:val="nil"/>
                    <w:tr2bl w:val="nil"/>
                  </w:tcBorders>
                  <w:noWrap w:val="0"/>
                  <w:vAlign w:val="center"/>
                </w:tcPr>
                <w:p w14:paraId="3D3DD57C">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r>
            <w:tr w14:paraId="364A85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37" w:hRule="atLeast"/>
              </w:trPr>
              <w:tc>
                <w:tcPr>
                  <w:tcW w:w="198" w:type="pct"/>
                  <w:vMerge w:val="continue"/>
                  <w:tcBorders>
                    <w:tl2br w:val="nil"/>
                    <w:tr2bl w:val="nil"/>
                  </w:tcBorders>
                  <w:noWrap w:val="0"/>
                  <w:vAlign w:val="center"/>
                </w:tcPr>
                <w:p w14:paraId="4CBF60EC">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p>
              </w:tc>
              <w:tc>
                <w:tcPr>
                  <w:tcW w:w="304" w:type="pct"/>
                  <w:vMerge w:val="continue"/>
                  <w:tcBorders>
                    <w:tl2br w:val="nil"/>
                    <w:tr2bl w:val="nil"/>
                  </w:tcBorders>
                  <w:shd w:val="clear" w:color="auto" w:fill="auto"/>
                  <w:noWrap w:val="0"/>
                  <w:vAlign w:val="center"/>
                </w:tcPr>
                <w:p w14:paraId="496EEAB1">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3" w:type="pct"/>
                  <w:tcBorders>
                    <w:tl2br w:val="nil"/>
                    <w:tr2bl w:val="nil"/>
                  </w:tcBorders>
                  <w:shd w:val="clear" w:color="auto" w:fill="auto"/>
                  <w:noWrap w:val="0"/>
                  <w:vAlign w:val="center"/>
                </w:tcPr>
                <w:p w14:paraId="15DA5806">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lang w:val="en-US" w:eastAsia="zh-CN"/>
                    </w:rPr>
                    <w:t>NOx</w:t>
                  </w:r>
                </w:p>
              </w:tc>
              <w:tc>
                <w:tcPr>
                  <w:tcW w:w="609" w:type="dxa"/>
                  <w:tcBorders>
                    <w:tl2br w:val="nil"/>
                    <w:tr2bl w:val="nil"/>
                  </w:tcBorders>
                  <w:shd w:val="clear" w:color="auto" w:fill="auto"/>
                  <w:noWrap w:val="0"/>
                  <w:vAlign w:val="center"/>
                </w:tcPr>
                <w:p w14:paraId="01B2DBD4">
                  <w:pPr>
                    <w:pStyle w:val="58"/>
                    <w:keepNext w:val="0"/>
                    <w:keepLines w:val="0"/>
                    <w:suppressLineNumbers w:val="0"/>
                    <w:spacing w:before="0" w:beforeAutospacing="0" w:after="0" w:afterAutospacing="0"/>
                    <w:ind w:left="0" w:right="0" w:firstLine="0" w:firstLineChars="0"/>
                    <w:rPr>
                      <w:rFonts w:hint="eastAsia"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163</w:t>
                  </w:r>
                </w:p>
              </w:tc>
              <w:tc>
                <w:tcPr>
                  <w:tcW w:w="468" w:type="dxa"/>
                  <w:tcBorders>
                    <w:tl2br w:val="nil"/>
                    <w:tr2bl w:val="nil"/>
                  </w:tcBorders>
                  <w:shd w:val="clear" w:color="auto" w:fill="auto"/>
                  <w:noWrap w:val="0"/>
                  <w:vAlign w:val="center"/>
                </w:tcPr>
                <w:p w14:paraId="14C72991">
                  <w:pPr>
                    <w:pStyle w:val="58"/>
                    <w:keepNext w:val="0"/>
                    <w:keepLines w:val="0"/>
                    <w:suppressLineNumbers w:val="0"/>
                    <w:spacing w:before="0" w:beforeAutospacing="0" w:after="0" w:afterAutospacing="0"/>
                    <w:ind w:left="0" w:right="0" w:firstLine="0" w:firstLineChars="0"/>
                    <w:rPr>
                      <w:rFonts w:hint="eastAsia"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0.051</w:t>
                  </w:r>
                </w:p>
              </w:tc>
              <w:tc>
                <w:tcPr>
                  <w:tcW w:w="471" w:type="dxa"/>
                  <w:tcBorders>
                    <w:tl2br w:val="nil"/>
                    <w:tr2bl w:val="nil"/>
                  </w:tcBorders>
                  <w:shd w:val="clear" w:color="auto" w:fill="auto"/>
                  <w:noWrap w:val="0"/>
                  <w:vAlign w:val="center"/>
                </w:tcPr>
                <w:p w14:paraId="20B8FD72">
                  <w:pPr>
                    <w:pStyle w:val="58"/>
                    <w:keepNext w:val="0"/>
                    <w:keepLines w:val="0"/>
                    <w:suppressLineNumbers w:val="0"/>
                    <w:spacing w:before="0" w:beforeAutospacing="0" w:after="0" w:afterAutospacing="0"/>
                    <w:ind w:left="0" w:right="0" w:firstLine="0" w:firstLineChars="0"/>
                    <w:rPr>
                      <w:rFonts w:hint="eastAsia"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0.39</w:t>
                  </w:r>
                </w:p>
              </w:tc>
              <w:tc>
                <w:tcPr>
                  <w:tcW w:w="204" w:type="pct"/>
                  <w:vMerge w:val="continue"/>
                  <w:tcBorders>
                    <w:tl2br w:val="nil"/>
                    <w:tr2bl w:val="nil"/>
                  </w:tcBorders>
                  <w:shd w:val="clear" w:color="auto" w:fill="auto"/>
                  <w:noWrap w:val="0"/>
                  <w:vAlign w:val="center"/>
                </w:tcPr>
                <w:p w14:paraId="1FD185F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71" w:type="pct"/>
                  <w:vMerge w:val="continue"/>
                  <w:tcBorders>
                    <w:tl2br w:val="nil"/>
                    <w:tr2bl w:val="nil"/>
                  </w:tcBorders>
                  <w:shd w:val="clear" w:color="auto" w:fill="auto"/>
                  <w:noWrap w:val="0"/>
                  <w:vAlign w:val="center"/>
                </w:tcPr>
                <w:p w14:paraId="2DD03D4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71" w:type="pct"/>
                  <w:tcBorders>
                    <w:tl2br w:val="nil"/>
                    <w:tr2bl w:val="nil"/>
                  </w:tcBorders>
                  <w:shd w:val="clear" w:color="auto" w:fill="auto"/>
                  <w:noWrap w:val="0"/>
                  <w:vAlign w:val="center"/>
                </w:tcPr>
                <w:p w14:paraId="4377D1D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w:t>
                  </w:r>
                </w:p>
              </w:tc>
              <w:tc>
                <w:tcPr>
                  <w:tcW w:w="240" w:type="pct"/>
                  <w:tcBorders>
                    <w:tl2br w:val="nil"/>
                    <w:tr2bl w:val="nil"/>
                  </w:tcBorders>
                  <w:shd w:val="clear" w:color="auto" w:fill="auto"/>
                  <w:noWrap w:val="0"/>
                  <w:vAlign w:val="center"/>
                </w:tcPr>
                <w:p w14:paraId="1ED3615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vMerge w:val="continue"/>
                  <w:tcBorders>
                    <w:tl2br w:val="nil"/>
                    <w:tr2bl w:val="nil"/>
                  </w:tcBorders>
                  <w:shd w:val="clear" w:color="auto" w:fill="auto"/>
                  <w:noWrap w:val="0"/>
                  <w:vAlign w:val="center"/>
                </w:tcPr>
                <w:p w14:paraId="27FB0EC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534" w:type="dxa"/>
                  <w:tcBorders>
                    <w:tl2br w:val="nil"/>
                    <w:tr2bl w:val="nil"/>
                  </w:tcBorders>
                  <w:shd w:val="clear" w:color="auto" w:fill="auto"/>
                  <w:noWrap w:val="0"/>
                  <w:vAlign w:val="center"/>
                </w:tcPr>
                <w:p w14:paraId="6B883C91">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163</w:t>
                  </w:r>
                </w:p>
              </w:tc>
              <w:tc>
                <w:tcPr>
                  <w:tcW w:w="457" w:type="dxa"/>
                  <w:tcBorders>
                    <w:tl2br w:val="nil"/>
                    <w:tr2bl w:val="nil"/>
                  </w:tcBorders>
                  <w:shd w:val="clear" w:color="auto" w:fill="auto"/>
                  <w:noWrap w:val="0"/>
                  <w:vAlign w:val="center"/>
                </w:tcPr>
                <w:p w14:paraId="757F7606">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0.051</w:t>
                  </w:r>
                </w:p>
              </w:tc>
              <w:tc>
                <w:tcPr>
                  <w:tcW w:w="471" w:type="dxa"/>
                  <w:tcBorders>
                    <w:tl2br w:val="nil"/>
                    <w:tr2bl w:val="nil"/>
                  </w:tcBorders>
                  <w:shd w:val="clear" w:color="auto" w:fill="auto"/>
                  <w:noWrap w:val="0"/>
                  <w:vAlign w:val="center"/>
                </w:tcPr>
                <w:p w14:paraId="407A8526">
                  <w:pPr>
                    <w:pStyle w:val="58"/>
                    <w:keepNext w:val="0"/>
                    <w:keepLines w:val="0"/>
                    <w:suppressLineNumbers w:val="0"/>
                    <w:spacing w:before="0" w:beforeAutospacing="0" w:after="0" w:afterAutospacing="0"/>
                    <w:ind w:left="0" w:right="0" w:firstLine="0" w:firstLineChars="0"/>
                    <w:rPr>
                      <w:rFonts w:hint="default"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0.39</w:t>
                  </w:r>
                </w:p>
              </w:tc>
              <w:tc>
                <w:tcPr>
                  <w:tcW w:w="203" w:type="pct"/>
                  <w:vMerge w:val="continue"/>
                  <w:tcBorders>
                    <w:tl2br w:val="nil"/>
                    <w:tr2bl w:val="nil"/>
                  </w:tcBorders>
                  <w:noWrap w:val="0"/>
                  <w:vAlign w:val="center"/>
                </w:tcPr>
                <w:p w14:paraId="0C1D88B9">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90" w:type="pct"/>
                  <w:vMerge w:val="continue"/>
                  <w:tcBorders>
                    <w:tl2br w:val="nil"/>
                    <w:tr2bl w:val="nil"/>
                  </w:tcBorders>
                  <w:noWrap w:val="0"/>
                  <w:vAlign w:val="center"/>
                </w:tcPr>
                <w:p w14:paraId="05E2C7E7">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125" w:type="pct"/>
                  <w:vMerge w:val="continue"/>
                  <w:tcBorders>
                    <w:tl2br w:val="nil"/>
                    <w:tr2bl w:val="nil"/>
                  </w:tcBorders>
                  <w:noWrap w:val="0"/>
                  <w:vAlign w:val="center"/>
                </w:tcPr>
                <w:p w14:paraId="411B2947">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104" w:type="pct"/>
                  <w:vMerge w:val="continue"/>
                  <w:tcBorders>
                    <w:tl2br w:val="nil"/>
                    <w:tr2bl w:val="nil"/>
                  </w:tcBorders>
                  <w:noWrap w:val="0"/>
                  <w:vAlign w:val="center"/>
                </w:tcPr>
                <w:p w14:paraId="052D0AC2">
                  <w:pPr>
                    <w:pStyle w:val="58"/>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pacing w:val="0"/>
                      <w:kern w:val="0"/>
                      <w:sz w:val="18"/>
                      <w:szCs w:val="18"/>
                      <w:lang w:val="en-US" w:eastAsia="zh-CN" w:bidi="ar-SA"/>
                    </w:rPr>
                  </w:pPr>
                </w:p>
              </w:tc>
              <w:tc>
                <w:tcPr>
                  <w:tcW w:w="206" w:type="pct"/>
                  <w:vMerge w:val="continue"/>
                  <w:tcBorders>
                    <w:tl2br w:val="nil"/>
                    <w:tr2bl w:val="nil"/>
                  </w:tcBorders>
                  <w:noWrap w:val="0"/>
                  <w:vAlign w:val="center"/>
                </w:tcPr>
                <w:p w14:paraId="1622BD60">
                  <w:pPr>
                    <w:pStyle w:val="5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pacing w:val="0"/>
                      <w:kern w:val="0"/>
                      <w:sz w:val="18"/>
                      <w:szCs w:val="18"/>
                      <w:lang w:val="en-US" w:eastAsia="zh-CN" w:bidi="ar-SA"/>
                    </w:rPr>
                  </w:pPr>
                </w:p>
              </w:tc>
              <w:tc>
                <w:tcPr>
                  <w:tcW w:w="1028" w:type="pct"/>
                  <w:vMerge w:val="continue"/>
                  <w:tcBorders>
                    <w:tl2br w:val="nil"/>
                    <w:tr2bl w:val="nil"/>
                  </w:tcBorders>
                  <w:noWrap w:val="0"/>
                  <w:vAlign w:val="center"/>
                </w:tcPr>
                <w:p w14:paraId="7524FE67">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426" w:type="dxa"/>
                  <w:tcBorders>
                    <w:tl2br w:val="nil"/>
                    <w:tr2bl w:val="nil"/>
                  </w:tcBorders>
                  <w:noWrap w:val="0"/>
                  <w:vAlign w:val="center"/>
                </w:tcPr>
                <w:p w14:paraId="69106F2B">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300</w:t>
                  </w:r>
                </w:p>
              </w:tc>
              <w:tc>
                <w:tcPr>
                  <w:tcW w:w="155" w:type="pct"/>
                  <w:tcBorders>
                    <w:tl2br w:val="nil"/>
                    <w:tr2bl w:val="nil"/>
                  </w:tcBorders>
                  <w:noWrap w:val="0"/>
                  <w:vAlign w:val="center"/>
                </w:tcPr>
                <w:p w14:paraId="60DB4EFA">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r>
            <w:tr w14:paraId="61433F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restart"/>
                  <w:tcBorders>
                    <w:tl2br w:val="nil"/>
                    <w:tr2bl w:val="nil"/>
                  </w:tcBorders>
                  <w:noWrap w:val="0"/>
                  <w:vAlign w:val="center"/>
                </w:tcPr>
                <w:p w14:paraId="76B3D3AC">
                  <w:pPr>
                    <w:pStyle w:val="61"/>
                    <w:keepNext w:val="0"/>
                    <w:keepLines w:val="0"/>
                    <w:suppressLineNumbers w:val="0"/>
                    <w:bidi w:val="0"/>
                    <w:spacing w:before="0" w:beforeAutospacing="0" w:after="0" w:afterAutospacing="0"/>
                    <w:ind w:left="0" w:right="0"/>
                    <w:rPr>
                      <w:rFonts w:hint="eastAsia" w:eastAsia="宋体" w:cs="Times New Roman"/>
                      <w:color w:val="auto"/>
                      <w:sz w:val="18"/>
                      <w:szCs w:val="18"/>
                      <w:lang w:val="en-US" w:eastAsia="zh-CN"/>
                    </w:rPr>
                  </w:pPr>
                  <w:r>
                    <w:rPr>
                      <w:rFonts w:hint="default" w:cs="Times New Roman"/>
                      <w:color w:val="auto"/>
                      <w:sz w:val="18"/>
                      <w:szCs w:val="18"/>
                    </w:rPr>
                    <w:t>无组织</w:t>
                  </w:r>
                  <w:r>
                    <w:rPr>
                      <w:rFonts w:hint="eastAsia" w:cs="Times New Roman"/>
                      <w:color w:val="auto"/>
                      <w:sz w:val="18"/>
                      <w:szCs w:val="18"/>
                      <w:lang w:val="en-US" w:eastAsia="zh-CN"/>
                    </w:rPr>
                    <w:t>排放</w:t>
                  </w:r>
                </w:p>
              </w:tc>
              <w:tc>
                <w:tcPr>
                  <w:tcW w:w="304" w:type="pct"/>
                  <w:tcBorders>
                    <w:tl2br w:val="nil"/>
                    <w:tr2bl w:val="nil"/>
                  </w:tcBorders>
                  <w:noWrap w:val="0"/>
                  <w:vAlign w:val="center"/>
                </w:tcPr>
                <w:p w14:paraId="62214F45">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沉淀、过滤废气</w:t>
                  </w:r>
                </w:p>
              </w:tc>
              <w:tc>
                <w:tcPr>
                  <w:tcW w:w="183" w:type="pct"/>
                  <w:tcBorders>
                    <w:tl2br w:val="nil"/>
                    <w:tr2bl w:val="nil"/>
                  </w:tcBorders>
                  <w:noWrap w:val="0"/>
                  <w:vAlign w:val="center"/>
                </w:tcPr>
                <w:p w14:paraId="56E8CC1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noWrap w:val="0"/>
                  <w:vAlign w:val="center"/>
                </w:tcPr>
                <w:p w14:paraId="7E5031A6">
                  <w:pPr>
                    <w:keepNext w:val="0"/>
                    <w:keepLines w:val="0"/>
                    <w:suppressLineNumbers w:val="0"/>
                    <w:bidi w:val="0"/>
                    <w:spacing w:before="0" w:beforeAutospacing="0" w:after="0" w:afterAutospacing="0"/>
                    <w:ind w:left="0" w:leftChars="0" w:right="0" w:rightChars="0" w:firstLine="360" w:firstLineChars="20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6345500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0.03</w:t>
                  </w:r>
                  <w:r>
                    <w:rPr>
                      <w:rFonts w:hint="eastAsia" w:cs="Times New Roman"/>
                      <w:color w:val="auto"/>
                      <w:spacing w:val="0"/>
                      <w:kern w:val="0"/>
                      <w:sz w:val="18"/>
                      <w:szCs w:val="18"/>
                      <w:lang w:val="en-US" w:eastAsia="zh-CN" w:bidi="ar-SA"/>
                    </w:rPr>
                    <w:t>5</w:t>
                  </w:r>
                </w:p>
              </w:tc>
              <w:tc>
                <w:tcPr>
                  <w:tcW w:w="177" w:type="pct"/>
                  <w:tcBorders>
                    <w:tl2br w:val="nil"/>
                    <w:tr2bl w:val="nil"/>
                  </w:tcBorders>
                  <w:noWrap w:val="0"/>
                  <w:vAlign w:val="center"/>
                </w:tcPr>
                <w:p w14:paraId="0C4E322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0.2</w:t>
                  </w:r>
                  <w:r>
                    <w:rPr>
                      <w:rFonts w:hint="eastAsia" w:cs="Times New Roman"/>
                      <w:color w:val="auto"/>
                      <w:spacing w:val="0"/>
                      <w:kern w:val="0"/>
                      <w:sz w:val="18"/>
                      <w:szCs w:val="18"/>
                      <w:lang w:val="en-US" w:eastAsia="zh-CN" w:bidi="ar-SA"/>
                    </w:rPr>
                    <w:t>67</w:t>
                  </w:r>
                </w:p>
              </w:tc>
              <w:tc>
                <w:tcPr>
                  <w:tcW w:w="204" w:type="pct"/>
                  <w:tcBorders>
                    <w:tl2br w:val="nil"/>
                    <w:tr2bl w:val="nil"/>
                  </w:tcBorders>
                  <w:noWrap w:val="0"/>
                  <w:vAlign w:val="center"/>
                </w:tcPr>
                <w:p w14:paraId="0472269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2BBEEB4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5F329F3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noWrap w:val="0"/>
                  <w:vAlign w:val="center"/>
                </w:tcPr>
                <w:p w14:paraId="07A4FCF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39CF196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加强厂区通风</w:t>
                  </w:r>
                </w:p>
              </w:tc>
              <w:tc>
                <w:tcPr>
                  <w:tcW w:w="201" w:type="pct"/>
                  <w:tcBorders>
                    <w:tl2br w:val="nil"/>
                    <w:tr2bl w:val="nil"/>
                  </w:tcBorders>
                  <w:noWrap w:val="0"/>
                  <w:vAlign w:val="center"/>
                </w:tcPr>
                <w:p w14:paraId="5175314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w:t>
                  </w:r>
                </w:p>
              </w:tc>
              <w:tc>
                <w:tcPr>
                  <w:tcW w:w="172" w:type="pct"/>
                  <w:tcBorders>
                    <w:tl2br w:val="nil"/>
                    <w:tr2bl w:val="nil"/>
                  </w:tcBorders>
                  <w:noWrap w:val="0"/>
                  <w:vAlign w:val="center"/>
                </w:tcPr>
                <w:p w14:paraId="3D234E4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0.03</w:t>
                  </w:r>
                  <w:r>
                    <w:rPr>
                      <w:rFonts w:hint="eastAsia" w:cs="Times New Roman"/>
                      <w:color w:val="auto"/>
                      <w:spacing w:val="0"/>
                      <w:kern w:val="0"/>
                      <w:sz w:val="18"/>
                      <w:szCs w:val="18"/>
                      <w:lang w:val="en-US" w:eastAsia="zh-CN" w:bidi="ar-SA"/>
                    </w:rPr>
                    <w:t>5</w:t>
                  </w:r>
                </w:p>
              </w:tc>
              <w:tc>
                <w:tcPr>
                  <w:tcW w:w="177" w:type="pct"/>
                  <w:tcBorders>
                    <w:tl2br w:val="nil"/>
                    <w:tr2bl w:val="nil"/>
                  </w:tcBorders>
                  <w:noWrap w:val="0"/>
                  <w:vAlign w:val="center"/>
                </w:tcPr>
                <w:p w14:paraId="385E687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0.2</w:t>
                  </w:r>
                  <w:r>
                    <w:rPr>
                      <w:rFonts w:hint="eastAsia" w:cs="Times New Roman"/>
                      <w:color w:val="auto"/>
                      <w:spacing w:val="0"/>
                      <w:kern w:val="0"/>
                      <w:sz w:val="18"/>
                      <w:szCs w:val="18"/>
                      <w:lang w:val="en-US" w:eastAsia="zh-CN" w:bidi="ar-SA"/>
                    </w:rPr>
                    <w:t>67</w:t>
                  </w:r>
                </w:p>
              </w:tc>
              <w:tc>
                <w:tcPr>
                  <w:tcW w:w="203" w:type="pct"/>
                  <w:tcBorders>
                    <w:tl2br w:val="nil"/>
                    <w:tr2bl w:val="nil"/>
                  </w:tcBorders>
                  <w:noWrap w:val="0"/>
                  <w:vAlign w:val="center"/>
                </w:tcPr>
                <w:p w14:paraId="2BE4097F">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088B70F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7233554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40CDB50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38A8542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75BAB52F">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60" w:type="pct"/>
                  <w:tcBorders>
                    <w:tl2br w:val="nil"/>
                    <w:tr2bl w:val="nil"/>
                  </w:tcBorders>
                  <w:noWrap w:val="0"/>
                  <w:vAlign w:val="center"/>
                </w:tcPr>
                <w:p w14:paraId="351193E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2.0</w:t>
                  </w:r>
                </w:p>
              </w:tc>
              <w:tc>
                <w:tcPr>
                  <w:tcW w:w="155" w:type="pct"/>
                  <w:tcBorders>
                    <w:tl2br w:val="nil"/>
                    <w:tr2bl w:val="nil"/>
                  </w:tcBorders>
                  <w:noWrap w:val="0"/>
                  <w:vAlign w:val="center"/>
                </w:tcPr>
                <w:p w14:paraId="03094F5D">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r>
            <w:tr w14:paraId="793DCF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continue"/>
                  <w:tcBorders>
                    <w:tl2br w:val="nil"/>
                    <w:tr2bl w:val="nil"/>
                  </w:tcBorders>
                  <w:noWrap w:val="0"/>
                  <w:vAlign w:val="center"/>
                </w:tcPr>
                <w:p w14:paraId="308B0074">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vMerge w:val="restart"/>
                  <w:tcBorders>
                    <w:tl2br w:val="nil"/>
                    <w:tr2bl w:val="nil"/>
                  </w:tcBorders>
                  <w:noWrap w:val="0"/>
                  <w:vAlign w:val="center"/>
                </w:tcPr>
                <w:p w14:paraId="50CBFAB4">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冷凝废气</w:t>
                  </w:r>
                </w:p>
              </w:tc>
              <w:tc>
                <w:tcPr>
                  <w:tcW w:w="183" w:type="pct"/>
                  <w:tcBorders>
                    <w:tl2br w:val="nil"/>
                    <w:tr2bl w:val="nil"/>
                  </w:tcBorders>
                  <w:noWrap w:val="0"/>
                  <w:vAlign w:val="center"/>
                </w:tcPr>
                <w:p w14:paraId="112465C2">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noWrap w:val="0"/>
                  <w:vAlign w:val="center"/>
                </w:tcPr>
                <w:p w14:paraId="188FEE90">
                  <w:pPr>
                    <w:keepNext w:val="0"/>
                    <w:keepLines w:val="0"/>
                    <w:suppressLineNumbers w:val="0"/>
                    <w:bidi w:val="0"/>
                    <w:spacing w:before="0" w:beforeAutospacing="0" w:after="0" w:afterAutospacing="0"/>
                    <w:ind w:left="0" w:leftChars="0" w:right="0" w:rightChars="0" w:firstLine="360" w:firstLineChars="20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05253D9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0.059</w:t>
                  </w:r>
                </w:p>
              </w:tc>
              <w:tc>
                <w:tcPr>
                  <w:tcW w:w="177" w:type="pct"/>
                  <w:tcBorders>
                    <w:tl2br w:val="nil"/>
                    <w:tr2bl w:val="nil"/>
                  </w:tcBorders>
                  <w:noWrap w:val="0"/>
                  <w:vAlign w:val="center"/>
                </w:tcPr>
                <w:p w14:paraId="7D377E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0.456</w:t>
                  </w:r>
                </w:p>
              </w:tc>
              <w:tc>
                <w:tcPr>
                  <w:tcW w:w="204" w:type="pct"/>
                  <w:tcBorders>
                    <w:tl2br w:val="nil"/>
                    <w:tr2bl w:val="nil"/>
                  </w:tcBorders>
                  <w:noWrap w:val="0"/>
                  <w:vAlign w:val="center"/>
                </w:tcPr>
                <w:p w14:paraId="1F39008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29D5CB6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635B8F1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noWrap w:val="0"/>
                  <w:vAlign w:val="center"/>
                </w:tcPr>
                <w:p w14:paraId="5B612BD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5C4841E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加强厂区通风</w:t>
                  </w:r>
                </w:p>
              </w:tc>
              <w:tc>
                <w:tcPr>
                  <w:tcW w:w="201" w:type="pct"/>
                  <w:tcBorders>
                    <w:tl2br w:val="nil"/>
                    <w:tr2bl w:val="nil"/>
                  </w:tcBorders>
                  <w:noWrap w:val="0"/>
                  <w:vAlign w:val="center"/>
                </w:tcPr>
                <w:p w14:paraId="638A848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w:t>
                  </w:r>
                </w:p>
              </w:tc>
              <w:tc>
                <w:tcPr>
                  <w:tcW w:w="172" w:type="pct"/>
                  <w:tcBorders>
                    <w:tl2br w:val="nil"/>
                    <w:tr2bl w:val="nil"/>
                  </w:tcBorders>
                  <w:noWrap w:val="0"/>
                  <w:vAlign w:val="center"/>
                </w:tcPr>
                <w:p w14:paraId="020559C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0.059</w:t>
                  </w:r>
                </w:p>
              </w:tc>
              <w:tc>
                <w:tcPr>
                  <w:tcW w:w="177" w:type="pct"/>
                  <w:tcBorders>
                    <w:tl2br w:val="nil"/>
                    <w:tr2bl w:val="nil"/>
                  </w:tcBorders>
                  <w:noWrap w:val="0"/>
                  <w:vAlign w:val="center"/>
                </w:tcPr>
                <w:p w14:paraId="429AAC5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0.456</w:t>
                  </w:r>
                </w:p>
              </w:tc>
              <w:tc>
                <w:tcPr>
                  <w:tcW w:w="203" w:type="pct"/>
                  <w:tcBorders>
                    <w:tl2br w:val="nil"/>
                    <w:tr2bl w:val="nil"/>
                  </w:tcBorders>
                  <w:noWrap w:val="0"/>
                  <w:vAlign w:val="center"/>
                </w:tcPr>
                <w:p w14:paraId="62DB598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10F7444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7B574F1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2C35E1E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259BD24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1D454630">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w:t>
                  </w:r>
                </w:p>
              </w:tc>
              <w:tc>
                <w:tcPr>
                  <w:tcW w:w="160" w:type="pct"/>
                  <w:tcBorders>
                    <w:tl2br w:val="nil"/>
                    <w:tr2bl w:val="nil"/>
                  </w:tcBorders>
                  <w:noWrap w:val="0"/>
                  <w:vAlign w:val="center"/>
                </w:tcPr>
                <w:p w14:paraId="37402E5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2.0</w:t>
                  </w:r>
                </w:p>
              </w:tc>
              <w:tc>
                <w:tcPr>
                  <w:tcW w:w="155" w:type="pct"/>
                  <w:tcBorders>
                    <w:tl2br w:val="nil"/>
                    <w:tr2bl w:val="nil"/>
                  </w:tcBorders>
                  <w:noWrap w:val="0"/>
                  <w:vAlign w:val="center"/>
                </w:tcPr>
                <w:p w14:paraId="1C887997">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eastAsia" w:cs="Times New Roman"/>
                      <w:color w:val="auto"/>
                      <w:lang w:val="en-US" w:eastAsia="zh-CN"/>
                    </w:rPr>
                    <w:t>/</w:t>
                  </w:r>
                </w:p>
              </w:tc>
            </w:tr>
            <w:tr w14:paraId="33A20B2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continue"/>
                  <w:tcBorders>
                    <w:tl2br w:val="nil"/>
                    <w:tr2bl w:val="nil"/>
                  </w:tcBorders>
                  <w:noWrap w:val="0"/>
                  <w:vAlign w:val="center"/>
                </w:tcPr>
                <w:p w14:paraId="1E88B375">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vMerge w:val="continue"/>
                  <w:tcBorders>
                    <w:tl2br w:val="nil"/>
                    <w:tr2bl w:val="nil"/>
                  </w:tcBorders>
                  <w:noWrap w:val="0"/>
                  <w:vAlign w:val="center"/>
                </w:tcPr>
                <w:p w14:paraId="40DE64B5">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3" w:type="pct"/>
                  <w:tcBorders>
                    <w:tl2br w:val="nil"/>
                    <w:tr2bl w:val="nil"/>
                  </w:tcBorders>
                  <w:noWrap w:val="0"/>
                  <w:vAlign w:val="center"/>
                </w:tcPr>
                <w:p w14:paraId="1C832BEB">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29" w:type="pct"/>
                  <w:tcBorders>
                    <w:tl2br w:val="nil"/>
                    <w:tr2bl w:val="nil"/>
                  </w:tcBorders>
                  <w:noWrap w:val="0"/>
                  <w:vAlign w:val="center"/>
                </w:tcPr>
                <w:p w14:paraId="77D8468F">
                  <w:pPr>
                    <w:keepNext w:val="0"/>
                    <w:keepLines w:val="0"/>
                    <w:suppressLineNumbers w:val="0"/>
                    <w:bidi w:val="0"/>
                    <w:spacing w:before="0" w:beforeAutospacing="0" w:after="0" w:afterAutospacing="0"/>
                    <w:ind w:left="0" w:leftChars="0" w:right="0" w:rightChars="0" w:firstLine="360" w:firstLineChars="20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1FEE1DF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0.032</w:t>
                  </w:r>
                </w:p>
              </w:tc>
              <w:tc>
                <w:tcPr>
                  <w:tcW w:w="177" w:type="pct"/>
                  <w:tcBorders>
                    <w:tl2br w:val="nil"/>
                    <w:tr2bl w:val="nil"/>
                  </w:tcBorders>
                  <w:noWrap w:val="0"/>
                  <w:vAlign w:val="center"/>
                </w:tcPr>
                <w:p w14:paraId="78C3B25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0.242</w:t>
                  </w:r>
                </w:p>
              </w:tc>
              <w:tc>
                <w:tcPr>
                  <w:tcW w:w="204" w:type="pct"/>
                  <w:tcBorders>
                    <w:tl2br w:val="nil"/>
                    <w:tr2bl w:val="nil"/>
                  </w:tcBorders>
                  <w:noWrap w:val="0"/>
                  <w:vAlign w:val="center"/>
                </w:tcPr>
                <w:p w14:paraId="3658B91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27638634">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317225A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noWrap w:val="0"/>
                  <w:vAlign w:val="center"/>
                </w:tcPr>
                <w:p w14:paraId="006E6F8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3E283A9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加强厂区通风</w:t>
                  </w:r>
                </w:p>
              </w:tc>
              <w:tc>
                <w:tcPr>
                  <w:tcW w:w="201" w:type="pct"/>
                  <w:tcBorders>
                    <w:tl2br w:val="nil"/>
                    <w:tr2bl w:val="nil"/>
                  </w:tcBorders>
                  <w:noWrap w:val="0"/>
                  <w:vAlign w:val="center"/>
                </w:tcPr>
                <w:p w14:paraId="6F0F7B9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w:t>
                  </w:r>
                </w:p>
              </w:tc>
              <w:tc>
                <w:tcPr>
                  <w:tcW w:w="172" w:type="pct"/>
                  <w:tcBorders>
                    <w:tl2br w:val="nil"/>
                    <w:tr2bl w:val="nil"/>
                  </w:tcBorders>
                  <w:noWrap w:val="0"/>
                  <w:vAlign w:val="center"/>
                </w:tcPr>
                <w:p w14:paraId="51D4081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0.032</w:t>
                  </w:r>
                </w:p>
              </w:tc>
              <w:tc>
                <w:tcPr>
                  <w:tcW w:w="177" w:type="pct"/>
                  <w:tcBorders>
                    <w:tl2br w:val="nil"/>
                    <w:tr2bl w:val="nil"/>
                  </w:tcBorders>
                  <w:noWrap w:val="0"/>
                  <w:vAlign w:val="center"/>
                </w:tcPr>
                <w:p w14:paraId="5B91710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0.242</w:t>
                  </w:r>
                </w:p>
              </w:tc>
              <w:tc>
                <w:tcPr>
                  <w:tcW w:w="203" w:type="pct"/>
                  <w:tcBorders>
                    <w:tl2br w:val="nil"/>
                    <w:tr2bl w:val="nil"/>
                  </w:tcBorders>
                  <w:noWrap w:val="0"/>
                  <w:vAlign w:val="center"/>
                </w:tcPr>
                <w:p w14:paraId="4E91B74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090060D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7E7014A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0A80A9B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12CCF13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4D69A7A9">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w:t>
                  </w:r>
                </w:p>
              </w:tc>
              <w:tc>
                <w:tcPr>
                  <w:tcW w:w="160" w:type="pct"/>
                  <w:tcBorders>
                    <w:tl2br w:val="nil"/>
                    <w:tr2bl w:val="nil"/>
                  </w:tcBorders>
                  <w:noWrap w:val="0"/>
                  <w:vAlign w:val="center"/>
                </w:tcPr>
                <w:p w14:paraId="1D82EDD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1.0</w:t>
                  </w:r>
                </w:p>
              </w:tc>
              <w:tc>
                <w:tcPr>
                  <w:tcW w:w="155" w:type="pct"/>
                  <w:tcBorders>
                    <w:tl2br w:val="nil"/>
                    <w:tr2bl w:val="nil"/>
                  </w:tcBorders>
                  <w:noWrap w:val="0"/>
                  <w:vAlign w:val="center"/>
                </w:tcPr>
                <w:p w14:paraId="2400CFCA">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eastAsia" w:cs="Times New Roman"/>
                      <w:color w:val="auto"/>
                      <w:lang w:val="en-US" w:eastAsia="zh-CN"/>
                    </w:rPr>
                    <w:t>/</w:t>
                  </w:r>
                </w:p>
              </w:tc>
            </w:tr>
            <w:tr w14:paraId="66B316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continue"/>
                  <w:tcBorders>
                    <w:tl2br w:val="nil"/>
                    <w:tr2bl w:val="nil"/>
                  </w:tcBorders>
                  <w:noWrap w:val="0"/>
                  <w:vAlign w:val="center"/>
                </w:tcPr>
                <w:p w14:paraId="1AABC392">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tcBorders>
                    <w:tl2br w:val="nil"/>
                    <w:tr2bl w:val="nil"/>
                  </w:tcBorders>
                  <w:noWrap w:val="0"/>
                  <w:vAlign w:val="center"/>
                </w:tcPr>
                <w:p w14:paraId="1679F727">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储罐废气</w:t>
                  </w:r>
                </w:p>
              </w:tc>
              <w:tc>
                <w:tcPr>
                  <w:tcW w:w="183" w:type="pct"/>
                  <w:tcBorders>
                    <w:tl2br w:val="nil"/>
                    <w:tr2bl w:val="nil"/>
                  </w:tcBorders>
                  <w:noWrap w:val="0"/>
                  <w:vAlign w:val="center"/>
                </w:tcPr>
                <w:p w14:paraId="25CDE81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TVOC</w:t>
                  </w:r>
                </w:p>
              </w:tc>
              <w:tc>
                <w:tcPr>
                  <w:tcW w:w="229" w:type="pct"/>
                  <w:tcBorders>
                    <w:tl2br w:val="nil"/>
                    <w:tr2bl w:val="nil"/>
                  </w:tcBorders>
                  <w:noWrap w:val="0"/>
                  <w:vAlign w:val="center"/>
                </w:tcPr>
                <w:p w14:paraId="5B9E2B5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25FC209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0.078</w:t>
                  </w:r>
                </w:p>
              </w:tc>
              <w:tc>
                <w:tcPr>
                  <w:tcW w:w="177" w:type="pct"/>
                  <w:tcBorders>
                    <w:tl2br w:val="nil"/>
                    <w:tr2bl w:val="nil"/>
                  </w:tcBorders>
                  <w:noWrap w:val="0"/>
                  <w:vAlign w:val="center"/>
                </w:tcPr>
                <w:p w14:paraId="6FA98D2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0.6</w:t>
                  </w:r>
                </w:p>
              </w:tc>
              <w:tc>
                <w:tcPr>
                  <w:tcW w:w="204" w:type="pct"/>
                  <w:tcBorders>
                    <w:tl2br w:val="nil"/>
                    <w:tr2bl w:val="nil"/>
                  </w:tcBorders>
                  <w:noWrap w:val="0"/>
                  <w:vAlign w:val="center"/>
                </w:tcPr>
                <w:p w14:paraId="09A7755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1C5B296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7B02514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40" w:type="pct"/>
                  <w:tcBorders>
                    <w:tl2br w:val="nil"/>
                    <w:tr2bl w:val="nil"/>
                  </w:tcBorders>
                  <w:noWrap w:val="0"/>
                  <w:vAlign w:val="center"/>
                </w:tcPr>
                <w:p w14:paraId="73ABFAD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35C0A8E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加强厂区通风</w:t>
                  </w:r>
                </w:p>
              </w:tc>
              <w:tc>
                <w:tcPr>
                  <w:tcW w:w="201" w:type="pct"/>
                  <w:tcBorders>
                    <w:tl2br w:val="nil"/>
                    <w:tr2bl w:val="nil"/>
                  </w:tcBorders>
                  <w:noWrap w:val="0"/>
                  <w:vAlign w:val="center"/>
                </w:tcPr>
                <w:p w14:paraId="5D4B434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noWrap w:val="0"/>
                  <w:vAlign w:val="center"/>
                </w:tcPr>
                <w:p w14:paraId="4102E69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0.078</w:t>
                  </w:r>
                </w:p>
              </w:tc>
              <w:tc>
                <w:tcPr>
                  <w:tcW w:w="177" w:type="pct"/>
                  <w:tcBorders>
                    <w:tl2br w:val="nil"/>
                    <w:tr2bl w:val="nil"/>
                  </w:tcBorders>
                  <w:noWrap w:val="0"/>
                  <w:vAlign w:val="center"/>
                </w:tcPr>
                <w:p w14:paraId="59DCFF5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0.6</w:t>
                  </w:r>
                </w:p>
              </w:tc>
              <w:tc>
                <w:tcPr>
                  <w:tcW w:w="203" w:type="pct"/>
                  <w:tcBorders>
                    <w:tl2br w:val="nil"/>
                    <w:tr2bl w:val="nil"/>
                  </w:tcBorders>
                  <w:noWrap w:val="0"/>
                  <w:vAlign w:val="center"/>
                </w:tcPr>
                <w:p w14:paraId="628E4C9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90" w:type="pct"/>
                  <w:tcBorders>
                    <w:tl2br w:val="nil"/>
                    <w:tr2bl w:val="nil"/>
                  </w:tcBorders>
                  <w:noWrap w:val="0"/>
                  <w:vAlign w:val="center"/>
                </w:tcPr>
                <w:p w14:paraId="6C9084C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25" w:type="pct"/>
                  <w:tcBorders>
                    <w:tl2br w:val="nil"/>
                    <w:tr2bl w:val="nil"/>
                  </w:tcBorders>
                  <w:noWrap w:val="0"/>
                  <w:vAlign w:val="center"/>
                </w:tcPr>
                <w:p w14:paraId="4F81428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04" w:type="pct"/>
                  <w:tcBorders>
                    <w:tl2br w:val="nil"/>
                    <w:tr2bl w:val="nil"/>
                  </w:tcBorders>
                  <w:noWrap w:val="0"/>
                  <w:vAlign w:val="center"/>
                </w:tcPr>
                <w:p w14:paraId="36CF075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206" w:type="pct"/>
                  <w:tcBorders>
                    <w:tl2br w:val="nil"/>
                    <w:tr2bl w:val="nil"/>
                  </w:tcBorders>
                  <w:noWrap w:val="0"/>
                  <w:vAlign w:val="center"/>
                </w:tcPr>
                <w:p w14:paraId="3EFCA1F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p>
              </w:tc>
              <w:tc>
                <w:tcPr>
                  <w:tcW w:w="1028" w:type="pct"/>
                  <w:tcBorders>
                    <w:tl2br w:val="nil"/>
                    <w:tr2bl w:val="nil"/>
                  </w:tcBorders>
                  <w:noWrap w:val="0"/>
                  <w:vAlign w:val="center"/>
                </w:tcPr>
                <w:p w14:paraId="40E66684">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60" w:type="pct"/>
                  <w:tcBorders>
                    <w:tl2br w:val="nil"/>
                    <w:tr2bl w:val="nil"/>
                  </w:tcBorders>
                  <w:noWrap w:val="0"/>
                  <w:vAlign w:val="center"/>
                </w:tcPr>
                <w:p w14:paraId="31436DC9">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2.0</w:t>
                  </w:r>
                </w:p>
              </w:tc>
              <w:tc>
                <w:tcPr>
                  <w:tcW w:w="155" w:type="pct"/>
                  <w:tcBorders>
                    <w:tl2br w:val="nil"/>
                    <w:tr2bl w:val="nil"/>
                  </w:tcBorders>
                  <w:noWrap w:val="0"/>
                  <w:vAlign w:val="center"/>
                </w:tcPr>
                <w:p w14:paraId="667D7EAE">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p>
              </w:tc>
            </w:tr>
            <w:tr w14:paraId="4CAA18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continue"/>
                  <w:tcBorders>
                    <w:tl2br w:val="nil"/>
                    <w:tr2bl w:val="nil"/>
                  </w:tcBorders>
                  <w:noWrap w:val="0"/>
                  <w:vAlign w:val="center"/>
                </w:tcPr>
                <w:p w14:paraId="5ECB4E9C">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tcBorders>
                    <w:tl2br w:val="nil"/>
                    <w:tr2bl w:val="nil"/>
                  </w:tcBorders>
                  <w:noWrap w:val="0"/>
                  <w:vAlign w:val="center"/>
                </w:tcPr>
                <w:p w14:paraId="633995BC">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破碎粉尘</w:t>
                  </w:r>
                </w:p>
              </w:tc>
              <w:tc>
                <w:tcPr>
                  <w:tcW w:w="183" w:type="pct"/>
                  <w:tcBorders>
                    <w:tl2br w:val="nil"/>
                    <w:tr2bl w:val="nil"/>
                  </w:tcBorders>
                  <w:noWrap w:val="0"/>
                  <w:vAlign w:val="center"/>
                </w:tcPr>
                <w:p w14:paraId="3EB885E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29" w:type="pct"/>
                  <w:tcBorders>
                    <w:tl2br w:val="nil"/>
                    <w:tr2bl w:val="nil"/>
                  </w:tcBorders>
                  <w:noWrap w:val="0"/>
                  <w:vAlign w:val="center"/>
                </w:tcPr>
                <w:p w14:paraId="0DBD71F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45491B5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0.519</w:t>
                  </w:r>
                </w:p>
              </w:tc>
              <w:tc>
                <w:tcPr>
                  <w:tcW w:w="177" w:type="pct"/>
                  <w:tcBorders>
                    <w:tl2br w:val="nil"/>
                    <w:tr2bl w:val="nil"/>
                  </w:tcBorders>
                  <w:noWrap w:val="0"/>
                  <w:vAlign w:val="center"/>
                </w:tcPr>
                <w:p w14:paraId="057E1AB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3.989</w:t>
                  </w:r>
                </w:p>
              </w:tc>
              <w:tc>
                <w:tcPr>
                  <w:tcW w:w="204" w:type="pct"/>
                  <w:tcBorders>
                    <w:tl2br w:val="nil"/>
                    <w:tr2bl w:val="nil"/>
                  </w:tcBorders>
                  <w:noWrap w:val="0"/>
                  <w:vAlign w:val="center"/>
                </w:tcPr>
                <w:p w14:paraId="79EA8F6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1861878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80</w:t>
                  </w:r>
                </w:p>
              </w:tc>
              <w:tc>
                <w:tcPr>
                  <w:tcW w:w="171" w:type="pct"/>
                  <w:tcBorders>
                    <w:tl2br w:val="nil"/>
                    <w:tr2bl w:val="nil"/>
                  </w:tcBorders>
                  <w:noWrap w:val="0"/>
                  <w:vAlign w:val="center"/>
                </w:tcPr>
                <w:p w14:paraId="27ABF25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99</w:t>
                  </w:r>
                </w:p>
              </w:tc>
              <w:tc>
                <w:tcPr>
                  <w:tcW w:w="240" w:type="pct"/>
                  <w:tcBorders>
                    <w:tl2br w:val="nil"/>
                    <w:tr2bl w:val="nil"/>
                  </w:tcBorders>
                  <w:noWrap w:val="0"/>
                  <w:vAlign w:val="center"/>
                </w:tcPr>
                <w:p w14:paraId="5C95E74C">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03FCC00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布袋除尘</w:t>
                  </w:r>
                </w:p>
              </w:tc>
              <w:tc>
                <w:tcPr>
                  <w:tcW w:w="201" w:type="pct"/>
                  <w:tcBorders>
                    <w:tl2br w:val="nil"/>
                    <w:tr2bl w:val="nil"/>
                  </w:tcBorders>
                  <w:noWrap w:val="0"/>
                  <w:vAlign w:val="center"/>
                </w:tcPr>
                <w:p w14:paraId="314AD56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noWrap w:val="0"/>
                  <w:vAlign w:val="center"/>
                </w:tcPr>
                <w:p w14:paraId="70B20C8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0.108</w:t>
                  </w:r>
                </w:p>
              </w:tc>
              <w:tc>
                <w:tcPr>
                  <w:tcW w:w="177" w:type="pct"/>
                  <w:tcBorders>
                    <w:tl2br w:val="nil"/>
                    <w:tr2bl w:val="nil"/>
                  </w:tcBorders>
                  <w:noWrap w:val="0"/>
                  <w:vAlign w:val="center"/>
                </w:tcPr>
                <w:p w14:paraId="29B266B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0.83</w:t>
                  </w:r>
                </w:p>
              </w:tc>
              <w:tc>
                <w:tcPr>
                  <w:tcW w:w="203" w:type="pct"/>
                  <w:tcBorders>
                    <w:tl2br w:val="nil"/>
                    <w:tr2bl w:val="nil"/>
                  </w:tcBorders>
                  <w:noWrap w:val="0"/>
                  <w:vAlign w:val="center"/>
                </w:tcPr>
                <w:p w14:paraId="275AF4E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00C1059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006DF5D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68842E4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38B548A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6E5CAF20">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w:t>
                  </w:r>
                </w:p>
              </w:tc>
              <w:tc>
                <w:tcPr>
                  <w:tcW w:w="160" w:type="pct"/>
                  <w:tcBorders>
                    <w:tl2br w:val="nil"/>
                    <w:tr2bl w:val="nil"/>
                  </w:tcBorders>
                  <w:noWrap w:val="0"/>
                  <w:vAlign w:val="center"/>
                </w:tcPr>
                <w:p w14:paraId="5B3B662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w:t>
                  </w:r>
                </w:p>
              </w:tc>
              <w:tc>
                <w:tcPr>
                  <w:tcW w:w="155" w:type="pct"/>
                  <w:tcBorders>
                    <w:tl2br w:val="nil"/>
                    <w:tr2bl w:val="nil"/>
                  </w:tcBorders>
                  <w:noWrap w:val="0"/>
                  <w:vAlign w:val="center"/>
                </w:tcPr>
                <w:p w14:paraId="6CA46287">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eastAsia" w:cs="Times New Roman"/>
                      <w:color w:val="auto"/>
                      <w:lang w:val="en-US" w:eastAsia="zh-CN"/>
                    </w:rPr>
                    <w:t>/</w:t>
                  </w:r>
                </w:p>
              </w:tc>
            </w:tr>
            <w:tr w14:paraId="3C7E317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198" w:type="pct"/>
                  <w:vMerge w:val="continue"/>
                  <w:tcBorders>
                    <w:tl2br w:val="nil"/>
                    <w:tr2bl w:val="nil"/>
                  </w:tcBorders>
                  <w:noWrap w:val="0"/>
                  <w:vAlign w:val="center"/>
                </w:tcPr>
                <w:p w14:paraId="5EFBD388">
                  <w:pPr>
                    <w:pStyle w:val="61"/>
                    <w:keepNext w:val="0"/>
                    <w:keepLines w:val="0"/>
                    <w:suppressLineNumbers w:val="0"/>
                    <w:bidi w:val="0"/>
                    <w:spacing w:before="0" w:beforeAutospacing="0" w:after="0" w:afterAutospacing="0"/>
                    <w:ind w:left="0" w:right="0"/>
                    <w:rPr>
                      <w:rFonts w:hint="default" w:cs="Times New Roman"/>
                      <w:color w:val="auto"/>
                      <w:sz w:val="18"/>
                      <w:szCs w:val="18"/>
                    </w:rPr>
                  </w:pPr>
                </w:p>
              </w:tc>
              <w:tc>
                <w:tcPr>
                  <w:tcW w:w="304" w:type="pct"/>
                  <w:tcBorders>
                    <w:tl2br w:val="nil"/>
                    <w:tr2bl w:val="nil"/>
                  </w:tcBorders>
                  <w:noWrap w:val="0"/>
                  <w:vAlign w:val="center"/>
                </w:tcPr>
                <w:p w14:paraId="37A370EB">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上料粉尘</w:t>
                  </w:r>
                </w:p>
              </w:tc>
              <w:tc>
                <w:tcPr>
                  <w:tcW w:w="183" w:type="pct"/>
                  <w:tcBorders>
                    <w:tl2br w:val="nil"/>
                    <w:tr2bl w:val="nil"/>
                  </w:tcBorders>
                  <w:noWrap w:val="0"/>
                  <w:vAlign w:val="center"/>
                </w:tcPr>
                <w:p w14:paraId="373470E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29" w:type="pct"/>
                  <w:tcBorders>
                    <w:tl2br w:val="nil"/>
                    <w:tr2bl w:val="nil"/>
                  </w:tcBorders>
                  <w:noWrap w:val="0"/>
                  <w:vAlign w:val="center"/>
                </w:tcPr>
                <w:p w14:paraId="3E67858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6" w:type="pct"/>
                  <w:tcBorders>
                    <w:tl2br w:val="nil"/>
                    <w:tr2bl w:val="nil"/>
                  </w:tcBorders>
                  <w:noWrap w:val="0"/>
                  <w:vAlign w:val="center"/>
                </w:tcPr>
                <w:p w14:paraId="7E6AE64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0.301</w:t>
                  </w:r>
                </w:p>
              </w:tc>
              <w:tc>
                <w:tcPr>
                  <w:tcW w:w="177" w:type="pct"/>
                  <w:tcBorders>
                    <w:tl2br w:val="nil"/>
                    <w:tr2bl w:val="nil"/>
                  </w:tcBorders>
                  <w:noWrap w:val="0"/>
                  <w:vAlign w:val="center"/>
                </w:tcPr>
                <w:p w14:paraId="4A00564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2.309</w:t>
                  </w:r>
                </w:p>
              </w:tc>
              <w:tc>
                <w:tcPr>
                  <w:tcW w:w="204" w:type="pct"/>
                  <w:tcBorders>
                    <w:tl2br w:val="nil"/>
                    <w:tr2bl w:val="nil"/>
                  </w:tcBorders>
                  <w:noWrap w:val="0"/>
                  <w:vAlign w:val="center"/>
                </w:tcPr>
                <w:p w14:paraId="0CB7B634">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71" w:type="pct"/>
                  <w:tcBorders>
                    <w:tl2br w:val="nil"/>
                    <w:tr2bl w:val="nil"/>
                  </w:tcBorders>
                  <w:noWrap w:val="0"/>
                  <w:vAlign w:val="center"/>
                </w:tcPr>
                <w:p w14:paraId="5008EF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80</w:t>
                  </w:r>
                </w:p>
              </w:tc>
              <w:tc>
                <w:tcPr>
                  <w:tcW w:w="171" w:type="pct"/>
                  <w:tcBorders>
                    <w:tl2br w:val="nil"/>
                    <w:tr2bl w:val="nil"/>
                  </w:tcBorders>
                  <w:noWrap w:val="0"/>
                  <w:vAlign w:val="center"/>
                </w:tcPr>
                <w:p w14:paraId="39B418F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99</w:t>
                  </w:r>
                </w:p>
              </w:tc>
              <w:tc>
                <w:tcPr>
                  <w:tcW w:w="240" w:type="pct"/>
                  <w:tcBorders>
                    <w:tl2br w:val="nil"/>
                    <w:tr2bl w:val="nil"/>
                  </w:tcBorders>
                  <w:noWrap w:val="0"/>
                  <w:vAlign w:val="center"/>
                </w:tcPr>
                <w:p w14:paraId="3346CF84">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是</w:t>
                  </w:r>
                </w:p>
              </w:tc>
              <w:tc>
                <w:tcPr>
                  <w:tcW w:w="319" w:type="pct"/>
                  <w:tcBorders>
                    <w:tl2br w:val="nil"/>
                    <w:tr2bl w:val="nil"/>
                  </w:tcBorders>
                  <w:noWrap w:val="0"/>
                  <w:vAlign w:val="center"/>
                </w:tcPr>
                <w:p w14:paraId="1D67671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布袋除尘</w:t>
                  </w:r>
                </w:p>
              </w:tc>
              <w:tc>
                <w:tcPr>
                  <w:tcW w:w="201" w:type="pct"/>
                  <w:tcBorders>
                    <w:tl2br w:val="nil"/>
                    <w:tr2bl w:val="nil"/>
                  </w:tcBorders>
                  <w:noWrap w:val="0"/>
                  <w:vAlign w:val="center"/>
                </w:tcPr>
                <w:p w14:paraId="17EAC5E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w:t>
                  </w:r>
                </w:p>
              </w:tc>
              <w:tc>
                <w:tcPr>
                  <w:tcW w:w="172" w:type="pct"/>
                  <w:tcBorders>
                    <w:tl2br w:val="nil"/>
                    <w:tr2bl w:val="nil"/>
                  </w:tcBorders>
                  <w:noWrap w:val="0"/>
                  <w:vAlign w:val="center"/>
                </w:tcPr>
                <w:p w14:paraId="47519B1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0.063</w:t>
                  </w:r>
                </w:p>
              </w:tc>
              <w:tc>
                <w:tcPr>
                  <w:tcW w:w="177" w:type="pct"/>
                  <w:tcBorders>
                    <w:tl2br w:val="nil"/>
                    <w:tr2bl w:val="nil"/>
                  </w:tcBorders>
                  <w:noWrap w:val="0"/>
                  <w:vAlign w:val="center"/>
                </w:tcPr>
                <w:p w14:paraId="5951642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ascii="Times New Roman" w:hAnsi="Times New Roman" w:eastAsia="宋体" w:cs="Times New Roman"/>
                      <w:color w:val="auto"/>
                      <w:spacing w:val="0"/>
                      <w:kern w:val="0"/>
                      <w:sz w:val="18"/>
                      <w:szCs w:val="18"/>
                      <w:lang w:val="en-US" w:eastAsia="zh-CN" w:bidi="ar-SA"/>
                    </w:rPr>
                    <w:t>0.48</w:t>
                  </w:r>
                </w:p>
              </w:tc>
              <w:tc>
                <w:tcPr>
                  <w:tcW w:w="203" w:type="pct"/>
                  <w:tcBorders>
                    <w:tl2br w:val="nil"/>
                    <w:tr2bl w:val="nil"/>
                  </w:tcBorders>
                  <w:noWrap w:val="0"/>
                  <w:vAlign w:val="center"/>
                </w:tcPr>
                <w:p w14:paraId="15B10A3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90" w:type="pct"/>
                  <w:tcBorders>
                    <w:tl2br w:val="nil"/>
                    <w:tr2bl w:val="nil"/>
                  </w:tcBorders>
                  <w:noWrap w:val="0"/>
                  <w:vAlign w:val="center"/>
                </w:tcPr>
                <w:p w14:paraId="6F082E4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25" w:type="pct"/>
                  <w:tcBorders>
                    <w:tl2br w:val="nil"/>
                    <w:tr2bl w:val="nil"/>
                  </w:tcBorders>
                  <w:noWrap w:val="0"/>
                  <w:vAlign w:val="center"/>
                </w:tcPr>
                <w:p w14:paraId="546F02A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4" w:type="pct"/>
                  <w:tcBorders>
                    <w:tl2br w:val="nil"/>
                    <w:tr2bl w:val="nil"/>
                  </w:tcBorders>
                  <w:noWrap w:val="0"/>
                  <w:vAlign w:val="center"/>
                </w:tcPr>
                <w:p w14:paraId="25B62C7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206" w:type="pct"/>
                  <w:tcBorders>
                    <w:tl2br w:val="nil"/>
                    <w:tr2bl w:val="nil"/>
                  </w:tcBorders>
                  <w:noWrap w:val="0"/>
                  <w:vAlign w:val="center"/>
                </w:tcPr>
                <w:p w14:paraId="1C937D9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ascii="Times New Roman" w:hAnsi="Times New Roman" w:eastAsia="宋体" w:cs="Times New Roman"/>
                      <w:color w:val="auto"/>
                      <w:spacing w:val="0"/>
                      <w:kern w:val="0"/>
                      <w:sz w:val="18"/>
                      <w:szCs w:val="18"/>
                      <w:lang w:val="en-US" w:eastAsia="zh-CN" w:bidi="ar-SA"/>
                    </w:rPr>
                    <w:t>/</w:t>
                  </w:r>
                </w:p>
              </w:tc>
              <w:tc>
                <w:tcPr>
                  <w:tcW w:w="1028" w:type="pct"/>
                  <w:tcBorders>
                    <w:tl2br w:val="nil"/>
                    <w:tr2bl w:val="nil"/>
                  </w:tcBorders>
                  <w:noWrap w:val="0"/>
                  <w:vAlign w:val="center"/>
                </w:tcPr>
                <w:p w14:paraId="5260AAF6">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w:t>
                  </w:r>
                </w:p>
              </w:tc>
              <w:tc>
                <w:tcPr>
                  <w:tcW w:w="160" w:type="pct"/>
                  <w:tcBorders>
                    <w:tl2br w:val="nil"/>
                    <w:tr2bl w:val="nil"/>
                  </w:tcBorders>
                  <w:noWrap w:val="0"/>
                  <w:vAlign w:val="center"/>
                </w:tcPr>
                <w:p w14:paraId="4F34E3CF">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w:t>
                  </w:r>
                </w:p>
              </w:tc>
              <w:tc>
                <w:tcPr>
                  <w:tcW w:w="155" w:type="pct"/>
                  <w:tcBorders>
                    <w:tl2br w:val="nil"/>
                    <w:tr2bl w:val="nil"/>
                  </w:tcBorders>
                  <w:noWrap w:val="0"/>
                  <w:vAlign w:val="center"/>
                </w:tcPr>
                <w:p w14:paraId="4501899C">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eastAsia" w:cs="Times New Roman"/>
                      <w:color w:val="auto"/>
                      <w:lang w:val="en-US" w:eastAsia="zh-CN"/>
                    </w:rPr>
                    <w:t>/</w:t>
                  </w:r>
                </w:p>
              </w:tc>
            </w:tr>
          </w:tbl>
          <w:p w14:paraId="6DB9B162">
            <w:pPr>
              <w:pStyle w:val="14"/>
              <w:keepNext w:val="0"/>
              <w:keepLines w:val="0"/>
              <w:suppressLineNumbers w:val="0"/>
              <w:spacing w:before="0" w:beforeAutospacing="0" w:after="0" w:afterAutospacing="0"/>
              <w:ind w:left="0" w:right="0"/>
              <w:rPr>
                <w:rFonts w:hint="default"/>
                <w:color w:val="auto"/>
                <w:lang w:val="en-US" w:eastAsia="zh-CN"/>
              </w:rPr>
            </w:pPr>
          </w:p>
        </w:tc>
      </w:tr>
    </w:tbl>
    <w:p w14:paraId="465B9B1D">
      <w:pPr>
        <w:pStyle w:val="25"/>
        <w:adjustRightInd w:val="0"/>
        <w:snapToGrid w:val="0"/>
        <w:spacing w:before="0" w:beforeAutospacing="0" w:after="0" w:afterAutospacing="0"/>
        <w:jc w:val="center"/>
        <w:outlineLvl w:val="0"/>
        <w:rPr>
          <w:rFonts w:cs="宋体"/>
          <w:color w:val="auto"/>
          <w:kern w:val="2"/>
          <w:szCs w:val="24"/>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9"/>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2"/>
        <w:gridCol w:w="8101"/>
      </w:tblGrid>
      <w:tr w14:paraId="3A5061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306" w:hRule="atLeast"/>
        </w:trPr>
        <w:tc>
          <w:tcPr>
            <w:tcW w:w="228" w:type="pct"/>
            <w:noWrap w:val="0"/>
            <w:vAlign w:val="center"/>
          </w:tcPr>
          <w:p w14:paraId="279C70CD">
            <w:pPr>
              <w:pStyle w:val="25"/>
              <w:keepNext w:val="0"/>
              <w:keepLines w:val="0"/>
              <w:suppressLineNumbers w:val="0"/>
              <w:adjustRightInd w:val="0"/>
              <w:snapToGrid w:val="0"/>
              <w:spacing w:before="0" w:beforeAutospacing="0" w:after="0" w:afterAutospacing="0"/>
              <w:ind w:left="0" w:leftChars="0" w:right="0" w:firstLine="0" w:firstLineChars="0"/>
              <w:jc w:val="both"/>
              <w:outlineLvl w:val="0"/>
              <w:rPr>
                <w:rFonts w:hint="default" w:ascii="宋体" w:hAnsi="宋体" w:cs="Times New Roman"/>
                <w:color w:val="auto"/>
                <w:sz w:val="24"/>
              </w:rPr>
            </w:pPr>
            <w:bookmarkStart w:id="19" w:name="_Toc29300"/>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bookmarkEnd w:id="19"/>
          </w:p>
        </w:tc>
        <w:tc>
          <w:tcPr>
            <w:tcW w:w="4771" w:type="pct"/>
            <w:noWrap w:val="0"/>
            <w:vAlign w:val="top"/>
          </w:tcPr>
          <w:p w14:paraId="4EBBB026">
            <w:pPr>
              <w:pStyle w:val="78"/>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（2）废气污染物源强核算</w:t>
            </w:r>
          </w:p>
          <w:p w14:paraId="78047CA4">
            <w:pPr>
              <w:pStyle w:val="78"/>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1）储罐废气</w:t>
            </w:r>
          </w:p>
          <w:p w14:paraId="22A5A9D9">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ascii="Times New Roman" w:hAnsi="Times New Roman" w:eastAsia="宋体" w:cs="Times New Roman"/>
                <w:color w:val="auto"/>
                <w:lang w:val="en-US" w:eastAsia="zh-CN"/>
              </w:rPr>
              <w:t>项目乙醇储存在密闭储罐中，储存过程有微量乙醇挥发至空气中，乙醇以TVOC计，根据物料平衡TVOC的产生量为0.6t/a，储罐废气经通风排气后以无组织形式排放，</w:t>
            </w:r>
            <w:r>
              <w:rPr>
                <w:rFonts w:hint="eastAsia" w:cs="Times New Roman"/>
                <w:color w:val="auto"/>
                <w:lang w:val="en-US" w:eastAsia="zh-CN"/>
              </w:rPr>
              <w:t>排放情况见表4-1。</w:t>
            </w:r>
          </w:p>
          <w:p w14:paraId="37B0AC0A">
            <w:pPr>
              <w:pStyle w:val="78"/>
              <w:keepNext w:val="0"/>
              <w:keepLines w:val="0"/>
              <w:suppressLineNumbers w:val="0"/>
              <w:bidi w:val="0"/>
              <w:spacing w:before="0" w:beforeAutospacing="0" w:after="0" w:afterAutospacing="0"/>
              <w:ind w:left="0" w:right="0"/>
              <w:rPr>
                <w:rFonts w:hint="default" w:cs="Times New Roman"/>
                <w:b/>
                <w:bCs/>
                <w:color w:val="auto"/>
                <w:lang w:val="en-US" w:eastAsia="zh-CN"/>
              </w:rPr>
            </w:pPr>
            <w:r>
              <w:rPr>
                <w:rFonts w:hint="eastAsia" w:cs="Times New Roman"/>
                <w:b/>
                <w:bCs/>
                <w:color w:val="auto"/>
                <w:lang w:val="en-US" w:eastAsia="zh-CN"/>
              </w:rPr>
              <w:t>2）沉淀、过滤、冷凝废气</w:t>
            </w:r>
          </w:p>
          <w:p w14:paraId="2D0461A0">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技改项目冷凝工序会排放乙醇、蛋白质、其他成分（脂肪、灰分、铁等）、水等，乙醇以TVOC计，蛋白质、其他成分（脂肪、灰分、铁等）以颗粒物计，根据物料平衡，TVOC产生量为9.124t/a，颗粒物产生量为4.832t/a，冷凝废气经密闭管道收集后经布袋除尘器+三级水喷淋装置处理后经15m高排气筒（DA002）排放。</w:t>
            </w:r>
          </w:p>
          <w:p w14:paraId="4CF133C2">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沉淀、过滤工序会产生乙醇和水，乙醇以TVOC计，根据物料平衡TVOC的产生量为1.335t/a，沉淀、过滤气经包围式集气罩收集后经三级水喷淋装置处理后经15m高排气筒（DA002）排放。</w:t>
            </w:r>
          </w:p>
          <w:p w14:paraId="2A41D08C">
            <w:pPr>
              <w:pStyle w:val="78"/>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参考《江西省生态环境厅关于做好2022年主要大气污染物总量减排核算工作的通知》（赣环大气〔2022〕26号）表2-6中废气收集率，密闭管道收集效率取值95%，因此冷凝废气收集效率按95%计，反应釜、过滤器设置包围型集气罩，参考《广东省工业源挥发性有机物减排量核算方法（试行）》，包围型集气罩集气效率按80%计，</w:t>
            </w:r>
            <w:r>
              <w:rPr>
                <w:rFonts w:hint="eastAsia" w:ascii="Times New Roman" w:hAnsi="Times New Roman" w:eastAsia="宋体" w:cs="Times New Roman"/>
                <w:color w:val="auto"/>
                <w:sz w:val="24"/>
                <w:szCs w:val="24"/>
                <w:lang w:val="en-US" w:eastAsia="zh-CN"/>
              </w:rPr>
              <w:t>类比《</w:t>
            </w:r>
            <w:r>
              <w:rPr>
                <w:rFonts w:hint="default" w:ascii="Times New Roman" w:hAnsi="Times New Roman" w:eastAsia="宋体" w:cs="Times New Roman"/>
                <w:color w:val="auto"/>
                <w:sz w:val="24"/>
                <w:szCs w:val="24"/>
                <w:lang w:val="en-US" w:eastAsia="zh-CN"/>
              </w:rPr>
              <w:t>广东双林生物制药有限公司广东双林生物乙醇回收新建项目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广东双林生物制药有限公司</w:t>
            </w:r>
            <w:r>
              <w:rPr>
                <w:rFonts w:hint="eastAsia" w:ascii="Times New Roman" w:hAnsi="Times New Roman" w:eastAsia="宋体" w:cs="Times New Roman"/>
                <w:color w:val="auto"/>
                <w:sz w:val="24"/>
                <w:szCs w:val="24"/>
                <w:lang w:val="en-US" w:eastAsia="zh-CN"/>
              </w:rPr>
              <w:t>采用三级水喷淋处理装置处理乙醇废气，处理效率以90%计算）</w:t>
            </w:r>
            <w:r>
              <w:rPr>
                <w:rFonts w:hint="eastAsia" w:cs="Times New Roman"/>
                <w:color w:val="auto"/>
                <w:lang w:val="en-US" w:eastAsia="zh-CN"/>
              </w:rPr>
              <w:t>，根据《工程技术规范》布袋除尘器处理效率为99%，项目风机风量合计10000</w:t>
            </w:r>
            <w:r>
              <w:rPr>
                <w:rFonts w:hint="default"/>
                <w:color w:val="auto"/>
                <w:lang w:val="en-US" w:eastAsia="zh-CN"/>
              </w:rPr>
              <w:t>m</w:t>
            </w:r>
            <w:r>
              <w:rPr>
                <w:rFonts w:hint="default"/>
                <w:color w:val="auto"/>
                <w:vertAlign w:val="superscript"/>
                <w:lang w:val="en-US" w:eastAsia="zh-CN"/>
              </w:rPr>
              <w:t>3</w:t>
            </w:r>
            <w:r>
              <w:rPr>
                <w:rFonts w:hint="eastAsia" w:cs="Times New Roman"/>
                <w:color w:val="auto"/>
                <w:lang w:val="en-US" w:eastAsia="zh-CN"/>
              </w:rPr>
              <w:t>/h，冷凝、沉淀、过滤废气产生和排放情况见表4-1.</w:t>
            </w:r>
          </w:p>
          <w:p w14:paraId="21025566">
            <w:pPr>
              <w:pStyle w:val="78"/>
              <w:keepNext w:val="0"/>
              <w:keepLines w:val="0"/>
              <w:suppressLineNumbers w:val="0"/>
              <w:bidi w:val="0"/>
              <w:spacing w:before="0" w:beforeAutospacing="0" w:after="0" w:afterAutospacing="0"/>
              <w:ind w:left="0" w:right="0"/>
              <w:rPr>
                <w:rFonts w:hint="default" w:cs="Times New Roman"/>
                <w:b/>
                <w:bCs/>
                <w:color w:val="auto"/>
                <w:lang w:val="en-US" w:eastAsia="zh-CN"/>
              </w:rPr>
            </w:pPr>
            <w:r>
              <w:rPr>
                <w:rFonts w:hint="eastAsia" w:cs="Times New Roman"/>
                <w:b/>
                <w:bCs/>
                <w:color w:val="auto"/>
                <w:lang w:val="en-US" w:eastAsia="zh-CN"/>
              </w:rPr>
              <w:t>2</w:t>
            </w:r>
            <w:r>
              <w:rPr>
                <w:rFonts w:hint="default" w:cs="Times New Roman"/>
                <w:b/>
                <w:bCs/>
                <w:color w:val="auto"/>
                <w:lang w:val="en-US" w:eastAsia="zh-CN"/>
              </w:rPr>
              <w:t>）破碎粉尘</w:t>
            </w:r>
          </w:p>
          <w:p w14:paraId="4B40840F">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default" w:cs="Times New Roman"/>
                <w:color w:val="auto"/>
                <w:lang w:val="en-US" w:eastAsia="zh-CN"/>
              </w:rPr>
              <w:t>大米食用蛋白粉在经过</w:t>
            </w:r>
            <w:r>
              <w:rPr>
                <w:rFonts w:hint="eastAsia" w:cs="Times New Roman"/>
                <w:color w:val="auto"/>
                <w:lang w:val="en-US" w:eastAsia="zh-CN"/>
              </w:rPr>
              <w:t>烘干后需要经过破碎，根据物料平衡破碎粉尘产生量为3.989t/a，项目颗粒物采用集气罩+布袋除尘处理后无组织排放，集气罩收集效率为80%，根据《工程技术规范》布袋除尘器处理效率为99%，无组织排放量为0.83t/a，排放情况见表4-1。</w:t>
            </w:r>
          </w:p>
          <w:p w14:paraId="0E00F5C3">
            <w:pPr>
              <w:pStyle w:val="78"/>
              <w:keepNext w:val="0"/>
              <w:keepLines w:val="0"/>
              <w:suppressLineNumbers w:val="0"/>
              <w:bidi w:val="0"/>
              <w:spacing w:before="0" w:beforeAutospacing="0" w:after="0" w:afterAutospacing="0"/>
              <w:ind w:left="0" w:right="0"/>
              <w:rPr>
                <w:rFonts w:hint="default" w:cs="Times New Roman"/>
                <w:b/>
                <w:bCs/>
                <w:color w:val="auto"/>
                <w:lang w:val="en-US" w:eastAsia="zh-CN"/>
              </w:rPr>
            </w:pPr>
            <w:r>
              <w:rPr>
                <w:rFonts w:hint="eastAsia" w:cs="Times New Roman"/>
                <w:b/>
                <w:bCs/>
                <w:color w:val="auto"/>
                <w:lang w:val="en-US" w:eastAsia="zh-CN"/>
              </w:rPr>
              <w:t>3</w:t>
            </w:r>
            <w:r>
              <w:rPr>
                <w:rFonts w:hint="default" w:cs="Times New Roman"/>
                <w:b/>
                <w:bCs/>
                <w:color w:val="auto"/>
                <w:lang w:val="en-US" w:eastAsia="zh-CN"/>
              </w:rPr>
              <w:t>）</w:t>
            </w:r>
            <w:r>
              <w:rPr>
                <w:rFonts w:hint="eastAsia" w:cs="Times New Roman"/>
                <w:b/>
                <w:bCs/>
                <w:color w:val="auto"/>
                <w:lang w:val="en-US" w:eastAsia="zh-CN"/>
              </w:rPr>
              <w:t>上料</w:t>
            </w:r>
            <w:r>
              <w:rPr>
                <w:rFonts w:hint="default" w:cs="Times New Roman"/>
                <w:b/>
                <w:bCs/>
                <w:color w:val="auto"/>
                <w:lang w:val="en-US" w:eastAsia="zh-CN"/>
              </w:rPr>
              <w:t>粉尘</w:t>
            </w:r>
          </w:p>
          <w:p w14:paraId="371360BE">
            <w:pPr>
              <w:pStyle w:val="78"/>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项目上料工序会产生少量粉尘，根据物料平衡上料粉尘产生量为2.309t/a，项目颗粒物采用集气罩+布袋除尘处理后无组织排放，集气罩收集效率为80%，根据《工程技术规范》布袋除尘器处理效率为99%，无组织排放量为0.48t/a，排放情况见表4-1。</w:t>
            </w:r>
          </w:p>
          <w:p w14:paraId="3E4DD502">
            <w:pPr>
              <w:pStyle w:val="78"/>
              <w:keepNext w:val="0"/>
              <w:keepLines w:val="0"/>
              <w:numPr>
                <w:ilvl w:val="0"/>
                <w:numId w:val="12"/>
              </w:numPr>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锅炉燃烧废气</w:t>
            </w:r>
          </w:p>
          <w:p w14:paraId="7E47AE34">
            <w:pPr>
              <w:pStyle w:val="37"/>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t>食用蛋白粉生产线蒸汽供应量为0.2t/h，</w:t>
            </w:r>
            <w:r>
              <w:rPr>
                <w:rFonts w:hint="eastAsia" w:ascii="Times New Roman" w:hAnsi="Times New Roman" w:eastAsia="宋体" w:cs="Times New Roman"/>
                <w:color w:val="auto"/>
                <w:sz w:val="24"/>
                <w:szCs w:val="24"/>
                <w:lang w:val="en-US" w:eastAsia="zh-CN"/>
              </w:rPr>
              <w:t>生物质颗粒用量为384t/a</w:t>
            </w:r>
            <w:r>
              <w:rPr>
                <w:rFonts w:hint="default" w:ascii="Times New Roman" w:hAnsi="Times New Roman" w:eastAsia="宋体" w:cs="Times New Roman"/>
                <w:color w:val="auto"/>
                <w:sz w:val="24"/>
                <w:szCs w:val="24"/>
                <w:lang w:val="en-US" w:eastAsia="zh-CN"/>
              </w:rPr>
              <w:t>。参照《排放源统计调查产排污核算方法和系数手册》“4430工业锅炉（热力供应）行业系数手册”中“4430工业锅炉（热力生产和供应行业）产污系数表-生物质工业锅炉”</w:t>
            </w:r>
            <w:r>
              <w:rPr>
                <w:rFonts w:hint="eastAsia" w:ascii="Times New Roman" w:hAnsi="Times New Roman" w:eastAsia="宋体" w:cs="Times New Roman"/>
                <w:color w:val="auto"/>
                <w:sz w:val="24"/>
                <w:szCs w:val="24"/>
                <w:lang w:val="en-US" w:eastAsia="zh-CN"/>
              </w:rPr>
              <w:t>，颗粒物</w:t>
            </w:r>
            <w:r>
              <w:rPr>
                <w:rFonts w:hint="default" w:ascii="Times New Roman" w:hAnsi="Times New Roman" w:eastAsia="宋体" w:cs="Times New Roman"/>
                <w:color w:val="auto"/>
                <w:sz w:val="24"/>
                <w:szCs w:val="24"/>
                <w:lang w:val="en-US" w:eastAsia="zh-CN"/>
              </w:rPr>
              <w:t>产生</w:t>
            </w:r>
            <w:r>
              <w:rPr>
                <w:rFonts w:hint="eastAsia" w:ascii="Times New Roman" w:hAnsi="Times New Roman" w:eastAsia="宋体" w:cs="Times New Roman"/>
                <w:color w:val="auto"/>
                <w:sz w:val="24"/>
                <w:szCs w:val="24"/>
                <w:highlight w:val="none"/>
                <w:vertAlign w:val="baseline"/>
                <w:lang w:val="en-US" w:eastAsia="zh-CN"/>
              </w:rPr>
              <w:t>系数为0.5</w:t>
            </w:r>
            <w:r>
              <w:rPr>
                <w:rFonts w:hint="default"/>
                <w:color w:val="auto"/>
              </w:rPr>
              <w:t>千克/吨-原料</w:t>
            </w:r>
            <w:r>
              <w:rPr>
                <w:rFonts w:hint="eastAsia"/>
                <w:color w:val="auto"/>
                <w:lang w:eastAsia="zh-CN"/>
              </w:rPr>
              <w:t>、</w:t>
            </w:r>
            <w:r>
              <w:rPr>
                <w:rFonts w:hint="default" w:ascii="Times New Roman" w:hAnsi="Times New Roman" w:eastAsia="宋体" w:cs="Times New Roman"/>
                <w:color w:val="auto"/>
                <w:sz w:val="24"/>
                <w:szCs w:val="24"/>
                <w:highlight w:val="none"/>
                <w:vertAlign w:val="baseline"/>
                <w:lang w:val="en-US" w:eastAsia="zh-CN"/>
              </w:rPr>
              <w:t>SO₂产生</w:t>
            </w:r>
            <w:r>
              <w:rPr>
                <w:rFonts w:hint="eastAsia" w:ascii="Times New Roman" w:hAnsi="Times New Roman" w:eastAsia="宋体" w:cs="Times New Roman"/>
                <w:color w:val="auto"/>
                <w:sz w:val="24"/>
                <w:szCs w:val="24"/>
                <w:highlight w:val="none"/>
                <w:vertAlign w:val="baseline"/>
                <w:lang w:val="en-US" w:eastAsia="zh-CN"/>
              </w:rPr>
              <w:t>系数为17S（S=0.02）</w:t>
            </w:r>
            <w:r>
              <w:rPr>
                <w:rFonts w:hint="default"/>
                <w:color w:val="auto"/>
              </w:rPr>
              <w:t>千克/吨-原料</w:t>
            </w:r>
            <w:r>
              <w:rPr>
                <w:rFonts w:hint="eastAsia"/>
                <w:color w:val="auto"/>
                <w:lang w:eastAsia="zh-CN"/>
              </w:rPr>
              <w:t>、</w:t>
            </w:r>
            <w:r>
              <w:rPr>
                <w:rFonts w:hint="default" w:ascii="Times New Roman" w:hAnsi="Times New Roman" w:eastAsia="宋体" w:cs="Times New Roman"/>
                <w:color w:val="auto"/>
                <w:sz w:val="24"/>
                <w:szCs w:val="24"/>
                <w:highlight w:val="none"/>
                <w:lang w:val="en-US" w:eastAsia="zh-CN"/>
              </w:rPr>
              <w:t>NO</w:t>
            </w:r>
            <w:r>
              <w:rPr>
                <w:rFonts w:hint="default" w:ascii="Times New Roman" w:hAnsi="Times New Roman" w:eastAsia="宋体" w:cs="Times New Roman"/>
                <w:color w:val="auto"/>
                <w:sz w:val="24"/>
                <w:szCs w:val="24"/>
                <w:highlight w:val="none"/>
                <w:vertAlign w:val="subscript"/>
                <w:lang w:val="en-US" w:eastAsia="zh-CN"/>
              </w:rPr>
              <w:t>X</w:t>
            </w:r>
            <w:r>
              <w:rPr>
                <w:rFonts w:hint="default" w:ascii="Times New Roman" w:hAnsi="Times New Roman" w:eastAsia="宋体" w:cs="Times New Roman"/>
                <w:color w:val="auto"/>
                <w:sz w:val="24"/>
                <w:szCs w:val="24"/>
                <w:highlight w:val="none"/>
                <w:vertAlign w:val="baseline"/>
                <w:lang w:val="en-US" w:eastAsia="zh-CN"/>
              </w:rPr>
              <w:t>产生</w:t>
            </w:r>
            <w:r>
              <w:rPr>
                <w:rFonts w:hint="eastAsia" w:ascii="Times New Roman" w:hAnsi="Times New Roman" w:eastAsia="宋体" w:cs="Times New Roman"/>
                <w:color w:val="auto"/>
                <w:sz w:val="24"/>
                <w:szCs w:val="24"/>
                <w:highlight w:val="none"/>
                <w:vertAlign w:val="baseline"/>
                <w:lang w:val="en-US" w:eastAsia="zh-CN"/>
              </w:rPr>
              <w:t>系数为1.02</w:t>
            </w:r>
            <w:r>
              <w:rPr>
                <w:rFonts w:hint="default"/>
                <w:color w:val="auto"/>
              </w:rPr>
              <w:t>千克/吨-原料</w:t>
            </w:r>
            <w:r>
              <w:rPr>
                <w:rFonts w:hint="eastAsia"/>
                <w:color w:val="auto"/>
                <w:lang w:eastAsia="zh-CN"/>
              </w:rPr>
              <w:t>、</w:t>
            </w:r>
            <w:r>
              <w:rPr>
                <w:rFonts w:hint="eastAsia" w:ascii="Times New Roman" w:hAnsi="Times New Roman" w:cs="Times New Roman"/>
                <w:color w:val="auto"/>
                <w:lang w:eastAsia="zh-CN"/>
              </w:rPr>
              <w:t>工业废气量产生系数为</w:t>
            </w:r>
            <w:r>
              <w:rPr>
                <w:rFonts w:hint="default" w:ascii="Times New Roman" w:hAnsi="Times New Roman" w:cs="Times New Roman"/>
                <w:color w:val="auto"/>
                <w:lang w:val="en-US" w:eastAsia="zh-CN"/>
              </w:rPr>
              <w:t>6240</w:t>
            </w:r>
            <w:r>
              <w:rPr>
                <w:rFonts w:hint="default" w:ascii="Times New Roman" w:hAnsi="Times New Roman" w:cs="Times New Roman"/>
                <w:color w:val="auto"/>
              </w:rPr>
              <w:t>标立方米/吨-原料</w:t>
            </w:r>
            <w:r>
              <w:rPr>
                <w:rFonts w:hint="default" w:ascii="Times New Roman" w:hAnsi="Times New Roman" w:eastAsia="宋体" w:cs="Times New Roman"/>
                <w:color w:val="auto"/>
                <w:sz w:val="24"/>
                <w:szCs w:val="24"/>
                <w:highlight w:val="none"/>
                <w:vertAlign w:val="baseline"/>
                <w:lang w:val="en-US" w:eastAsia="zh-CN"/>
              </w:rPr>
              <w:t>，烟气量为2396160</w:t>
            </w:r>
            <w:r>
              <w:rPr>
                <w:rFonts w:hint="default" w:ascii="Times New Roman" w:hAnsi="Times New Roman" w:cs="Times New Roman"/>
                <w:color w:val="auto"/>
              </w:rPr>
              <w:t>标立方米</w:t>
            </w:r>
            <w:r>
              <w:rPr>
                <w:rFonts w:hint="eastAsia" w:ascii="Times New Roman" w:hAnsi="Times New Roman" w:cs="Times New Roman"/>
                <w:color w:val="auto"/>
                <w:lang w:eastAsia="zh-CN"/>
              </w:rPr>
              <w:t>，</w:t>
            </w:r>
            <w:r>
              <w:rPr>
                <w:rFonts w:hint="eastAsia" w:ascii="Times New Roman" w:hAnsi="Times New Roman" w:eastAsia="宋体" w:cs="Times New Roman"/>
                <w:color w:val="auto"/>
                <w:lang w:val="en-US" w:eastAsia="zh-CN"/>
              </w:rPr>
              <w:t>项目锅炉烟气采用</w:t>
            </w:r>
            <w:r>
              <w:rPr>
                <w:rFonts w:hint="eastAsia" w:ascii="Times New Roman" w:hAnsi="Times New Roman" w:cs="Times New Roman"/>
                <w:color w:val="auto"/>
                <w:lang w:val="en-US" w:eastAsia="zh-CN"/>
              </w:rPr>
              <w:t>布袋</w:t>
            </w:r>
            <w:r>
              <w:rPr>
                <w:rFonts w:hint="default" w:ascii="Times New Roman" w:hAnsi="Times New Roman" w:eastAsia="宋体" w:cs="Times New Roman"/>
                <w:color w:val="auto"/>
                <w:lang w:val="en-US" w:eastAsia="zh-CN"/>
              </w:rPr>
              <w:t>除尘器</w:t>
            </w:r>
            <w:r>
              <w:rPr>
                <w:rFonts w:hint="eastAsia" w:ascii="Times New Roman" w:hAnsi="Times New Roman" w:eastAsia="宋体" w:cs="Times New Roman"/>
                <w:color w:val="auto"/>
                <w:lang w:val="en-US" w:eastAsia="zh-CN"/>
              </w:rPr>
              <w:t>处理</w:t>
            </w:r>
            <w:r>
              <w:rPr>
                <w:rFonts w:hint="eastAsia" w:ascii="Times New Roman" w:hAnsi="Times New Roman" w:cs="Times New Roman"/>
                <w:color w:val="auto"/>
                <w:lang w:val="en-US" w:eastAsia="zh-CN"/>
              </w:rPr>
              <w:t>，颗粒物处理效率以99%计</w:t>
            </w:r>
            <w:r>
              <w:rPr>
                <w:rFonts w:hint="default" w:ascii="Times New Roman" w:hAnsi="Times New Roman" w:eastAsia="宋体" w:cs="Times New Roman"/>
                <w:color w:val="auto"/>
                <w:lang w:val="en-US" w:eastAsia="zh-CN"/>
              </w:rPr>
              <w:t>。项目锅炉废气排放情况见下表。</w:t>
            </w:r>
          </w:p>
          <w:p w14:paraId="2317EDE2">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eastAsia" w:cs="Times New Roman"/>
                <w:b/>
                <w:color w:val="auto"/>
                <w:kern w:val="0"/>
                <w:sz w:val="24"/>
                <w:szCs w:val="24"/>
                <w:lang w:val="en-US" w:eastAsia="zh-CN" w:bidi="ar-SA"/>
              </w:rPr>
              <w:t>技改</w:t>
            </w:r>
            <w:r>
              <w:rPr>
                <w:rFonts w:hint="default" w:ascii="Times New Roman" w:hAnsi="Times New Roman" w:eastAsia="宋体" w:cs="Times New Roman"/>
                <w:b/>
                <w:color w:val="auto"/>
                <w:kern w:val="0"/>
                <w:sz w:val="24"/>
                <w:szCs w:val="24"/>
                <w:lang w:val="en-US" w:eastAsia="zh-CN" w:bidi="ar-SA"/>
              </w:rPr>
              <w:t>项目</w:t>
            </w:r>
            <w:r>
              <w:rPr>
                <w:rFonts w:hint="eastAsia" w:cs="Times New Roman"/>
                <w:b/>
                <w:color w:val="auto"/>
                <w:kern w:val="0"/>
                <w:sz w:val="24"/>
                <w:szCs w:val="24"/>
                <w:lang w:val="en-US" w:eastAsia="zh-CN" w:bidi="ar-SA"/>
              </w:rPr>
              <w:t>锅炉</w:t>
            </w:r>
            <w:r>
              <w:rPr>
                <w:rFonts w:hint="default" w:ascii="Times New Roman" w:hAnsi="Times New Roman" w:eastAsia="宋体" w:cs="Times New Roman"/>
                <w:b/>
                <w:color w:val="auto"/>
                <w:kern w:val="0"/>
                <w:sz w:val="24"/>
                <w:szCs w:val="24"/>
                <w:lang w:val="en-US" w:eastAsia="zh-CN" w:bidi="ar-SA"/>
              </w:rPr>
              <w:t>废气污染物排放情况表</w:t>
            </w:r>
          </w:p>
          <w:p w14:paraId="7B1BED69">
            <w:pPr>
              <w:keepNext w:val="0"/>
              <w:keepLines w:val="0"/>
              <w:suppressLineNumbers w:val="0"/>
              <w:spacing w:before="0" w:beforeAutospacing="0" w:after="0" w:afterAutospacing="0" w:line="30" w:lineRule="exact"/>
              <w:ind w:left="0" w:right="0"/>
              <w:rPr>
                <w:rFonts w:hint="default" w:ascii="Times New Roman" w:hAnsi="Times New Roman" w:cs="Times New Roman"/>
                <w:color w:val="auto"/>
              </w:rPr>
            </w:pPr>
          </w:p>
          <w:tbl>
            <w:tblPr>
              <w:tblStyle w:val="116"/>
              <w:tblW w:w="7498" w:type="dxa"/>
              <w:tblInd w:w="1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10"/>
              <w:gridCol w:w="727"/>
              <w:gridCol w:w="436"/>
              <w:gridCol w:w="899"/>
              <w:gridCol w:w="848"/>
              <w:gridCol w:w="679"/>
              <w:gridCol w:w="266"/>
              <w:gridCol w:w="899"/>
              <w:gridCol w:w="848"/>
              <w:gridCol w:w="679"/>
              <w:gridCol w:w="1234"/>
            </w:tblGrid>
            <w:tr w14:paraId="4702E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15" w:type="dxa"/>
                  <w:vMerge w:val="restart"/>
                  <w:tcBorders>
                    <w:bottom w:val="nil"/>
                  </w:tcBorders>
                  <w:vAlign w:val="center"/>
                </w:tcPr>
                <w:p w14:paraId="3620FF5C">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废气</w:t>
                  </w:r>
                </w:p>
                <w:p w14:paraId="7A06EE95">
                  <w:pPr>
                    <w:pStyle w:val="61"/>
                    <w:bidi w:val="0"/>
                    <w:jc w:val="center"/>
                    <w:rPr>
                      <w:rFonts w:hint="default" w:ascii="Times New Roman" w:hAnsi="Times New Roman" w:cs="Times New Roman"/>
                      <w:color w:val="auto"/>
                    </w:rPr>
                  </w:pPr>
                  <w:r>
                    <w:rPr>
                      <w:rFonts w:hint="default" w:ascii="Times New Roman" w:hAnsi="Times New Roman" w:cs="Times New Roman"/>
                      <w:color w:val="auto"/>
                    </w:rPr>
                    <w:t>名称</w:t>
                  </w:r>
                </w:p>
              </w:tc>
              <w:tc>
                <w:tcPr>
                  <w:tcW w:w="854" w:type="dxa"/>
                  <w:vMerge w:val="restart"/>
                  <w:tcBorders>
                    <w:bottom w:val="nil"/>
                  </w:tcBorders>
                  <w:vAlign w:val="center"/>
                </w:tcPr>
                <w:p w14:paraId="7EDE065F">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烟气量</w:t>
                  </w:r>
                </w:p>
                <w:p w14:paraId="473E1AB3">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h</w:t>
                  </w:r>
                  <w:r>
                    <w:rPr>
                      <w:rFonts w:hint="eastAsia" w:cs="Times New Roman"/>
                      <w:color w:val="auto"/>
                      <w:lang w:eastAsia="zh-CN"/>
                    </w:rPr>
                    <w:t>)</w:t>
                  </w:r>
                </w:p>
              </w:tc>
              <w:tc>
                <w:tcPr>
                  <w:tcW w:w="5729" w:type="dxa"/>
                  <w:gridSpan w:val="9"/>
                  <w:vAlign w:val="center"/>
                </w:tcPr>
                <w:p w14:paraId="66121AD8">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污染物排放情况</w:t>
                  </w:r>
                </w:p>
              </w:tc>
            </w:tr>
            <w:tr w14:paraId="0974D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17" w:hRule="atLeast"/>
              </w:trPr>
              <w:tc>
                <w:tcPr>
                  <w:tcW w:w="915" w:type="dxa"/>
                  <w:vMerge w:val="continue"/>
                  <w:tcBorders>
                    <w:top w:val="nil"/>
                    <w:bottom w:val="nil"/>
                  </w:tcBorders>
                  <w:vAlign w:val="center"/>
                </w:tcPr>
                <w:p w14:paraId="5DE2F0FD">
                  <w:pPr>
                    <w:pStyle w:val="61"/>
                    <w:bidi w:val="0"/>
                    <w:jc w:val="center"/>
                    <w:rPr>
                      <w:rFonts w:hint="default" w:ascii="Times New Roman" w:hAnsi="Times New Roman" w:cs="Times New Roman"/>
                      <w:color w:val="auto"/>
                    </w:rPr>
                  </w:pPr>
                </w:p>
              </w:tc>
              <w:tc>
                <w:tcPr>
                  <w:tcW w:w="854" w:type="dxa"/>
                  <w:vMerge w:val="continue"/>
                  <w:tcBorders>
                    <w:top w:val="nil"/>
                    <w:bottom w:val="nil"/>
                  </w:tcBorders>
                  <w:vAlign w:val="center"/>
                </w:tcPr>
                <w:p w14:paraId="29A1647D">
                  <w:pPr>
                    <w:pStyle w:val="61"/>
                    <w:bidi w:val="0"/>
                    <w:jc w:val="center"/>
                    <w:rPr>
                      <w:rFonts w:hint="default" w:ascii="Times New Roman" w:hAnsi="Times New Roman" w:cs="Times New Roman"/>
                      <w:color w:val="auto"/>
                    </w:rPr>
                  </w:pPr>
                </w:p>
              </w:tc>
              <w:tc>
                <w:tcPr>
                  <w:tcW w:w="776" w:type="dxa"/>
                  <w:tcBorders>
                    <w:bottom w:val="nil"/>
                  </w:tcBorders>
                  <w:vAlign w:val="center"/>
                </w:tcPr>
                <w:p w14:paraId="3533F537">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污染物名称</w:t>
                  </w:r>
                </w:p>
              </w:tc>
              <w:tc>
                <w:tcPr>
                  <w:tcW w:w="574" w:type="dxa"/>
                  <w:tcBorders>
                    <w:bottom w:val="nil"/>
                  </w:tcBorders>
                  <w:vAlign w:val="center"/>
                </w:tcPr>
                <w:p w14:paraId="4D13DC94">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7A420935">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626" w:type="dxa"/>
                  <w:tcBorders>
                    <w:bottom w:val="nil"/>
                  </w:tcBorders>
                  <w:vAlign w:val="center"/>
                </w:tcPr>
                <w:p w14:paraId="651D0FA6">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排放</w:t>
                  </w:r>
                  <w:r>
                    <w:rPr>
                      <w:rFonts w:hint="eastAsia" w:cs="Times New Roman"/>
                      <w:color w:val="auto"/>
                      <w:lang w:val="en-US" w:eastAsia="zh-CN"/>
                    </w:rPr>
                    <w:t>速率</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22" w:type="dxa"/>
                  <w:vAlign w:val="center"/>
                </w:tcPr>
                <w:p w14:paraId="54BC40A9">
                  <w:pPr>
                    <w:pStyle w:val="61"/>
                    <w:bidi w:val="0"/>
                    <w:jc w:val="both"/>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574" w:type="dxa"/>
                  <w:vAlign w:val="center"/>
                </w:tcPr>
                <w:p w14:paraId="0D4A2BF1">
                  <w:pPr>
                    <w:pStyle w:val="61"/>
                    <w:bidi w:val="0"/>
                    <w:jc w:val="center"/>
                    <w:rPr>
                      <w:rFonts w:hint="default" w:ascii="Times New Roman" w:hAnsi="Times New Roman" w:cs="Times New Roman"/>
                      <w:color w:val="auto"/>
                    </w:rPr>
                  </w:pPr>
                  <w:r>
                    <w:rPr>
                      <w:rFonts w:hint="default" w:ascii="Times New Roman" w:hAnsi="Times New Roman" w:cs="Times New Roman"/>
                      <w:color w:val="auto"/>
                    </w:rPr>
                    <w:t>处理</w:t>
                  </w:r>
                </w:p>
                <w:p w14:paraId="789C5031">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效率</w:t>
                  </w:r>
                </w:p>
              </w:tc>
              <w:tc>
                <w:tcPr>
                  <w:tcW w:w="574" w:type="dxa"/>
                  <w:tcBorders>
                    <w:bottom w:val="nil"/>
                  </w:tcBorders>
                  <w:vAlign w:val="center"/>
                </w:tcPr>
                <w:p w14:paraId="6D3CF09E">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1FD32BAF">
                  <w:pPr>
                    <w:pStyle w:val="61"/>
                    <w:bidi w:val="0"/>
                    <w:ind w:firstLine="0" w:firstLineChars="0"/>
                    <w:jc w:val="center"/>
                    <w:rPr>
                      <w:rFonts w:hint="default" w:ascii="Times New Roman" w:hAnsi="Times New Roman" w:cs="Times New Roman"/>
                      <w:color w:val="auto"/>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30D5F3E9">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 xml:space="preserve">排放浓度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80" w:type="dxa"/>
                  <w:tcBorders>
                    <w:bottom w:val="nil"/>
                  </w:tcBorders>
                  <w:vAlign w:val="center"/>
                </w:tcPr>
                <w:p w14:paraId="4FE32D77">
                  <w:pPr>
                    <w:pStyle w:val="61"/>
                    <w:bidi w:val="0"/>
                    <w:ind w:firstLine="0" w:firstLineChars="0"/>
                    <w:jc w:val="both"/>
                    <w:rPr>
                      <w:rFonts w:hint="default" w:ascii="Times New Roman" w:hAnsi="Times New Roman" w:cs="Times New Roman"/>
                      <w:color w:val="auto"/>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929" w:type="dxa"/>
                  <w:tcBorders>
                    <w:bottom w:val="nil"/>
                  </w:tcBorders>
                  <w:vAlign w:val="center"/>
                </w:tcPr>
                <w:p w14:paraId="11F423B3">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排放标准 </w:t>
                  </w:r>
                  <w:r>
                    <w:rPr>
                      <w:rFonts w:hint="default" w:ascii="Times New Roman" w:hAnsi="Times New Roman"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eastAsia="zh-CN"/>
                    </w:rPr>
                    <w:t>）</w:t>
                  </w:r>
                </w:p>
              </w:tc>
            </w:tr>
            <w:tr w14:paraId="44BD7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15" w:type="dxa"/>
                  <w:vMerge w:val="restart"/>
                  <w:vAlign w:val="center"/>
                </w:tcPr>
                <w:p w14:paraId="180E67A7">
                  <w:pPr>
                    <w:pStyle w:val="61"/>
                    <w:bidi w:val="0"/>
                    <w:jc w:val="center"/>
                    <w:rPr>
                      <w:rFonts w:hint="default" w:ascii="Times New Roman" w:hAnsi="Times New Roman" w:cs="Times New Roman"/>
                      <w:color w:val="auto"/>
                    </w:rPr>
                  </w:pPr>
                  <w:r>
                    <w:rPr>
                      <w:rFonts w:hint="default" w:ascii="Times New Roman" w:hAnsi="Times New Roman" w:cs="Times New Roman"/>
                      <w:color w:val="auto"/>
                    </w:rPr>
                    <w:t>锅炉烟气</w:t>
                  </w:r>
                </w:p>
              </w:tc>
              <w:tc>
                <w:tcPr>
                  <w:tcW w:w="854" w:type="dxa"/>
                  <w:vMerge w:val="restart"/>
                  <w:vAlign w:val="center"/>
                </w:tcPr>
                <w:p w14:paraId="43FCD582">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312</w:t>
                  </w:r>
                </w:p>
              </w:tc>
              <w:tc>
                <w:tcPr>
                  <w:tcW w:w="776" w:type="dxa"/>
                  <w:vAlign w:val="center"/>
                </w:tcPr>
                <w:p w14:paraId="5057D712">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烟尘</w:t>
                  </w:r>
                </w:p>
              </w:tc>
              <w:tc>
                <w:tcPr>
                  <w:tcW w:w="574" w:type="dxa"/>
                  <w:vAlign w:val="center"/>
                </w:tcPr>
                <w:p w14:paraId="78222F0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79</w:t>
                  </w:r>
                </w:p>
              </w:tc>
              <w:tc>
                <w:tcPr>
                  <w:tcW w:w="626" w:type="dxa"/>
                  <w:vAlign w:val="center"/>
                </w:tcPr>
                <w:p w14:paraId="7B34FD9D">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0.025</w:t>
                  </w:r>
                </w:p>
              </w:tc>
              <w:tc>
                <w:tcPr>
                  <w:tcW w:w="522" w:type="dxa"/>
                  <w:vAlign w:val="center"/>
                </w:tcPr>
                <w:p w14:paraId="0907CC86">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0.19</w:t>
                  </w:r>
                </w:p>
              </w:tc>
              <w:tc>
                <w:tcPr>
                  <w:tcW w:w="574" w:type="dxa"/>
                  <w:vAlign w:val="center"/>
                </w:tcPr>
                <w:p w14:paraId="5708F6EE">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r>
                    <w:rPr>
                      <w:rFonts w:hint="eastAsia" w:ascii="Times New Roman" w:hAnsi="Times New Roman" w:eastAsia="宋体" w:cs="Times New Roman"/>
                      <w:color w:val="auto"/>
                      <w:lang w:val="en-US" w:eastAsia="zh-CN"/>
                    </w:rPr>
                    <w:t>9</w:t>
                  </w:r>
                </w:p>
              </w:tc>
              <w:tc>
                <w:tcPr>
                  <w:tcW w:w="574" w:type="dxa"/>
                  <w:vAlign w:val="center"/>
                </w:tcPr>
                <w:p w14:paraId="207C076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0.79</w:t>
                  </w:r>
                </w:p>
              </w:tc>
              <w:tc>
                <w:tcPr>
                  <w:tcW w:w="574" w:type="dxa"/>
                  <w:vAlign w:val="center"/>
                </w:tcPr>
                <w:p w14:paraId="6DEAD39B">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0.00025</w:t>
                  </w:r>
                </w:p>
              </w:tc>
              <w:tc>
                <w:tcPr>
                  <w:tcW w:w="580" w:type="dxa"/>
                  <w:vAlign w:val="center"/>
                </w:tcPr>
                <w:p w14:paraId="2A428ABD">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0.002</w:t>
                  </w:r>
                </w:p>
              </w:tc>
              <w:tc>
                <w:tcPr>
                  <w:tcW w:w="929" w:type="dxa"/>
                  <w:vAlign w:val="center"/>
                </w:tcPr>
                <w:p w14:paraId="0ED38BEE">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w:t>
                  </w:r>
                </w:p>
              </w:tc>
            </w:tr>
            <w:tr w14:paraId="7FC32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2" w:hRule="atLeast"/>
              </w:trPr>
              <w:tc>
                <w:tcPr>
                  <w:tcW w:w="915" w:type="dxa"/>
                  <w:vMerge w:val="continue"/>
                  <w:vAlign w:val="center"/>
                </w:tcPr>
                <w:p w14:paraId="142E8E11">
                  <w:pPr>
                    <w:pStyle w:val="61"/>
                    <w:bidi w:val="0"/>
                    <w:jc w:val="center"/>
                    <w:rPr>
                      <w:rFonts w:hint="default" w:ascii="Times New Roman" w:hAnsi="Times New Roman" w:cs="Times New Roman"/>
                      <w:color w:val="auto"/>
                    </w:rPr>
                  </w:pPr>
                </w:p>
              </w:tc>
              <w:tc>
                <w:tcPr>
                  <w:tcW w:w="854" w:type="dxa"/>
                  <w:vMerge w:val="continue"/>
                  <w:vAlign w:val="center"/>
                </w:tcPr>
                <w:p w14:paraId="54C78484">
                  <w:pPr>
                    <w:pStyle w:val="61"/>
                    <w:bidi w:val="0"/>
                    <w:jc w:val="center"/>
                    <w:rPr>
                      <w:rFonts w:hint="default" w:ascii="Times New Roman" w:hAnsi="Times New Roman" w:cs="Times New Roman"/>
                      <w:color w:val="auto"/>
                    </w:rPr>
                  </w:pPr>
                </w:p>
              </w:tc>
              <w:tc>
                <w:tcPr>
                  <w:tcW w:w="776" w:type="dxa"/>
                  <w:vAlign w:val="center"/>
                </w:tcPr>
                <w:p w14:paraId="233017FB">
                  <w:pPr>
                    <w:pStyle w:val="61"/>
                    <w:bidi w:val="0"/>
                    <w:jc w:val="center"/>
                    <w:rPr>
                      <w:rFonts w:hint="default" w:ascii="Times New Roman" w:hAnsi="Times New Roman" w:cs="Times New Roman"/>
                      <w:color w:val="auto"/>
                    </w:rPr>
                  </w:pPr>
                  <w:r>
                    <w:rPr>
                      <w:rFonts w:hint="default" w:ascii="Times New Roman" w:hAnsi="Times New Roman" w:cs="Times New Roman"/>
                      <w:color w:val="auto"/>
                    </w:rPr>
                    <w:t>SO₂</w:t>
                  </w:r>
                </w:p>
              </w:tc>
              <w:tc>
                <w:tcPr>
                  <w:tcW w:w="574" w:type="dxa"/>
                  <w:vAlign w:val="center"/>
                </w:tcPr>
                <w:p w14:paraId="32B91BF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626" w:type="dxa"/>
                  <w:vAlign w:val="center"/>
                </w:tcPr>
                <w:p w14:paraId="2DB30DE8">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0.017</w:t>
                  </w:r>
                </w:p>
              </w:tc>
              <w:tc>
                <w:tcPr>
                  <w:tcW w:w="522" w:type="dxa"/>
                  <w:vAlign w:val="center"/>
                </w:tcPr>
                <w:p w14:paraId="2D933486">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0.13</w:t>
                  </w:r>
                </w:p>
              </w:tc>
              <w:tc>
                <w:tcPr>
                  <w:tcW w:w="574" w:type="dxa"/>
                  <w:vAlign w:val="center"/>
                </w:tcPr>
                <w:p w14:paraId="49B487D7">
                  <w:pPr>
                    <w:pStyle w:val="61"/>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c>
                <w:tcPr>
                  <w:tcW w:w="574" w:type="dxa"/>
                  <w:vAlign w:val="center"/>
                </w:tcPr>
                <w:p w14:paraId="0260A6F1">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574" w:type="dxa"/>
                  <w:vAlign w:val="center"/>
                </w:tcPr>
                <w:p w14:paraId="1728AD85">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0.017</w:t>
                  </w:r>
                </w:p>
              </w:tc>
              <w:tc>
                <w:tcPr>
                  <w:tcW w:w="580" w:type="dxa"/>
                  <w:vAlign w:val="center"/>
                </w:tcPr>
                <w:p w14:paraId="0D3DAD18">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0.13</w:t>
                  </w:r>
                </w:p>
              </w:tc>
              <w:tc>
                <w:tcPr>
                  <w:tcW w:w="929" w:type="dxa"/>
                  <w:vAlign w:val="center"/>
                </w:tcPr>
                <w:p w14:paraId="1318BEED">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r w14:paraId="7F293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15" w:type="dxa"/>
                  <w:vMerge w:val="continue"/>
                  <w:vAlign w:val="center"/>
                </w:tcPr>
                <w:p w14:paraId="5300750E">
                  <w:pPr>
                    <w:pStyle w:val="61"/>
                    <w:bidi w:val="0"/>
                    <w:jc w:val="center"/>
                    <w:rPr>
                      <w:rFonts w:hint="default" w:ascii="Times New Roman" w:hAnsi="Times New Roman" w:cs="Times New Roman"/>
                      <w:color w:val="auto"/>
                    </w:rPr>
                  </w:pPr>
                </w:p>
              </w:tc>
              <w:tc>
                <w:tcPr>
                  <w:tcW w:w="854" w:type="dxa"/>
                  <w:vMerge w:val="continue"/>
                  <w:vAlign w:val="center"/>
                </w:tcPr>
                <w:p w14:paraId="68013C4A">
                  <w:pPr>
                    <w:pStyle w:val="61"/>
                    <w:bidi w:val="0"/>
                    <w:jc w:val="center"/>
                    <w:rPr>
                      <w:rFonts w:hint="default" w:ascii="Times New Roman" w:hAnsi="Times New Roman" w:cs="Times New Roman"/>
                      <w:color w:val="auto"/>
                    </w:rPr>
                  </w:pPr>
                </w:p>
              </w:tc>
              <w:tc>
                <w:tcPr>
                  <w:tcW w:w="776" w:type="dxa"/>
                  <w:vAlign w:val="center"/>
                </w:tcPr>
                <w:p w14:paraId="226D8F80">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NOx</w:t>
                  </w:r>
                </w:p>
              </w:tc>
              <w:tc>
                <w:tcPr>
                  <w:tcW w:w="574" w:type="dxa"/>
                  <w:vAlign w:val="center"/>
                </w:tcPr>
                <w:p w14:paraId="0F15416C">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w:t>
                  </w:r>
                  <w:r>
                    <w:rPr>
                      <w:rFonts w:hint="eastAsia" w:cs="Times New Roman"/>
                      <w:color w:val="auto"/>
                      <w:lang w:val="en-US" w:eastAsia="zh-CN"/>
                    </w:rPr>
                    <w:t>3</w:t>
                  </w:r>
                </w:p>
              </w:tc>
              <w:tc>
                <w:tcPr>
                  <w:tcW w:w="626" w:type="dxa"/>
                  <w:vAlign w:val="center"/>
                </w:tcPr>
                <w:p w14:paraId="2D73DE1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0.051</w:t>
                  </w:r>
                </w:p>
              </w:tc>
              <w:tc>
                <w:tcPr>
                  <w:tcW w:w="522" w:type="dxa"/>
                  <w:vAlign w:val="center"/>
                </w:tcPr>
                <w:p w14:paraId="3FC0E7D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0.39</w:t>
                  </w:r>
                </w:p>
              </w:tc>
              <w:tc>
                <w:tcPr>
                  <w:tcW w:w="574" w:type="dxa"/>
                  <w:vAlign w:val="center"/>
                </w:tcPr>
                <w:p w14:paraId="4465BF12">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4" w:type="dxa"/>
                  <w:vAlign w:val="center"/>
                </w:tcPr>
                <w:p w14:paraId="18E23F94">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2E0F5898">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0.051</w:t>
                  </w:r>
                </w:p>
              </w:tc>
              <w:tc>
                <w:tcPr>
                  <w:tcW w:w="580" w:type="dxa"/>
                  <w:vAlign w:val="center"/>
                </w:tcPr>
                <w:p w14:paraId="61F6FFDE">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0.39</w:t>
                  </w:r>
                </w:p>
              </w:tc>
              <w:tc>
                <w:tcPr>
                  <w:tcW w:w="929" w:type="dxa"/>
                  <w:vAlign w:val="center"/>
                </w:tcPr>
                <w:p w14:paraId="135FE543">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bl>
          <w:p w14:paraId="6A69A9C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color w:val="auto"/>
                <w:lang w:val="en-US" w:eastAsia="zh-CN"/>
              </w:rPr>
            </w:pPr>
            <w:r>
              <w:rPr>
                <w:rFonts w:hint="eastAsia" w:cs="Times New Roman"/>
                <w:color w:val="auto"/>
                <w:sz w:val="24"/>
                <w:szCs w:val="24"/>
                <w:lang w:val="en-US" w:eastAsia="zh-CN"/>
              </w:rPr>
              <w:t>技改后全厂</w:t>
            </w:r>
            <w:r>
              <w:rPr>
                <w:rFonts w:hint="eastAsia" w:ascii="Times New Roman" w:hAnsi="Times New Roman" w:eastAsia="宋体" w:cs="Times New Roman"/>
                <w:color w:val="auto"/>
                <w:sz w:val="24"/>
                <w:szCs w:val="24"/>
                <w:lang w:val="en-US" w:eastAsia="zh-CN"/>
              </w:rPr>
              <w:t>生物质颗粒用量为</w:t>
            </w:r>
            <w:r>
              <w:rPr>
                <w:rFonts w:hint="eastAsia" w:cs="Times New Roman"/>
                <w:color w:val="auto"/>
                <w:sz w:val="24"/>
                <w:szCs w:val="24"/>
                <w:lang w:val="en-US" w:eastAsia="zh-CN"/>
              </w:rPr>
              <w:t>18624</w:t>
            </w:r>
            <w:r>
              <w:rPr>
                <w:rFonts w:hint="eastAsia" w:ascii="Times New Roman" w:hAnsi="Times New Roman" w:eastAsia="宋体" w:cs="Times New Roman"/>
                <w:color w:val="auto"/>
                <w:sz w:val="24"/>
                <w:szCs w:val="24"/>
                <w:lang w:val="en-US" w:eastAsia="zh-CN"/>
              </w:rPr>
              <w:t>t/a</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highlight w:val="none"/>
                <w:vertAlign w:val="baseline"/>
                <w:lang w:val="en-US" w:eastAsia="zh-CN"/>
              </w:rPr>
              <w:t>烟气量为116213760</w:t>
            </w:r>
            <w:r>
              <w:rPr>
                <w:rFonts w:hint="default" w:ascii="Times New Roman" w:hAnsi="Times New Roman" w:cs="Times New Roman"/>
                <w:color w:val="auto"/>
              </w:rPr>
              <w:t>标立方米</w:t>
            </w:r>
            <w:r>
              <w:rPr>
                <w:rFonts w:hint="eastAsia" w:ascii="Times New Roman" w:hAnsi="Times New Roman" w:cs="Times New Roman"/>
                <w:color w:val="auto"/>
                <w:lang w:eastAsia="zh-CN"/>
              </w:rPr>
              <w:t>，</w:t>
            </w:r>
            <w:r>
              <w:rPr>
                <w:rFonts w:hint="eastAsia" w:cs="Times New Roman"/>
                <w:color w:val="auto"/>
                <w:lang w:val="en-US" w:eastAsia="zh-CN"/>
              </w:rPr>
              <w:t>全厂</w:t>
            </w:r>
            <w:r>
              <w:rPr>
                <w:rFonts w:hint="default" w:ascii="Times New Roman" w:hAnsi="Times New Roman" w:eastAsia="宋体" w:cs="Times New Roman"/>
                <w:color w:val="auto"/>
                <w:lang w:val="en-US" w:eastAsia="zh-CN"/>
              </w:rPr>
              <w:t>锅炉废气排放情况见下表。</w:t>
            </w:r>
          </w:p>
          <w:p w14:paraId="53F8CBF3">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eastAsia" w:cs="Times New Roman"/>
                <w:b/>
                <w:color w:val="auto"/>
                <w:kern w:val="0"/>
                <w:sz w:val="24"/>
                <w:szCs w:val="24"/>
                <w:lang w:val="en-US" w:eastAsia="zh-CN" w:bidi="ar-SA"/>
              </w:rPr>
              <w:t>技改后全厂锅炉</w:t>
            </w:r>
            <w:r>
              <w:rPr>
                <w:rFonts w:hint="default" w:ascii="Times New Roman" w:hAnsi="Times New Roman" w:eastAsia="宋体" w:cs="Times New Roman"/>
                <w:b/>
                <w:color w:val="auto"/>
                <w:kern w:val="0"/>
                <w:sz w:val="24"/>
                <w:szCs w:val="24"/>
                <w:lang w:val="en-US" w:eastAsia="zh-CN" w:bidi="ar-SA"/>
              </w:rPr>
              <w:t>废气污染物排放情况表</w:t>
            </w:r>
          </w:p>
          <w:p w14:paraId="177F5DB3">
            <w:pPr>
              <w:keepNext w:val="0"/>
              <w:keepLines w:val="0"/>
              <w:suppressLineNumbers w:val="0"/>
              <w:spacing w:before="0" w:beforeAutospacing="0" w:after="0" w:afterAutospacing="0" w:line="30" w:lineRule="exact"/>
              <w:ind w:left="0" w:right="0"/>
              <w:rPr>
                <w:rFonts w:hint="default" w:ascii="Times New Roman" w:hAnsi="Times New Roman" w:cs="Times New Roman"/>
                <w:color w:val="auto"/>
              </w:rPr>
            </w:pPr>
          </w:p>
          <w:tbl>
            <w:tblPr>
              <w:tblStyle w:val="116"/>
              <w:tblW w:w="7498" w:type="dxa"/>
              <w:tblInd w:w="1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10"/>
              <w:gridCol w:w="727"/>
              <w:gridCol w:w="436"/>
              <w:gridCol w:w="899"/>
              <w:gridCol w:w="848"/>
              <w:gridCol w:w="679"/>
              <w:gridCol w:w="266"/>
              <w:gridCol w:w="899"/>
              <w:gridCol w:w="848"/>
              <w:gridCol w:w="679"/>
              <w:gridCol w:w="1234"/>
            </w:tblGrid>
            <w:tr w14:paraId="3AAD3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15" w:type="dxa"/>
                  <w:vMerge w:val="restart"/>
                  <w:tcBorders>
                    <w:bottom w:val="nil"/>
                  </w:tcBorders>
                  <w:vAlign w:val="center"/>
                </w:tcPr>
                <w:p w14:paraId="4527D025">
                  <w:pPr>
                    <w:pStyle w:val="61"/>
                    <w:bidi w:val="0"/>
                    <w:jc w:val="center"/>
                    <w:rPr>
                      <w:rFonts w:hint="default" w:ascii="Times New Roman" w:hAnsi="Times New Roman" w:cs="Times New Roman"/>
                      <w:color w:val="auto"/>
                    </w:rPr>
                  </w:pPr>
                  <w:r>
                    <w:rPr>
                      <w:rFonts w:hint="default" w:ascii="Times New Roman" w:hAnsi="Times New Roman" w:cs="Times New Roman"/>
                      <w:color w:val="auto"/>
                    </w:rPr>
                    <w:t>废气</w:t>
                  </w:r>
                </w:p>
                <w:p w14:paraId="784D69B1">
                  <w:pPr>
                    <w:pStyle w:val="61"/>
                    <w:bidi w:val="0"/>
                    <w:jc w:val="center"/>
                    <w:rPr>
                      <w:rFonts w:hint="default" w:ascii="Times New Roman" w:hAnsi="Times New Roman" w:cs="Times New Roman"/>
                      <w:color w:val="auto"/>
                    </w:rPr>
                  </w:pPr>
                  <w:r>
                    <w:rPr>
                      <w:rFonts w:hint="default" w:ascii="Times New Roman" w:hAnsi="Times New Roman" w:cs="Times New Roman"/>
                      <w:color w:val="auto"/>
                    </w:rPr>
                    <w:t>名称</w:t>
                  </w:r>
                </w:p>
              </w:tc>
              <w:tc>
                <w:tcPr>
                  <w:tcW w:w="854" w:type="dxa"/>
                  <w:vMerge w:val="restart"/>
                  <w:tcBorders>
                    <w:bottom w:val="nil"/>
                  </w:tcBorders>
                  <w:vAlign w:val="center"/>
                </w:tcPr>
                <w:p w14:paraId="39119A26">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烟气量</w:t>
                  </w:r>
                </w:p>
                <w:p w14:paraId="38F31C4B">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rPr>
                    <w:t>h</w:t>
                  </w:r>
                  <w:r>
                    <w:rPr>
                      <w:rFonts w:hint="eastAsia" w:cs="Times New Roman"/>
                      <w:color w:val="auto"/>
                      <w:lang w:eastAsia="zh-CN"/>
                    </w:rPr>
                    <w:t>)</w:t>
                  </w:r>
                </w:p>
              </w:tc>
              <w:tc>
                <w:tcPr>
                  <w:tcW w:w="5729" w:type="dxa"/>
                  <w:gridSpan w:val="9"/>
                  <w:vAlign w:val="center"/>
                </w:tcPr>
                <w:p w14:paraId="2A42D743">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污染物排放情况</w:t>
                  </w:r>
                </w:p>
              </w:tc>
            </w:tr>
            <w:tr w14:paraId="65081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rPr>
              <w:tc>
                <w:tcPr>
                  <w:tcW w:w="915" w:type="dxa"/>
                  <w:vMerge w:val="continue"/>
                  <w:tcBorders>
                    <w:top w:val="nil"/>
                    <w:bottom w:val="nil"/>
                  </w:tcBorders>
                  <w:vAlign w:val="center"/>
                </w:tcPr>
                <w:p w14:paraId="22BF6847">
                  <w:pPr>
                    <w:pStyle w:val="61"/>
                    <w:bidi w:val="0"/>
                    <w:jc w:val="center"/>
                    <w:rPr>
                      <w:rFonts w:hint="default" w:ascii="Times New Roman" w:hAnsi="Times New Roman" w:cs="Times New Roman"/>
                      <w:color w:val="auto"/>
                    </w:rPr>
                  </w:pPr>
                </w:p>
              </w:tc>
              <w:tc>
                <w:tcPr>
                  <w:tcW w:w="854" w:type="dxa"/>
                  <w:vMerge w:val="continue"/>
                  <w:tcBorders>
                    <w:top w:val="nil"/>
                    <w:bottom w:val="nil"/>
                  </w:tcBorders>
                  <w:vAlign w:val="center"/>
                </w:tcPr>
                <w:p w14:paraId="3833C598">
                  <w:pPr>
                    <w:pStyle w:val="61"/>
                    <w:bidi w:val="0"/>
                    <w:jc w:val="center"/>
                    <w:rPr>
                      <w:rFonts w:hint="default" w:ascii="Times New Roman" w:hAnsi="Times New Roman" w:cs="Times New Roman"/>
                      <w:color w:val="auto"/>
                    </w:rPr>
                  </w:pPr>
                </w:p>
              </w:tc>
              <w:tc>
                <w:tcPr>
                  <w:tcW w:w="776" w:type="dxa"/>
                  <w:tcBorders>
                    <w:bottom w:val="nil"/>
                  </w:tcBorders>
                  <w:vAlign w:val="center"/>
                </w:tcPr>
                <w:p w14:paraId="77D34FE3">
                  <w:pPr>
                    <w:pStyle w:val="61"/>
                    <w:bidi w:val="0"/>
                    <w:jc w:val="center"/>
                    <w:rPr>
                      <w:rFonts w:hint="default" w:ascii="Times New Roman" w:hAnsi="Times New Roman" w:cs="Times New Roman"/>
                      <w:color w:val="auto"/>
                    </w:rPr>
                  </w:pPr>
                  <w:r>
                    <w:rPr>
                      <w:rFonts w:hint="default" w:ascii="Times New Roman" w:hAnsi="Times New Roman" w:cs="Times New Roman"/>
                      <w:color w:val="auto"/>
                    </w:rPr>
                    <w:t>污染物名称</w:t>
                  </w:r>
                </w:p>
              </w:tc>
              <w:tc>
                <w:tcPr>
                  <w:tcW w:w="574" w:type="dxa"/>
                  <w:tcBorders>
                    <w:bottom w:val="nil"/>
                  </w:tcBorders>
                  <w:vAlign w:val="center"/>
                </w:tcPr>
                <w:p w14:paraId="2446A5D0">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016AB026">
                  <w:pPr>
                    <w:pStyle w:val="61"/>
                    <w:bidi w:val="0"/>
                    <w:jc w:val="center"/>
                    <w:rPr>
                      <w:rFonts w:hint="default" w:ascii="Times New Roman" w:hAnsi="Times New Roman" w:eastAsia="宋体" w:cs="Times New Roman"/>
                      <w:color w:val="auto"/>
                      <w:lang w:eastAsia="zh-CN"/>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626" w:type="dxa"/>
                  <w:tcBorders>
                    <w:bottom w:val="nil"/>
                  </w:tcBorders>
                  <w:vAlign w:val="center"/>
                </w:tcPr>
                <w:p w14:paraId="60341E93">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排放</w:t>
                  </w:r>
                  <w:r>
                    <w:rPr>
                      <w:rFonts w:hint="eastAsia" w:cs="Times New Roman"/>
                      <w:color w:val="auto"/>
                      <w:lang w:val="en-US" w:eastAsia="zh-CN"/>
                    </w:rPr>
                    <w:t>速率</w:t>
                  </w:r>
                  <w:r>
                    <w:rPr>
                      <w:rFonts w:hint="default" w:ascii="Times New Roman" w:hAnsi="Times New Roman" w:cs="Times New Roman"/>
                      <w:color w:val="auto"/>
                    </w:rPr>
                    <w:t xml:space="preserve">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22" w:type="dxa"/>
                  <w:vAlign w:val="center"/>
                </w:tcPr>
                <w:p w14:paraId="5231F002">
                  <w:pPr>
                    <w:pStyle w:val="61"/>
                    <w:bidi w:val="0"/>
                    <w:jc w:val="both"/>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574" w:type="dxa"/>
                  <w:vAlign w:val="center"/>
                </w:tcPr>
                <w:p w14:paraId="417E36A3">
                  <w:pPr>
                    <w:pStyle w:val="61"/>
                    <w:bidi w:val="0"/>
                    <w:jc w:val="center"/>
                    <w:rPr>
                      <w:rFonts w:hint="default" w:ascii="Times New Roman" w:hAnsi="Times New Roman" w:cs="Times New Roman"/>
                      <w:color w:val="auto"/>
                    </w:rPr>
                  </w:pPr>
                  <w:r>
                    <w:rPr>
                      <w:rFonts w:hint="default" w:ascii="Times New Roman" w:hAnsi="Times New Roman" w:cs="Times New Roman"/>
                      <w:color w:val="auto"/>
                    </w:rPr>
                    <w:t>处理</w:t>
                  </w:r>
                </w:p>
                <w:p w14:paraId="01648C3A">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效率</w:t>
                  </w:r>
                </w:p>
              </w:tc>
              <w:tc>
                <w:tcPr>
                  <w:tcW w:w="574" w:type="dxa"/>
                  <w:tcBorders>
                    <w:bottom w:val="nil"/>
                  </w:tcBorders>
                  <w:vAlign w:val="center"/>
                </w:tcPr>
                <w:p w14:paraId="569308DE">
                  <w:pPr>
                    <w:pStyle w:val="61"/>
                    <w:bidi w:val="0"/>
                    <w:jc w:val="center"/>
                    <w:rPr>
                      <w:rFonts w:hint="default" w:ascii="Times New Roman" w:hAnsi="Times New Roman" w:cs="Times New Roman"/>
                      <w:color w:val="auto"/>
                    </w:rPr>
                  </w:pPr>
                  <w:r>
                    <w:rPr>
                      <w:rFonts w:hint="eastAsia" w:cs="Times New Roman"/>
                      <w:color w:val="auto"/>
                      <w:lang w:val="en-US" w:eastAsia="zh-CN"/>
                    </w:rPr>
                    <w:t>产生</w:t>
                  </w:r>
                  <w:r>
                    <w:rPr>
                      <w:rFonts w:hint="default" w:ascii="Times New Roman" w:hAnsi="Times New Roman" w:cs="Times New Roman"/>
                      <w:color w:val="auto"/>
                    </w:rPr>
                    <w:t>浓度</w:t>
                  </w:r>
                </w:p>
                <w:p w14:paraId="39A3CDA2">
                  <w:pPr>
                    <w:pStyle w:val="61"/>
                    <w:bidi w:val="0"/>
                    <w:ind w:firstLine="0" w:firstLineChars="0"/>
                    <w:jc w:val="center"/>
                    <w:rPr>
                      <w:rFonts w:hint="default" w:ascii="Times New Roman" w:hAnsi="Times New Roman" w:cs="Times New Roman"/>
                      <w:color w:val="auto"/>
                    </w:rPr>
                  </w:pPr>
                  <w:r>
                    <w:rPr>
                      <w:rFonts w:hint="eastAsia"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eastAsia"/>
                      <w:color w:val="auto"/>
                      <w:vertAlign w:val="superscript"/>
                      <w:lang w:val="en-US" w:eastAsia="zh-CN"/>
                    </w:rPr>
                    <w:t>)</w:t>
                  </w:r>
                </w:p>
              </w:tc>
              <w:tc>
                <w:tcPr>
                  <w:tcW w:w="574" w:type="dxa"/>
                  <w:tcBorders>
                    <w:bottom w:val="nil"/>
                  </w:tcBorders>
                  <w:vAlign w:val="center"/>
                </w:tcPr>
                <w:p w14:paraId="3E7936F8">
                  <w:pPr>
                    <w:pStyle w:val="61"/>
                    <w:bidi w:val="0"/>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 xml:space="preserve">排放浓度 </w:t>
                  </w:r>
                  <w:r>
                    <w:rPr>
                      <w:rFonts w:hint="default" w:ascii="Times New Roman" w:hAnsi="Times New Roman" w:cs="Times New Roman"/>
                      <w:color w:val="auto"/>
                      <w:lang w:eastAsia="zh-CN"/>
                    </w:rPr>
                    <w:t>（</w:t>
                  </w:r>
                  <w:r>
                    <w:rPr>
                      <w:rFonts w:hint="eastAsia" w:cs="Times New Roman"/>
                      <w:color w:val="auto"/>
                      <w:lang w:val="en-US" w:eastAsia="zh-CN"/>
                    </w:rPr>
                    <w:t>kg/h</w:t>
                  </w:r>
                  <w:r>
                    <w:rPr>
                      <w:rFonts w:hint="default" w:ascii="Times New Roman" w:hAnsi="Times New Roman" w:cs="Times New Roman"/>
                      <w:color w:val="auto"/>
                      <w:lang w:eastAsia="zh-CN"/>
                    </w:rPr>
                    <w:t>）</w:t>
                  </w:r>
                </w:p>
              </w:tc>
              <w:tc>
                <w:tcPr>
                  <w:tcW w:w="580" w:type="dxa"/>
                  <w:tcBorders>
                    <w:bottom w:val="nil"/>
                  </w:tcBorders>
                  <w:vAlign w:val="center"/>
                </w:tcPr>
                <w:p w14:paraId="1D6255E2">
                  <w:pPr>
                    <w:pStyle w:val="61"/>
                    <w:bidi w:val="0"/>
                    <w:ind w:firstLine="0" w:firstLineChars="0"/>
                    <w:jc w:val="both"/>
                    <w:rPr>
                      <w:rFonts w:hint="default" w:ascii="Times New Roman" w:hAnsi="Times New Roman" w:cs="Times New Roman"/>
                      <w:color w:val="auto"/>
                    </w:rPr>
                  </w:pPr>
                  <w:r>
                    <w:rPr>
                      <w:rFonts w:hint="eastAsia" w:ascii="Times New Roman" w:hAnsi="Times New Roman" w:cs="Times New Roman"/>
                      <w:color w:val="auto"/>
                      <w:lang w:val="en-US" w:eastAsia="zh-CN"/>
                    </w:rPr>
                    <w:t>产生量</w:t>
                  </w:r>
                  <w:r>
                    <w:rPr>
                      <w:rFonts w:hint="default" w:ascii="Times New Roman" w:hAnsi="Times New Roman" w:cs="Times New Roman"/>
                      <w:color w:val="auto"/>
                      <w:lang w:eastAsia="zh-CN"/>
                    </w:rPr>
                    <w:t>（</w:t>
                  </w:r>
                  <w:r>
                    <w:rPr>
                      <w:rFonts w:hint="default" w:ascii="Times New Roman" w:hAnsi="Times New Roman" w:cs="Times New Roman"/>
                      <w:color w:val="auto"/>
                    </w:rPr>
                    <w:t>t/a</w:t>
                  </w:r>
                  <w:r>
                    <w:rPr>
                      <w:rFonts w:hint="default" w:ascii="Times New Roman" w:hAnsi="Times New Roman" w:cs="Times New Roman"/>
                      <w:color w:val="auto"/>
                      <w:lang w:eastAsia="zh-CN"/>
                    </w:rPr>
                    <w:t>）</w:t>
                  </w:r>
                </w:p>
              </w:tc>
              <w:tc>
                <w:tcPr>
                  <w:tcW w:w="929" w:type="dxa"/>
                  <w:tcBorders>
                    <w:bottom w:val="nil"/>
                  </w:tcBorders>
                  <w:vAlign w:val="center"/>
                </w:tcPr>
                <w:p w14:paraId="2E7208E3">
                  <w:pPr>
                    <w:pStyle w:val="61"/>
                    <w:bidi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排放标准 </w:t>
                  </w:r>
                  <w:r>
                    <w:rPr>
                      <w:rFonts w:hint="default" w:ascii="Times New Roman" w:hAnsi="Times New Roman" w:cs="Times New Roman"/>
                      <w:color w:val="auto"/>
                      <w:lang w:eastAsia="zh-CN"/>
                    </w:rPr>
                    <w:t>（</w:t>
                  </w:r>
                  <w:r>
                    <w:rPr>
                      <w:rFonts w:hint="default" w:ascii="Times New Roman" w:hAnsi="Times New Roman" w:cs="Times New Roman"/>
                      <w:color w:val="auto"/>
                    </w:rPr>
                    <w:t>mg/N</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cs="Times New Roman"/>
                      <w:color w:val="auto"/>
                      <w:lang w:eastAsia="zh-CN"/>
                    </w:rPr>
                    <w:t>）</w:t>
                  </w:r>
                </w:p>
              </w:tc>
            </w:tr>
            <w:tr w14:paraId="138A1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15" w:type="dxa"/>
                  <w:vMerge w:val="restart"/>
                  <w:vAlign w:val="center"/>
                </w:tcPr>
                <w:p w14:paraId="65BB6F21">
                  <w:pPr>
                    <w:pStyle w:val="61"/>
                    <w:bidi w:val="0"/>
                    <w:jc w:val="center"/>
                    <w:rPr>
                      <w:rFonts w:hint="default" w:ascii="Times New Roman" w:hAnsi="Times New Roman" w:cs="Times New Roman"/>
                      <w:color w:val="auto"/>
                    </w:rPr>
                  </w:pPr>
                  <w:r>
                    <w:rPr>
                      <w:rFonts w:hint="default" w:ascii="Times New Roman" w:hAnsi="Times New Roman" w:cs="Times New Roman"/>
                      <w:color w:val="auto"/>
                    </w:rPr>
                    <w:t>锅炉烟气</w:t>
                  </w:r>
                </w:p>
              </w:tc>
              <w:tc>
                <w:tcPr>
                  <w:tcW w:w="854" w:type="dxa"/>
                  <w:vMerge w:val="restart"/>
                  <w:vAlign w:val="center"/>
                </w:tcPr>
                <w:p w14:paraId="30A41998">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15132</w:t>
                  </w:r>
                </w:p>
              </w:tc>
              <w:tc>
                <w:tcPr>
                  <w:tcW w:w="776" w:type="dxa"/>
                  <w:vAlign w:val="center"/>
                </w:tcPr>
                <w:p w14:paraId="67D55FDD">
                  <w:pPr>
                    <w:pStyle w:val="61"/>
                    <w:bidi w:val="0"/>
                    <w:jc w:val="center"/>
                    <w:rPr>
                      <w:rFonts w:hint="default" w:ascii="Times New Roman" w:hAnsi="Times New Roman" w:cs="Times New Roman"/>
                      <w:color w:val="auto"/>
                    </w:rPr>
                  </w:pPr>
                  <w:r>
                    <w:rPr>
                      <w:rFonts w:hint="default" w:ascii="Times New Roman" w:hAnsi="Times New Roman" w:cs="Times New Roman"/>
                      <w:color w:val="auto"/>
                    </w:rPr>
                    <w:t>烟尘</w:t>
                  </w:r>
                </w:p>
              </w:tc>
              <w:tc>
                <w:tcPr>
                  <w:tcW w:w="574" w:type="dxa"/>
                  <w:vAlign w:val="center"/>
                </w:tcPr>
                <w:p w14:paraId="69033779">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w:t>
                  </w:r>
                </w:p>
              </w:tc>
              <w:tc>
                <w:tcPr>
                  <w:tcW w:w="626" w:type="dxa"/>
                  <w:vAlign w:val="center"/>
                </w:tcPr>
                <w:p w14:paraId="112094B7">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1.215</w:t>
                  </w:r>
                </w:p>
              </w:tc>
              <w:tc>
                <w:tcPr>
                  <w:tcW w:w="522" w:type="dxa"/>
                  <w:vAlign w:val="center"/>
                </w:tcPr>
                <w:p w14:paraId="4673F7EB">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9.312</w:t>
                  </w:r>
                </w:p>
              </w:tc>
              <w:tc>
                <w:tcPr>
                  <w:tcW w:w="574" w:type="dxa"/>
                  <w:vAlign w:val="center"/>
                </w:tcPr>
                <w:p w14:paraId="02E1AB8B">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r>
                    <w:rPr>
                      <w:rFonts w:hint="eastAsia" w:ascii="Times New Roman" w:hAnsi="Times New Roman" w:eastAsia="宋体" w:cs="Times New Roman"/>
                      <w:color w:val="auto"/>
                      <w:lang w:val="en-US" w:eastAsia="zh-CN"/>
                    </w:rPr>
                    <w:t>9</w:t>
                  </w:r>
                </w:p>
              </w:tc>
              <w:tc>
                <w:tcPr>
                  <w:tcW w:w="574" w:type="dxa"/>
                  <w:vAlign w:val="center"/>
                </w:tcPr>
                <w:p w14:paraId="4AFF6B8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r>
                    <w:rPr>
                      <w:rFonts w:hint="eastAsia" w:cs="Times New Roman"/>
                      <w:color w:val="auto"/>
                      <w:lang w:val="en-US" w:eastAsia="zh-CN"/>
                    </w:rPr>
                    <w:t>8</w:t>
                  </w:r>
                </w:p>
              </w:tc>
              <w:tc>
                <w:tcPr>
                  <w:tcW w:w="574" w:type="dxa"/>
                  <w:vAlign w:val="center"/>
                </w:tcPr>
                <w:p w14:paraId="3779D0DB">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0.012</w:t>
                  </w:r>
                </w:p>
              </w:tc>
              <w:tc>
                <w:tcPr>
                  <w:tcW w:w="580" w:type="dxa"/>
                  <w:vAlign w:val="center"/>
                </w:tcPr>
                <w:p w14:paraId="59C61A3C">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w:t>
                  </w:r>
                  <w:r>
                    <w:rPr>
                      <w:rFonts w:hint="eastAsia" w:cs="Times New Roman"/>
                      <w:color w:val="auto"/>
                      <w:lang w:val="en-US" w:eastAsia="zh-CN"/>
                    </w:rPr>
                    <w:t>93</w:t>
                  </w:r>
                </w:p>
              </w:tc>
              <w:tc>
                <w:tcPr>
                  <w:tcW w:w="929" w:type="dxa"/>
                  <w:vAlign w:val="center"/>
                </w:tcPr>
                <w:p w14:paraId="4F61A13B">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w:t>
                  </w:r>
                </w:p>
              </w:tc>
            </w:tr>
            <w:tr w14:paraId="5A45D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915" w:type="dxa"/>
                  <w:vMerge w:val="continue"/>
                  <w:vAlign w:val="center"/>
                </w:tcPr>
                <w:p w14:paraId="352F5884">
                  <w:pPr>
                    <w:pStyle w:val="61"/>
                    <w:bidi w:val="0"/>
                    <w:jc w:val="center"/>
                    <w:rPr>
                      <w:rFonts w:hint="default" w:ascii="Times New Roman" w:hAnsi="Times New Roman" w:cs="Times New Roman"/>
                      <w:color w:val="auto"/>
                    </w:rPr>
                  </w:pPr>
                </w:p>
              </w:tc>
              <w:tc>
                <w:tcPr>
                  <w:tcW w:w="854" w:type="dxa"/>
                  <w:vMerge w:val="continue"/>
                  <w:vAlign w:val="center"/>
                </w:tcPr>
                <w:p w14:paraId="40B4075A">
                  <w:pPr>
                    <w:pStyle w:val="61"/>
                    <w:bidi w:val="0"/>
                    <w:jc w:val="center"/>
                    <w:rPr>
                      <w:rFonts w:hint="default" w:ascii="Times New Roman" w:hAnsi="Times New Roman" w:cs="Times New Roman"/>
                      <w:color w:val="auto"/>
                    </w:rPr>
                  </w:pPr>
                </w:p>
              </w:tc>
              <w:tc>
                <w:tcPr>
                  <w:tcW w:w="776" w:type="dxa"/>
                  <w:vAlign w:val="center"/>
                </w:tcPr>
                <w:p w14:paraId="0E567E34">
                  <w:pPr>
                    <w:pStyle w:val="61"/>
                    <w:bidi w:val="0"/>
                    <w:jc w:val="center"/>
                    <w:rPr>
                      <w:rFonts w:hint="default" w:ascii="Times New Roman" w:hAnsi="Times New Roman" w:cs="Times New Roman"/>
                      <w:color w:val="auto"/>
                    </w:rPr>
                  </w:pPr>
                  <w:r>
                    <w:rPr>
                      <w:rFonts w:hint="default" w:ascii="Times New Roman" w:hAnsi="Times New Roman" w:cs="Times New Roman"/>
                      <w:color w:val="auto"/>
                    </w:rPr>
                    <w:t>SO₂</w:t>
                  </w:r>
                </w:p>
              </w:tc>
              <w:tc>
                <w:tcPr>
                  <w:tcW w:w="574" w:type="dxa"/>
                  <w:vAlign w:val="center"/>
                </w:tcPr>
                <w:p w14:paraId="38140EDA">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626" w:type="dxa"/>
                  <w:vAlign w:val="center"/>
                </w:tcPr>
                <w:p w14:paraId="2E698A92">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0.827</w:t>
                  </w:r>
                </w:p>
              </w:tc>
              <w:tc>
                <w:tcPr>
                  <w:tcW w:w="522" w:type="dxa"/>
                  <w:vAlign w:val="center"/>
                </w:tcPr>
                <w:p w14:paraId="751985FF">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6.33</w:t>
                  </w:r>
                </w:p>
              </w:tc>
              <w:tc>
                <w:tcPr>
                  <w:tcW w:w="574" w:type="dxa"/>
                  <w:vAlign w:val="center"/>
                </w:tcPr>
                <w:p w14:paraId="2D1649E8">
                  <w:pPr>
                    <w:pStyle w:val="61"/>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c>
                <w:tcPr>
                  <w:tcW w:w="574" w:type="dxa"/>
                  <w:vAlign w:val="center"/>
                </w:tcPr>
                <w:p w14:paraId="4307F251">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574" w:type="dxa"/>
                  <w:vAlign w:val="center"/>
                </w:tcPr>
                <w:p w14:paraId="4A41634D">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0.827</w:t>
                  </w:r>
                </w:p>
              </w:tc>
              <w:tc>
                <w:tcPr>
                  <w:tcW w:w="580" w:type="dxa"/>
                  <w:vAlign w:val="center"/>
                </w:tcPr>
                <w:p w14:paraId="2737D585">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6.33</w:t>
                  </w:r>
                </w:p>
              </w:tc>
              <w:tc>
                <w:tcPr>
                  <w:tcW w:w="929" w:type="dxa"/>
                  <w:vAlign w:val="center"/>
                </w:tcPr>
                <w:p w14:paraId="0666DB69">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r w14:paraId="7B71C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15" w:type="dxa"/>
                  <w:vMerge w:val="continue"/>
                  <w:vAlign w:val="center"/>
                </w:tcPr>
                <w:p w14:paraId="20A5F033">
                  <w:pPr>
                    <w:pStyle w:val="61"/>
                    <w:bidi w:val="0"/>
                    <w:jc w:val="center"/>
                    <w:rPr>
                      <w:rFonts w:hint="default" w:ascii="Times New Roman" w:hAnsi="Times New Roman" w:cs="Times New Roman"/>
                      <w:color w:val="auto"/>
                    </w:rPr>
                  </w:pPr>
                </w:p>
              </w:tc>
              <w:tc>
                <w:tcPr>
                  <w:tcW w:w="854" w:type="dxa"/>
                  <w:vMerge w:val="continue"/>
                  <w:vAlign w:val="center"/>
                </w:tcPr>
                <w:p w14:paraId="358976AC">
                  <w:pPr>
                    <w:pStyle w:val="61"/>
                    <w:bidi w:val="0"/>
                    <w:jc w:val="center"/>
                    <w:rPr>
                      <w:rFonts w:hint="default" w:ascii="Times New Roman" w:hAnsi="Times New Roman" w:cs="Times New Roman"/>
                      <w:color w:val="auto"/>
                    </w:rPr>
                  </w:pPr>
                </w:p>
              </w:tc>
              <w:tc>
                <w:tcPr>
                  <w:tcW w:w="776" w:type="dxa"/>
                  <w:vAlign w:val="center"/>
                </w:tcPr>
                <w:p w14:paraId="51817FEB">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NOx</w:t>
                  </w:r>
                </w:p>
              </w:tc>
              <w:tc>
                <w:tcPr>
                  <w:tcW w:w="574" w:type="dxa"/>
                  <w:vAlign w:val="center"/>
                </w:tcPr>
                <w:p w14:paraId="3F67079B">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626" w:type="dxa"/>
                  <w:vAlign w:val="center"/>
                </w:tcPr>
                <w:p w14:paraId="477C42EB">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2.471</w:t>
                  </w:r>
                </w:p>
              </w:tc>
              <w:tc>
                <w:tcPr>
                  <w:tcW w:w="522" w:type="dxa"/>
                  <w:vAlign w:val="center"/>
                </w:tcPr>
                <w:p w14:paraId="0098BE67">
                  <w:pPr>
                    <w:pStyle w:val="61"/>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18.99</w:t>
                  </w:r>
                </w:p>
              </w:tc>
              <w:tc>
                <w:tcPr>
                  <w:tcW w:w="574" w:type="dxa"/>
                  <w:vAlign w:val="center"/>
                </w:tcPr>
                <w:p w14:paraId="5AD3E746">
                  <w:pPr>
                    <w:pStyle w:val="61"/>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4" w:type="dxa"/>
                  <w:vAlign w:val="center"/>
                </w:tcPr>
                <w:p w14:paraId="4D8D68D1">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163</w:t>
                  </w:r>
                </w:p>
              </w:tc>
              <w:tc>
                <w:tcPr>
                  <w:tcW w:w="574" w:type="dxa"/>
                  <w:vAlign w:val="center"/>
                </w:tcPr>
                <w:p w14:paraId="2F68DF1C">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2.471</w:t>
                  </w:r>
                </w:p>
              </w:tc>
              <w:tc>
                <w:tcPr>
                  <w:tcW w:w="580" w:type="dxa"/>
                  <w:vAlign w:val="center"/>
                </w:tcPr>
                <w:p w14:paraId="5598C140">
                  <w:pPr>
                    <w:pStyle w:val="61"/>
                    <w:bidi w:val="0"/>
                    <w:ind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18.99</w:t>
                  </w:r>
                </w:p>
              </w:tc>
              <w:tc>
                <w:tcPr>
                  <w:tcW w:w="929" w:type="dxa"/>
                  <w:vAlign w:val="center"/>
                </w:tcPr>
                <w:p w14:paraId="032B843E">
                  <w:pPr>
                    <w:pStyle w:val="61"/>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r>
          </w:tbl>
          <w:p w14:paraId="72832B9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sz w:val="24"/>
                <w:lang w:val="en-US" w:eastAsia="zh-CN"/>
              </w:rPr>
              <w:t>废气治理可行性分析</w:t>
            </w:r>
          </w:p>
          <w:p w14:paraId="620EB85A">
            <w:pPr>
              <w:pStyle w:val="78"/>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default" w:eastAsia="宋体" w:cs="Times New Roman"/>
                <w:color w:val="auto"/>
                <w:lang w:val="en-US" w:eastAsia="zh-CN"/>
              </w:rPr>
              <w:t>布袋除尘器</w:t>
            </w:r>
            <w:r>
              <w:rPr>
                <w:rFonts w:hint="eastAsia" w:eastAsia="宋体" w:cs="Times New Roman"/>
                <w:color w:val="auto"/>
                <w:lang w:val="en-US" w:eastAsia="zh-CN"/>
              </w:rPr>
              <w:t>：</w:t>
            </w:r>
            <w:r>
              <w:rPr>
                <w:rFonts w:hint="default" w:eastAsia="宋体" w:cs="Times New Roman"/>
                <w:color w:val="auto"/>
                <w:lang w:val="en-US" w:eastAsia="zh-CN"/>
              </w:rPr>
              <w:t>布袋除尘器含尘气流从下部孔板进入圆筒形滤袋内，在通过滤料的孔隙时，粉尘被捕集于滤料上，透过滤料的清洁气体由排出口排出。沉积在滤料上的粉尘，可在机械振动的作用下从滤料表面脱落，落入灰斗中。袋式除尘器用以捕集非粘结非纤维性的工业粉尘和挥发物，捕获粉尘微粒可达0.1微米。袋式除尘器具有很高的净化效率，就是捕集细微的粉尘效率也可达99%以上，而且其效率比较高。它相比电除尘器结构简单、投资省、运行稳定，可以回收高电阻率粉尘；与文丘里洗涤器相比，动力消耗小，回收的干颗粒物便于综合利用。对于微细的干燥颗粒物，采用袋式除尘器捕集是适宜的，因此本项目采用布袋除尘器可行。</w:t>
            </w:r>
          </w:p>
          <w:p w14:paraId="46BB55FD">
            <w:pPr>
              <w:pStyle w:val="78"/>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三级水喷淋装置</w:t>
            </w:r>
            <w:r>
              <w:rPr>
                <w:rFonts w:hint="eastAsia" w:eastAsia="宋体" w:cs="Times New Roman"/>
                <w:color w:val="auto"/>
                <w:lang w:val="en-US" w:eastAsia="zh-CN"/>
              </w:rPr>
              <w:t>：</w:t>
            </w:r>
            <w:r>
              <w:rPr>
                <w:rFonts w:hint="eastAsia" w:cs="Times New Roman"/>
                <w:color w:val="auto"/>
                <w:lang w:val="en-US" w:eastAsia="zh-CN"/>
              </w:rPr>
              <w:t>参照</w:t>
            </w:r>
            <w:r>
              <w:rPr>
                <w:rFonts w:hint="eastAsia" w:eastAsia="宋体" w:cs="Times New Roman"/>
                <w:color w:val="auto"/>
                <w:lang w:val="en-US" w:eastAsia="zh-CN"/>
              </w:rPr>
              <w:t>《排污许可证申请与核发技术规范制药工业-生物药品制品制造》</w:t>
            </w:r>
            <w:r>
              <w:rPr>
                <w:rFonts w:hint="eastAsia" w:cs="Times New Roman"/>
                <w:color w:val="auto"/>
                <w:lang w:val="en-US" w:eastAsia="zh-CN"/>
              </w:rPr>
              <w:t>（</w:t>
            </w:r>
            <w:r>
              <w:rPr>
                <w:rFonts w:hint="eastAsia" w:eastAsia="宋体" w:cs="Times New Roman"/>
                <w:color w:val="auto"/>
                <w:lang w:val="en-US" w:eastAsia="zh-CN"/>
              </w:rPr>
              <w:t>HJ1062-2019</w:t>
            </w:r>
            <w:r>
              <w:rPr>
                <w:rFonts w:hint="eastAsia" w:cs="Times New Roman"/>
                <w:color w:val="auto"/>
                <w:lang w:val="en-US" w:eastAsia="zh-CN"/>
              </w:rPr>
              <w:t>）</w:t>
            </w:r>
            <w:r>
              <w:rPr>
                <w:rFonts w:hint="eastAsia" w:eastAsia="宋体" w:cs="Times New Roman"/>
                <w:color w:val="auto"/>
                <w:lang w:val="en-US" w:eastAsia="zh-CN"/>
              </w:rPr>
              <w:t>“表2</w:t>
            </w:r>
            <w:r>
              <w:rPr>
                <w:rFonts w:hint="eastAsia" w:cs="Times New Roman"/>
                <w:color w:val="auto"/>
                <w:lang w:val="en-US" w:eastAsia="zh-CN"/>
              </w:rPr>
              <w:t xml:space="preserve"> </w:t>
            </w:r>
            <w:r>
              <w:rPr>
                <w:rFonts w:hint="eastAsia" w:eastAsia="宋体" w:cs="Times New Roman"/>
                <w:color w:val="auto"/>
                <w:lang w:val="en-US" w:eastAsia="zh-CN"/>
              </w:rPr>
              <w:t>制药工业一生物药品制品制造排污单位废气产排污环节、污染物项目、排放形式、污染治理设施一览表”，本项目</w:t>
            </w:r>
            <w:r>
              <w:rPr>
                <w:rFonts w:hint="eastAsia" w:cs="Times New Roman"/>
                <w:color w:val="auto"/>
                <w:lang w:val="en-US" w:eastAsia="zh-CN"/>
              </w:rPr>
              <w:t>涉及</w:t>
            </w:r>
            <w:r>
              <w:rPr>
                <w:rFonts w:hint="eastAsia" w:eastAsia="宋体" w:cs="Times New Roman"/>
                <w:color w:val="auto"/>
                <w:lang w:val="en-US" w:eastAsia="zh-CN"/>
              </w:rPr>
              <w:t>溶剂回收生产设施，溶剂回收废气特征污染物</w:t>
            </w:r>
            <w:r>
              <w:rPr>
                <w:rFonts w:hint="eastAsia" w:cs="Times New Roman"/>
                <w:color w:val="auto"/>
                <w:lang w:val="en-US" w:eastAsia="zh-CN"/>
              </w:rPr>
              <w:t>参照</w:t>
            </w:r>
            <w:r>
              <w:rPr>
                <w:rFonts w:hint="eastAsia" w:eastAsia="宋体" w:cs="Times New Roman"/>
                <w:color w:val="auto"/>
                <w:lang w:val="en-US" w:eastAsia="zh-CN"/>
              </w:rPr>
              <w:t>《制药工业大气污染物排放标准》</w:t>
            </w:r>
            <w:r>
              <w:rPr>
                <w:rFonts w:hint="eastAsia" w:cs="Times New Roman"/>
                <w:color w:val="auto"/>
                <w:lang w:val="en-US" w:eastAsia="zh-CN"/>
              </w:rPr>
              <w:t>（</w:t>
            </w:r>
            <w:r>
              <w:rPr>
                <w:rFonts w:hint="eastAsia" w:eastAsia="宋体" w:cs="Times New Roman"/>
                <w:color w:val="auto"/>
                <w:lang w:val="en-US" w:eastAsia="zh-CN"/>
              </w:rPr>
              <w:t>GB 37823一2019</w:t>
            </w:r>
            <w:r>
              <w:rPr>
                <w:rFonts w:hint="eastAsia" w:cs="Times New Roman"/>
                <w:color w:val="auto"/>
                <w:lang w:val="en-US" w:eastAsia="zh-CN"/>
              </w:rPr>
              <w:t>）</w:t>
            </w:r>
            <w:r>
              <w:rPr>
                <w:rFonts w:hint="eastAsia" w:eastAsia="宋体" w:cs="Times New Roman"/>
                <w:color w:val="auto"/>
                <w:lang w:val="en-US" w:eastAsia="zh-CN"/>
              </w:rPr>
              <w:t>中表2特别排放限值及附录B，将乙醇计入TVOC的物质。</w:t>
            </w:r>
            <w:r>
              <w:rPr>
                <w:rFonts w:hint="default" w:eastAsia="宋体" w:cs="Times New Roman"/>
                <w:color w:val="auto"/>
                <w:lang w:val="en-US" w:eastAsia="zh-CN"/>
              </w:rPr>
              <w:t>乙醇极易溶于水及与水任意比例互溶的物理特性，本项目通过水喷淋吸收尾气中的乙醇不凝气为可行技术。</w:t>
            </w:r>
          </w:p>
          <w:p w14:paraId="219AA3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157" w:afterLines="50" w:afterAutospacing="0" w:line="240" w:lineRule="auto"/>
              <w:ind w:left="0" w:right="0" w:firstLine="482" w:firstLineChars="200"/>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lang w:val="en-US" w:eastAsia="zh-CN"/>
              </w:rPr>
              <w:t>（3）</w:t>
            </w:r>
            <w:r>
              <w:rPr>
                <w:rFonts w:hint="eastAsia" w:ascii="Times New Roman" w:hAnsi="Times New Roman" w:eastAsia="宋体" w:cs="Times New Roman"/>
                <w:b/>
                <w:bCs/>
                <w:color w:val="auto"/>
                <w:kern w:val="2"/>
                <w:sz w:val="24"/>
                <w:szCs w:val="24"/>
                <w:lang w:val="en-US" w:eastAsia="zh-CN" w:bidi="ar-SA"/>
              </w:rPr>
              <w:t>排气筒设置合理性分析</w:t>
            </w:r>
          </w:p>
          <w:p w14:paraId="67EBDE88">
            <w:pPr>
              <w:pStyle w:val="78"/>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eastAsia="宋体" w:cs="Times New Roman"/>
                <w:color w:val="auto"/>
                <w:lang w:val="en-US" w:eastAsia="zh-CN"/>
              </w:rPr>
              <w:t>项目锅炉烟气经</w:t>
            </w:r>
            <w:r>
              <w:rPr>
                <w:rFonts w:hint="eastAsia" w:cs="Times New Roman"/>
                <w:color w:val="auto"/>
                <w:lang w:val="en-US" w:eastAsia="zh-CN"/>
              </w:rPr>
              <w:t>40</w:t>
            </w:r>
            <w:r>
              <w:rPr>
                <w:rFonts w:hint="eastAsia" w:eastAsia="宋体" w:cs="Times New Roman"/>
                <w:color w:val="auto"/>
                <w:lang w:val="en-US" w:eastAsia="zh-CN"/>
              </w:rPr>
              <w:t>m高DA001排气筒排放，根据</w:t>
            </w:r>
            <w:r>
              <w:rPr>
                <w:rFonts w:hint="default"/>
                <w:color w:val="auto"/>
              </w:rPr>
              <w:t>《锅炉大气污染物排放标准》（</w:t>
            </w:r>
            <w:r>
              <w:rPr>
                <w:rFonts w:hint="eastAsia"/>
                <w:color w:val="auto"/>
              </w:rPr>
              <w:t>GB13271-2014</w:t>
            </w:r>
            <w:r>
              <w:rPr>
                <w:rFonts w:hint="default"/>
                <w:color w:val="auto"/>
              </w:rPr>
              <w:t>）</w:t>
            </w:r>
            <w:r>
              <w:rPr>
                <w:rFonts w:hint="eastAsia"/>
                <w:color w:val="auto"/>
                <w:lang w:eastAsia="zh-CN"/>
              </w:rPr>
              <w:t>，</w:t>
            </w:r>
            <w:r>
              <w:rPr>
                <w:rFonts w:hint="eastAsia"/>
                <w:color w:val="auto"/>
                <w:lang w:val="en-US" w:eastAsia="zh-CN"/>
              </w:rPr>
              <w:t>锅炉规格大于等于10t/h的锅炉排气筒高度高于40m，项目</w:t>
            </w:r>
            <w:r>
              <w:rPr>
                <w:rFonts w:hint="eastAsia" w:eastAsia="宋体" w:cs="Times New Roman"/>
                <w:color w:val="auto"/>
                <w:lang w:val="en-US" w:eastAsia="zh-CN"/>
              </w:rPr>
              <w:t>DA001排气筒高度为</w:t>
            </w:r>
            <w:r>
              <w:rPr>
                <w:rFonts w:hint="eastAsia" w:cs="Times New Roman"/>
                <w:color w:val="auto"/>
                <w:lang w:val="en-US" w:eastAsia="zh-CN"/>
              </w:rPr>
              <w:t>40</w:t>
            </w:r>
            <w:r>
              <w:rPr>
                <w:rFonts w:hint="eastAsia" w:eastAsia="宋体" w:cs="Times New Roman"/>
                <w:color w:val="auto"/>
                <w:lang w:val="en-US" w:eastAsia="zh-CN"/>
              </w:rPr>
              <w:t>m，排气筒设置合理</w:t>
            </w:r>
            <w:r>
              <w:rPr>
                <w:rFonts w:hint="default" w:ascii="Times New Roman" w:hAnsi="Times New Roman" w:eastAsia="宋体" w:cs="Times New Roman"/>
                <w:color w:val="auto"/>
                <w:sz w:val="24"/>
                <w:lang w:val="en-US" w:eastAsia="zh-CN"/>
              </w:rPr>
              <w:t>。根据</w:t>
            </w:r>
            <w:r>
              <w:rPr>
                <w:rFonts w:hint="default"/>
                <w:color w:val="auto"/>
              </w:rPr>
              <w:t>《</w:t>
            </w:r>
            <w:r>
              <w:rPr>
                <w:rFonts w:hint="default" w:ascii="Times New Roman" w:hAnsi="Times New Roman" w:eastAsia="宋体" w:cs="Times New Roman"/>
                <w:color w:val="auto"/>
                <w:sz w:val="24"/>
                <w:lang w:val="en-US" w:eastAsia="zh-CN"/>
              </w:rPr>
              <w:t>大气污染物综合排放标准</w:t>
            </w:r>
            <w:r>
              <w:rPr>
                <w:rFonts w:hint="default"/>
                <w:color w:val="auto"/>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GB16297-1996</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新污染源排气筒一般不低于15m，排气筒高度应高于周围200m半径范围内最高建筑5m，不能达到该要求的排气筒，应按其高度对应的表列排放速率标准值严格50%执行。本项目排气筒高度为</w:t>
            </w:r>
            <w:r>
              <w:rPr>
                <w:rFonts w:hint="eastAsia" w:cs="Times New Roman"/>
                <w:color w:val="auto"/>
                <w:sz w:val="24"/>
                <w:lang w:val="en-US" w:eastAsia="zh-CN"/>
              </w:rPr>
              <w:t>15</w:t>
            </w:r>
            <w:r>
              <w:rPr>
                <w:rFonts w:hint="default" w:ascii="Times New Roman" w:hAnsi="Times New Roman" w:eastAsia="宋体" w:cs="Times New Roman"/>
                <w:color w:val="auto"/>
                <w:sz w:val="24"/>
                <w:lang w:val="en-US" w:eastAsia="zh-CN"/>
              </w:rPr>
              <w:t>m，周边200m半径范围内最高建筑为</w:t>
            </w:r>
            <w:r>
              <w:rPr>
                <w:rFonts w:hint="eastAsia" w:cs="Times New Roman"/>
                <w:color w:val="auto"/>
                <w:sz w:val="24"/>
                <w:lang w:val="en-US" w:eastAsia="zh-CN"/>
              </w:rPr>
              <w:t>14</w:t>
            </w:r>
            <w:r>
              <w:rPr>
                <w:rFonts w:hint="default" w:ascii="Times New Roman" w:hAnsi="Times New Roman" w:eastAsia="宋体" w:cs="Times New Roman"/>
                <w:color w:val="auto"/>
                <w:sz w:val="24"/>
                <w:lang w:val="en-US" w:eastAsia="zh-CN"/>
              </w:rPr>
              <w:t>m，根据计算，排放速率满足标准值严格50%</w:t>
            </w:r>
            <w:r>
              <w:rPr>
                <w:rFonts w:hint="eastAsia" w:cs="Times New Roman"/>
                <w:color w:val="auto"/>
                <w:sz w:val="24"/>
                <w:lang w:val="en-US" w:eastAsia="zh-CN"/>
              </w:rPr>
              <w:t>。DA002内径0.5m，风机风量为10000</w:t>
            </w:r>
            <w:r>
              <w:rPr>
                <w:rFonts w:hint="default"/>
                <w:color w:val="auto"/>
                <w:lang w:val="en-US" w:eastAsia="zh-CN"/>
              </w:rPr>
              <w:t>m</w:t>
            </w:r>
            <w:r>
              <w:rPr>
                <w:rFonts w:hint="default"/>
                <w:color w:val="auto"/>
                <w:vertAlign w:val="superscript"/>
                <w:lang w:val="en-US" w:eastAsia="zh-CN"/>
              </w:rPr>
              <w:t>3</w:t>
            </w:r>
            <w:r>
              <w:rPr>
                <w:rFonts w:hint="eastAsia" w:cs="Times New Roman"/>
                <w:color w:val="auto"/>
                <w:sz w:val="24"/>
                <w:lang w:val="en-US" w:eastAsia="zh-CN"/>
              </w:rPr>
              <w:t>/h</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则烟气流速为15.14m/s，位于工业排气系统常规推荐的10~20m/s合理范围内，</w:t>
            </w:r>
            <w:r>
              <w:rPr>
                <w:rFonts w:hint="default" w:ascii="Times New Roman" w:hAnsi="Times New Roman" w:eastAsia="宋体" w:cs="Times New Roman"/>
                <w:color w:val="auto"/>
                <w:sz w:val="24"/>
                <w:lang w:val="en-US" w:eastAsia="zh-CN"/>
              </w:rPr>
              <w:t>因此，本项目排气筒设置合理。</w:t>
            </w:r>
          </w:p>
          <w:p w14:paraId="34264DCB">
            <w:pPr>
              <w:pStyle w:val="78"/>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（4）非正常工况废气排放情况</w:t>
            </w:r>
          </w:p>
          <w:p w14:paraId="560D30AB">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废气污染源非正常排放汇总表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86"/>
              <w:gridCol w:w="724"/>
              <w:gridCol w:w="758"/>
              <w:gridCol w:w="1387"/>
              <w:gridCol w:w="652"/>
              <w:gridCol w:w="857"/>
              <w:gridCol w:w="663"/>
              <w:gridCol w:w="846"/>
              <w:gridCol w:w="658"/>
              <w:gridCol w:w="644"/>
            </w:tblGrid>
            <w:tr w14:paraId="2A529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restart"/>
                  <w:tcBorders>
                    <w:top w:val="single" w:color="auto" w:sz="4" w:space="0"/>
                    <w:left w:val="single" w:color="auto" w:sz="4" w:space="0"/>
                    <w:right w:val="single" w:color="auto" w:sz="4" w:space="0"/>
                    <w:tl2br w:val="nil"/>
                    <w:tr2bl w:val="nil"/>
                  </w:tcBorders>
                  <w:noWrap w:val="0"/>
                  <w:vAlign w:val="center"/>
                </w:tcPr>
                <w:p w14:paraId="011A6818">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产排污环节</w:t>
                  </w:r>
                </w:p>
              </w:tc>
              <w:tc>
                <w:tcPr>
                  <w:tcW w:w="461"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B14BD3D">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污染物排放形式</w:t>
                  </w:r>
                </w:p>
              </w:tc>
              <w:tc>
                <w:tcPr>
                  <w:tcW w:w="482"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D2E12F7">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污染物种类</w:t>
                  </w:r>
                </w:p>
              </w:tc>
              <w:tc>
                <w:tcPr>
                  <w:tcW w:w="881"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E045B3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非正常排放原因</w:t>
                  </w:r>
                </w:p>
              </w:tc>
              <w:tc>
                <w:tcPr>
                  <w:tcW w:w="1382" w:type="pct"/>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437890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非正常排放频次</w:t>
                  </w:r>
                </w:p>
              </w:tc>
              <w:tc>
                <w:tcPr>
                  <w:tcW w:w="943"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C61AC2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排放速率和浓度</w:t>
                  </w:r>
                </w:p>
              </w:tc>
              <w:tc>
                <w:tcPr>
                  <w:tcW w:w="410"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89EEAC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控制</w:t>
                  </w:r>
                </w:p>
                <w:p w14:paraId="108F068C">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措施</w:t>
                  </w:r>
                </w:p>
              </w:tc>
            </w:tr>
            <w:tr w14:paraId="4E210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continue"/>
                  <w:tcBorders>
                    <w:left w:val="single" w:color="auto" w:sz="4" w:space="0"/>
                    <w:bottom w:val="single" w:color="auto" w:sz="4" w:space="0"/>
                    <w:right w:val="single" w:color="auto" w:sz="4" w:space="0"/>
                    <w:tl2br w:val="nil"/>
                    <w:tr2bl w:val="nil"/>
                  </w:tcBorders>
                  <w:noWrap w:val="0"/>
                  <w:vAlign w:val="center"/>
                </w:tcPr>
                <w:p w14:paraId="7D520140">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61"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6380DEF">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8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06C44E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881"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C8F86E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1F3698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次数次/年</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A27403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sz w:val="21"/>
                      <w:szCs w:val="24"/>
                    </w:rPr>
                    <w:t>单次持续时间</w:t>
                  </w:r>
                  <w:r>
                    <w:rPr>
                      <w:rFonts w:hint="default" w:ascii="Times New Roman" w:hAnsi="Times New Roman" w:cs="Times New Roman"/>
                      <w:color w:val="auto"/>
                      <w:sz w:val="21"/>
                      <w:szCs w:val="24"/>
                      <w:lang w:val="en-US" w:eastAsia="zh-CN"/>
                    </w:rPr>
                    <w:t>h</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A24C684">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default" w:ascii="Times New Roman" w:hAnsi="Times New Roman" w:cs="Times New Roman"/>
                      <w:color w:val="auto"/>
                      <w:sz w:val="21"/>
                      <w:szCs w:val="24"/>
                    </w:rPr>
                    <w:t>总排放时间</w:t>
                  </w:r>
                  <w:r>
                    <w:rPr>
                      <w:rFonts w:hint="default" w:ascii="Times New Roman" w:hAnsi="Times New Roman" w:cs="Times New Roman"/>
                      <w:color w:val="auto"/>
                      <w:sz w:val="21"/>
                      <w:szCs w:val="24"/>
                      <w:lang w:val="en-US" w:eastAsia="zh-CN"/>
                    </w:rPr>
                    <w:t>h</w:t>
                  </w:r>
                </w:p>
              </w:tc>
              <w:tc>
                <w:tcPr>
                  <w:tcW w:w="53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1D8278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w:t>
                  </w:r>
                </w:p>
                <w:p w14:paraId="6F3372D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浓度mg/</w:t>
                  </w:r>
                  <w:r>
                    <w:rPr>
                      <w:rFonts w:hint="default"/>
                      <w:color w:val="auto"/>
                      <w:lang w:val="en-US" w:eastAsia="zh-CN"/>
                    </w:rPr>
                    <w:t>m</w:t>
                  </w:r>
                  <w:r>
                    <w:rPr>
                      <w:rFonts w:hint="default"/>
                      <w:color w:val="auto"/>
                      <w:vertAlign w:val="superscript"/>
                      <w:lang w:val="en-US" w:eastAsia="zh-CN"/>
                    </w:rPr>
                    <w:t>3</w:t>
                  </w:r>
                </w:p>
              </w:tc>
              <w:tc>
                <w:tcPr>
                  <w:tcW w:w="40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8E6FC0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w:t>
                  </w:r>
                </w:p>
                <w:p w14:paraId="0EF11CCE">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速率</w:t>
                  </w:r>
                </w:p>
                <w:p w14:paraId="1CB490E6">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kg/h</w:t>
                  </w:r>
                </w:p>
              </w:tc>
              <w:tc>
                <w:tcPr>
                  <w:tcW w:w="41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1FC55B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r w14:paraId="5373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restart"/>
                  <w:tcBorders>
                    <w:top w:val="single" w:color="auto" w:sz="4" w:space="0"/>
                    <w:left w:val="single" w:color="auto" w:sz="4" w:space="0"/>
                    <w:right w:val="single" w:color="auto" w:sz="4" w:space="0"/>
                    <w:tl2br w:val="nil"/>
                    <w:tr2bl w:val="nil"/>
                  </w:tcBorders>
                  <w:noWrap w:val="0"/>
                  <w:vAlign w:val="center"/>
                </w:tcPr>
                <w:p w14:paraId="632E6682">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冷凝、沉淀、过滤</w:t>
                  </w:r>
                </w:p>
              </w:tc>
              <w:tc>
                <w:tcPr>
                  <w:tcW w:w="461" w:type="pct"/>
                  <w:vMerge w:val="restart"/>
                  <w:tcBorders>
                    <w:top w:val="single" w:color="auto" w:sz="4" w:space="0"/>
                    <w:left w:val="single" w:color="auto" w:sz="4" w:space="0"/>
                    <w:right w:val="single" w:color="auto" w:sz="4" w:space="0"/>
                    <w:tl2br w:val="nil"/>
                    <w:tr2bl w:val="nil"/>
                  </w:tcBorders>
                  <w:noWrap w:val="0"/>
                  <w:vAlign w:val="center"/>
                </w:tcPr>
                <w:p w14:paraId="1F1AF73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有组织</w:t>
                  </w:r>
                </w:p>
              </w:tc>
              <w:tc>
                <w:tcPr>
                  <w:tcW w:w="48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D3F9E8F">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TVOC</w:t>
                  </w:r>
                </w:p>
              </w:tc>
              <w:tc>
                <w:tcPr>
                  <w:tcW w:w="881" w:type="pct"/>
                  <w:vMerge w:val="restart"/>
                  <w:tcBorders>
                    <w:top w:val="single" w:color="auto" w:sz="4" w:space="0"/>
                    <w:left w:val="single" w:color="auto" w:sz="4" w:space="0"/>
                    <w:right w:val="single" w:color="auto" w:sz="4" w:space="0"/>
                    <w:tl2br w:val="nil"/>
                    <w:tr2bl w:val="nil"/>
                  </w:tcBorders>
                  <w:noWrap w:val="0"/>
                  <w:vAlign w:val="center"/>
                </w:tcPr>
                <w:p w14:paraId="0E07525B">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lang w:val="zh-CN"/>
                    </w:rPr>
                    <w:t>废气处理设施出现故障，去除效率为0</w:t>
                  </w: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EA7ED31">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1</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AB484CF">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4C439DF">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85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357F61">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126.7</w:t>
                  </w:r>
                </w:p>
              </w:tc>
              <w:tc>
                <w:tcPr>
                  <w:tcW w:w="6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4F4C77">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1.267</w:t>
                  </w:r>
                </w:p>
              </w:tc>
              <w:tc>
                <w:tcPr>
                  <w:tcW w:w="410" w:type="pct"/>
                  <w:vMerge w:val="restart"/>
                  <w:tcBorders>
                    <w:top w:val="single" w:color="auto" w:sz="4" w:space="0"/>
                    <w:left w:val="single" w:color="auto" w:sz="4" w:space="0"/>
                    <w:right w:val="single" w:color="auto" w:sz="4" w:space="0"/>
                    <w:tl2br w:val="nil"/>
                    <w:tr2bl w:val="nil"/>
                  </w:tcBorders>
                  <w:noWrap w:val="0"/>
                  <w:vAlign w:val="center"/>
                </w:tcPr>
                <w:p w14:paraId="34CF112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立即停止生产</w:t>
                  </w:r>
                </w:p>
              </w:tc>
            </w:tr>
            <w:tr w14:paraId="27934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continue"/>
                  <w:tcBorders>
                    <w:left w:val="single" w:color="auto" w:sz="4" w:space="0"/>
                    <w:right w:val="single" w:color="auto" w:sz="4" w:space="0"/>
                    <w:tl2br w:val="nil"/>
                    <w:tr2bl w:val="nil"/>
                  </w:tcBorders>
                  <w:noWrap w:val="0"/>
                  <w:vAlign w:val="center"/>
                </w:tcPr>
                <w:p w14:paraId="65A2FAA8">
                  <w:pPr>
                    <w:pStyle w:val="61"/>
                    <w:keepNext w:val="0"/>
                    <w:keepLines w:val="0"/>
                    <w:suppressLineNumbers w:val="0"/>
                    <w:spacing w:before="0" w:beforeLines="0" w:beforeAutospacing="0" w:after="0" w:afterLines="0" w:afterAutospacing="0"/>
                    <w:ind w:left="0" w:right="0"/>
                    <w:rPr>
                      <w:rFonts w:hint="eastAsia" w:cs="Times New Roman"/>
                      <w:color w:val="auto"/>
                      <w:sz w:val="21"/>
                      <w:szCs w:val="24"/>
                      <w:lang w:val="en-US" w:eastAsia="zh-CN"/>
                    </w:rPr>
                  </w:pPr>
                </w:p>
              </w:tc>
              <w:tc>
                <w:tcPr>
                  <w:tcW w:w="461" w:type="pct"/>
                  <w:vMerge w:val="continue"/>
                  <w:tcBorders>
                    <w:left w:val="single" w:color="auto" w:sz="4" w:space="0"/>
                    <w:right w:val="single" w:color="auto" w:sz="4" w:space="0"/>
                    <w:tl2br w:val="nil"/>
                    <w:tr2bl w:val="nil"/>
                  </w:tcBorders>
                  <w:noWrap w:val="0"/>
                  <w:vAlign w:val="center"/>
                </w:tcPr>
                <w:p w14:paraId="77C971D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8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9CDB4C8">
                  <w:pPr>
                    <w:pStyle w:val="61"/>
                    <w:keepNext w:val="0"/>
                    <w:keepLines w:val="0"/>
                    <w:suppressLineNumbers w:val="0"/>
                    <w:spacing w:before="0" w:beforeLines="0" w:beforeAutospacing="0" w:after="0" w:afterLines="0" w:afterAutospacing="0"/>
                    <w:ind w:left="0" w:right="0"/>
                    <w:rPr>
                      <w:rFonts w:hint="eastAsia" w:eastAsia="宋体"/>
                      <w:color w:val="auto"/>
                      <w:lang w:val="en-US" w:eastAsia="zh-CN"/>
                    </w:rPr>
                  </w:pPr>
                  <w:r>
                    <w:rPr>
                      <w:rFonts w:hint="eastAsia"/>
                      <w:color w:val="auto"/>
                      <w:lang w:val="en-US" w:eastAsia="zh-CN"/>
                    </w:rPr>
                    <w:t>颗粒物</w:t>
                  </w:r>
                </w:p>
              </w:tc>
              <w:tc>
                <w:tcPr>
                  <w:tcW w:w="881" w:type="pct"/>
                  <w:vMerge w:val="continue"/>
                  <w:tcBorders>
                    <w:left w:val="single" w:color="auto" w:sz="4" w:space="0"/>
                    <w:right w:val="single" w:color="auto" w:sz="4" w:space="0"/>
                    <w:tl2br w:val="nil"/>
                    <w:tr2bl w:val="nil"/>
                  </w:tcBorders>
                  <w:noWrap w:val="0"/>
                  <w:vAlign w:val="center"/>
                </w:tcPr>
                <w:p w14:paraId="3976CF00">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zh-CN"/>
                    </w:rPr>
                  </w:pP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88C542F">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1</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6A3551A">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4FCA53F">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85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0B21AF9">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59.8</w:t>
                  </w:r>
                </w:p>
              </w:tc>
              <w:tc>
                <w:tcPr>
                  <w:tcW w:w="6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B676A6">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0.598</w:t>
                  </w:r>
                </w:p>
              </w:tc>
              <w:tc>
                <w:tcPr>
                  <w:tcW w:w="410" w:type="pct"/>
                  <w:vMerge w:val="continue"/>
                  <w:tcBorders>
                    <w:left w:val="single" w:color="auto" w:sz="4" w:space="0"/>
                    <w:right w:val="single" w:color="auto" w:sz="4" w:space="0"/>
                    <w:tl2br w:val="nil"/>
                    <w:tr2bl w:val="nil"/>
                  </w:tcBorders>
                  <w:noWrap w:val="0"/>
                  <w:vAlign w:val="center"/>
                </w:tcPr>
                <w:p w14:paraId="4F1837A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r w14:paraId="7F113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restart"/>
                  <w:tcBorders>
                    <w:left w:val="single" w:color="auto" w:sz="4" w:space="0"/>
                    <w:right w:val="single" w:color="auto" w:sz="4" w:space="0"/>
                    <w:tl2br w:val="nil"/>
                    <w:tr2bl w:val="nil"/>
                  </w:tcBorders>
                  <w:noWrap w:val="0"/>
                  <w:vAlign w:val="center"/>
                </w:tcPr>
                <w:p w14:paraId="626D1A4B">
                  <w:pPr>
                    <w:pStyle w:val="61"/>
                    <w:keepNext w:val="0"/>
                    <w:keepLines w:val="0"/>
                    <w:suppressLineNumbers w:val="0"/>
                    <w:spacing w:before="0" w:beforeLines="0" w:beforeAutospacing="0" w:after="0" w:afterLines="0" w:afterAutospacing="0"/>
                    <w:ind w:left="0" w:right="0"/>
                    <w:rPr>
                      <w:rFonts w:hint="default" w:cs="Times New Roman"/>
                      <w:color w:val="auto"/>
                      <w:sz w:val="21"/>
                      <w:szCs w:val="24"/>
                      <w:lang w:val="en-US" w:eastAsia="zh-CN"/>
                    </w:rPr>
                  </w:pPr>
                  <w:r>
                    <w:rPr>
                      <w:rFonts w:hint="eastAsia" w:cs="Times New Roman"/>
                      <w:color w:val="auto"/>
                      <w:sz w:val="21"/>
                      <w:szCs w:val="24"/>
                      <w:lang w:val="en-US" w:eastAsia="zh-CN"/>
                    </w:rPr>
                    <w:t>锅炉烟气</w:t>
                  </w:r>
                </w:p>
              </w:tc>
              <w:tc>
                <w:tcPr>
                  <w:tcW w:w="461" w:type="pct"/>
                  <w:vMerge w:val="restart"/>
                  <w:tcBorders>
                    <w:left w:val="single" w:color="auto" w:sz="4" w:space="0"/>
                    <w:right w:val="single" w:color="auto" w:sz="4" w:space="0"/>
                    <w:tl2br w:val="nil"/>
                    <w:tr2bl w:val="nil"/>
                  </w:tcBorders>
                  <w:noWrap w:val="0"/>
                  <w:vAlign w:val="center"/>
                </w:tcPr>
                <w:p w14:paraId="0BAB0DC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有组织</w:t>
                  </w:r>
                </w:p>
              </w:tc>
              <w:tc>
                <w:tcPr>
                  <w:tcW w:w="48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4E32469">
                  <w:pPr>
                    <w:pStyle w:val="58"/>
                    <w:keepNext w:val="0"/>
                    <w:keepLines w:val="0"/>
                    <w:suppressLineNumbers w:val="0"/>
                    <w:spacing w:before="0" w:beforeAutospacing="0" w:after="0" w:afterAutospacing="0"/>
                    <w:ind w:left="0" w:right="0" w:firstLine="0" w:firstLineChars="0"/>
                    <w:rPr>
                      <w:rFonts w:hint="eastAsia"/>
                      <w:color w:val="auto"/>
                      <w:lang w:val="en-US" w:eastAsia="zh-CN"/>
                    </w:rPr>
                  </w:pPr>
                  <w:r>
                    <w:rPr>
                      <w:rFonts w:hint="default"/>
                      <w:color w:val="auto"/>
                    </w:rPr>
                    <w:t>烟尘</w:t>
                  </w:r>
                </w:p>
              </w:tc>
              <w:tc>
                <w:tcPr>
                  <w:tcW w:w="881" w:type="pct"/>
                  <w:vMerge w:val="continue"/>
                  <w:tcBorders>
                    <w:left w:val="single" w:color="auto" w:sz="4" w:space="0"/>
                    <w:right w:val="single" w:color="auto" w:sz="4" w:space="0"/>
                    <w:tl2br w:val="nil"/>
                    <w:tr2bl w:val="nil"/>
                  </w:tcBorders>
                  <w:noWrap w:val="0"/>
                  <w:vAlign w:val="center"/>
                </w:tcPr>
                <w:p w14:paraId="7D9555AA">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zh-CN"/>
                    </w:rPr>
                  </w:pP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E9E69A0">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1</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35A815A">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7D4F406">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85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BA31D3">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79</w:t>
                  </w:r>
                </w:p>
              </w:tc>
              <w:tc>
                <w:tcPr>
                  <w:tcW w:w="6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54735F">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0.025</w:t>
                  </w:r>
                </w:p>
              </w:tc>
              <w:tc>
                <w:tcPr>
                  <w:tcW w:w="410" w:type="pct"/>
                  <w:vMerge w:val="continue"/>
                  <w:tcBorders>
                    <w:left w:val="single" w:color="auto" w:sz="4" w:space="0"/>
                    <w:right w:val="single" w:color="auto" w:sz="4" w:space="0"/>
                    <w:tl2br w:val="nil"/>
                    <w:tr2bl w:val="nil"/>
                  </w:tcBorders>
                  <w:noWrap w:val="0"/>
                  <w:vAlign w:val="center"/>
                </w:tcPr>
                <w:p w14:paraId="6B0663A9">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r w14:paraId="0D90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continue"/>
                  <w:tcBorders>
                    <w:left w:val="single" w:color="auto" w:sz="4" w:space="0"/>
                    <w:right w:val="single" w:color="auto" w:sz="4" w:space="0"/>
                    <w:tl2br w:val="nil"/>
                    <w:tr2bl w:val="nil"/>
                  </w:tcBorders>
                  <w:noWrap w:val="0"/>
                  <w:vAlign w:val="center"/>
                </w:tcPr>
                <w:p w14:paraId="370A5A41">
                  <w:pPr>
                    <w:pStyle w:val="61"/>
                    <w:keepNext w:val="0"/>
                    <w:keepLines w:val="0"/>
                    <w:suppressLineNumbers w:val="0"/>
                    <w:spacing w:before="0" w:beforeLines="0" w:beforeAutospacing="0" w:after="0" w:afterLines="0" w:afterAutospacing="0"/>
                    <w:ind w:left="0" w:right="0"/>
                    <w:rPr>
                      <w:rFonts w:hint="eastAsia" w:cs="Times New Roman"/>
                      <w:color w:val="auto"/>
                      <w:sz w:val="21"/>
                      <w:szCs w:val="24"/>
                      <w:lang w:val="en-US" w:eastAsia="zh-CN"/>
                    </w:rPr>
                  </w:pPr>
                </w:p>
              </w:tc>
              <w:tc>
                <w:tcPr>
                  <w:tcW w:w="461" w:type="pct"/>
                  <w:vMerge w:val="continue"/>
                  <w:tcBorders>
                    <w:left w:val="single" w:color="auto" w:sz="4" w:space="0"/>
                    <w:right w:val="single" w:color="auto" w:sz="4" w:space="0"/>
                    <w:tl2br w:val="nil"/>
                    <w:tr2bl w:val="nil"/>
                  </w:tcBorders>
                  <w:noWrap w:val="0"/>
                  <w:vAlign w:val="center"/>
                </w:tcPr>
                <w:p w14:paraId="11CFC0C1">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8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C9BF971">
                  <w:pPr>
                    <w:pStyle w:val="58"/>
                    <w:keepNext w:val="0"/>
                    <w:keepLines w:val="0"/>
                    <w:suppressLineNumbers w:val="0"/>
                    <w:spacing w:before="0" w:beforeAutospacing="0" w:after="0" w:afterAutospacing="0"/>
                    <w:ind w:left="0" w:right="0" w:firstLine="0" w:firstLineChars="0"/>
                    <w:rPr>
                      <w:rFonts w:hint="eastAsia"/>
                      <w:color w:val="auto"/>
                      <w:lang w:val="en-US" w:eastAsia="zh-CN"/>
                    </w:rPr>
                  </w:pPr>
                  <w:r>
                    <w:rPr>
                      <w:rFonts w:hint="default"/>
                      <w:color w:val="auto"/>
                    </w:rPr>
                    <w:t>SO₂</w:t>
                  </w:r>
                </w:p>
              </w:tc>
              <w:tc>
                <w:tcPr>
                  <w:tcW w:w="881" w:type="pct"/>
                  <w:vMerge w:val="continue"/>
                  <w:tcBorders>
                    <w:left w:val="single" w:color="auto" w:sz="4" w:space="0"/>
                    <w:right w:val="single" w:color="auto" w:sz="4" w:space="0"/>
                    <w:tl2br w:val="nil"/>
                    <w:tr2bl w:val="nil"/>
                  </w:tcBorders>
                  <w:noWrap w:val="0"/>
                  <w:vAlign w:val="center"/>
                </w:tcPr>
                <w:p w14:paraId="48590A81">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zh-CN"/>
                    </w:rPr>
                  </w:pP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91C9BC4">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1</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6796B13">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02FBFA1">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85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FF7C75">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54</w:t>
                  </w:r>
                </w:p>
              </w:tc>
              <w:tc>
                <w:tcPr>
                  <w:tcW w:w="6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7E192">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0.017</w:t>
                  </w:r>
                </w:p>
              </w:tc>
              <w:tc>
                <w:tcPr>
                  <w:tcW w:w="410" w:type="pct"/>
                  <w:vMerge w:val="continue"/>
                  <w:tcBorders>
                    <w:left w:val="single" w:color="auto" w:sz="4" w:space="0"/>
                    <w:right w:val="single" w:color="auto" w:sz="4" w:space="0"/>
                    <w:tl2br w:val="nil"/>
                    <w:tr2bl w:val="nil"/>
                  </w:tcBorders>
                  <w:noWrap w:val="0"/>
                  <w:vAlign w:val="center"/>
                </w:tcPr>
                <w:p w14:paraId="16EE997A">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r w14:paraId="1E18B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437" w:type="pct"/>
                  <w:vMerge w:val="continue"/>
                  <w:tcBorders>
                    <w:left w:val="single" w:color="auto" w:sz="4" w:space="0"/>
                    <w:right w:val="single" w:color="auto" w:sz="4" w:space="0"/>
                    <w:tl2br w:val="nil"/>
                    <w:tr2bl w:val="nil"/>
                  </w:tcBorders>
                  <w:noWrap w:val="0"/>
                  <w:vAlign w:val="center"/>
                </w:tcPr>
                <w:p w14:paraId="2A69B0CB">
                  <w:pPr>
                    <w:pStyle w:val="61"/>
                    <w:keepNext w:val="0"/>
                    <w:keepLines w:val="0"/>
                    <w:suppressLineNumbers w:val="0"/>
                    <w:spacing w:before="0" w:beforeLines="0" w:beforeAutospacing="0" w:after="0" w:afterLines="0" w:afterAutospacing="0"/>
                    <w:ind w:left="0" w:right="0"/>
                    <w:rPr>
                      <w:rFonts w:hint="eastAsia" w:cs="Times New Roman"/>
                      <w:color w:val="auto"/>
                      <w:sz w:val="21"/>
                      <w:szCs w:val="24"/>
                      <w:lang w:val="en-US" w:eastAsia="zh-CN"/>
                    </w:rPr>
                  </w:pPr>
                </w:p>
              </w:tc>
              <w:tc>
                <w:tcPr>
                  <w:tcW w:w="461" w:type="pct"/>
                  <w:vMerge w:val="continue"/>
                  <w:tcBorders>
                    <w:left w:val="single" w:color="auto" w:sz="4" w:space="0"/>
                    <w:right w:val="single" w:color="auto" w:sz="4" w:space="0"/>
                    <w:tl2br w:val="nil"/>
                    <w:tr2bl w:val="nil"/>
                  </w:tcBorders>
                  <w:noWrap w:val="0"/>
                  <w:vAlign w:val="center"/>
                </w:tcPr>
                <w:p w14:paraId="2E5F26A5">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8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36BC26B">
                  <w:pPr>
                    <w:pStyle w:val="58"/>
                    <w:keepNext w:val="0"/>
                    <w:keepLines w:val="0"/>
                    <w:suppressLineNumbers w:val="0"/>
                    <w:spacing w:before="0" w:beforeAutospacing="0" w:after="0" w:afterAutospacing="0"/>
                    <w:ind w:left="0" w:right="0" w:firstLine="0" w:firstLineChars="0"/>
                    <w:rPr>
                      <w:rFonts w:hint="eastAsia"/>
                      <w:color w:val="auto"/>
                      <w:lang w:val="en-US" w:eastAsia="zh-CN"/>
                    </w:rPr>
                  </w:pPr>
                  <w:r>
                    <w:rPr>
                      <w:rFonts w:hint="eastAsia"/>
                      <w:color w:val="auto"/>
                      <w:lang w:val="en-US" w:eastAsia="zh-CN"/>
                    </w:rPr>
                    <w:t>NOx</w:t>
                  </w:r>
                </w:p>
              </w:tc>
              <w:tc>
                <w:tcPr>
                  <w:tcW w:w="881" w:type="pct"/>
                  <w:vMerge w:val="continue"/>
                  <w:tcBorders>
                    <w:left w:val="single" w:color="auto" w:sz="4" w:space="0"/>
                    <w:bottom w:val="single" w:color="auto" w:sz="4" w:space="0"/>
                    <w:right w:val="single" w:color="auto" w:sz="4" w:space="0"/>
                    <w:tl2br w:val="nil"/>
                    <w:tr2bl w:val="nil"/>
                  </w:tcBorders>
                  <w:noWrap w:val="0"/>
                  <w:vAlign w:val="center"/>
                </w:tcPr>
                <w:p w14:paraId="74FB403D">
                  <w:pPr>
                    <w:pStyle w:val="61"/>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zh-CN"/>
                    </w:rPr>
                  </w:pPr>
                </w:p>
              </w:tc>
              <w:tc>
                <w:tcPr>
                  <w:tcW w:w="41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0AC3F88">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1</w:t>
                  </w:r>
                </w:p>
              </w:tc>
              <w:tc>
                <w:tcPr>
                  <w:tcW w:w="54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9C31B3">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42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036645C">
                  <w:pPr>
                    <w:pStyle w:val="61"/>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0.5</w:t>
                  </w:r>
                </w:p>
              </w:tc>
              <w:tc>
                <w:tcPr>
                  <w:tcW w:w="85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88B069">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163</w:t>
                  </w:r>
                </w:p>
              </w:tc>
              <w:tc>
                <w:tcPr>
                  <w:tcW w:w="6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6D4615">
                  <w:pPr>
                    <w:pStyle w:val="61"/>
                    <w:keepNext w:val="0"/>
                    <w:keepLines w:val="0"/>
                    <w:suppressLineNumbers w:val="0"/>
                    <w:spacing w:before="0" w:beforeLines="0" w:beforeAutospacing="0" w:after="0" w:afterLines="0" w:afterAutospacing="0"/>
                    <w:ind w:left="0" w:leftChars="0" w:right="0" w:rightChars="0" w:firstLine="0" w:firstLineChars="0"/>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0.051</w:t>
                  </w:r>
                </w:p>
              </w:tc>
              <w:tc>
                <w:tcPr>
                  <w:tcW w:w="410" w:type="pct"/>
                  <w:vMerge w:val="continue"/>
                  <w:tcBorders>
                    <w:left w:val="single" w:color="auto" w:sz="4" w:space="0"/>
                    <w:right w:val="single" w:color="auto" w:sz="4" w:space="0"/>
                    <w:tl2br w:val="nil"/>
                    <w:tr2bl w:val="nil"/>
                  </w:tcBorders>
                  <w:noWrap w:val="0"/>
                  <w:vAlign w:val="center"/>
                </w:tcPr>
                <w:p w14:paraId="005569D3">
                  <w:pPr>
                    <w:pStyle w:val="61"/>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bl>
          <w:p w14:paraId="5C9CA296">
            <w:pPr>
              <w:pStyle w:val="7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cs="Times New Roman"/>
                <w:b/>
                <w:bCs/>
                <w:color w:val="auto"/>
                <w:lang w:val="en-US" w:eastAsia="zh-CN"/>
              </w:rPr>
            </w:pPr>
            <w:r>
              <w:rPr>
                <w:rFonts w:hint="eastAsia" w:cs="Times New Roman"/>
                <w:b/>
                <w:bCs/>
                <w:color w:val="auto"/>
                <w:lang w:val="en-US" w:eastAsia="zh-CN"/>
              </w:rPr>
              <w:t>（5）</w:t>
            </w:r>
            <w:r>
              <w:rPr>
                <w:rFonts w:hint="default" w:cs="Times New Roman"/>
                <w:b/>
                <w:bCs/>
                <w:color w:val="auto"/>
                <w:lang w:val="en-US" w:eastAsia="zh-CN"/>
              </w:rPr>
              <w:t>卫生防护距离分析</w:t>
            </w:r>
          </w:p>
          <w:p w14:paraId="4C6480B7">
            <w:pPr>
              <w:keepNext w:val="0"/>
              <w:keepLines w:val="0"/>
              <w:suppressLineNumbers w:val="0"/>
              <w:bidi w:val="0"/>
              <w:spacing w:before="0" w:beforeAutospacing="0" w:after="0" w:afterAutospacing="0"/>
              <w:ind w:left="0" w:right="0"/>
              <w:rPr>
                <w:rFonts w:hint="default"/>
                <w:color w:val="auto"/>
                <w:lang w:val="zh-CN" w:eastAsia="zh-CN"/>
              </w:rPr>
            </w:pPr>
            <w:r>
              <w:rPr>
                <w:rFonts w:hint="eastAsia"/>
                <w:color w:val="auto"/>
                <w:lang w:val="en-US" w:eastAsia="zh-CN"/>
              </w:rPr>
              <w:t>根据《大气有害物质无组织排放卫生防护距离推导技术导则》（GB/T 39499-2020）规定，无组织排放有害气体的生产单元（生产区、车间、工段）与居民区之间应设置卫生防护距离，</w:t>
            </w:r>
            <w:r>
              <w:rPr>
                <w:rFonts w:hint="default"/>
                <w:color w:val="auto"/>
                <w:lang w:val="zh-CN" w:eastAsia="zh-CN"/>
              </w:rPr>
              <w:t>企业无组织排放的卫生防护距离可由下式计算：</w:t>
            </w:r>
          </w:p>
          <w:p w14:paraId="3B9A9976">
            <w:pPr>
              <w:keepNext w:val="0"/>
              <w:keepLines w:val="0"/>
              <w:widowControl w:val="0"/>
              <w:suppressLineNumbers w:val="0"/>
              <w:autoSpaceDE/>
              <w:autoSpaceDN/>
              <w:bidi w:val="0"/>
              <w:spacing w:before="0" w:beforeAutospacing="0" w:after="0" w:afterAutospacing="0" w:line="360" w:lineRule="auto"/>
              <w:ind w:left="0" w:right="0" w:firstLine="480" w:firstLineChars="200"/>
              <w:jc w:val="center"/>
              <w:rPr>
                <w:rFonts w:hint="default" w:ascii="Times New Roman" w:hAnsi="Times New Roman" w:eastAsia="宋体" w:cs="宋体"/>
                <w:color w:val="auto"/>
                <w:sz w:val="24"/>
                <w:szCs w:val="21"/>
                <w:highlight w:val="none"/>
                <w:lang w:val="zh-CN" w:eastAsia="zh-CN" w:bidi="zh-CN"/>
              </w:rPr>
            </w:pPr>
            <w:r>
              <w:rPr>
                <w:rFonts w:hint="default" w:ascii="Times New Roman" w:hAnsi="Times New Roman" w:eastAsia="宋体" w:cs="Times New Roman"/>
                <w:color w:val="auto"/>
                <w:kern w:val="2"/>
                <w:position w:val="-30"/>
                <w:sz w:val="24"/>
                <w:szCs w:val="22"/>
                <w:highlight w:val="none"/>
                <w:lang w:val="zh-CN" w:eastAsia="zh-CN" w:bidi="zh-CN"/>
              </w:rPr>
              <w:object>
                <v:shape id="_x0000_i1025" o:spt="75" type="#_x0000_t75" style="height:35.55pt;width:138.45pt;" o:ole="t" filled="f" o:preferrelative="t" stroked="f" coordsize="21600,21600">
                  <v:path/>
                  <v:fill on="f" focussize="0,0"/>
                  <v:stroke on="f"/>
                  <v:imagedata r:id="rId25" o:title=""/>
                  <o:lock v:ext="edit" aspectratio="t"/>
                  <w10:wrap type="none"/>
                  <w10:anchorlock/>
                </v:shape>
                <o:OLEObject Type="Embed" ProgID="Equations" ShapeID="_x0000_i1025" DrawAspect="Content" ObjectID="_1468075725" r:id="rId24">
                  <o:LockedField>false</o:LockedField>
                </o:OLEObject>
              </w:object>
            </w:r>
          </w:p>
          <w:p w14:paraId="1B23D8B4">
            <w:pPr>
              <w:keepNext w:val="0"/>
              <w:keepLines w:val="0"/>
              <w:widowControl w:val="0"/>
              <w:suppressLineNumbers w:val="0"/>
              <w:autoSpaceDE/>
              <w:autoSpaceDN/>
              <w:bidi w:val="0"/>
              <w:spacing w:before="0" w:beforeAutospacing="0" w:after="0" w:afterAutospacing="0" w:line="360" w:lineRule="auto"/>
              <w:ind w:left="0" w:right="0" w:firstLine="420" w:firstLineChars="200"/>
              <w:jc w:val="both"/>
              <w:rPr>
                <w:rFonts w:hint="default" w:ascii="Times New Roman" w:hAnsi="Times New Roman" w:eastAsia="宋体" w:cs="宋体"/>
                <w:color w:val="auto"/>
                <w:sz w:val="21"/>
                <w:szCs w:val="21"/>
                <w:highlight w:val="none"/>
                <w:lang w:val="zh-CN" w:eastAsia="zh-CN" w:bidi="zh-CN"/>
              </w:rPr>
            </w:pPr>
            <w:r>
              <w:rPr>
                <w:rFonts w:hint="default" w:ascii="Times New Roman" w:hAnsi="Times New Roman" w:eastAsia="宋体" w:cs="宋体"/>
                <w:color w:val="auto"/>
                <w:sz w:val="21"/>
                <w:szCs w:val="21"/>
                <w:highlight w:val="none"/>
                <w:lang w:val="zh-CN" w:eastAsia="zh-CN" w:bidi="zh-CN"/>
              </w:rPr>
              <w:t>式中：Q</w:t>
            </w:r>
            <w:r>
              <w:rPr>
                <w:rFonts w:hint="default" w:ascii="Times New Roman" w:hAnsi="Times New Roman" w:eastAsia="宋体" w:cs="宋体"/>
                <w:color w:val="auto"/>
                <w:sz w:val="21"/>
                <w:szCs w:val="21"/>
                <w:highlight w:val="none"/>
                <w:vertAlign w:val="subscript"/>
                <w:lang w:val="zh-CN" w:eastAsia="zh-CN" w:bidi="zh-CN"/>
              </w:rPr>
              <w:t>C</w:t>
            </w:r>
            <w:r>
              <w:rPr>
                <w:rFonts w:hint="default" w:ascii="Times New Roman" w:hAnsi="Times New Roman" w:eastAsia="宋体" w:cs="宋体"/>
                <w:color w:val="auto"/>
                <w:sz w:val="21"/>
                <w:szCs w:val="21"/>
                <w:highlight w:val="none"/>
                <w:lang w:val="zh-CN" w:eastAsia="zh-CN" w:bidi="zh-CN"/>
              </w:rPr>
              <w:t>――无组织排放的污染物量，kg/h；</w:t>
            </w:r>
          </w:p>
          <w:p w14:paraId="3EE063AF">
            <w:pPr>
              <w:keepNext w:val="0"/>
              <w:keepLines w:val="0"/>
              <w:widowControl w:val="0"/>
              <w:suppressLineNumbers w:val="0"/>
              <w:autoSpaceDE/>
              <w:autoSpaceDN/>
              <w:bidi w:val="0"/>
              <w:spacing w:before="0" w:beforeAutospacing="0" w:after="0" w:afterAutospacing="0" w:line="360" w:lineRule="auto"/>
              <w:ind w:left="0" w:right="0" w:firstLine="1050" w:firstLineChars="500"/>
              <w:jc w:val="both"/>
              <w:rPr>
                <w:rFonts w:hint="default" w:ascii="Times New Roman" w:hAnsi="Times New Roman" w:eastAsia="宋体" w:cs="宋体"/>
                <w:color w:val="auto"/>
                <w:sz w:val="21"/>
                <w:szCs w:val="21"/>
                <w:highlight w:val="none"/>
                <w:lang w:val="zh-CN" w:eastAsia="zh-CN" w:bidi="zh-CN"/>
              </w:rPr>
            </w:pPr>
            <w:r>
              <w:rPr>
                <w:rFonts w:hint="default" w:ascii="Times New Roman" w:hAnsi="Times New Roman" w:eastAsia="宋体" w:cs="宋体"/>
                <w:color w:val="auto"/>
                <w:sz w:val="21"/>
                <w:szCs w:val="21"/>
                <w:highlight w:val="none"/>
                <w:lang w:val="zh-CN" w:eastAsia="zh-CN" w:bidi="zh-CN"/>
              </w:rPr>
              <w:t>C</w:t>
            </w:r>
            <w:r>
              <w:rPr>
                <w:rFonts w:hint="default" w:ascii="Times New Roman" w:hAnsi="Times New Roman" w:eastAsia="宋体" w:cs="宋体"/>
                <w:color w:val="auto"/>
                <w:sz w:val="21"/>
                <w:szCs w:val="21"/>
                <w:highlight w:val="none"/>
                <w:vertAlign w:val="subscript"/>
                <w:lang w:val="zh-CN" w:eastAsia="zh-CN" w:bidi="zh-CN"/>
              </w:rPr>
              <w:t>m</w:t>
            </w:r>
            <w:r>
              <w:rPr>
                <w:rFonts w:hint="default" w:ascii="Times New Roman" w:hAnsi="Times New Roman" w:eastAsia="宋体" w:cs="宋体"/>
                <w:color w:val="auto"/>
                <w:sz w:val="21"/>
                <w:szCs w:val="21"/>
                <w:highlight w:val="none"/>
                <w:lang w:val="zh-CN" w:eastAsia="zh-CN" w:bidi="zh-CN"/>
              </w:rPr>
              <w:t>――标准浓度限值，mg/</w:t>
            </w:r>
            <w:r>
              <w:rPr>
                <w:rFonts w:hint="default"/>
                <w:color w:val="auto"/>
                <w:lang w:val="en-US" w:eastAsia="zh-CN"/>
              </w:rPr>
              <w:t>m</w:t>
            </w:r>
            <w:r>
              <w:rPr>
                <w:rFonts w:hint="default"/>
                <w:color w:val="auto"/>
                <w:vertAlign w:val="superscript"/>
                <w:lang w:val="en-US" w:eastAsia="zh-CN"/>
              </w:rPr>
              <w:t>3</w:t>
            </w:r>
            <w:r>
              <w:rPr>
                <w:rFonts w:hint="default" w:ascii="Times New Roman" w:hAnsi="Times New Roman" w:eastAsia="宋体" w:cs="宋体"/>
                <w:color w:val="auto"/>
                <w:sz w:val="21"/>
                <w:szCs w:val="21"/>
                <w:highlight w:val="none"/>
                <w:lang w:val="zh-CN" w:eastAsia="zh-CN" w:bidi="zh-CN"/>
              </w:rPr>
              <w:t>；</w:t>
            </w:r>
          </w:p>
          <w:p w14:paraId="254A46FB">
            <w:pPr>
              <w:keepNext w:val="0"/>
              <w:keepLines w:val="0"/>
              <w:widowControl w:val="0"/>
              <w:suppressLineNumbers w:val="0"/>
              <w:autoSpaceDE/>
              <w:autoSpaceDN/>
              <w:bidi w:val="0"/>
              <w:spacing w:before="0" w:beforeAutospacing="0" w:after="0" w:afterAutospacing="0" w:line="360" w:lineRule="auto"/>
              <w:ind w:left="0" w:right="0" w:firstLine="1050" w:firstLineChars="500"/>
              <w:jc w:val="both"/>
              <w:rPr>
                <w:rFonts w:hint="default" w:ascii="Times New Roman" w:hAnsi="Times New Roman" w:eastAsia="宋体" w:cs="宋体"/>
                <w:color w:val="auto"/>
                <w:sz w:val="21"/>
                <w:szCs w:val="21"/>
                <w:highlight w:val="none"/>
                <w:lang w:val="zh-CN" w:eastAsia="zh-CN" w:bidi="zh-CN"/>
              </w:rPr>
            </w:pPr>
            <w:r>
              <w:rPr>
                <w:rFonts w:hint="default" w:ascii="Times New Roman" w:hAnsi="Times New Roman" w:eastAsia="宋体" w:cs="宋体"/>
                <w:color w:val="auto"/>
                <w:sz w:val="21"/>
                <w:szCs w:val="21"/>
                <w:highlight w:val="none"/>
                <w:lang w:val="zh-CN" w:eastAsia="zh-CN" w:bidi="zh-CN"/>
              </w:rPr>
              <w:t>L――所需的卫生防护距离，m；</w:t>
            </w:r>
          </w:p>
          <w:p w14:paraId="7F1302F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1050" w:firstLineChars="500"/>
              <w:jc w:val="both"/>
              <w:textAlignment w:val="auto"/>
              <w:rPr>
                <w:rFonts w:hint="default" w:ascii="Times New Roman" w:hAnsi="Times New Roman" w:eastAsia="宋体" w:cs="宋体"/>
                <w:color w:val="auto"/>
                <w:sz w:val="21"/>
                <w:szCs w:val="21"/>
                <w:highlight w:val="none"/>
                <w:lang w:val="zh-CN" w:eastAsia="zh-CN" w:bidi="zh-CN"/>
              </w:rPr>
            </w:pPr>
            <w:r>
              <w:rPr>
                <w:rFonts w:hint="default" w:ascii="Times New Roman" w:hAnsi="Times New Roman" w:eastAsia="宋体" w:cs="宋体"/>
                <w:color w:val="auto"/>
                <w:sz w:val="21"/>
                <w:szCs w:val="21"/>
                <w:highlight w:val="none"/>
                <w:lang w:val="zh-CN" w:eastAsia="zh-CN" w:bidi="zh-CN"/>
              </w:rPr>
              <w:t>R――无组织排放源的等效半径，m</w:t>
            </w:r>
            <w:r>
              <w:rPr>
                <w:rFonts w:hint="eastAsia" w:ascii="Times New Roman" w:hAnsi="Times New Roman" w:eastAsia="宋体" w:cs="宋体"/>
                <w:color w:val="auto"/>
                <w:sz w:val="21"/>
                <w:szCs w:val="21"/>
                <w:highlight w:val="none"/>
                <w:lang w:val="zh-CN" w:eastAsia="zh-CN" w:bidi="zh-CN"/>
              </w:rPr>
              <w:t>。</w:t>
            </w:r>
          </w:p>
          <w:p w14:paraId="727647A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1200" w:firstLineChars="500"/>
              <w:jc w:val="both"/>
              <w:textAlignment w:val="auto"/>
              <w:rPr>
                <w:rFonts w:hint="default"/>
                <w:color w:val="auto"/>
              </w:rPr>
            </w:pPr>
            <w:r>
              <w:rPr>
                <w:rFonts w:hint="default"/>
                <w:color w:val="auto"/>
              </w:rPr>
              <w:t>A、B、C、D——计算系数，从GB/T</w:t>
            </w:r>
            <w:r>
              <w:rPr>
                <w:rFonts w:hint="eastAsia"/>
                <w:color w:val="auto"/>
              </w:rPr>
              <w:t>39499</w:t>
            </w:r>
            <w:r>
              <w:rPr>
                <w:rFonts w:hint="default"/>
                <w:color w:val="auto"/>
              </w:rPr>
              <w:t>-</w:t>
            </w:r>
            <w:r>
              <w:rPr>
                <w:rFonts w:hint="eastAsia"/>
                <w:color w:val="auto"/>
              </w:rPr>
              <w:t>2020</w:t>
            </w:r>
            <w:r>
              <w:rPr>
                <w:rFonts w:hint="default"/>
                <w:color w:val="auto"/>
              </w:rPr>
              <w:t>中查取。</w:t>
            </w:r>
          </w:p>
          <w:p w14:paraId="5165A331">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卫生防护距离计算系数</w:t>
            </w:r>
          </w:p>
          <w:tbl>
            <w:tblPr>
              <w:tblStyle w:val="29"/>
              <w:tblW w:w="7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000"/>
              <w:gridCol w:w="643"/>
              <w:gridCol w:w="674"/>
              <w:gridCol w:w="706"/>
              <w:gridCol w:w="705"/>
              <w:gridCol w:w="705"/>
              <w:gridCol w:w="706"/>
              <w:gridCol w:w="673"/>
              <w:gridCol w:w="704"/>
              <w:gridCol w:w="677"/>
            </w:tblGrid>
            <w:tr w14:paraId="0BFB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618" w:type="dxa"/>
                  <w:vMerge w:val="restart"/>
                  <w:tcBorders>
                    <w:tl2br w:val="nil"/>
                    <w:tr2bl w:val="nil"/>
                  </w:tcBorders>
                  <w:noWrap w:val="0"/>
                  <w:vAlign w:val="center"/>
                </w:tcPr>
                <w:p w14:paraId="50438BF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计算系数</w:t>
                  </w:r>
                </w:p>
              </w:tc>
              <w:tc>
                <w:tcPr>
                  <w:tcW w:w="1932" w:type="dxa"/>
                  <w:vMerge w:val="restart"/>
                  <w:tcBorders>
                    <w:tl2br w:val="nil"/>
                    <w:tr2bl w:val="nil"/>
                  </w:tcBorders>
                  <w:noWrap w:val="0"/>
                  <w:vAlign w:val="center"/>
                </w:tcPr>
                <w:p w14:paraId="6FDF2C8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工业企业所在地区近5年平均风速</w:t>
                  </w:r>
                </w:p>
                <w:p w14:paraId="2CA443D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m/s</w:t>
                  </w:r>
                </w:p>
              </w:tc>
              <w:tc>
                <w:tcPr>
                  <w:tcW w:w="7952" w:type="dxa"/>
                  <w:gridSpan w:val="9"/>
                  <w:tcBorders>
                    <w:tl2br w:val="nil"/>
                    <w:tr2bl w:val="nil"/>
                  </w:tcBorders>
                  <w:noWrap w:val="0"/>
                  <w:vAlign w:val="center"/>
                </w:tcPr>
                <w:p w14:paraId="1CA9788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卫生防护距离L</w:t>
                  </w:r>
                </w:p>
              </w:tc>
            </w:tr>
            <w:tr w14:paraId="6DC41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618" w:type="dxa"/>
                  <w:vMerge w:val="continue"/>
                  <w:tcBorders>
                    <w:tl2br w:val="nil"/>
                    <w:tr2bl w:val="nil"/>
                  </w:tcBorders>
                  <w:noWrap w:val="0"/>
                  <w:vAlign w:val="center"/>
                </w:tcPr>
                <w:p w14:paraId="3071972D">
                  <w:pPr>
                    <w:pStyle w:val="58"/>
                    <w:keepNext w:val="0"/>
                    <w:keepLines w:val="0"/>
                    <w:suppressLineNumbers w:val="0"/>
                    <w:bidi w:val="0"/>
                    <w:spacing w:before="0" w:beforeAutospacing="0" w:after="0" w:afterAutospacing="0"/>
                    <w:ind w:left="0" w:right="0"/>
                    <w:rPr>
                      <w:rFonts w:hint="default"/>
                      <w:color w:val="auto"/>
                    </w:rPr>
                  </w:pPr>
                </w:p>
              </w:tc>
              <w:tc>
                <w:tcPr>
                  <w:tcW w:w="1932" w:type="dxa"/>
                  <w:vMerge w:val="continue"/>
                  <w:tcBorders>
                    <w:tl2br w:val="nil"/>
                    <w:tr2bl w:val="nil"/>
                  </w:tcBorders>
                  <w:noWrap w:val="0"/>
                  <w:vAlign w:val="center"/>
                </w:tcPr>
                <w:p w14:paraId="56CA7AE6">
                  <w:pPr>
                    <w:pStyle w:val="58"/>
                    <w:keepNext w:val="0"/>
                    <w:keepLines w:val="0"/>
                    <w:suppressLineNumbers w:val="0"/>
                    <w:bidi w:val="0"/>
                    <w:spacing w:before="0" w:beforeAutospacing="0" w:after="0" w:afterAutospacing="0"/>
                    <w:ind w:left="0" w:right="0"/>
                    <w:rPr>
                      <w:rFonts w:hint="default"/>
                      <w:color w:val="auto"/>
                    </w:rPr>
                  </w:pPr>
                </w:p>
              </w:tc>
              <w:tc>
                <w:tcPr>
                  <w:tcW w:w="2497" w:type="dxa"/>
                  <w:gridSpan w:val="3"/>
                  <w:tcBorders>
                    <w:tl2br w:val="nil"/>
                    <w:tr2bl w:val="nil"/>
                  </w:tcBorders>
                  <w:noWrap w:val="0"/>
                  <w:vAlign w:val="center"/>
                </w:tcPr>
                <w:p w14:paraId="17171027">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L≤1000m</w:t>
                  </w:r>
                </w:p>
              </w:tc>
              <w:tc>
                <w:tcPr>
                  <w:tcW w:w="2842" w:type="dxa"/>
                  <w:gridSpan w:val="3"/>
                  <w:tcBorders>
                    <w:tl2br w:val="nil"/>
                    <w:tr2bl w:val="nil"/>
                  </w:tcBorders>
                  <w:noWrap w:val="0"/>
                  <w:vAlign w:val="center"/>
                </w:tcPr>
                <w:p w14:paraId="4210D4A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1000m＜L≤2000m</w:t>
                  </w:r>
                </w:p>
              </w:tc>
              <w:tc>
                <w:tcPr>
                  <w:tcW w:w="2613" w:type="dxa"/>
                  <w:gridSpan w:val="3"/>
                  <w:tcBorders>
                    <w:tl2br w:val="nil"/>
                    <w:tr2bl w:val="nil"/>
                  </w:tcBorders>
                  <w:noWrap w:val="0"/>
                  <w:vAlign w:val="center"/>
                </w:tcPr>
                <w:p w14:paraId="430C890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2000m＜L</w:t>
                  </w:r>
                </w:p>
              </w:tc>
            </w:tr>
            <w:tr w14:paraId="1E69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618" w:type="dxa"/>
                  <w:vMerge w:val="continue"/>
                  <w:tcBorders>
                    <w:tl2br w:val="nil"/>
                    <w:tr2bl w:val="nil"/>
                  </w:tcBorders>
                  <w:noWrap w:val="0"/>
                  <w:vAlign w:val="center"/>
                </w:tcPr>
                <w:p w14:paraId="0DB41BCF">
                  <w:pPr>
                    <w:pStyle w:val="58"/>
                    <w:keepNext w:val="0"/>
                    <w:keepLines w:val="0"/>
                    <w:suppressLineNumbers w:val="0"/>
                    <w:bidi w:val="0"/>
                    <w:spacing w:before="0" w:beforeAutospacing="0" w:after="0" w:afterAutospacing="0"/>
                    <w:ind w:left="0" w:right="0"/>
                    <w:rPr>
                      <w:rFonts w:hint="default"/>
                      <w:color w:val="auto"/>
                    </w:rPr>
                  </w:pPr>
                </w:p>
              </w:tc>
              <w:tc>
                <w:tcPr>
                  <w:tcW w:w="1932" w:type="dxa"/>
                  <w:vMerge w:val="continue"/>
                  <w:tcBorders>
                    <w:tl2br w:val="nil"/>
                    <w:tr2bl w:val="nil"/>
                  </w:tcBorders>
                  <w:noWrap w:val="0"/>
                  <w:vAlign w:val="center"/>
                </w:tcPr>
                <w:p w14:paraId="382AE7D9">
                  <w:pPr>
                    <w:pStyle w:val="58"/>
                    <w:keepNext w:val="0"/>
                    <w:keepLines w:val="0"/>
                    <w:suppressLineNumbers w:val="0"/>
                    <w:bidi w:val="0"/>
                    <w:spacing w:before="0" w:beforeAutospacing="0" w:after="0" w:afterAutospacing="0"/>
                    <w:ind w:left="0" w:right="0"/>
                    <w:rPr>
                      <w:rFonts w:hint="default"/>
                      <w:color w:val="auto"/>
                    </w:rPr>
                  </w:pPr>
                </w:p>
              </w:tc>
              <w:tc>
                <w:tcPr>
                  <w:tcW w:w="7952" w:type="dxa"/>
                  <w:gridSpan w:val="9"/>
                  <w:tcBorders>
                    <w:tl2br w:val="nil"/>
                    <w:tr2bl w:val="nil"/>
                  </w:tcBorders>
                  <w:noWrap w:val="0"/>
                  <w:vAlign w:val="center"/>
                </w:tcPr>
                <w:p w14:paraId="09458FD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工业企业大气污染源构成类别</w:t>
                  </w:r>
                </w:p>
              </w:tc>
            </w:tr>
            <w:tr w14:paraId="35059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618" w:type="dxa"/>
                  <w:vMerge w:val="continue"/>
                  <w:tcBorders>
                    <w:tl2br w:val="nil"/>
                    <w:tr2bl w:val="nil"/>
                  </w:tcBorders>
                  <w:noWrap w:val="0"/>
                  <w:vAlign w:val="center"/>
                </w:tcPr>
                <w:p w14:paraId="44D73064">
                  <w:pPr>
                    <w:pStyle w:val="58"/>
                    <w:keepNext w:val="0"/>
                    <w:keepLines w:val="0"/>
                    <w:suppressLineNumbers w:val="0"/>
                    <w:bidi w:val="0"/>
                    <w:spacing w:before="0" w:beforeAutospacing="0" w:after="0" w:afterAutospacing="0"/>
                    <w:ind w:left="0" w:right="0"/>
                    <w:rPr>
                      <w:rFonts w:hint="default"/>
                      <w:color w:val="auto"/>
                    </w:rPr>
                  </w:pPr>
                </w:p>
              </w:tc>
              <w:tc>
                <w:tcPr>
                  <w:tcW w:w="1932" w:type="dxa"/>
                  <w:vMerge w:val="continue"/>
                  <w:tcBorders>
                    <w:tl2br w:val="nil"/>
                    <w:tr2bl w:val="nil"/>
                  </w:tcBorders>
                  <w:noWrap w:val="0"/>
                  <w:vAlign w:val="center"/>
                </w:tcPr>
                <w:p w14:paraId="5357AB2A">
                  <w:pPr>
                    <w:pStyle w:val="58"/>
                    <w:keepNext w:val="0"/>
                    <w:keepLines w:val="0"/>
                    <w:suppressLineNumbers w:val="0"/>
                    <w:bidi w:val="0"/>
                    <w:spacing w:before="0" w:beforeAutospacing="0" w:after="0" w:afterAutospacing="0"/>
                    <w:ind w:left="0" w:right="0"/>
                    <w:rPr>
                      <w:rFonts w:hint="default"/>
                      <w:color w:val="auto"/>
                    </w:rPr>
                  </w:pPr>
                </w:p>
              </w:tc>
              <w:tc>
                <w:tcPr>
                  <w:tcW w:w="713" w:type="dxa"/>
                  <w:tcBorders>
                    <w:tl2br w:val="nil"/>
                    <w:tr2bl w:val="nil"/>
                  </w:tcBorders>
                  <w:noWrap w:val="0"/>
                  <w:vAlign w:val="center"/>
                </w:tcPr>
                <w:p w14:paraId="295858A7">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w:t>
                  </w:r>
                </w:p>
              </w:tc>
              <w:tc>
                <w:tcPr>
                  <w:tcW w:w="832" w:type="dxa"/>
                  <w:tcBorders>
                    <w:tl2br w:val="nil"/>
                    <w:tr2bl w:val="nil"/>
                  </w:tcBorders>
                  <w:noWrap w:val="0"/>
                  <w:vAlign w:val="center"/>
                </w:tcPr>
                <w:p w14:paraId="238D1A5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II</w:t>
                  </w:r>
                </w:p>
              </w:tc>
              <w:tc>
                <w:tcPr>
                  <w:tcW w:w="952" w:type="dxa"/>
                  <w:tcBorders>
                    <w:tl2br w:val="nil"/>
                    <w:tr2bl w:val="nil"/>
                  </w:tcBorders>
                  <w:noWrap w:val="0"/>
                  <w:vAlign w:val="center"/>
                </w:tcPr>
                <w:p w14:paraId="500F4BC9">
                  <w:pPr>
                    <w:pStyle w:val="58"/>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Ⅲ</w:t>
                  </w:r>
                </w:p>
              </w:tc>
              <w:tc>
                <w:tcPr>
                  <w:tcW w:w="945" w:type="dxa"/>
                  <w:tcBorders>
                    <w:tl2br w:val="nil"/>
                    <w:tr2bl w:val="nil"/>
                  </w:tcBorders>
                  <w:noWrap w:val="0"/>
                  <w:vAlign w:val="center"/>
                </w:tcPr>
                <w:p w14:paraId="083CDBEC">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w:t>
                  </w:r>
                </w:p>
              </w:tc>
              <w:tc>
                <w:tcPr>
                  <w:tcW w:w="945" w:type="dxa"/>
                  <w:tcBorders>
                    <w:tl2br w:val="nil"/>
                    <w:tr2bl w:val="nil"/>
                  </w:tcBorders>
                  <w:noWrap w:val="0"/>
                  <w:vAlign w:val="center"/>
                </w:tcPr>
                <w:p w14:paraId="49D7D50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II</w:t>
                  </w:r>
                </w:p>
              </w:tc>
              <w:tc>
                <w:tcPr>
                  <w:tcW w:w="952" w:type="dxa"/>
                  <w:tcBorders>
                    <w:tl2br w:val="nil"/>
                    <w:tr2bl w:val="nil"/>
                  </w:tcBorders>
                  <w:noWrap w:val="0"/>
                  <w:vAlign w:val="center"/>
                </w:tcPr>
                <w:p w14:paraId="77BC3F3F">
                  <w:pPr>
                    <w:pStyle w:val="58"/>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Ⅲ</w:t>
                  </w:r>
                </w:p>
              </w:tc>
              <w:tc>
                <w:tcPr>
                  <w:tcW w:w="827" w:type="dxa"/>
                  <w:tcBorders>
                    <w:tl2br w:val="nil"/>
                    <w:tr2bl w:val="nil"/>
                  </w:tcBorders>
                  <w:noWrap w:val="0"/>
                  <w:vAlign w:val="center"/>
                </w:tcPr>
                <w:p w14:paraId="05757DC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w:t>
                  </w:r>
                </w:p>
              </w:tc>
              <w:tc>
                <w:tcPr>
                  <w:tcW w:w="943" w:type="dxa"/>
                  <w:tcBorders>
                    <w:tl2br w:val="nil"/>
                    <w:tr2bl w:val="nil"/>
                  </w:tcBorders>
                  <w:noWrap w:val="0"/>
                  <w:vAlign w:val="center"/>
                </w:tcPr>
                <w:p w14:paraId="0EACD27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II</w:t>
                  </w:r>
                </w:p>
              </w:tc>
              <w:tc>
                <w:tcPr>
                  <w:tcW w:w="843" w:type="dxa"/>
                  <w:tcBorders>
                    <w:tl2br w:val="nil"/>
                    <w:tr2bl w:val="nil"/>
                  </w:tcBorders>
                  <w:noWrap w:val="0"/>
                  <w:vAlign w:val="center"/>
                </w:tcPr>
                <w:p w14:paraId="1730AE15">
                  <w:pPr>
                    <w:pStyle w:val="58"/>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Ⅲ</w:t>
                  </w:r>
                </w:p>
              </w:tc>
            </w:tr>
            <w:tr w14:paraId="0FD50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618" w:type="dxa"/>
                  <w:tcBorders>
                    <w:tl2br w:val="nil"/>
                    <w:tr2bl w:val="nil"/>
                  </w:tcBorders>
                  <w:noWrap w:val="0"/>
                  <w:vAlign w:val="center"/>
                </w:tcPr>
                <w:p w14:paraId="372305B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A</w:t>
                  </w:r>
                </w:p>
              </w:tc>
              <w:tc>
                <w:tcPr>
                  <w:tcW w:w="1932" w:type="dxa"/>
                  <w:tcBorders>
                    <w:tl2br w:val="nil"/>
                    <w:tr2bl w:val="nil"/>
                  </w:tcBorders>
                  <w:noWrap w:val="0"/>
                  <w:vAlign w:val="center"/>
                </w:tcPr>
                <w:p w14:paraId="08454B8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p w14:paraId="3AB802A4">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2~4</w:t>
                  </w:r>
                </w:p>
                <w:p w14:paraId="28CDC5AC">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w:t>
                  </w:r>
                </w:p>
              </w:tc>
              <w:tc>
                <w:tcPr>
                  <w:tcW w:w="713" w:type="dxa"/>
                  <w:tcBorders>
                    <w:tl2br w:val="nil"/>
                    <w:tr2bl w:val="nil"/>
                  </w:tcBorders>
                  <w:noWrap w:val="0"/>
                  <w:vAlign w:val="center"/>
                </w:tcPr>
                <w:p w14:paraId="18526627">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218C5FE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700</w:t>
                  </w:r>
                </w:p>
                <w:p w14:paraId="7161E45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530</w:t>
                  </w:r>
                </w:p>
              </w:tc>
              <w:tc>
                <w:tcPr>
                  <w:tcW w:w="832" w:type="dxa"/>
                  <w:tcBorders>
                    <w:tl2br w:val="nil"/>
                    <w:tr2bl w:val="nil"/>
                  </w:tcBorders>
                  <w:noWrap w:val="0"/>
                  <w:vAlign w:val="center"/>
                </w:tcPr>
                <w:p w14:paraId="473E7F2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179292C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470</w:t>
                  </w:r>
                </w:p>
                <w:p w14:paraId="58B8E3F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350</w:t>
                  </w:r>
                </w:p>
              </w:tc>
              <w:tc>
                <w:tcPr>
                  <w:tcW w:w="952" w:type="dxa"/>
                  <w:tcBorders>
                    <w:tl2br w:val="nil"/>
                    <w:tr2bl w:val="nil"/>
                  </w:tcBorders>
                  <w:noWrap w:val="0"/>
                  <w:vAlign w:val="center"/>
                </w:tcPr>
                <w:p w14:paraId="19A5246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2C258E4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350</w:t>
                  </w:r>
                </w:p>
                <w:p w14:paraId="4669A6A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260</w:t>
                  </w:r>
                </w:p>
              </w:tc>
              <w:tc>
                <w:tcPr>
                  <w:tcW w:w="945" w:type="dxa"/>
                  <w:tcBorders>
                    <w:tl2br w:val="nil"/>
                    <w:tr2bl w:val="nil"/>
                  </w:tcBorders>
                  <w:noWrap w:val="0"/>
                  <w:vAlign w:val="center"/>
                </w:tcPr>
                <w:p w14:paraId="592D99A3">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7D0B9FB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700</w:t>
                  </w:r>
                </w:p>
                <w:p w14:paraId="49033FE3">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530</w:t>
                  </w:r>
                </w:p>
              </w:tc>
              <w:tc>
                <w:tcPr>
                  <w:tcW w:w="945" w:type="dxa"/>
                  <w:tcBorders>
                    <w:tl2br w:val="nil"/>
                    <w:tr2bl w:val="nil"/>
                  </w:tcBorders>
                  <w:noWrap w:val="0"/>
                  <w:vAlign w:val="center"/>
                </w:tcPr>
                <w:p w14:paraId="41EFF8FC">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4B2C49B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470</w:t>
                  </w:r>
                </w:p>
                <w:p w14:paraId="072ADA8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350</w:t>
                  </w:r>
                </w:p>
              </w:tc>
              <w:tc>
                <w:tcPr>
                  <w:tcW w:w="952" w:type="dxa"/>
                  <w:tcBorders>
                    <w:tl2br w:val="nil"/>
                    <w:tr2bl w:val="nil"/>
                  </w:tcBorders>
                  <w:noWrap w:val="0"/>
                  <w:vAlign w:val="center"/>
                </w:tcPr>
                <w:p w14:paraId="4E68B50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400</w:t>
                  </w:r>
                </w:p>
                <w:p w14:paraId="46CECAF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350</w:t>
                  </w:r>
                </w:p>
                <w:p w14:paraId="5C8C7E27">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260</w:t>
                  </w:r>
                </w:p>
              </w:tc>
              <w:tc>
                <w:tcPr>
                  <w:tcW w:w="827" w:type="dxa"/>
                  <w:tcBorders>
                    <w:tl2br w:val="nil"/>
                    <w:tr2bl w:val="nil"/>
                  </w:tcBorders>
                  <w:noWrap w:val="0"/>
                  <w:vAlign w:val="center"/>
                </w:tcPr>
                <w:p w14:paraId="6BFDD6D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80</w:t>
                  </w:r>
                </w:p>
                <w:p w14:paraId="2FF4FCC3">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380</w:t>
                  </w:r>
                </w:p>
                <w:p w14:paraId="102F476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290</w:t>
                  </w:r>
                </w:p>
              </w:tc>
              <w:tc>
                <w:tcPr>
                  <w:tcW w:w="943" w:type="dxa"/>
                  <w:tcBorders>
                    <w:tl2br w:val="nil"/>
                    <w:tr2bl w:val="nil"/>
                  </w:tcBorders>
                  <w:noWrap w:val="0"/>
                  <w:vAlign w:val="center"/>
                </w:tcPr>
                <w:p w14:paraId="75AC52C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80</w:t>
                  </w:r>
                </w:p>
                <w:p w14:paraId="77AB8A2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250</w:t>
                  </w:r>
                </w:p>
                <w:p w14:paraId="469655D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190</w:t>
                  </w:r>
                </w:p>
              </w:tc>
              <w:tc>
                <w:tcPr>
                  <w:tcW w:w="843" w:type="dxa"/>
                  <w:tcBorders>
                    <w:tl2br w:val="nil"/>
                    <w:tr2bl w:val="nil"/>
                  </w:tcBorders>
                  <w:noWrap w:val="0"/>
                  <w:vAlign w:val="center"/>
                </w:tcPr>
                <w:p w14:paraId="5FA02BDB">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80</w:t>
                  </w:r>
                </w:p>
                <w:p w14:paraId="6302536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190</w:t>
                  </w:r>
                </w:p>
                <w:p w14:paraId="7D580FCB">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110</w:t>
                  </w:r>
                </w:p>
              </w:tc>
            </w:tr>
            <w:tr w14:paraId="618C1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618" w:type="dxa"/>
                  <w:tcBorders>
                    <w:tl2br w:val="nil"/>
                    <w:tr2bl w:val="nil"/>
                  </w:tcBorders>
                  <w:noWrap w:val="0"/>
                  <w:vAlign w:val="center"/>
                </w:tcPr>
                <w:p w14:paraId="663621D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B</w:t>
                  </w:r>
                </w:p>
              </w:tc>
              <w:tc>
                <w:tcPr>
                  <w:tcW w:w="1932" w:type="dxa"/>
                  <w:tcBorders>
                    <w:tl2br w:val="nil"/>
                    <w:tr2bl w:val="nil"/>
                  </w:tcBorders>
                  <w:noWrap w:val="0"/>
                  <w:vAlign w:val="center"/>
                </w:tcPr>
                <w:p w14:paraId="33120A9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p w14:paraId="455F78A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tc>
              <w:tc>
                <w:tcPr>
                  <w:tcW w:w="2497" w:type="dxa"/>
                  <w:gridSpan w:val="3"/>
                  <w:tcBorders>
                    <w:tl2br w:val="nil"/>
                    <w:tr2bl w:val="nil"/>
                  </w:tcBorders>
                  <w:noWrap w:val="0"/>
                  <w:vAlign w:val="center"/>
                </w:tcPr>
                <w:p w14:paraId="77C87A8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0.01</w:t>
                  </w:r>
                </w:p>
                <w:p w14:paraId="3E15528B">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0.021</w:t>
                  </w:r>
                </w:p>
              </w:tc>
              <w:tc>
                <w:tcPr>
                  <w:tcW w:w="2842" w:type="dxa"/>
                  <w:gridSpan w:val="3"/>
                  <w:tcBorders>
                    <w:tl2br w:val="nil"/>
                    <w:tr2bl w:val="nil"/>
                  </w:tcBorders>
                  <w:noWrap w:val="0"/>
                  <w:vAlign w:val="center"/>
                </w:tcPr>
                <w:p w14:paraId="5E804BB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0.015</w:t>
                  </w:r>
                </w:p>
                <w:p w14:paraId="7A13117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0.036</w:t>
                  </w:r>
                </w:p>
              </w:tc>
              <w:tc>
                <w:tcPr>
                  <w:tcW w:w="2613" w:type="dxa"/>
                  <w:gridSpan w:val="3"/>
                  <w:tcBorders>
                    <w:tl2br w:val="nil"/>
                    <w:tr2bl w:val="nil"/>
                  </w:tcBorders>
                  <w:noWrap w:val="0"/>
                  <w:vAlign w:val="center"/>
                </w:tcPr>
                <w:p w14:paraId="2B3BB97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0.015</w:t>
                  </w:r>
                </w:p>
                <w:p w14:paraId="7FB42C4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0.036</w:t>
                  </w:r>
                </w:p>
              </w:tc>
            </w:tr>
            <w:tr w14:paraId="7D98F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618" w:type="dxa"/>
                  <w:tcBorders>
                    <w:tl2br w:val="nil"/>
                    <w:tr2bl w:val="nil"/>
                  </w:tcBorders>
                  <w:noWrap w:val="0"/>
                  <w:vAlign w:val="center"/>
                </w:tcPr>
                <w:p w14:paraId="06AF5BE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C</w:t>
                  </w:r>
                </w:p>
              </w:tc>
              <w:tc>
                <w:tcPr>
                  <w:tcW w:w="1932" w:type="dxa"/>
                  <w:tcBorders>
                    <w:tl2br w:val="nil"/>
                    <w:tr2bl w:val="nil"/>
                  </w:tcBorders>
                  <w:noWrap w:val="0"/>
                  <w:vAlign w:val="center"/>
                </w:tcPr>
                <w:p w14:paraId="6089D4B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p w14:paraId="2D67210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tc>
              <w:tc>
                <w:tcPr>
                  <w:tcW w:w="2497" w:type="dxa"/>
                  <w:gridSpan w:val="3"/>
                  <w:tcBorders>
                    <w:tl2br w:val="nil"/>
                    <w:tr2bl w:val="nil"/>
                  </w:tcBorders>
                  <w:noWrap w:val="0"/>
                  <w:vAlign w:val="center"/>
                </w:tcPr>
                <w:p w14:paraId="7429A78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1.85</w:t>
                  </w:r>
                </w:p>
                <w:p w14:paraId="4598F45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1.85</w:t>
                  </w:r>
                </w:p>
              </w:tc>
              <w:tc>
                <w:tcPr>
                  <w:tcW w:w="2842" w:type="dxa"/>
                  <w:gridSpan w:val="3"/>
                  <w:tcBorders>
                    <w:tl2br w:val="nil"/>
                    <w:tr2bl w:val="nil"/>
                  </w:tcBorders>
                  <w:noWrap w:val="0"/>
                  <w:vAlign w:val="center"/>
                </w:tcPr>
                <w:p w14:paraId="4F0B784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1.79</w:t>
                  </w:r>
                </w:p>
                <w:p w14:paraId="2562721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1.77</w:t>
                  </w:r>
                </w:p>
              </w:tc>
              <w:tc>
                <w:tcPr>
                  <w:tcW w:w="2613" w:type="dxa"/>
                  <w:gridSpan w:val="3"/>
                  <w:tcBorders>
                    <w:tl2br w:val="nil"/>
                    <w:tr2bl w:val="nil"/>
                  </w:tcBorders>
                  <w:noWrap w:val="0"/>
                  <w:vAlign w:val="center"/>
                </w:tcPr>
                <w:p w14:paraId="173FC8C3">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1.79</w:t>
                  </w:r>
                </w:p>
                <w:p w14:paraId="3E9173C4">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1.77</w:t>
                  </w:r>
                </w:p>
              </w:tc>
            </w:tr>
            <w:tr w14:paraId="5E418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18" w:type="dxa"/>
                  <w:tcBorders>
                    <w:tl2br w:val="nil"/>
                    <w:tr2bl w:val="nil"/>
                  </w:tcBorders>
                  <w:noWrap w:val="0"/>
                  <w:vAlign w:val="center"/>
                </w:tcPr>
                <w:p w14:paraId="1272EDA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D</w:t>
                  </w:r>
                </w:p>
              </w:tc>
              <w:tc>
                <w:tcPr>
                  <w:tcW w:w="1932" w:type="dxa"/>
                  <w:tcBorders>
                    <w:tl2br w:val="nil"/>
                    <w:tr2bl w:val="nil"/>
                  </w:tcBorders>
                  <w:noWrap w:val="0"/>
                  <w:vAlign w:val="center"/>
                </w:tcPr>
                <w:p w14:paraId="1124998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p w14:paraId="5B02203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＞2</w:t>
                  </w:r>
                </w:p>
              </w:tc>
              <w:tc>
                <w:tcPr>
                  <w:tcW w:w="2497" w:type="dxa"/>
                  <w:gridSpan w:val="3"/>
                  <w:tcBorders>
                    <w:tl2br w:val="nil"/>
                    <w:tr2bl w:val="nil"/>
                  </w:tcBorders>
                  <w:noWrap w:val="0"/>
                  <w:vAlign w:val="center"/>
                </w:tcPr>
                <w:p w14:paraId="470F86C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0.78</w:t>
                  </w:r>
                </w:p>
                <w:p w14:paraId="4CCCE75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0.84</w:t>
                  </w:r>
                </w:p>
              </w:tc>
              <w:tc>
                <w:tcPr>
                  <w:tcW w:w="2842" w:type="dxa"/>
                  <w:gridSpan w:val="3"/>
                  <w:tcBorders>
                    <w:tl2br w:val="nil"/>
                    <w:tr2bl w:val="nil"/>
                  </w:tcBorders>
                  <w:noWrap w:val="0"/>
                  <w:vAlign w:val="center"/>
                </w:tcPr>
                <w:p w14:paraId="6AEBA21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0.78</w:t>
                  </w:r>
                </w:p>
                <w:p w14:paraId="6809006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0.84</w:t>
                  </w:r>
                </w:p>
              </w:tc>
              <w:tc>
                <w:tcPr>
                  <w:tcW w:w="2613" w:type="dxa"/>
                  <w:gridSpan w:val="3"/>
                  <w:tcBorders>
                    <w:tl2br w:val="nil"/>
                    <w:tr2bl w:val="nil"/>
                  </w:tcBorders>
                  <w:noWrap w:val="0"/>
                  <w:vAlign w:val="center"/>
                </w:tcPr>
                <w:p w14:paraId="08189C3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0.57</w:t>
                  </w:r>
                </w:p>
                <w:p w14:paraId="13A51CA1">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0.76</w:t>
                  </w:r>
                </w:p>
              </w:tc>
            </w:tr>
          </w:tbl>
          <w:p w14:paraId="2B2C4B8B">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根据工程分析，项目无组织特征大气有害物质面源污染参数如下表所示：</w:t>
            </w:r>
          </w:p>
          <w:p w14:paraId="5402E7A9">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项目无组织污染物排放参数一览表</w:t>
            </w:r>
          </w:p>
          <w:tbl>
            <w:tblPr>
              <w:tblStyle w:val="29"/>
              <w:tblW w:w="79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06"/>
              <w:gridCol w:w="1275"/>
              <w:gridCol w:w="1053"/>
              <w:gridCol w:w="1165"/>
              <w:gridCol w:w="1178"/>
              <w:gridCol w:w="1029"/>
              <w:gridCol w:w="1231"/>
            </w:tblGrid>
            <w:tr w14:paraId="2B336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006" w:type="dxa"/>
                  <w:tcBorders>
                    <w:tl2br w:val="nil"/>
                    <w:tr2bl w:val="nil"/>
                  </w:tcBorders>
                  <w:noWrap w:val="0"/>
                  <w:vAlign w:val="center"/>
                </w:tcPr>
                <w:p w14:paraId="28C43FC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污染源</w:t>
                  </w:r>
                </w:p>
              </w:tc>
              <w:tc>
                <w:tcPr>
                  <w:tcW w:w="1275" w:type="dxa"/>
                  <w:tcBorders>
                    <w:tl2br w:val="nil"/>
                    <w:tr2bl w:val="nil"/>
                  </w:tcBorders>
                  <w:noWrap w:val="0"/>
                  <w:vAlign w:val="center"/>
                </w:tcPr>
                <w:p w14:paraId="56E8163B">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污染物名称</w:t>
                  </w:r>
                </w:p>
              </w:tc>
              <w:tc>
                <w:tcPr>
                  <w:tcW w:w="1053" w:type="dxa"/>
                  <w:tcBorders>
                    <w:tl2br w:val="nil"/>
                    <w:tr2bl w:val="nil"/>
                  </w:tcBorders>
                  <w:noWrap w:val="0"/>
                  <w:vAlign w:val="center"/>
                </w:tcPr>
                <w:p w14:paraId="3AA9E6B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面源长度/m</w:t>
                  </w:r>
                </w:p>
              </w:tc>
              <w:tc>
                <w:tcPr>
                  <w:tcW w:w="1165" w:type="dxa"/>
                  <w:tcBorders>
                    <w:tl2br w:val="nil"/>
                    <w:tr2bl w:val="nil"/>
                  </w:tcBorders>
                  <w:noWrap w:val="0"/>
                  <w:vAlign w:val="center"/>
                </w:tcPr>
                <w:p w14:paraId="73B6B78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面源宽度/m</w:t>
                  </w:r>
                </w:p>
              </w:tc>
              <w:tc>
                <w:tcPr>
                  <w:tcW w:w="1178" w:type="dxa"/>
                  <w:tcBorders>
                    <w:tl2br w:val="nil"/>
                    <w:tr2bl w:val="nil"/>
                  </w:tcBorders>
                  <w:noWrap w:val="0"/>
                  <w:vAlign w:val="center"/>
                </w:tcPr>
                <w:p w14:paraId="3185C0F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面源高度/m</w:t>
                  </w:r>
                </w:p>
              </w:tc>
              <w:tc>
                <w:tcPr>
                  <w:tcW w:w="1029" w:type="dxa"/>
                  <w:tcBorders>
                    <w:tl2br w:val="nil"/>
                    <w:tr2bl w:val="nil"/>
                  </w:tcBorders>
                  <w:noWrap w:val="0"/>
                  <w:vAlign w:val="center"/>
                </w:tcPr>
                <w:p w14:paraId="07F6CC1D">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排放源强</w:t>
                  </w:r>
                  <w:r>
                    <w:rPr>
                      <w:rFonts w:hint="eastAsia"/>
                      <w:color w:val="auto"/>
                    </w:rPr>
                    <w:t>（</w:t>
                  </w:r>
                  <w:r>
                    <w:rPr>
                      <w:rFonts w:hint="default"/>
                      <w:color w:val="auto"/>
                    </w:rPr>
                    <w:t>kg/h</w:t>
                  </w:r>
                  <w:r>
                    <w:rPr>
                      <w:rFonts w:hint="eastAsia"/>
                      <w:color w:val="auto"/>
                    </w:rPr>
                    <w:t>）</w:t>
                  </w:r>
                </w:p>
              </w:tc>
              <w:tc>
                <w:tcPr>
                  <w:tcW w:w="1231" w:type="dxa"/>
                  <w:tcBorders>
                    <w:tl2br w:val="nil"/>
                    <w:tr2bl w:val="nil"/>
                  </w:tcBorders>
                  <w:noWrap w:val="0"/>
                  <w:vAlign w:val="center"/>
                </w:tcPr>
                <w:p w14:paraId="0714DB47">
                  <w:pPr>
                    <w:pStyle w:val="58"/>
                    <w:keepNext w:val="0"/>
                    <w:keepLines w:val="0"/>
                    <w:suppressLineNumbers w:val="0"/>
                    <w:bidi w:val="0"/>
                    <w:spacing w:before="0" w:beforeAutospacing="0" w:after="0" w:afterAutospacing="0"/>
                    <w:ind w:left="0" w:right="0"/>
                    <w:rPr>
                      <w:rFonts w:hint="eastAsia"/>
                      <w:color w:val="auto"/>
                    </w:rPr>
                  </w:pPr>
                  <w:r>
                    <w:rPr>
                      <w:rFonts w:hint="eastAsia"/>
                      <w:color w:val="auto"/>
                    </w:rPr>
                    <w:t>等标</w:t>
                  </w:r>
                  <w:r>
                    <w:rPr>
                      <w:rFonts w:hint="default"/>
                      <w:color w:val="auto"/>
                    </w:rPr>
                    <w:t>排放量</w:t>
                  </w:r>
                  <w:r>
                    <w:rPr>
                      <w:rFonts w:hint="eastAsia"/>
                      <w:color w:val="auto"/>
                    </w:rPr>
                    <w:t>（</w:t>
                  </w:r>
                  <w:r>
                    <w:rPr>
                      <w:rFonts w:hint="default"/>
                      <w:color w:val="auto"/>
                      <w:lang w:val="en-US" w:eastAsia="zh-CN"/>
                    </w:rPr>
                    <w:t>m</w:t>
                  </w:r>
                  <w:r>
                    <w:rPr>
                      <w:rFonts w:hint="default"/>
                      <w:color w:val="auto"/>
                      <w:vertAlign w:val="superscript"/>
                      <w:lang w:val="en-US" w:eastAsia="zh-CN"/>
                    </w:rPr>
                    <w:t>3</w:t>
                  </w:r>
                  <w:r>
                    <w:rPr>
                      <w:rFonts w:hint="eastAsia"/>
                      <w:color w:val="auto"/>
                    </w:rPr>
                    <w:t>/h）</w:t>
                  </w:r>
                </w:p>
              </w:tc>
            </w:tr>
            <w:tr w14:paraId="77944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1006" w:type="dxa"/>
                  <w:vMerge w:val="restart"/>
                  <w:tcBorders>
                    <w:tl2br w:val="nil"/>
                    <w:tr2bl w:val="nil"/>
                  </w:tcBorders>
                  <w:noWrap w:val="0"/>
                  <w:vAlign w:val="center"/>
                </w:tcPr>
                <w:p w14:paraId="563FCFA2">
                  <w:pPr>
                    <w:pStyle w:val="58"/>
                    <w:keepNext w:val="0"/>
                    <w:keepLines w:val="0"/>
                    <w:suppressLineNumbers w:val="0"/>
                    <w:bidi w:val="0"/>
                    <w:spacing w:before="0" w:beforeAutospacing="0" w:after="0" w:afterAutospacing="0"/>
                    <w:ind w:left="0" w:right="0"/>
                    <w:rPr>
                      <w:rFonts w:hint="eastAsia"/>
                      <w:color w:val="auto"/>
                      <w:lang w:eastAsia="zh-CN"/>
                    </w:rPr>
                  </w:pPr>
                  <w:r>
                    <w:rPr>
                      <w:rFonts w:hint="eastAsia" w:ascii="Times New Roman" w:hAnsi="Times New Roman" w:eastAsia="宋体" w:cs="Times New Roman"/>
                      <w:color w:val="auto"/>
                      <w:lang w:val="en-US" w:eastAsia="zh-CN"/>
                    </w:rPr>
                    <w:t>蛋白粉生产车间</w:t>
                  </w:r>
                </w:p>
              </w:tc>
              <w:tc>
                <w:tcPr>
                  <w:tcW w:w="1275" w:type="dxa"/>
                  <w:tcBorders>
                    <w:tl2br w:val="nil"/>
                    <w:tr2bl w:val="nil"/>
                  </w:tcBorders>
                  <w:noWrap w:val="0"/>
                  <w:vAlign w:val="center"/>
                </w:tcPr>
                <w:p w14:paraId="12767D49">
                  <w:pPr>
                    <w:pStyle w:val="58"/>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TSP</w:t>
                  </w:r>
                </w:p>
              </w:tc>
              <w:tc>
                <w:tcPr>
                  <w:tcW w:w="1053" w:type="dxa"/>
                  <w:vMerge w:val="restart"/>
                  <w:tcBorders>
                    <w:tl2br w:val="nil"/>
                    <w:tr2bl w:val="nil"/>
                  </w:tcBorders>
                  <w:noWrap w:val="0"/>
                  <w:vAlign w:val="center"/>
                </w:tcPr>
                <w:p w14:paraId="4E6CA9BE">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50</w:t>
                  </w:r>
                </w:p>
              </w:tc>
              <w:tc>
                <w:tcPr>
                  <w:tcW w:w="1165" w:type="dxa"/>
                  <w:vMerge w:val="restart"/>
                  <w:tcBorders>
                    <w:tl2br w:val="nil"/>
                    <w:tr2bl w:val="nil"/>
                  </w:tcBorders>
                  <w:noWrap w:val="0"/>
                  <w:vAlign w:val="center"/>
                </w:tcPr>
                <w:p w14:paraId="5D92E8B1">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26</w:t>
                  </w:r>
                </w:p>
              </w:tc>
              <w:tc>
                <w:tcPr>
                  <w:tcW w:w="1178" w:type="dxa"/>
                  <w:vMerge w:val="restart"/>
                  <w:tcBorders>
                    <w:tl2br w:val="nil"/>
                    <w:tr2bl w:val="nil"/>
                  </w:tcBorders>
                  <w:noWrap w:val="0"/>
                  <w:vAlign w:val="center"/>
                </w:tcPr>
                <w:p w14:paraId="686B992D">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9</w:t>
                  </w:r>
                </w:p>
              </w:tc>
              <w:tc>
                <w:tcPr>
                  <w:tcW w:w="1029" w:type="dxa"/>
                  <w:tcBorders>
                    <w:tl2br w:val="nil"/>
                    <w:tr2bl w:val="nil"/>
                  </w:tcBorders>
                  <w:noWrap w:val="0"/>
                  <w:vAlign w:val="center"/>
                </w:tcPr>
                <w:p w14:paraId="698ABF89">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0.203</w:t>
                  </w:r>
                </w:p>
              </w:tc>
              <w:tc>
                <w:tcPr>
                  <w:tcW w:w="1231" w:type="dxa"/>
                  <w:tcBorders>
                    <w:tl2br w:val="nil"/>
                    <w:tr2bl w:val="nil"/>
                  </w:tcBorders>
                  <w:noWrap w:val="0"/>
                  <w:vAlign w:val="center"/>
                </w:tcPr>
                <w:p w14:paraId="7109D04C">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225555555</w:t>
                  </w:r>
                </w:p>
              </w:tc>
            </w:tr>
            <w:tr w14:paraId="4C7A7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1006" w:type="dxa"/>
                  <w:vMerge w:val="continue"/>
                  <w:tcBorders>
                    <w:tl2br w:val="nil"/>
                    <w:tr2bl w:val="nil"/>
                  </w:tcBorders>
                  <w:noWrap w:val="0"/>
                  <w:vAlign w:val="center"/>
                </w:tcPr>
                <w:p w14:paraId="134DB7AE">
                  <w:pPr>
                    <w:pStyle w:val="58"/>
                    <w:keepNext w:val="0"/>
                    <w:keepLines w:val="0"/>
                    <w:suppressLineNumbers w:val="0"/>
                    <w:bidi w:val="0"/>
                    <w:spacing w:before="0" w:beforeAutospacing="0" w:after="0" w:afterAutospacing="0"/>
                    <w:ind w:left="0" w:right="0"/>
                    <w:rPr>
                      <w:rFonts w:hint="default"/>
                      <w:color w:val="auto"/>
                    </w:rPr>
                  </w:pPr>
                </w:p>
              </w:tc>
              <w:tc>
                <w:tcPr>
                  <w:tcW w:w="1275" w:type="dxa"/>
                  <w:tcBorders>
                    <w:tl2br w:val="nil"/>
                    <w:tr2bl w:val="nil"/>
                  </w:tcBorders>
                  <w:noWrap w:val="0"/>
                  <w:vAlign w:val="center"/>
                </w:tcPr>
                <w:p w14:paraId="5E57AAB7">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TVOC</w:t>
                  </w:r>
                </w:p>
              </w:tc>
              <w:tc>
                <w:tcPr>
                  <w:tcW w:w="1053" w:type="dxa"/>
                  <w:vMerge w:val="continue"/>
                  <w:tcBorders>
                    <w:tl2br w:val="nil"/>
                    <w:tr2bl w:val="nil"/>
                  </w:tcBorders>
                  <w:noWrap w:val="0"/>
                  <w:vAlign w:val="center"/>
                </w:tcPr>
                <w:p w14:paraId="4438F5F9">
                  <w:pPr>
                    <w:pStyle w:val="58"/>
                    <w:keepNext w:val="0"/>
                    <w:keepLines w:val="0"/>
                    <w:suppressLineNumbers w:val="0"/>
                    <w:bidi w:val="0"/>
                    <w:spacing w:before="0" w:beforeAutospacing="0" w:after="0" w:afterAutospacing="0"/>
                    <w:ind w:left="0" w:right="0"/>
                    <w:rPr>
                      <w:rFonts w:hint="eastAsia"/>
                      <w:color w:val="auto"/>
                    </w:rPr>
                  </w:pPr>
                </w:p>
              </w:tc>
              <w:tc>
                <w:tcPr>
                  <w:tcW w:w="1165" w:type="dxa"/>
                  <w:vMerge w:val="continue"/>
                  <w:tcBorders>
                    <w:tl2br w:val="nil"/>
                    <w:tr2bl w:val="nil"/>
                  </w:tcBorders>
                  <w:noWrap w:val="0"/>
                  <w:vAlign w:val="center"/>
                </w:tcPr>
                <w:p w14:paraId="7E76051A">
                  <w:pPr>
                    <w:pStyle w:val="58"/>
                    <w:keepNext w:val="0"/>
                    <w:keepLines w:val="0"/>
                    <w:suppressLineNumbers w:val="0"/>
                    <w:bidi w:val="0"/>
                    <w:spacing w:before="0" w:beforeAutospacing="0" w:after="0" w:afterAutospacing="0"/>
                    <w:ind w:left="0" w:right="0"/>
                    <w:rPr>
                      <w:rFonts w:hint="eastAsia"/>
                      <w:color w:val="auto"/>
                    </w:rPr>
                  </w:pPr>
                </w:p>
              </w:tc>
              <w:tc>
                <w:tcPr>
                  <w:tcW w:w="1178" w:type="dxa"/>
                  <w:vMerge w:val="continue"/>
                  <w:tcBorders>
                    <w:tl2br w:val="nil"/>
                    <w:tr2bl w:val="nil"/>
                  </w:tcBorders>
                  <w:noWrap w:val="0"/>
                  <w:vAlign w:val="center"/>
                </w:tcPr>
                <w:p w14:paraId="63345F2E">
                  <w:pPr>
                    <w:pStyle w:val="58"/>
                    <w:keepNext w:val="0"/>
                    <w:keepLines w:val="0"/>
                    <w:suppressLineNumbers w:val="0"/>
                    <w:bidi w:val="0"/>
                    <w:spacing w:before="0" w:beforeAutospacing="0" w:after="0" w:afterAutospacing="0"/>
                    <w:ind w:left="0" w:right="0"/>
                    <w:rPr>
                      <w:rFonts w:hint="eastAsia"/>
                      <w:color w:val="auto"/>
                    </w:rPr>
                  </w:pPr>
                </w:p>
              </w:tc>
              <w:tc>
                <w:tcPr>
                  <w:tcW w:w="1029" w:type="dxa"/>
                  <w:tcBorders>
                    <w:tl2br w:val="nil"/>
                    <w:tr2bl w:val="nil"/>
                  </w:tcBorders>
                  <w:noWrap w:val="0"/>
                  <w:vAlign w:val="center"/>
                </w:tcPr>
                <w:p w14:paraId="5B9F584C">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0.171</w:t>
                  </w:r>
                </w:p>
              </w:tc>
              <w:tc>
                <w:tcPr>
                  <w:tcW w:w="1231" w:type="dxa"/>
                  <w:tcBorders>
                    <w:tl2br w:val="nil"/>
                    <w:tr2bl w:val="nil"/>
                  </w:tcBorders>
                  <w:noWrap w:val="0"/>
                  <w:vAlign w:val="center"/>
                </w:tcPr>
                <w:p w14:paraId="2DD92785">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85500000</w:t>
                  </w:r>
                </w:p>
              </w:tc>
            </w:tr>
            <w:tr w14:paraId="716FF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jc w:val="center"/>
              </w:trPr>
              <w:tc>
                <w:tcPr>
                  <w:tcW w:w="7937" w:type="dxa"/>
                  <w:gridSpan w:val="7"/>
                  <w:tcBorders>
                    <w:tl2br w:val="nil"/>
                    <w:tr2bl w:val="nil"/>
                  </w:tcBorders>
                  <w:noWrap w:val="0"/>
                  <w:vAlign w:val="center"/>
                </w:tcPr>
                <w:p w14:paraId="2D5A423A">
                  <w:pPr>
                    <w:pStyle w:val="58"/>
                    <w:keepNext w:val="0"/>
                    <w:keepLines w:val="0"/>
                    <w:suppressLineNumbers w:val="0"/>
                    <w:bidi w:val="0"/>
                    <w:spacing w:before="0" w:beforeAutospacing="0" w:after="0" w:afterAutospacing="0"/>
                    <w:ind w:left="0" w:right="0"/>
                    <w:jc w:val="left"/>
                    <w:rPr>
                      <w:rFonts w:hint="default"/>
                      <w:color w:val="auto"/>
                    </w:rPr>
                  </w:pPr>
                  <w:r>
                    <w:rPr>
                      <w:rFonts w:hint="eastAsia"/>
                      <w:color w:val="auto"/>
                    </w:rPr>
                    <w:t>注</w:t>
                  </w:r>
                  <w:r>
                    <w:rPr>
                      <w:rFonts w:hint="default"/>
                      <w:color w:val="auto"/>
                    </w:rPr>
                    <w:t>：等标排放量</w:t>
                  </w:r>
                  <w:r>
                    <w:rPr>
                      <w:rFonts w:hint="eastAsia"/>
                      <w:color w:val="auto"/>
                    </w:rPr>
                    <w:t>Pi =Qi/Coi╳10</w:t>
                  </w:r>
                  <w:r>
                    <w:rPr>
                      <w:rFonts w:hint="eastAsia"/>
                      <w:color w:val="auto"/>
                      <w:vertAlign w:val="superscript"/>
                    </w:rPr>
                    <w:t>9</w:t>
                  </w:r>
                </w:p>
                <w:p w14:paraId="2DA68205">
                  <w:pPr>
                    <w:pStyle w:val="58"/>
                    <w:keepNext w:val="0"/>
                    <w:keepLines w:val="0"/>
                    <w:suppressLineNumbers w:val="0"/>
                    <w:bidi w:val="0"/>
                    <w:spacing w:before="0" w:beforeAutospacing="0" w:after="0" w:afterAutospacing="0"/>
                    <w:ind w:left="0" w:right="0"/>
                    <w:jc w:val="left"/>
                    <w:rPr>
                      <w:rFonts w:hint="default"/>
                      <w:color w:val="auto"/>
                    </w:rPr>
                  </w:pPr>
                  <w:r>
                    <w:rPr>
                      <w:rFonts w:hint="eastAsia"/>
                      <w:color w:val="auto"/>
                    </w:rPr>
                    <w:t>Pi</w:t>
                  </w:r>
                  <w:r>
                    <w:rPr>
                      <w:rFonts w:hint="default"/>
                      <w:color w:val="auto"/>
                    </w:rPr>
                    <w:t>——</w:t>
                  </w:r>
                  <w:r>
                    <w:rPr>
                      <w:rFonts w:hint="eastAsia"/>
                      <w:color w:val="auto"/>
                    </w:rPr>
                    <w:t>评价等级判别参数，即通常所谓的等标排放量，</w:t>
                  </w:r>
                  <w:r>
                    <w:rPr>
                      <w:rFonts w:hint="default"/>
                      <w:color w:val="auto"/>
                      <w:lang w:val="en-US" w:eastAsia="zh-CN"/>
                    </w:rPr>
                    <w:t>m</w:t>
                  </w:r>
                  <w:r>
                    <w:rPr>
                      <w:rFonts w:hint="default"/>
                      <w:color w:val="auto"/>
                      <w:vertAlign w:val="superscript"/>
                      <w:lang w:val="en-US" w:eastAsia="zh-CN"/>
                    </w:rPr>
                    <w:t>3</w:t>
                  </w:r>
                  <w:r>
                    <w:rPr>
                      <w:rFonts w:hint="eastAsia"/>
                      <w:color w:val="auto"/>
                    </w:rPr>
                    <w:t>/h；</w:t>
                  </w:r>
                </w:p>
                <w:p w14:paraId="78B64766">
                  <w:pPr>
                    <w:pStyle w:val="58"/>
                    <w:keepNext w:val="0"/>
                    <w:keepLines w:val="0"/>
                    <w:suppressLineNumbers w:val="0"/>
                    <w:bidi w:val="0"/>
                    <w:spacing w:before="0" w:beforeAutospacing="0" w:after="0" w:afterAutospacing="0"/>
                    <w:ind w:left="0" w:right="0"/>
                    <w:jc w:val="left"/>
                    <w:rPr>
                      <w:rFonts w:hint="default"/>
                      <w:color w:val="auto"/>
                    </w:rPr>
                  </w:pPr>
                  <w:r>
                    <w:rPr>
                      <w:rFonts w:hint="eastAsia"/>
                      <w:color w:val="auto"/>
                    </w:rPr>
                    <w:t>Qi</w:t>
                  </w:r>
                  <w:r>
                    <w:rPr>
                      <w:rFonts w:hint="default"/>
                      <w:color w:val="auto"/>
                    </w:rPr>
                    <w:t>——</w:t>
                  </w:r>
                  <w:r>
                    <w:rPr>
                      <w:rFonts w:hint="eastAsia"/>
                      <w:color w:val="auto"/>
                    </w:rPr>
                    <w:t>单位时间的排放量，t/h；</w:t>
                  </w:r>
                </w:p>
                <w:p w14:paraId="54CBA103">
                  <w:pPr>
                    <w:pStyle w:val="58"/>
                    <w:keepNext w:val="0"/>
                    <w:keepLines w:val="0"/>
                    <w:suppressLineNumbers w:val="0"/>
                    <w:bidi w:val="0"/>
                    <w:spacing w:before="0" w:beforeAutospacing="0" w:after="0" w:afterAutospacing="0"/>
                    <w:ind w:left="0" w:right="0"/>
                    <w:jc w:val="left"/>
                    <w:rPr>
                      <w:rFonts w:hint="default"/>
                      <w:color w:val="auto"/>
                      <w:lang w:val="en-US" w:eastAsia="zh-CN"/>
                    </w:rPr>
                  </w:pPr>
                  <w:r>
                    <w:rPr>
                      <w:rFonts w:hint="eastAsia"/>
                      <w:color w:val="auto"/>
                    </w:rPr>
                    <w:t>Coi</w:t>
                  </w:r>
                  <w:r>
                    <w:rPr>
                      <w:rFonts w:hint="default"/>
                      <w:color w:val="auto"/>
                    </w:rPr>
                    <w:t>——</w:t>
                  </w:r>
                  <w:r>
                    <w:rPr>
                      <w:rFonts w:hint="eastAsia"/>
                      <w:color w:val="auto"/>
                    </w:rPr>
                    <w:t>环境空气质量标准，mg/</w:t>
                  </w:r>
                  <w:r>
                    <w:rPr>
                      <w:rFonts w:hint="default"/>
                      <w:color w:val="auto"/>
                      <w:lang w:val="en-US" w:eastAsia="zh-CN"/>
                    </w:rPr>
                    <w:t>m</w:t>
                  </w:r>
                  <w:r>
                    <w:rPr>
                      <w:rFonts w:hint="default"/>
                      <w:color w:val="auto"/>
                      <w:vertAlign w:val="superscript"/>
                      <w:lang w:val="en-US" w:eastAsia="zh-CN"/>
                    </w:rPr>
                    <w:t>3</w:t>
                  </w:r>
                  <w:r>
                    <w:rPr>
                      <w:rFonts w:hint="eastAsia"/>
                      <w:color w:val="auto"/>
                      <w:lang w:val="en-US" w:eastAsia="zh-CN"/>
                    </w:rPr>
                    <w:t>。</w:t>
                  </w:r>
                </w:p>
              </w:tc>
            </w:tr>
          </w:tbl>
          <w:p w14:paraId="1041B295">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根据</w:t>
            </w:r>
            <w:r>
              <w:rPr>
                <w:rFonts w:hint="eastAsia"/>
                <w:color w:val="auto"/>
              </w:rPr>
              <w:t>《大气有害物质无组织排放卫生防护距离推导技术导则》（GB/T39499-2020）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r>
              <w:rPr>
                <w:rFonts w:hint="eastAsia"/>
                <w:color w:val="auto"/>
                <w:lang w:eastAsia="zh-CN"/>
              </w:rPr>
              <w:t>。</w:t>
            </w:r>
          </w:p>
          <w:p w14:paraId="6ABE6CB0">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通过计算，本项目蛋白粉生产车间中等标排</w:t>
            </w:r>
            <w:r>
              <w:rPr>
                <w:rFonts w:hint="eastAsia"/>
                <w:color w:val="auto"/>
                <w:lang w:val="en-US" w:eastAsia="zh-CN"/>
              </w:rPr>
              <w:t>放量TSP、TVOC污染</w:t>
            </w:r>
            <w:r>
              <w:rPr>
                <w:rFonts w:hint="eastAsia" w:ascii="Times New Roman" w:hAnsi="Times New Roman" w:eastAsia="宋体" w:cs="Times New Roman"/>
                <w:color w:val="auto"/>
                <w:lang w:val="en-US" w:eastAsia="zh-CN"/>
              </w:rPr>
              <w:t>物相差大于10%，因此蛋白粉生产车间选取TSP作为卫生防护距离计算依据，当地年平均风速为1.8m/s，本项目的卫生防护距离计算结果表4-</w:t>
            </w:r>
            <w:r>
              <w:rPr>
                <w:rFonts w:hint="eastAsia" w:cs="Times New Roman"/>
                <w:color w:val="auto"/>
                <w:lang w:val="en-US" w:eastAsia="zh-CN"/>
              </w:rPr>
              <w:t>7</w:t>
            </w:r>
            <w:r>
              <w:rPr>
                <w:rFonts w:hint="eastAsia" w:ascii="Times New Roman" w:hAnsi="Times New Roman" w:eastAsia="宋体" w:cs="Times New Roman"/>
                <w:color w:val="auto"/>
                <w:lang w:val="en-US" w:eastAsia="zh-CN"/>
              </w:rPr>
              <w:t>：</w:t>
            </w:r>
          </w:p>
          <w:p w14:paraId="14E53690">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zh-CN" w:eastAsia="zh-CN" w:bidi="ar-SA"/>
              </w:rPr>
            </w:pPr>
            <w:r>
              <w:rPr>
                <w:rFonts w:hint="eastAsia" w:ascii="Times New Roman" w:hAnsi="Times New Roman" w:eastAsia="宋体" w:cs="Times New Roman"/>
                <w:b/>
                <w:color w:val="auto"/>
                <w:kern w:val="0"/>
                <w:sz w:val="24"/>
                <w:szCs w:val="24"/>
                <w:lang w:val="zh-CN" w:eastAsia="zh-CN" w:bidi="ar-SA"/>
              </w:rPr>
              <w:t>卫生防护距离计算结果</w:t>
            </w:r>
          </w:p>
          <w:tbl>
            <w:tblPr>
              <w:tblStyle w:val="29"/>
              <w:tblW w:w="7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378"/>
              <w:gridCol w:w="1295"/>
              <w:gridCol w:w="1128"/>
              <w:gridCol w:w="1192"/>
              <w:gridCol w:w="1269"/>
              <w:gridCol w:w="1006"/>
            </w:tblGrid>
            <w:tr w14:paraId="0C7F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669" w:type="dxa"/>
                  <w:tcBorders>
                    <w:tl2br w:val="nil"/>
                    <w:tr2bl w:val="nil"/>
                  </w:tcBorders>
                  <w:noWrap w:val="0"/>
                  <w:vAlign w:val="center"/>
                </w:tcPr>
                <w:p w14:paraId="208D9AB8">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面源</w:t>
                  </w:r>
                </w:p>
                <w:p w14:paraId="624084B9">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编号</w:t>
                  </w:r>
                </w:p>
              </w:tc>
              <w:tc>
                <w:tcPr>
                  <w:tcW w:w="1378" w:type="dxa"/>
                  <w:tcBorders>
                    <w:tl2br w:val="nil"/>
                    <w:tr2bl w:val="nil"/>
                  </w:tcBorders>
                  <w:noWrap w:val="0"/>
                  <w:vAlign w:val="center"/>
                </w:tcPr>
                <w:p w14:paraId="00AFEAA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污染源</w:t>
                  </w:r>
                </w:p>
              </w:tc>
              <w:tc>
                <w:tcPr>
                  <w:tcW w:w="1295" w:type="dxa"/>
                  <w:tcBorders>
                    <w:tl2br w:val="nil"/>
                    <w:tr2bl w:val="nil"/>
                  </w:tcBorders>
                  <w:noWrap w:val="0"/>
                  <w:vAlign w:val="center"/>
                </w:tcPr>
                <w:p w14:paraId="7A14FDD2">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污染物名称</w:t>
                  </w:r>
                </w:p>
              </w:tc>
              <w:tc>
                <w:tcPr>
                  <w:tcW w:w="1128" w:type="dxa"/>
                  <w:tcBorders>
                    <w:tl2br w:val="nil"/>
                    <w:tr2bl w:val="nil"/>
                  </w:tcBorders>
                  <w:noWrap w:val="0"/>
                  <w:vAlign w:val="center"/>
                </w:tcPr>
                <w:p w14:paraId="7A1F296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评价因子源强</w:t>
                  </w:r>
                  <w:r>
                    <w:rPr>
                      <w:rFonts w:hint="eastAsia"/>
                      <w:color w:val="auto"/>
                      <w:lang w:eastAsia="zh-CN"/>
                    </w:rPr>
                    <w:t>（</w:t>
                  </w:r>
                  <w:r>
                    <w:rPr>
                      <w:rFonts w:hint="default"/>
                      <w:color w:val="auto"/>
                    </w:rPr>
                    <w:t>kg/h</w:t>
                  </w:r>
                  <w:r>
                    <w:rPr>
                      <w:rFonts w:hint="eastAsia"/>
                      <w:color w:val="auto"/>
                      <w:lang w:eastAsia="zh-CN"/>
                    </w:rPr>
                    <w:t>）</w:t>
                  </w:r>
                </w:p>
              </w:tc>
              <w:tc>
                <w:tcPr>
                  <w:tcW w:w="1192" w:type="dxa"/>
                  <w:tcBorders>
                    <w:tl2br w:val="nil"/>
                    <w:tr2bl w:val="nil"/>
                  </w:tcBorders>
                  <w:noWrap w:val="0"/>
                  <w:vAlign w:val="center"/>
                </w:tcPr>
                <w:p w14:paraId="41E92BBF">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生产单元占地面积</w:t>
                  </w:r>
                  <w:r>
                    <w:rPr>
                      <w:rFonts w:hint="eastAsia"/>
                      <w:color w:val="auto"/>
                      <w:lang w:eastAsia="zh-CN"/>
                    </w:rPr>
                    <w:t>（</w:t>
                  </w:r>
                  <w:r>
                    <w:rPr>
                      <w:rFonts w:hint="eastAsia"/>
                      <w:color w:val="auto"/>
                      <w:lang w:val="en-US" w:eastAsia="zh-CN"/>
                    </w:rPr>
                    <w:t>m</w:t>
                  </w:r>
                  <w:r>
                    <w:rPr>
                      <w:rFonts w:hint="eastAsia"/>
                      <w:color w:val="auto"/>
                      <w:vertAlign w:val="superscript"/>
                      <w:lang w:val="en-US" w:eastAsia="zh-CN"/>
                    </w:rPr>
                    <w:t>2）</w:t>
                  </w:r>
                </w:p>
              </w:tc>
              <w:tc>
                <w:tcPr>
                  <w:tcW w:w="1269" w:type="dxa"/>
                  <w:tcBorders>
                    <w:tl2br w:val="nil"/>
                    <w:tr2bl w:val="nil"/>
                  </w:tcBorders>
                  <w:noWrap w:val="0"/>
                  <w:vAlign w:val="center"/>
                </w:tcPr>
                <w:p w14:paraId="4DB306C0">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卫生防护距离计算</w:t>
                  </w:r>
                  <w:r>
                    <w:rPr>
                      <w:rFonts w:hint="eastAsia"/>
                      <w:color w:val="auto"/>
                      <w:lang w:eastAsia="zh-CN"/>
                    </w:rPr>
                    <w:t>初</w:t>
                  </w:r>
                  <w:r>
                    <w:rPr>
                      <w:rFonts w:hint="default"/>
                      <w:color w:val="auto"/>
                    </w:rPr>
                    <w:t>值</w:t>
                  </w:r>
                  <w:r>
                    <w:rPr>
                      <w:rFonts w:hint="eastAsia"/>
                      <w:color w:val="auto"/>
                      <w:lang w:eastAsia="zh-CN"/>
                    </w:rPr>
                    <w:t>（</w:t>
                  </w:r>
                  <w:r>
                    <w:rPr>
                      <w:rFonts w:hint="default"/>
                      <w:color w:val="auto"/>
                    </w:rPr>
                    <w:t>m</w:t>
                  </w:r>
                  <w:r>
                    <w:rPr>
                      <w:rFonts w:hint="eastAsia"/>
                      <w:color w:val="auto"/>
                      <w:lang w:eastAsia="zh-CN"/>
                    </w:rPr>
                    <w:t>）</w:t>
                  </w:r>
                </w:p>
              </w:tc>
              <w:tc>
                <w:tcPr>
                  <w:tcW w:w="1006" w:type="dxa"/>
                  <w:tcBorders>
                    <w:tl2br w:val="nil"/>
                    <w:tr2bl w:val="nil"/>
                  </w:tcBorders>
                  <w:noWrap w:val="0"/>
                  <w:vAlign w:val="center"/>
                </w:tcPr>
                <w:p w14:paraId="21222A5A">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卫生防护距离</w:t>
                  </w:r>
                  <w:r>
                    <w:rPr>
                      <w:rFonts w:hint="eastAsia"/>
                      <w:color w:val="auto"/>
                      <w:lang w:eastAsia="zh-CN"/>
                    </w:rPr>
                    <w:t>终值（</w:t>
                  </w:r>
                  <w:r>
                    <w:rPr>
                      <w:rFonts w:hint="default"/>
                      <w:color w:val="auto"/>
                    </w:rPr>
                    <w:t>m</w:t>
                  </w:r>
                  <w:r>
                    <w:rPr>
                      <w:rFonts w:hint="eastAsia"/>
                      <w:color w:val="auto"/>
                      <w:lang w:eastAsia="zh-CN"/>
                    </w:rPr>
                    <w:t>）</w:t>
                  </w:r>
                </w:p>
              </w:tc>
            </w:tr>
            <w:tr w14:paraId="79C96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669" w:type="dxa"/>
                  <w:tcBorders>
                    <w:tl2br w:val="nil"/>
                    <w:tr2bl w:val="nil"/>
                  </w:tcBorders>
                  <w:noWrap w:val="0"/>
                  <w:vAlign w:val="center"/>
                </w:tcPr>
                <w:p w14:paraId="0AC0A545">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1</w:t>
                  </w:r>
                </w:p>
              </w:tc>
              <w:tc>
                <w:tcPr>
                  <w:tcW w:w="1378" w:type="dxa"/>
                  <w:tcBorders>
                    <w:tl2br w:val="nil"/>
                    <w:tr2bl w:val="nil"/>
                  </w:tcBorders>
                  <w:noWrap w:val="0"/>
                  <w:vAlign w:val="center"/>
                </w:tcPr>
                <w:p w14:paraId="451CC382">
                  <w:pPr>
                    <w:pStyle w:val="58"/>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蛋白粉生产车间</w:t>
                  </w:r>
                </w:p>
              </w:tc>
              <w:tc>
                <w:tcPr>
                  <w:tcW w:w="1295" w:type="dxa"/>
                  <w:tcBorders>
                    <w:tl2br w:val="nil"/>
                    <w:tr2bl w:val="nil"/>
                  </w:tcBorders>
                  <w:noWrap w:val="0"/>
                  <w:vAlign w:val="center"/>
                </w:tcPr>
                <w:p w14:paraId="02A7BA0A">
                  <w:pPr>
                    <w:pStyle w:val="58"/>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TSP</w:t>
                  </w:r>
                </w:p>
              </w:tc>
              <w:tc>
                <w:tcPr>
                  <w:tcW w:w="1128" w:type="dxa"/>
                  <w:tcBorders>
                    <w:tl2br w:val="nil"/>
                    <w:tr2bl w:val="nil"/>
                  </w:tcBorders>
                  <w:noWrap w:val="0"/>
                  <w:vAlign w:val="center"/>
                </w:tcPr>
                <w:p w14:paraId="7BBDCC7B">
                  <w:pPr>
                    <w:pStyle w:val="58"/>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0.203</w:t>
                  </w:r>
                </w:p>
              </w:tc>
              <w:tc>
                <w:tcPr>
                  <w:tcW w:w="1192" w:type="dxa"/>
                  <w:tcBorders>
                    <w:tl2br w:val="nil"/>
                    <w:tr2bl w:val="nil"/>
                  </w:tcBorders>
                  <w:noWrap w:val="0"/>
                  <w:vAlign w:val="center"/>
                </w:tcPr>
                <w:p w14:paraId="44BC15C0">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1300</w:t>
                  </w:r>
                </w:p>
              </w:tc>
              <w:tc>
                <w:tcPr>
                  <w:tcW w:w="1269" w:type="dxa"/>
                  <w:tcBorders>
                    <w:tl2br w:val="nil"/>
                    <w:tr2bl w:val="nil"/>
                  </w:tcBorders>
                  <w:noWrap w:val="0"/>
                  <w:vAlign w:val="center"/>
                </w:tcPr>
                <w:p w14:paraId="444FEBBF">
                  <w:pPr>
                    <w:pStyle w:val="58"/>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14.68</w:t>
                  </w:r>
                </w:p>
              </w:tc>
              <w:tc>
                <w:tcPr>
                  <w:tcW w:w="1006" w:type="dxa"/>
                  <w:tcBorders>
                    <w:tl2br w:val="nil"/>
                    <w:tr2bl w:val="nil"/>
                  </w:tcBorders>
                  <w:noWrap w:val="0"/>
                  <w:vAlign w:val="center"/>
                </w:tcPr>
                <w:p w14:paraId="2ABF89C6">
                  <w:pPr>
                    <w:pStyle w:val="58"/>
                    <w:keepNext w:val="0"/>
                    <w:keepLines w:val="0"/>
                    <w:suppressLineNumbers w:val="0"/>
                    <w:bidi w:val="0"/>
                    <w:spacing w:before="0" w:beforeAutospacing="0" w:after="0" w:afterAutospacing="0"/>
                    <w:ind w:left="0" w:right="0"/>
                    <w:rPr>
                      <w:rFonts w:hint="default"/>
                      <w:color w:val="auto"/>
                    </w:rPr>
                  </w:pPr>
                  <w:r>
                    <w:rPr>
                      <w:rFonts w:hint="default"/>
                      <w:color w:val="auto"/>
                    </w:rPr>
                    <w:t>50</w:t>
                  </w:r>
                </w:p>
              </w:tc>
            </w:tr>
          </w:tbl>
          <w:p w14:paraId="32B3CDE8">
            <w:pPr>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rPr>
              <w:t>根据计算，本项目</w:t>
            </w:r>
            <w:r>
              <w:rPr>
                <w:rFonts w:hint="eastAsia"/>
                <w:color w:val="auto"/>
                <w:lang w:eastAsia="zh-CN"/>
              </w:rPr>
              <w:t>以</w:t>
            </w:r>
            <w:r>
              <w:rPr>
                <w:rFonts w:hint="eastAsia"/>
                <w:color w:val="auto"/>
                <w:lang w:val="en-US" w:eastAsia="zh-CN"/>
              </w:rPr>
              <w:t>蛋白粉生产车间</w:t>
            </w:r>
            <w:r>
              <w:rPr>
                <w:rFonts w:hint="eastAsia"/>
                <w:color w:val="auto"/>
                <w:lang w:eastAsia="zh-CN"/>
              </w:rPr>
              <w:t>为边界设置</w:t>
            </w:r>
            <w:r>
              <w:rPr>
                <w:rFonts w:hint="eastAsia"/>
                <w:color w:val="auto"/>
                <w:lang w:val="en-US" w:eastAsia="zh-CN"/>
              </w:rPr>
              <w:t>50m卫生防护距离包络线</w:t>
            </w:r>
            <w:r>
              <w:rPr>
                <w:rFonts w:hint="eastAsia"/>
                <w:color w:val="auto"/>
                <w:lang w:eastAsia="zh-CN"/>
              </w:rPr>
              <w:t>，</w:t>
            </w:r>
            <w:r>
              <w:rPr>
                <w:rFonts w:hint="default"/>
                <w:color w:val="auto"/>
              </w:rPr>
              <w:t>根据现场调查，生产车间卫生防护距离内无敏感点，最近的敏感点为</w:t>
            </w:r>
            <w:r>
              <w:rPr>
                <w:rFonts w:hint="eastAsia"/>
                <w:color w:val="auto"/>
                <w:lang w:val="en-US" w:eastAsia="zh-CN"/>
              </w:rPr>
              <w:t>项目东南</w:t>
            </w:r>
            <w:r>
              <w:rPr>
                <w:rFonts w:hint="default"/>
                <w:color w:val="auto"/>
              </w:rPr>
              <w:t>面</w:t>
            </w:r>
            <w:r>
              <w:rPr>
                <w:rFonts w:hint="eastAsia"/>
                <w:color w:val="auto"/>
                <w:lang w:val="en-US" w:eastAsia="zh-CN"/>
              </w:rPr>
              <w:t>92.1m处</w:t>
            </w:r>
            <w:r>
              <w:rPr>
                <w:rFonts w:hint="default"/>
                <w:color w:val="auto"/>
              </w:rPr>
              <w:t>的</w:t>
            </w:r>
            <w:r>
              <w:rPr>
                <w:rFonts w:hint="eastAsia"/>
                <w:color w:val="auto"/>
                <w:lang w:val="en-US" w:eastAsia="zh-CN"/>
              </w:rPr>
              <w:t>钟家村居民点</w:t>
            </w:r>
            <w:r>
              <w:rPr>
                <w:rFonts w:hint="default"/>
                <w:color w:val="auto"/>
              </w:rPr>
              <w:t>，可满足卫生防护距离要求</w:t>
            </w:r>
            <w:r>
              <w:rPr>
                <w:rFonts w:hint="eastAsia"/>
                <w:color w:val="auto"/>
                <w:lang w:eastAsia="zh-CN"/>
              </w:rPr>
              <w:t>（</w:t>
            </w:r>
            <w:r>
              <w:rPr>
                <w:rFonts w:hint="eastAsia"/>
                <w:color w:val="auto"/>
                <w:lang w:val="en-US" w:eastAsia="zh-CN"/>
              </w:rPr>
              <w:t>见附图10</w:t>
            </w:r>
            <w:r>
              <w:rPr>
                <w:rFonts w:hint="eastAsia"/>
                <w:color w:val="auto"/>
                <w:lang w:eastAsia="zh-CN"/>
              </w:rPr>
              <w:t>）</w:t>
            </w:r>
            <w:r>
              <w:rPr>
                <w:rFonts w:hint="default"/>
                <w:color w:val="auto"/>
              </w:rPr>
              <w:t>。因此项目废气对周边环境影响较小</w:t>
            </w:r>
            <w:r>
              <w:rPr>
                <w:rFonts w:hint="eastAsia"/>
                <w:color w:val="auto"/>
                <w:lang w:eastAsia="zh-CN"/>
              </w:rPr>
              <w:t>。</w:t>
            </w:r>
          </w:p>
          <w:p w14:paraId="0A38A99E">
            <w:pPr>
              <w:pStyle w:val="78"/>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cs="Times New Roman"/>
                <w:b/>
                <w:bCs/>
                <w:color w:val="auto"/>
                <w:lang w:val="en-US" w:eastAsia="zh-CN"/>
              </w:rPr>
            </w:pPr>
            <w:r>
              <w:rPr>
                <w:rFonts w:hint="eastAsia" w:cs="Times New Roman"/>
                <w:b/>
                <w:bCs/>
                <w:color w:val="auto"/>
                <w:lang w:val="en-US" w:eastAsia="zh-CN"/>
              </w:rPr>
              <w:t>（6）自行监测计划</w:t>
            </w:r>
          </w:p>
          <w:p w14:paraId="31E38DFD">
            <w:pPr>
              <w:pStyle w:val="83"/>
              <w:keepNext w:val="0"/>
              <w:keepLines w:val="0"/>
              <w:widowControl/>
              <w:suppressLineNumbers w:val="0"/>
              <w:spacing w:before="0" w:beforeAutospacing="0" w:after="0" w:afterAutospacing="0" w:line="360" w:lineRule="auto"/>
              <w:ind w:left="0" w:right="0" w:firstLine="480"/>
              <w:rPr>
                <w:rFonts w:hint="eastAsia"/>
                <w:snapToGrid w:val="0"/>
                <w:color w:val="auto"/>
              </w:rPr>
            </w:pPr>
            <w:r>
              <w:rPr>
                <w:rFonts w:hint="eastAsia"/>
                <w:snapToGrid w:val="0"/>
                <w:color w:val="auto"/>
              </w:rPr>
              <w:t>根据</w:t>
            </w:r>
            <w:r>
              <w:rPr>
                <w:rFonts w:hint="eastAsia"/>
                <w:color w:val="auto"/>
                <w:shd w:val="clear" w:color="auto" w:fill="auto"/>
              </w:rPr>
              <w:t>《</w:t>
            </w:r>
            <w:r>
              <w:rPr>
                <w:rFonts w:hint="eastAsia"/>
                <w:color w:val="auto"/>
                <w:shd w:val="clear" w:color="auto" w:fill="auto"/>
                <w:lang w:val="zh-CN" w:eastAsia="zh-CN"/>
              </w:rPr>
              <w:t>排污许可证申请与核发技术规范食品制造工业-方便食品、食品及饲料添加剂制造工业</w:t>
            </w:r>
            <w:r>
              <w:rPr>
                <w:rFonts w:hint="eastAsia"/>
                <w:color w:val="auto"/>
                <w:shd w:val="clear" w:color="auto" w:fill="auto"/>
              </w:rPr>
              <w:t>》</w:t>
            </w:r>
            <w:r>
              <w:rPr>
                <w:rFonts w:hint="eastAsia"/>
                <w:color w:val="auto"/>
                <w:shd w:val="clear" w:color="auto" w:fill="auto"/>
                <w:lang w:val="zh-CN" w:eastAsia="zh-CN"/>
              </w:rPr>
              <w:t>（HJ 1030.3-2019）、</w:t>
            </w:r>
            <w:r>
              <w:rPr>
                <w:rFonts w:hint="eastAsia"/>
                <w:color w:val="auto"/>
                <w:shd w:val="clear" w:color="auto" w:fill="auto"/>
              </w:rPr>
              <w:t>《</w:t>
            </w:r>
            <w:r>
              <w:rPr>
                <w:rFonts w:hint="eastAsia"/>
                <w:color w:val="auto"/>
                <w:shd w:val="clear" w:color="auto" w:fill="auto"/>
                <w:lang w:val="zh-CN" w:eastAsia="zh-CN"/>
              </w:rPr>
              <w:t>排污许可证申请与核发技术规范-锅炉</w:t>
            </w:r>
            <w:r>
              <w:rPr>
                <w:rFonts w:hint="eastAsia"/>
                <w:color w:val="auto"/>
                <w:shd w:val="clear" w:color="auto" w:fill="auto"/>
              </w:rPr>
              <w:t>》</w:t>
            </w:r>
            <w:r>
              <w:rPr>
                <w:rFonts w:hint="eastAsia"/>
                <w:color w:val="auto"/>
                <w:shd w:val="clear" w:color="auto" w:fill="auto"/>
                <w:lang w:val="zh-CN" w:eastAsia="zh-CN"/>
              </w:rPr>
              <w:t xml:space="preserve">（HJ </w:t>
            </w:r>
            <w:r>
              <w:rPr>
                <w:rFonts w:hint="eastAsia"/>
                <w:color w:val="auto"/>
                <w:shd w:val="clear" w:color="auto" w:fill="auto"/>
                <w:lang w:val="en-US" w:eastAsia="zh-CN"/>
              </w:rPr>
              <w:t>953</w:t>
            </w:r>
            <w:r>
              <w:rPr>
                <w:rFonts w:hint="eastAsia"/>
                <w:color w:val="auto"/>
                <w:shd w:val="clear" w:color="auto" w:fill="auto"/>
                <w:lang w:val="zh-CN" w:eastAsia="zh-CN"/>
              </w:rPr>
              <w:t>-201</w:t>
            </w:r>
            <w:r>
              <w:rPr>
                <w:rFonts w:hint="eastAsia"/>
                <w:color w:val="auto"/>
                <w:shd w:val="clear" w:color="auto" w:fill="auto"/>
                <w:lang w:val="en-US" w:eastAsia="zh-CN"/>
              </w:rPr>
              <w:t>8</w:t>
            </w:r>
            <w:r>
              <w:rPr>
                <w:rFonts w:hint="eastAsia"/>
                <w:color w:val="auto"/>
                <w:shd w:val="clear" w:color="auto" w:fill="auto"/>
                <w:lang w:val="zh-CN" w:eastAsia="zh-CN"/>
              </w:rPr>
              <w:t>）</w:t>
            </w:r>
            <w:r>
              <w:rPr>
                <w:rFonts w:hint="eastAsia"/>
                <w:snapToGrid w:val="0"/>
                <w:color w:val="auto"/>
                <w:lang w:eastAsia="zh-CN"/>
              </w:rPr>
              <w:t>，</w:t>
            </w:r>
            <w:r>
              <w:rPr>
                <w:rFonts w:hint="eastAsia"/>
                <w:snapToGrid w:val="0"/>
                <w:color w:val="auto"/>
              </w:rPr>
              <w:t>制定</w:t>
            </w:r>
            <w:r>
              <w:rPr>
                <w:rFonts w:hint="eastAsia"/>
                <w:snapToGrid w:val="0"/>
                <w:color w:val="auto"/>
                <w:lang w:eastAsia="zh-CN"/>
              </w:rPr>
              <w:t>技改项目</w:t>
            </w:r>
            <w:r>
              <w:rPr>
                <w:rFonts w:hint="eastAsia"/>
                <w:snapToGrid w:val="0"/>
                <w:color w:val="auto"/>
              </w:rPr>
              <w:t>大气监测计划如表4-</w:t>
            </w:r>
            <w:r>
              <w:rPr>
                <w:rFonts w:hint="eastAsia"/>
                <w:snapToGrid w:val="0"/>
                <w:color w:val="auto"/>
                <w:lang w:val="en-US" w:eastAsia="zh-CN"/>
              </w:rPr>
              <w:t>8</w:t>
            </w:r>
            <w:r>
              <w:rPr>
                <w:rFonts w:hint="eastAsia"/>
                <w:snapToGrid w:val="0"/>
                <w:color w:val="auto"/>
              </w:rPr>
              <w:t>所示。</w:t>
            </w:r>
          </w:p>
          <w:p w14:paraId="2F7B16D0">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zh-CN" w:eastAsia="zh-CN" w:bidi="ar-SA"/>
              </w:rPr>
            </w:pPr>
            <w:r>
              <w:rPr>
                <w:rFonts w:hint="eastAsia" w:ascii="Times New Roman" w:hAnsi="Times New Roman" w:eastAsia="宋体" w:cs="Times New Roman"/>
                <w:b/>
                <w:color w:val="auto"/>
                <w:kern w:val="0"/>
                <w:sz w:val="24"/>
                <w:szCs w:val="24"/>
                <w:lang w:val="zh-CN" w:eastAsia="zh-CN" w:bidi="ar-SA"/>
              </w:rPr>
              <w:t>监测要求及排放标准计划表</w:t>
            </w:r>
          </w:p>
          <w:tbl>
            <w:tblPr>
              <w:tblStyle w:val="29"/>
              <w:tblW w:w="498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66"/>
              <w:gridCol w:w="1610"/>
              <w:gridCol w:w="1709"/>
              <w:gridCol w:w="3576"/>
            </w:tblGrid>
            <w:tr w14:paraId="63BBFE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614" w:type="pct"/>
                  <w:tcBorders>
                    <w:tl2br w:val="nil"/>
                    <w:tr2bl w:val="nil"/>
                  </w:tcBorders>
                  <w:noWrap w:val="0"/>
                  <w:vAlign w:val="center"/>
                </w:tcPr>
                <w:p w14:paraId="249ECA0C">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监测点位</w:t>
                  </w:r>
                </w:p>
              </w:tc>
              <w:tc>
                <w:tcPr>
                  <w:tcW w:w="1024" w:type="pct"/>
                  <w:tcBorders>
                    <w:tl2br w:val="nil"/>
                    <w:tr2bl w:val="nil"/>
                  </w:tcBorders>
                  <w:noWrap w:val="0"/>
                  <w:vAlign w:val="center"/>
                </w:tcPr>
                <w:p w14:paraId="40F3B5AD">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监测</w:t>
                  </w:r>
                </w:p>
                <w:p w14:paraId="5AD0F499">
                  <w:pPr>
                    <w:pStyle w:val="61"/>
                    <w:keepNext w:val="0"/>
                    <w:keepLines w:val="0"/>
                    <w:suppressLineNumbers w:val="0"/>
                    <w:bidi w:val="0"/>
                    <w:spacing w:before="0" w:beforeAutospacing="0" w:after="0" w:afterAutospacing="0"/>
                    <w:ind w:left="0" w:right="0"/>
                    <w:rPr>
                      <w:rFonts w:hint="eastAsia" w:eastAsia="宋体" w:cs="Times New Roman"/>
                      <w:color w:val="auto"/>
                      <w:lang w:eastAsia="zh-CN"/>
                    </w:rPr>
                  </w:pPr>
                  <w:r>
                    <w:rPr>
                      <w:rFonts w:hint="eastAsia" w:cs="Times New Roman"/>
                      <w:color w:val="auto"/>
                      <w:lang w:eastAsia="zh-CN"/>
                    </w:rPr>
                    <w:t>指标</w:t>
                  </w:r>
                </w:p>
              </w:tc>
              <w:tc>
                <w:tcPr>
                  <w:tcW w:w="1087" w:type="pct"/>
                  <w:tcBorders>
                    <w:tl2br w:val="nil"/>
                    <w:tr2bl w:val="nil"/>
                  </w:tcBorders>
                  <w:noWrap w:val="0"/>
                  <w:vAlign w:val="center"/>
                </w:tcPr>
                <w:p w14:paraId="19967C20">
                  <w:pPr>
                    <w:pStyle w:val="61"/>
                    <w:keepNext w:val="0"/>
                    <w:keepLines w:val="0"/>
                    <w:suppressLineNumbers w:val="0"/>
                    <w:bidi w:val="0"/>
                    <w:spacing w:before="0" w:beforeAutospacing="0" w:after="0" w:afterAutospacing="0"/>
                    <w:ind w:left="0" w:right="0"/>
                    <w:rPr>
                      <w:rFonts w:hint="eastAsia" w:cs="Times New Roman"/>
                      <w:color w:val="auto"/>
                    </w:rPr>
                  </w:pPr>
                  <w:r>
                    <w:rPr>
                      <w:rFonts w:hint="default" w:cs="Times New Roman"/>
                      <w:color w:val="auto"/>
                    </w:rPr>
                    <w:t>监测频次</w:t>
                  </w:r>
                </w:p>
              </w:tc>
              <w:tc>
                <w:tcPr>
                  <w:tcW w:w="2274" w:type="pct"/>
                  <w:tcBorders>
                    <w:tl2br w:val="nil"/>
                    <w:tr2bl w:val="nil"/>
                  </w:tcBorders>
                  <w:noWrap w:val="0"/>
                  <w:vAlign w:val="center"/>
                </w:tcPr>
                <w:p w14:paraId="6A4B29D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排放标准</w:t>
                  </w:r>
                </w:p>
              </w:tc>
            </w:tr>
            <w:tr w14:paraId="097060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7" w:hRule="atLeast"/>
              </w:trPr>
              <w:tc>
                <w:tcPr>
                  <w:tcW w:w="614" w:type="pct"/>
                  <w:vMerge w:val="restart"/>
                  <w:tcBorders>
                    <w:tl2br w:val="nil"/>
                    <w:tr2bl w:val="nil"/>
                  </w:tcBorders>
                  <w:noWrap w:val="0"/>
                  <w:vAlign w:val="center"/>
                </w:tcPr>
                <w:p w14:paraId="50A3C21E">
                  <w:pPr>
                    <w:pStyle w:val="61"/>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DA00</w:t>
                  </w:r>
                  <w:r>
                    <w:rPr>
                      <w:rFonts w:hint="eastAsia" w:ascii="Times New Roman" w:hAnsi="Times New Roman" w:eastAsia="宋体" w:cs="Times New Roman"/>
                      <w:color w:val="auto"/>
                      <w:spacing w:val="0"/>
                      <w:kern w:val="0"/>
                      <w:sz w:val="21"/>
                      <w:szCs w:val="21"/>
                      <w:lang w:val="en-US" w:eastAsia="zh-CN" w:bidi="ar-SA"/>
                    </w:rPr>
                    <w:t>2</w:t>
                  </w:r>
                </w:p>
              </w:tc>
              <w:tc>
                <w:tcPr>
                  <w:tcW w:w="1024" w:type="pct"/>
                  <w:tcBorders>
                    <w:tl2br w:val="nil"/>
                    <w:tr2bl w:val="nil"/>
                  </w:tcBorders>
                  <w:noWrap w:val="0"/>
                  <w:vAlign w:val="center"/>
                </w:tcPr>
                <w:p w14:paraId="3CD6177B">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TVOC</w:t>
                  </w:r>
                </w:p>
              </w:tc>
              <w:tc>
                <w:tcPr>
                  <w:tcW w:w="1087" w:type="pct"/>
                  <w:tcBorders>
                    <w:tl2br w:val="nil"/>
                    <w:tr2bl w:val="nil"/>
                  </w:tcBorders>
                  <w:noWrap w:val="0"/>
                  <w:vAlign w:val="center"/>
                </w:tcPr>
                <w:p w14:paraId="38A7B17C">
                  <w:pPr>
                    <w:pStyle w:val="61"/>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半年</w:t>
                  </w:r>
                </w:p>
              </w:tc>
              <w:tc>
                <w:tcPr>
                  <w:tcW w:w="2274" w:type="pct"/>
                  <w:tcBorders>
                    <w:tl2br w:val="nil"/>
                    <w:tr2bl w:val="nil"/>
                  </w:tcBorders>
                  <w:noWrap w:val="0"/>
                  <w:vAlign w:val="center"/>
                </w:tcPr>
                <w:p w14:paraId="08A211B7">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执行《挥发性有机物综合排放控制标准（试行）》（DB36/2186-2025）（2026年07月01实施）</w:t>
                  </w:r>
                </w:p>
              </w:tc>
            </w:tr>
            <w:tr w14:paraId="42A6AB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7" w:hRule="atLeast"/>
              </w:trPr>
              <w:tc>
                <w:tcPr>
                  <w:tcW w:w="614" w:type="pct"/>
                  <w:vMerge w:val="continue"/>
                  <w:tcBorders>
                    <w:tl2br w:val="nil"/>
                    <w:tr2bl w:val="nil"/>
                  </w:tcBorders>
                  <w:noWrap w:val="0"/>
                  <w:vAlign w:val="center"/>
                </w:tcPr>
                <w:p w14:paraId="4537F4B5">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p>
              </w:tc>
              <w:tc>
                <w:tcPr>
                  <w:tcW w:w="1024" w:type="pct"/>
                  <w:tcBorders>
                    <w:tl2br w:val="nil"/>
                    <w:tr2bl w:val="nil"/>
                  </w:tcBorders>
                  <w:noWrap w:val="0"/>
                  <w:vAlign w:val="center"/>
                </w:tcPr>
                <w:p w14:paraId="03E69725">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颗粒物</w:t>
                  </w:r>
                </w:p>
              </w:tc>
              <w:tc>
                <w:tcPr>
                  <w:tcW w:w="1087" w:type="pct"/>
                  <w:tcBorders>
                    <w:tl2br w:val="nil"/>
                    <w:tr2bl w:val="nil"/>
                  </w:tcBorders>
                  <w:noWrap w:val="0"/>
                  <w:vAlign w:val="center"/>
                </w:tcPr>
                <w:p w14:paraId="1179C042">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半年</w:t>
                  </w:r>
                </w:p>
              </w:tc>
              <w:tc>
                <w:tcPr>
                  <w:tcW w:w="2274" w:type="pct"/>
                  <w:tcBorders>
                    <w:tl2br w:val="nil"/>
                    <w:tr2bl w:val="nil"/>
                  </w:tcBorders>
                  <w:noWrap w:val="0"/>
                  <w:vAlign w:val="center"/>
                </w:tcPr>
                <w:p w14:paraId="2BEC59BF">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《大气污染物综合排放标准》（GB16297-1996）</w:t>
                  </w:r>
                </w:p>
              </w:tc>
            </w:tr>
            <w:tr w14:paraId="2AD259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7" w:hRule="atLeast"/>
              </w:trPr>
              <w:tc>
                <w:tcPr>
                  <w:tcW w:w="614" w:type="pct"/>
                  <w:vMerge w:val="restart"/>
                  <w:tcBorders>
                    <w:tl2br w:val="nil"/>
                    <w:tr2bl w:val="nil"/>
                  </w:tcBorders>
                  <w:noWrap w:val="0"/>
                  <w:vAlign w:val="center"/>
                </w:tcPr>
                <w:p w14:paraId="026813D1">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DA001</w:t>
                  </w:r>
                </w:p>
              </w:tc>
              <w:tc>
                <w:tcPr>
                  <w:tcW w:w="1024" w:type="pct"/>
                  <w:tcBorders>
                    <w:tl2br w:val="nil"/>
                    <w:tr2bl w:val="nil"/>
                  </w:tcBorders>
                  <w:noWrap w:val="0"/>
                  <w:vAlign w:val="center"/>
                </w:tcPr>
                <w:p w14:paraId="2DD3052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kern w:val="0"/>
                      <w:sz w:val="21"/>
                      <w:szCs w:val="21"/>
                      <w:lang w:val="en-US" w:eastAsia="zh-CN"/>
                    </w:rPr>
                    <w:t>颗粒物</w:t>
                  </w:r>
                </w:p>
              </w:tc>
              <w:tc>
                <w:tcPr>
                  <w:tcW w:w="1087" w:type="pct"/>
                  <w:tcBorders>
                    <w:tl2br w:val="nil"/>
                    <w:tr2bl w:val="nil"/>
                  </w:tcBorders>
                  <w:noWrap w:val="0"/>
                  <w:vAlign w:val="center"/>
                </w:tcPr>
                <w:p w14:paraId="07E51798">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年</w:t>
                  </w:r>
                </w:p>
              </w:tc>
              <w:tc>
                <w:tcPr>
                  <w:tcW w:w="2274" w:type="pct"/>
                  <w:vMerge w:val="restart"/>
                  <w:tcBorders>
                    <w:tl2br w:val="nil"/>
                    <w:tr2bl w:val="nil"/>
                  </w:tcBorders>
                  <w:noWrap w:val="0"/>
                  <w:vAlign w:val="center"/>
                </w:tcPr>
                <w:p w14:paraId="4822C9FC">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《锅炉大气污染物排放标准》（GB13271-2014）</w:t>
                  </w:r>
                </w:p>
              </w:tc>
            </w:tr>
            <w:tr w14:paraId="5C6D3C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7" w:hRule="atLeast"/>
              </w:trPr>
              <w:tc>
                <w:tcPr>
                  <w:tcW w:w="614" w:type="pct"/>
                  <w:vMerge w:val="continue"/>
                  <w:tcBorders>
                    <w:tl2br w:val="nil"/>
                    <w:tr2bl w:val="nil"/>
                  </w:tcBorders>
                  <w:noWrap w:val="0"/>
                  <w:vAlign w:val="center"/>
                </w:tcPr>
                <w:p w14:paraId="134306FE">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p>
              </w:tc>
              <w:tc>
                <w:tcPr>
                  <w:tcW w:w="1024" w:type="pct"/>
                  <w:tcBorders>
                    <w:tl2br w:val="nil"/>
                    <w:tr2bl w:val="nil"/>
                  </w:tcBorders>
                  <w:noWrap w:val="0"/>
                  <w:vAlign w:val="center"/>
                </w:tcPr>
                <w:p w14:paraId="773BC9C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SO</w:t>
                  </w:r>
                  <w:r>
                    <w:rPr>
                      <w:rFonts w:hint="eastAsia"/>
                      <w:color w:val="auto"/>
                      <w:vertAlign w:val="subscript"/>
                      <w:lang w:val="en-US" w:eastAsia="zh-CN"/>
                    </w:rPr>
                    <w:t>2</w:t>
                  </w:r>
                </w:p>
              </w:tc>
              <w:tc>
                <w:tcPr>
                  <w:tcW w:w="1087" w:type="pct"/>
                  <w:tcBorders>
                    <w:tl2br w:val="nil"/>
                    <w:tr2bl w:val="nil"/>
                  </w:tcBorders>
                  <w:noWrap w:val="0"/>
                  <w:vAlign w:val="center"/>
                </w:tcPr>
                <w:p w14:paraId="3447708A">
                  <w:pPr>
                    <w:keepNext w:val="0"/>
                    <w:keepLines w:val="0"/>
                    <w:suppressLineNumbers w:val="0"/>
                    <w:bidi w:val="0"/>
                    <w:spacing w:before="0" w:beforeAutospacing="0" w:after="0" w:afterAutospacing="0"/>
                    <w:ind w:left="0" w:leftChars="0" w:right="0" w:firstLine="420" w:firstLineChars="200"/>
                    <w:jc w:val="both"/>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年</w:t>
                  </w:r>
                </w:p>
              </w:tc>
              <w:tc>
                <w:tcPr>
                  <w:tcW w:w="2274" w:type="pct"/>
                  <w:vMerge w:val="continue"/>
                  <w:tcBorders>
                    <w:tl2br w:val="nil"/>
                    <w:tr2bl w:val="nil"/>
                  </w:tcBorders>
                  <w:noWrap w:val="0"/>
                  <w:vAlign w:val="center"/>
                </w:tcPr>
                <w:p w14:paraId="65B3EEC4">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p>
              </w:tc>
            </w:tr>
            <w:tr w14:paraId="6BFFB5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7" w:hRule="atLeast"/>
              </w:trPr>
              <w:tc>
                <w:tcPr>
                  <w:tcW w:w="614" w:type="pct"/>
                  <w:vMerge w:val="continue"/>
                  <w:tcBorders>
                    <w:tl2br w:val="nil"/>
                    <w:tr2bl w:val="nil"/>
                  </w:tcBorders>
                  <w:noWrap w:val="0"/>
                  <w:vAlign w:val="center"/>
                </w:tcPr>
                <w:p w14:paraId="33844B32">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p>
              </w:tc>
              <w:tc>
                <w:tcPr>
                  <w:tcW w:w="1024" w:type="pct"/>
                  <w:tcBorders>
                    <w:tl2br w:val="nil"/>
                    <w:tr2bl w:val="nil"/>
                  </w:tcBorders>
                  <w:noWrap w:val="0"/>
                  <w:vAlign w:val="center"/>
                </w:tcPr>
                <w:p w14:paraId="2814F04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kern w:val="0"/>
                      <w:sz w:val="21"/>
                      <w:szCs w:val="21"/>
                      <w:lang w:val="en-US" w:eastAsia="zh-CN"/>
                    </w:rPr>
                    <w:t>NOx</w:t>
                  </w:r>
                </w:p>
              </w:tc>
              <w:tc>
                <w:tcPr>
                  <w:tcW w:w="1087" w:type="pct"/>
                  <w:tcBorders>
                    <w:tl2br w:val="nil"/>
                    <w:tr2bl w:val="nil"/>
                  </w:tcBorders>
                  <w:noWrap w:val="0"/>
                  <w:vAlign w:val="center"/>
                </w:tcPr>
                <w:p w14:paraId="5DE7002A">
                  <w:pPr>
                    <w:keepNext w:val="0"/>
                    <w:keepLines w:val="0"/>
                    <w:suppressLineNumbers w:val="0"/>
                    <w:bidi w:val="0"/>
                    <w:spacing w:before="0" w:beforeAutospacing="0" w:after="0" w:afterAutospacing="0"/>
                    <w:ind w:left="0" w:leftChars="0" w:right="0" w:firstLine="420" w:firstLineChars="200"/>
                    <w:jc w:val="both"/>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年</w:t>
                  </w:r>
                </w:p>
              </w:tc>
              <w:tc>
                <w:tcPr>
                  <w:tcW w:w="2274" w:type="pct"/>
                  <w:vMerge w:val="continue"/>
                  <w:tcBorders>
                    <w:tl2br w:val="nil"/>
                    <w:tr2bl w:val="nil"/>
                  </w:tcBorders>
                  <w:noWrap w:val="0"/>
                  <w:vAlign w:val="center"/>
                </w:tcPr>
                <w:p w14:paraId="04C1A772">
                  <w:pPr>
                    <w:keepNext w:val="0"/>
                    <w:keepLines w:val="0"/>
                    <w:suppressLineNumbers w:val="0"/>
                    <w:bidi w:val="0"/>
                    <w:spacing w:before="0" w:beforeAutospacing="0" w:after="0" w:afterAutospacing="0"/>
                    <w:ind w:left="0" w:leftChars="0" w:right="0" w:firstLine="0" w:firstLineChars="0"/>
                    <w:jc w:val="center"/>
                    <w:rPr>
                      <w:rFonts w:hint="eastAsia" w:ascii="Times New Roman" w:hAnsi="Times New Roman" w:eastAsia="宋体" w:cs="Times New Roman"/>
                      <w:color w:val="auto"/>
                      <w:spacing w:val="0"/>
                      <w:kern w:val="0"/>
                      <w:sz w:val="21"/>
                      <w:szCs w:val="21"/>
                      <w:lang w:val="en-US" w:eastAsia="zh-CN" w:bidi="ar-SA"/>
                    </w:rPr>
                  </w:pPr>
                </w:p>
              </w:tc>
            </w:tr>
            <w:tr w14:paraId="4A6598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12" w:hRule="atLeast"/>
              </w:trPr>
              <w:tc>
                <w:tcPr>
                  <w:tcW w:w="614" w:type="pct"/>
                  <w:vMerge w:val="restart"/>
                  <w:tcBorders>
                    <w:tl2br w:val="nil"/>
                    <w:tr2bl w:val="nil"/>
                  </w:tcBorders>
                  <w:noWrap w:val="0"/>
                  <w:vAlign w:val="center"/>
                </w:tcPr>
                <w:p w14:paraId="1FCB8077">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厂界</w:t>
                  </w:r>
                </w:p>
              </w:tc>
              <w:tc>
                <w:tcPr>
                  <w:tcW w:w="1024" w:type="pct"/>
                  <w:tcBorders>
                    <w:tl2br w:val="nil"/>
                    <w:tr2bl w:val="nil"/>
                  </w:tcBorders>
                  <w:noWrap w:val="0"/>
                  <w:vAlign w:val="center"/>
                </w:tcPr>
                <w:p w14:paraId="13B542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TVOC</w:t>
                  </w:r>
                </w:p>
              </w:tc>
              <w:tc>
                <w:tcPr>
                  <w:tcW w:w="1087" w:type="pct"/>
                  <w:tcBorders>
                    <w:tl2br w:val="nil"/>
                    <w:tr2bl w:val="nil"/>
                  </w:tcBorders>
                  <w:noWrap w:val="0"/>
                  <w:vAlign w:val="center"/>
                </w:tcPr>
                <w:p w14:paraId="70C4B2EB">
                  <w:pPr>
                    <w:pStyle w:val="61"/>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1次/半年</w:t>
                  </w:r>
                </w:p>
              </w:tc>
              <w:tc>
                <w:tcPr>
                  <w:tcW w:w="2274" w:type="pct"/>
                  <w:tcBorders>
                    <w:tl2br w:val="nil"/>
                    <w:tr2bl w:val="nil"/>
                  </w:tcBorders>
                  <w:noWrap w:val="0"/>
                  <w:vAlign w:val="center"/>
                </w:tcPr>
                <w:p w14:paraId="7B833752">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执行《挥发性有机物综合排放控制标准（试行）》（DB36/2186-2025）（2026年07月01实施）</w:t>
                  </w:r>
                </w:p>
              </w:tc>
            </w:tr>
            <w:tr w14:paraId="08F10CF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614" w:type="pct"/>
                  <w:vMerge w:val="continue"/>
                  <w:tcBorders>
                    <w:tl2br w:val="nil"/>
                    <w:tr2bl w:val="nil"/>
                  </w:tcBorders>
                  <w:noWrap w:val="0"/>
                  <w:vAlign w:val="center"/>
                </w:tcPr>
                <w:p w14:paraId="70F09DF1">
                  <w:pPr>
                    <w:pStyle w:val="61"/>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spacing w:val="0"/>
                      <w:kern w:val="0"/>
                      <w:sz w:val="21"/>
                      <w:szCs w:val="21"/>
                      <w:lang w:val="en-US" w:eastAsia="zh-CN" w:bidi="ar-SA"/>
                    </w:rPr>
                  </w:pPr>
                </w:p>
              </w:tc>
              <w:tc>
                <w:tcPr>
                  <w:tcW w:w="1024" w:type="pct"/>
                  <w:tcBorders>
                    <w:tl2br w:val="nil"/>
                    <w:tr2bl w:val="nil"/>
                  </w:tcBorders>
                  <w:noWrap w:val="0"/>
                  <w:vAlign w:val="center"/>
                </w:tcPr>
                <w:p w14:paraId="3A2267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颗粒物</w:t>
                  </w:r>
                </w:p>
              </w:tc>
              <w:tc>
                <w:tcPr>
                  <w:tcW w:w="1087" w:type="pct"/>
                  <w:tcBorders>
                    <w:tl2br w:val="nil"/>
                    <w:tr2bl w:val="nil"/>
                  </w:tcBorders>
                  <w:noWrap w:val="0"/>
                  <w:vAlign w:val="center"/>
                </w:tcPr>
                <w:p w14:paraId="67D007B6">
                  <w:pPr>
                    <w:pStyle w:val="61"/>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1次/半年</w:t>
                  </w:r>
                </w:p>
              </w:tc>
              <w:tc>
                <w:tcPr>
                  <w:tcW w:w="2274" w:type="pct"/>
                  <w:tcBorders>
                    <w:tl2br w:val="nil"/>
                    <w:tr2bl w:val="nil"/>
                  </w:tcBorders>
                  <w:noWrap w:val="0"/>
                  <w:vAlign w:val="center"/>
                </w:tcPr>
                <w:p w14:paraId="024896CC">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《大气污染物综合排放标准》（GB16297-1996）</w:t>
                  </w:r>
                </w:p>
              </w:tc>
            </w:tr>
          </w:tbl>
          <w:p w14:paraId="31C91A77">
            <w:pPr>
              <w:pStyle w:val="78"/>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157" w:beforeLines="50" w:beforeAutospacing="0" w:after="0" w:afterAutospacing="0" w:line="240" w:lineRule="auto"/>
              <w:ind w:left="0" w:leftChars="0" w:right="0" w:firstLine="482" w:firstLineChars="200"/>
              <w:textAlignment w:val="auto"/>
              <w:rPr>
                <w:rFonts w:hint="default" w:cs="Times New Roman"/>
                <w:b/>
                <w:bCs/>
                <w:color w:val="auto"/>
              </w:rPr>
            </w:pPr>
            <w:r>
              <w:rPr>
                <w:rFonts w:hint="default" w:cs="Times New Roman"/>
                <w:b/>
                <w:bCs/>
                <w:color w:val="auto"/>
              </w:rPr>
              <w:t>废水</w:t>
            </w:r>
          </w:p>
          <w:p w14:paraId="1412F528">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361" w:firstLineChars="150"/>
              <w:jc w:val="both"/>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lang w:eastAsia="zh-CN"/>
              </w:rPr>
              <w:t>（1）废水污染源情况</w:t>
            </w:r>
          </w:p>
          <w:p w14:paraId="7EB1E426">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根据工程分析，食用蛋白</w:t>
            </w:r>
            <w:r>
              <w:rPr>
                <w:rFonts w:hint="eastAsia" w:ascii="Times New Roman" w:hAnsi="Times New Roman" w:eastAsia="宋体" w:cs="Times New Roman"/>
                <w:color w:val="auto"/>
                <w:sz w:val="24"/>
                <w:szCs w:val="24"/>
                <w:lang w:val="en-US" w:eastAsia="zh-CN"/>
              </w:rPr>
              <w:t>粉冷却水循环使用，不外排</w:t>
            </w:r>
            <w:r>
              <w:rPr>
                <w:rFonts w:hint="default" w:ascii="Times New Roman" w:hAnsi="Times New Roman" w:eastAsia="宋体" w:cs="Times New Roman"/>
                <w:color w:val="auto"/>
                <w:sz w:val="24"/>
                <w:szCs w:val="24"/>
                <w:lang w:val="en-US" w:eastAsia="zh-CN"/>
              </w:rPr>
              <w:t>。蒸汽冷凝水回用于洗米工序，不外排。</w:t>
            </w:r>
            <w:r>
              <w:rPr>
                <w:rFonts w:hint="eastAsia" w:ascii="Times New Roman" w:hAnsi="Times New Roman" w:eastAsia="宋体" w:cs="Times New Roman"/>
                <w:color w:val="auto"/>
                <w:sz w:val="24"/>
                <w:szCs w:val="24"/>
                <w:lang w:val="en-US" w:eastAsia="zh-CN"/>
              </w:rPr>
              <w:t>喷淋废水、</w:t>
            </w:r>
            <w:r>
              <w:rPr>
                <w:rFonts w:hint="default" w:ascii="Times New Roman" w:hAnsi="Times New Roman" w:eastAsia="宋体" w:cs="Times New Roman"/>
                <w:color w:val="auto"/>
                <w:sz w:val="24"/>
                <w:szCs w:val="24"/>
                <w:lang w:val="en-US" w:eastAsia="zh-CN"/>
              </w:rPr>
              <w:t>生活污水</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水环式真空泵废水经污水处理站处理后达到《淀粉工业水污染物排放标准》（GB 25461-2010）中表2直接排放标准限值后排入锦江。</w:t>
            </w:r>
          </w:p>
          <w:p w14:paraId="603E6DDA">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喷淋废水排放量约为720m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2.25m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。类比《</w:t>
            </w:r>
            <w:r>
              <w:rPr>
                <w:rFonts w:hint="default" w:ascii="Times New Roman" w:hAnsi="Times New Roman" w:eastAsia="宋体" w:cs="Times New Roman"/>
                <w:color w:val="auto"/>
                <w:sz w:val="24"/>
                <w:szCs w:val="24"/>
                <w:lang w:val="en-US" w:eastAsia="zh-CN"/>
              </w:rPr>
              <w:t>广东双林生物制药有限公司广东双林生物乙醇回收新建项目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广东双林生物制药有限公司</w:t>
            </w:r>
            <w:r>
              <w:rPr>
                <w:rFonts w:hint="eastAsia" w:ascii="Times New Roman" w:hAnsi="Times New Roman" w:eastAsia="宋体" w:cs="Times New Roman"/>
                <w:color w:val="auto"/>
                <w:sz w:val="24"/>
                <w:szCs w:val="24"/>
                <w:lang w:val="en-US" w:eastAsia="zh-CN"/>
              </w:rPr>
              <w:t>采用三级水喷淋处理装置处理乙醇废气）</w:t>
            </w:r>
            <w:r>
              <w:rPr>
                <w:rFonts w:hint="default" w:ascii="Times New Roman" w:hAnsi="Times New Roman" w:eastAsia="宋体" w:cs="Times New Roman"/>
                <w:color w:val="auto"/>
                <w:sz w:val="24"/>
                <w:szCs w:val="24"/>
                <w:lang w:val="en-US" w:eastAsia="zh-CN"/>
              </w:rPr>
              <w:t>，废水中COD</w:t>
            </w:r>
            <w:r>
              <w:rPr>
                <w:rFonts w:hint="default"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lang w:val="en-US" w:eastAsia="zh-CN"/>
              </w:rPr>
              <w:t>浓度为650mg/L、BOD</w:t>
            </w:r>
            <w:r>
              <w:rPr>
                <w:rFonts w:hint="default" w:ascii="Times New Roman" w:hAnsi="Times New Roman" w:eastAsia="宋体" w:cs="Times New Roman"/>
                <w:color w:val="auto"/>
                <w:sz w:val="24"/>
                <w:szCs w:val="24"/>
                <w:vertAlign w:val="subscript"/>
                <w:lang w:val="en-US" w:eastAsia="zh-CN"/>
              </w:rPr>
              <w:t>5</w:t>
            </w:r>
            <w:r>
              <w:rPr>
                <w:rFonts w:hint="default" w:ascii="Times New Roman" w:hAnsi="Times New Roman" w:eastAsia="宋体" w:cs="Times New Roman"/>
                <w:color w:val="auto"/>
                <w:sz w:val="24"/>
                <w:szCs w:val="24"/>
                <w:lang w:val="en-US" w:eastAsia="zh-CN"/>
              </w:rPr>
              <w:t>浓度为300mg/L、氨氮浓度为45mg/L、SS浓度为150mg/L</w:t>
            </w:r>
            <w:r>
              <w:rPr>
                <w:rFonts w:hint="eastAsia" w:ascii="Times New Roman" w:hAnsi="Times New Roman" w:eastAsia="宋体" w:cs="Times New Roman"/>
                <w:color w:val="auto"/>
                <w:sz w:val="24"/>
                <w:szCs w:val="24"/>
                <w:lang w:val="en-US" w:eastAsia="zh-CN"/>
              </w:rPr>
              <w:t>、TN</w:t>
            </w:r>
            <w:r>
              <w:rPr>
                <w:rFonts w:hint="default" w:ascii="Times New Roman" w:hAnsi="Times New Roman" w:eastAsia="宋体" w:cs="Times New Roman"/>
                <w:color w:val="auto"/>
                <w:sz w:val="24"/>
                <w:szCs w:val="24"/>
                <w:lang w:val="en-US" w:eastAsia="zh-CN"/>
              </w:rPr>
              <w:t>浓度为4</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mg/L。</w:t>
            </w:r>
          </w:p>
          <w:p w14:paraId="7C585A92">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生活污水排放量为163.84</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/a（0.512t/d）</w:t>
            </w:r>
            <w:r>
              <w:rPr>
                <w:rFonts w:hint="eastAsia" w:ascii="Times New Roman" w:hAnsi="Times New Roman" w:eastAsia="宋体" w:cs="Times New Roman"/>
                <w:color w:val="auto"/>
                <w:sz w:val="24"/>
                <w:szCs w:val="24"/>
                <w:lang w:val="en-US" w:eastAsia="zh-CN"/>
              </w:rPr>
              <w:t>，生活污水水质参考江西省一般生活污水水质，其浓度分别为CODcr250mg/L、</w:t>
            </w:r>
            <w:r>
              <w:rPr>
                <w:rFonts w:hint="default" w:ascii="Times New Roman" w:hAnsi="Times New Roman" w:eastAsia="宋体" w:cs="Times New Roman"/>
                <w:color w:val="auto"/>
                <w:sz w:val="24"/>
                <w:szCs w:val="24"/>
                <w:lang w:val="en-US" w:eastAsia="zh-CN"/>
              </w:rPr>
              <w:t>BOD</w:t>
            </w:r>
            <w:r>
              <w:rPr>
                <w:rFonts w:hint="default" w:ascii="Times New Roman" w:hAnsi="Times New Roman" w:eastAsia="宋体" w:cs="Times New Roman"/>
                <w:color w:val="auto"/>
                <w:sz w:val="24"/>
                <w:szCs w:val="24"/>
                <w:vertAlign w:val="subscript"/>
                <w:lang w:val="en-US" w:eastAsia="zh-CN"/>
              </w:rPr>
              <w:t>5</w:t>
            </w:r>
            <w:r>
              <w:rPr>
                <w:rFonts w:hint="eastAsia" w:ascii="Times New Roman" w:hAnsi="Times New Roman" w:eastAsia="宋体" w:cs="Times New Roman"/>
                <w:color w:val="auto"/>
                <w:sz w:val="24"/>
                <w:szCs w:val="24"/>
                <w:lang w:val="en-US" w:eastAsia="zh-CN"/>
              </w:rPr>
              <w:t>100mg/L、SS120mg/L、氨氮25mg/L、TP5mg/L、TN30mg/L。</w:t>
            </w:r>
          </w:p>
          <w:p w14:paraId="1B347C76">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水环式真空泵废水产生量为</w:t>
            </w:r>
            <w:r>
              <w:rPr>
                <w:rFonts w:hint="eastAsia" w:ascii="Times New Roman" w:hAnsi="Times New Roman" w:eastAsia="宋体" w:cs="Times New Roman"/>
                <w:color w:val="auto"/>
                <w:sz w:val="24"/>
                <w:szCs w:val="24"/>
                <w:lang w:val="en-US" w:eastAsia="zh-CN"/>
              </w:rPr>
              <w:t>6.912m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/a（0.0</w:t>
            </w:r>
            <w:r>
              <w:rPr>
                <w:rFonts w:hint="eastAsia" w:ascii="Times New Roman" w:hAnsi="Times New Roman" w:eastAsia="宋体" w:cs="Times New Roman"/>
                <w:color w:val="auto"/>
                <w:sz w:val="24"/>
                <w:szCs w:val="24"/>
                <w:lang w:val="en-US" w:eastAsia="zh-CN"/>
              </w:rPr>
              <w:t>216m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水环真空泵</w:t>
            </w:r>
            <w:r>
              <w:rPr>
                <w:rFonts w:hint="eastAsia" w:ascii="Times New Roman" w:hAnsi="Times New Roman" w:eastAsia="宋体" w:cs="Times New Roman"/>
                <w:color w:val="auto"/>
                <w:sz w:val="24"/>
                <w:szCs w:val="24"/>
                <w:lang w:val="en-US" w:eastAsia="zh-CN"/>
              </w:rPr>
              <w:t>废水水质参考《山西星宇化工科技股份有限公司年产100吨头孢西酮原料药建设项目环境影响报告书》，其浓度分别为CODcr1200mg/L、</w:t>
            </w:r>
            <w:r>
              <w:rPr>
                <w:rFonts w:hint="default" w:ascii="Times New Roman" w:hAnsi="Times New Roman" w:eastAsia="宋体" w:cs="Times New Roman"/>
                <w:color w:val="auto"/>
                <w:sz w:val="24"/>
                <w:szCs w:val="24"/>
                <w:lang w:val="en-US" w:eastAsia="zh-CN"/>
              </w:rPr>
              <w:t>BOD</w:t>
            </w:r>
            <w:r>
              <w:rPr>
                <w:rFonts w:hint="default" w:ascii="Times New Roman" w:hAnsi="Times New Roman" w:eastAsia="宋体" w:cs="Times New Roman"/>
                <w:color w:val="auto"/>
                <w:sz w:val="24"/>
                <w:szCs w:val="24"/>
                <w:vertAlign w:val="subscript"/>
                <w:lang w:val="en-US" w:eastAsia="zh-CN"/>
              </w:rPr>
              <w:t>5</w:t>
            </w:r>
            <w:r>
              <w:rPr>
                <w:rFonts w:hint="eastAsia" w:ascii="Times New Roman" w:hAnsi="Times New Roman" w:eastAsia="宋体" w:cs="Times New Roman"/>
                <w:color w:val="auto"/>
                <w:sz w:val="24"/>
                <w:szCs w:val="24"/>
                <w:lang w:val="en-US" w:eastAsia="zh-CN"/>
              </w:rPr>
              <w:t>800mg/L、SS200mg/L。</w:t>
            </w:r>
          </w:p>
          <w:p w14:paraId="6CEEA793">
            <w:pPr>
              <w:pStyle w:val="13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食用蛋白</w:t>
            </w:r>
            <w:r>
              <w:rPr>
                <w:rFonts w:hint="eastAsia" w:ascii="Times New Roman" w:hAnsi="Times New Roman" w:eastAsia="宋体" w:cs="Times New Roman"/>
                <w:color w:val="auto"/>
                <w:sz w:val="24"/>
                <w:szCs w:val="24"/>
                <w:lang w:val="en-US" w:eastAsia="zh-CN"/>
              </w:rPr>
              <w:t>粉</w:t>
            </w:r>
            <w:r>
              <w:rPr>
                <w:rFonts w:hint="default" w:ascii="Times New Roman" w:hAnsi="Times New Roman" w:cs="Times New Roman"/>
                <w:color w:val="auto"/>
                <w:sz w:val="24"/>
                <w:szCs w:val="24"/>
                <w:lang w:val="en-US" w:eastAsia="zh-CN"/>
              </w:rPr>
              <w:t>线综合废水排放量为</w:t>
            </w:r>
            <w:r>
              <w:rPr>
                <w:rFonts w:hint="eastAsia" w:ascii="Times New Roman" w:hAnsi="Times New Roman" w:cs="Times New Roman"/>
                <w:color w:val="auto"/>
                <w:sz w:val="24"/>
                <w:szCs w:val="24"/>
                <w:lang w:val="en-US" w:eastAsia="zh-CN"/>
              </w:rPr>
              <w:t>890.752</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/a。项目废水排放浓度参考江西金穗丰糖业有限公司提供的例行监测报告（报告编号：致远【检】字20250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-0</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号详见附件9，报告编号：LSJC2026030601号，详见附件10）。</w:t>
            </w:r>
          </w:p>
          <w:p w14:paraId="0735122B">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项目水污染物</w:t>
            </w:r>
            <w:r>
              <w:rPr>
                <w:rFonts w:hint="eastAsia" w:cs="Times New Roman"/>
                <w:b/>
                <w:color w:val="auto"/>
                <w:kern w:val="0"/>
                <w:sz w:val="24"/>
                <w:szCs w:val="24"/>
                <w:lang w:val="en-US" w:eastAsia="zh-CN" w:bidi="ar-SA"/>
              </w:rPr>
              <w:t>排放</w:t>
            </w:r>
            <w:r>
              <w:rPr>
                <w:rFonts w:hint="default" w:ascii="Times New Roman" w:hAnsi="Times New Roman" w:eastAsia="宋体" w:cs="Times New Roman"/>
                <w:b/>
                <w:color w:val="auto"/>
                <w:kern w:val="0"/>
                <w:sz w:val="24"/>
                <w:szCs w:val="24"/>
                <w:lang w:val="en-US" w:eastAsia="zh-CN" w:bidi="ar-SA"/>
              </w:rPr>
              <w:t>情况表（mg/L，PH为无量纲）</w:t>
            </w:r>
          </w:p>
          <w:tbl>
            <w:tblPr>
              <w:tblStyle w:val="116"/>
              <w:tblW w:w="494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96"/>
              <w:gridCol w:w="745"/>
              <w:gridCol w:w="879"/>
              <w:gridCol w:w="536"/>
              <w:gridCol w:w="353"/>
              <w:gridCol w:w="745"/>
              <w:gridCol w:w="745"/>
              <w:gridCol w:w="745"/>
              <w:gridCol w:w="746"/>
              <w:gridCol w:w="746"/>
              <w:gridCol w:w="748"/>
            </w:tblGrid>
            <w:tr w14:paraId="0925F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jc w:val="center"/>
              </w:trPr>
              <w:tc>
                <w:tcPr>
                  <w:tcW w:w="633" w:type="pct"/>
                  <w:vMerge w:val="restart"/>
                  <w:tcBorders>
                    <w:tl2br w:val="nil"/>
                    <w:tr2bl w:val="nil"/>
                  </w:tcBorders>
                  <w:noWrap w:val="0"/>
                  <w:vAlign w:val="center"/>
                </w:tcPr>
                <w:p w14:paraId="06B2A2B2">
                  <w:pPr>
                    <w:pStyle w:val="58"/>
                    <w:bidi w:val="0"/>
                    <w:rPr>
                      <w:rFonts w:hint="default"/>
                      <w:color w:val="auto"/>
                      <w:lang w:val="en-US" w:eastAsia="zh-CN"/>
                    </w:rPr>
                  </w:pPr>
                  <w:r>
                    <w:rPr>
                      <w:rFonts w:hint="default"/>
                      <w:color w:val="auto"/>
                      <w:lang w:val="en-US" w:eastAsia="zh-CN"/>
                    </w:rPr>
                    <w:t>序号</w:t>
                  </w:r>
                </w:p>
              </w:tc>
              <w:tc>
                <w:tcPr>
                  <w:tcW w:w="882" w:type="pct"/>
                  <w:gridSpan w:val="2"/>
                  <w:tcBorders>
                    <w:tl2br w:val="nil"/>
                    <w:tr2bl w:val="nil"/>
                  </w:tcBorders>
                  <w:noWrap w:val="0"/>
                  <w:vAlign w:val="center"/>
                </w:tcPr>
                <w:p w14:paraId="30DD44A3">
                  <w:pPr>
                    <w:pStyle w:val="58"/>
                    <w:bidi w:val="0"/>
                    <w:rPr>
                      <w:rFonts w:hint="default"/>
                      <w:color w:val="auto"/>
                      <w:lang w:val="en-US" w:eastAsia="zh-CN"/>
                    </w:rPr>
                  </w:pPr>
                  <w:r>
                    <w:rPr>
                      <w:rFonts w:hint="default"/>
                      <w:color w:val="auto"/>
                      <w:lang w:val="en-US" w:eastAsia="zh-CN"/>
                    </w:rPr>
                    <w:t>水量</w:t>
                  </w:r>
                </w:p>
              </w:tc>
              <w:tc>
                <w:tcPr>
                  <w:tcW w:w="404" w:type="pct"/>
                  <w:vMerge w:val="restart"/>
                  <w:tcBorders>
                    <w:tl2br w:val="nil"/>
                    <w:tr2bl w:val="nil"/>
                  </w:tcBorders>
                  <w:noWrap w:val="0"/>
                  <w:vAlign w:val="center"/>
                </w:tcPr>
                <w:p w14:paraId="49ACFE21">
                  <w:pPr>
                    <w:pStyle w:val="58"/>
                    <w:bidi w:val="0"/>
                    <w:rPr>
                      <w:rFonts w:hint="eastAsia"/>
                      <w:color w:val="auto"/>
                      <w:lang w:val="en-US" w:eastAsia="zh-CN"/>
                    </w:rPr>
                  </w:pPr>
                  <w:r>
                    <w:rPr>
                      <w:rFonts w:hint="eastAsia"/>
                      <w:color w:val="auto"/>
                      <w:lang w:val="en-US" w:eastAsia="zh-CN"/>
                    </w:rPr>
                    <w:t>单位</w:t>
                  </w:r>
                </w:p>
              </w:tc>
              <w:tc>
                <w:tcPr>
                  <w:tcW w:w="404" w:type="pct"/>
                  <w:vMerge w:val="restart"/>
                  <w:tcBorders>
                    <w:tl2br w:val="nil"/>
                    <w:tr2bl w:val="nil"/>
                  </w:tcBorders>
                  <w:noWrap w:val="0"/>
                  <w:vAlign w:val="center"/>
                </w:tcPr>
                <w:p w14:paraId="4B5C3646">
                  <w:pPr>
                    <w:pStyle w:val="58"/>
                    <w:bidi w:val="0"/>
                    <w:rPr>
                      <w:color w:val="auto"/>
                    </w:rPr>
                  </w:pPr>
                  <w:r>
                    <w:rPr>
                      <w:rFonts w:hint="default"/>
                      <w:color w:val="auto"/>
                      <w:lang w:val="en-US" w:eastAsia="zh-CN"/>
                    </w:rPr>
                    <w:t>PH</w:t>
                  </w:r>
                </w:p>
              </w:tc>
              <w:tc>
                <w:tcPr>
                  <w:tcW w:w="404" w:type="pct"/>
                  <w:vMerge w:val="restart"/>
                  <w:tcBorders>
                    <w:tl2br w:val="nil"/>
                    <w:tr2bl w:val="nil"/>
                  </w:tcBorders>
                  <w:noWrap w:val="0"/>
                  <w:vAlign w:val="center"/>
                </w:tcPr>
                <w:p w14:paraId="3FFFED1E">
                  <w:pPr>
                    <w:pStyle w:val="58"/>
                    <w:bidi w:val="0"/>
                    <w:rPr>
                      <w:color w:val="auto"/>
                    </w:rPr>
                  </w:pPr>
                  <w:r>
                    <w:rPr>
                      <w:rFonts w:hint="default"/>
                      <w:color w:val="auto"/>
                      <w:lang w:val="en-US" w:eastAsia="zh-CN"/>
                    </w:rPr>
                    <w:t>COD</w:t>
                  </w:r>
                  <w:r>
                    <w:rPr>
                      <w:rFonts w:hint="eastAsia"/>
                      <w:color w:val="auto"/>
                      <w:lang w:val="en-US" w:eastAsia="zh-CN"/>
                    </w:rPr>
                    <w:t>cr</w:t>
                  </w:r>
                </w:p>
              </w:tc>
              <w:tc>
                <w:tcPr>
                  <w:tcW w:w="404" w:type="pct"/>
                  <w:vMerge w:val="restart"/>
                  <w:tcBorders>
                    <w:tl2br w:val="nil"/>
                    <w:tr2bl w:val="nil"/>
                  </w:tcBorders>
                  <w:noWrap w:val="0"/>
                  <w:vAlign w:val="center"/>
                </w:tcPr>
                <w:p w14:paraId="25799861">
                  <w:pPr>
                    <w:pStyle w:val="58"/>
                    <w:bidi w:val="0"/>
                    <w:rPr>
                      <w:color w:val="auto"/>
                    </w:rPr>
                  </w:pPr>
                  <w:r>
                    <w:rPr>
                      <w:rFonts w:hint="default"/>
                      <w:color w:val="auto"/>
                      <w:lang w:val="en-US" w:eastAsia="zh-CN"/>
                    </w:rPr>
                    <w:t>BOD</w:t>
                  </w:r>
                  <w:r>
                    <w:rPr>
                      <w:rFonts w:hint="default"/>
                      <w:color w:val="auto"/>
                      <w:vertAlign w:val="subscript"/>
                      <w:lang w:val="en-US" w:eastAsia="zh-CN"/>
                    </w:rPr>
                    <w:t>5</w:t>
                  </w:r>
                </w:p>
              </w:tc>
              <w:tc>
                <w:tcPr>
                  <w:tcW w:w="419" w:type="pct"/>
                  <w:vMerge w:val="restart"/>
                  <w:tcBorders>
                    <w:tl2br w:val="nil"/>
                    <w:tr2bl w:val="nil"/>
                  </w:tcBorders>
                  <w:noWrap w:val="0"/>
                  <w:vAlign w:val="center"/>
                </w:tcPr>
                <w:p w14:paraId="651FDA55">
                  <w:pPr>
                    <w:pStyle w:val="58"/>
                    <w:bidi w:val="0"/>
                    <w:rPr>
                      <w:rFonts w:hint="eastAsia"/>
                      <w:color w:val="auto"/>
                      <w:lang w:val="en-US" w:eastAsia="zh-CN"/>
                    </w:rPr>
                  </w:pPr>
                  <w:r>
                    <w:rPr>
                      <w:rFonts w:hint="eastAsia"/>
                      <w:color w:val="auto"/>
                      <w:lang w:val="en-US" w:eastAsia="zh-CN"/>
                    </w:rPr>
                    <w:t>SS</w:t>
                  </w:r>
                </w:p>
              </w:tc>
              <w:tc>
                <w:tcPr>
                  <w:tcW w:w="419" w:type="pct"/>
                  <w:vMerge w:val="restart"/>
                  <w:tcBorders>
                    <w:tl2br w:val="nil"/>
                    <w:tr2bl w:val="nil"/>
                  </w:tcBorders>
                  <w:noWrap w:val="0"/>
                  <w:vAlign w:val="center"/>
                </w:tcPr>
                <w:p w14:paraId="17773103">
                  <w:pPr>
                    <w:pStyle w:val="58"/>
                    <w:bidi w:val="0"/>
                    <w:rPr>
                      <w:rFonts w:hint="eastAsia"/>
                      <w:color w:val="auto"/>
                      <w:lang w:val="en-US" w:eastAsia="zh-CN"/>
                    </w:rPr>
                  </w:pPr>
                  <w:r>
                    <w:rPr>
                      <w:rFonts w:hint="eastAsia"/>
                      <w:color w:val="auto"/>
                      <w:lang w:val="en-US" w:eastAsia="zh-CN"/>
                    </w:rPr>
                    <w:t>TP</w:t>
                  </w:r>
                </w:p>
              </w:tc>
              <w:tc>
                <w:tcPr>
                  <w:tcW w:w="419" w:type="pct"/>
                  <w:vMerge w:val="restart"/>
                  <w:tcBorders>
                    <w:tl2br w:val="nil"/>
                    <w:tr2bl w:val="nil"/>
                  </w:tcBorders>
                  <w:noWrap w:val="0"/>
                  <w:vAlign w:val="center"/>
                </w:tcPr>
                <w:p w14:paraId="62263EE4">
                  <w:pPr>
                    <w:pStyle w:val="58"/>
                    <w:bidi w:val="0"/>
                    <w:rPr>
                      <w:color w:val="auto"/>
                    </w:rPr>
                  </w:pPr>
                  <w:r>
                    <w:rPr>
                      <w:rFonts w:hint="eastAsia"/>
                      <w:color w:val="auto"/>
                      <w:lang w:val="en-US" w:eastAsia="zh-CN"/>
                    </w:rPr>
                    <w:t>TN</w:t>
                  </w:r>
                </w:p>
              </w:tc>
              <w:tc>
                <w:tcPr>
                  <w:tcW w:w="607" w:type="pct"/>
                  <w:vMerge w:val="restart"/>
                  <w:tcBorders>
                    <w:tl2br w:val="nil"/>
                    <w:tr2bl w:val="nil"/>
                  </w:tcBorders>
                  <w:noWrap w:val="0"/>
                  <w:vAlign w:val="center"/>
                </w:tcPr>
                <w:p w14:paraId="49C999B4">
                  <w:pPr>
                    <w:pStyle w:val="58"/>
                    <w:bidi w:val="0"/>
                    <w:rPr>
                      <w:color w:val="auto"/>
                    </w:rPr>
                  </w:pPr>
                  <w:r>
                    <w:rPr>
                      <w:rFonts w:hint="eastAsia"/>
                      <w:color w:val="auto"/>
                      <w:lang w:val="en-US" w:eastAsia="zh-CN"/>
                    </w:rPr>
                    <w:t>NH</w:t>
                  </w:r>
                  <w:r>
                    <w:rPr>
                      <w:rFonts w:hint="eastAsia"/>
                      <w:color w:val="auto"/>
                      <w:vertAlign w:val="subscript"/>
                      <w:lang w:val="en-US" w:eastAsia="zh-CN"/>
                    </w:rPr>
                    <w:t>3</w:t>
                  </w:r>
                  <w:r>
                    <w:rPr>
                      <w:rFonts w:hint="eastAsia"/>
                      <w:color w:val="auto"/>
                      <w:lang w:val="en-US" w:eastAsia="zh-CN"/>
                    </w:rPr>
                    <w:t>-N</w:t>
                  </w:r>
                </w:p>
              </w:tc>
            </w:tr>
            <w:tr w14:paraId="6F669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jc w:val="center"/>
              </w:trPr>
              <w:tc>
                <w:tcPr>
                  <w:tcW w:w="633" w:type="pct"/>
                  <w:vMerge w:val="continue"/>
                  <w:tcBorders>
                    <w:tl2br w:val="nil"/>
                    <w:tr2bl w:val="nil"/>
                  </w:tcBorders>
                  <w:noWrap w:val="0"/>
                  <w:vAlign w:val="center"/>
                </w:tcPr>
                <w:p w14:paraId="1C1AA5EC">
                  <w:pPr>
                    <w:pStyle w:val="58"/>
                    <w:bidi w:val="0"/>
                    <w:rPr>
                      <w:color w:val="auto"/>
                    </w:rPr>
                  </w:pPr>
                </w:p>
              </w:tc>
              <w:tc>
                <w:tcPr>
                  <w:tcW w:w="426" w:type="pct"/>
                  <w:tcBorders>
                    <w:tl2br w:val="nil"/>
                    <w:tr2bl w:val="nil"/>
                  </w:tcBorders>
                  <w:noWrap w:val="0"/>
                  <w:vAlign w:val="center"/>
                </w:tcPr>
                <w:p w14:paraId="58845B90">
                  <w:pPr>
                    <w:pStyle w:val="58"/>
                    <w:bidi w:val="0"/>
                    <w:rPr>
                      <w:color w:val="auto"/>
                    </w:rPr>
                  </w:pPr>
                  <w:r>
                    <w:rPr>
                      <w:rFonts w:hint="eastAsia"/>
                      <w:color w:val="auto"/>
                      <w:lang w:val="en-US" w:eastAsia="zh-CN"/>
                    </w:rPr>
                    <w:t>m</w:t>
                  </w:r>
                  <w:r>
                    <w:rPr>
                      <w:rFonts w:hint="eastAsia"/>
                      <w:color w:val="auto"/>
                      <w:vertAlign w:val="superscript"/>
                      <w:lang w:val="en-US" w:eastAsia="zh-CN"/>
                    </w:rPr>
                    <w:t>3</w:t>
                  </w:r>
                  <w:r>
                    <w:rPr>
                      <w:color w:val="auto"/>
                    </w:rPr>
                    <w:t>/d</w:t>
                  </w:r>
                </w:p>
              </w:tc>
              <w:tc>
                <w:tcPr>
                  <w:tcW w:w="456" w:type="pct"/>
                  <w:tcBorders>
                    <w:tl2br w:val="nil"/>
                    <w:tr2bl w:val="nil"/>
                  </w:tcBorders>
                  <w:noWrap w:val="0"/>
                  <w:vAlign w:val="center"/>
                </w:tcPr>
                <w:p w14:paraId="0CB6A445">
                  <w:pPr>
                    <w:pStyle w:val="58"/>
                    <w:bidi w:val="0"/>
                    <w:rPr>
                      <w:color w:val="auto"/>
                    </w:rPr>
                  </w:pP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lang w:val="en-US" w:eastAsia="zh-CN"/>
                    </w:rPr>
                    <w:t>a</w:t>
                  </w:r>
                </w:p>
              </w:tc>
              <w:tc>
                <w:tcPr>
                  <w:tcW w:w="404" w:type="pct"/>
                  <w:vMerge w:val="continue"/>
                  <w:tcBorders>
                    <w:tl2br w:val="nil"/>
                    <w:tr2bl w:val="nil"/>
                  </w:tcBorders>
                  <w:noWrap w:val="0"/>
                  <w:vAlign w:val="center"/>
                </w:tcPr>
                <w:p w14:paraId="29D77154">
                  <w:pPr>
                    <w:pStyle w:val="58"/>
                    <w:bidi w:val="0"/>
                    <w:rPr>
                      <w:color w:val="auto"/>
                    </w:rPr>
                  </w:pPr>
                </w:p>
              </w:tc>
              <w:tc>
                <w:tcPr>
                  <w:tcW w:w="404" w:type="pct"/>
                  <w:vMerge w:val="continue"/>
                  <w:tcBorders>
                    <w:tl2br w:val="nil"/>
                    <w:tr2bl w:val="nil"/>
                  </w:tcBorders>
                  <w:noWrap w:val="0"/>
                  <w:vAlign w:val="center"/>
                </w:tcPr>
                <w:p w14:paraId="71AA71FD">
                  <w:pPr>
                    <w:pStyle w:val="58"/>
                    <w:bidi w:val="0"/>
                    <w:rPr>
                      <w:color w:val="auto"/>
                    </w:rPr>
                  </w:pPr>
                </w:p>
              </w:tc>
              <w:tc>
                <w:tcPr>
                  <w:tcW w:w="404" w:type="pct"/>
                  <w:vMerge w:val="continue"/>
                  <w:tcBorders>
                    <w:tl2br w:val="nil"/>
                    <w:tr2bl w:val="nil"/>
                  </w:tcBorders>
                  <w:noWrap w:val="0"/>
                  <w:vAlign w:val="center"/>
                </w:tcPr>
                <w:p w14:paraId="291E5550">
                  <w:pPr>
                    <w:pStyle w:val="58"/>
                    <w:bidi w:val="0"/>
                    <w:rPr>
                      <w:color w:val="auto"/>
                    </w:rPr>
                  </w:pPr>
                </w:p>
              </w:tc>
              <w:tc>
                <w:tcPr>
                  <w:tcW w:w="404" w:type="pct"/>
                  <w:vMerge w:val="continue"/>
                  <w:tcBorders>
                    <w:tl2br w:val="nil"/>
                    <w:tr2bl w:val="nil"/>
                  </w:tcBorders>
                  <w:noWrap w:val="0"/>
                  <w:vAlign w:val="center"/>
                </w:tcPr>
                <w:p w14:paraId="44AADD97">
                  <w:pPr>
                    <w:pStyle w:val="58"/>
                    <w:bidi w:val="0"/>
                    <w:rPr>
                      <w:color w:val="auto"/>
                    </w:rPr>
                  </w:pPr>
                </w:p>
              </w:tc>
              <w:tc>
                <w:tcPr>
                  <w:tcW w:w="419" w:type="pct"/>
                  <w:vMerge w:val="continue"/>
                  <w:tcBorders>
                    <w:tl2br w:val="nil"/>
                    <w:tr2bl w:val="nil"/>
                  </w:tcBorders>
                  <w:noWrap w:val="0"/>
                  <w:vAlign w:val="center"/>
                </w:tcPr>
                <w:p w14:paraId="79367DE9">
                  <w:pPr>
                    <w:pStyle w:val="58"/>
                    <w:bidi w:val="0"/>
                    <w:rPr>
                      <w:color w:val="auto"/>
                    </w:rPr>
                  </w:pPr>
                </w:p>
              </w:tc>
              <w:tc>
                <w:tcPr>
                  <w:tcW w:w="419" w:type="pct"/>
                  <w:vMerge w:val="continue"/>
                  <w:tcBorders>
                    <w:tl2br w:val="nil"/>
                    <w:tr2bl w:val="nil"/>
                  </w:tcBorders>
                  <w:noWrap w:val="0"/>
                  <w:vAlign w:val="center"/>
                </w:tcPr>
                <w:p w14:paraId="3C618E41">
                  <w:pPr>
                    <w:pStyle w:val="58"/>
                    <w:bidi w:val="0"/>
                    <w:rPr>
                      <w:color w:val="auto"/>
                    </w:rPr>
                  </w:pPr>
                </w:p>
              </w:tc>
              <w:tc>
                <w:tcPr>
                  <w:tcW w:w="419" w:type="pct"/>
                  <w:vMerge w:val="continue"/>
                  <w:tcBorders>
                    <w:tl2br w:val="nil"/>
                    <w:tr2bl w:val="nil"/>
                  </w:tcBorders>
                  <w:noWrap w:val="0"/>
                  <w:vAlign w:val="center"/>
                </w:tcPr>
                <w:p w14:paraId="74F1DDD0">
                  <w:pPr>
                    <w:pStyle w:val="58"/>
                    <w:bidi w:val="0"/>
                    <w:rPr>
                      <w:color w:val="auto"/>
                    </w:rPr>
                  </w:pPr>
                </w:p>
              </w:tc>
              <w:tc>
                <w:tcPr>
                  <w:tcW w:w="607" w:type="pct"/>
                  <w:vMerge w:val="continue"/>
                  <w:tcBorders>
                    <w:tl2br w:val="nil"/>
                    <w:tr2bl w:val="nil"/>
                  </w:tcBorders>
                  <w:noWrap w:val="0"/>
                  <w:vAlign w:val="center"/>
                </w:tcPr>
                <w:p w14:paraId="271438AF">
                  <w:pPr>
                    <w:pStyle w:val="58"/>
                    <w:bidi w:val="0"/>
                    <w:rPr>
                      <w:color w:val="auto"/>
                    </w:rPr>
                  </w:pPr>
                </w:p>
              </w:tc>
            </w:tr>
            <w:tr w14:paraId="529F7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jc w:val="center"/>
              </w:trPr>
              <w:tc>
                <w:tcPr>
                  <w:tcW w:w="633" w:type="pct"/>
                  <w:vMerge w:val="restart"/>
                  <w:tcBorders>
                    <w:tl2br w:val="nil"/>
                    <w:tr2bl w:val="nil"/>
                  </w:tcBorders>
                  <w:noWrap w:val="0"/>
                  <w:vAlign w:val="center"/>
                </w:tcPr>
                <w:p w14:paraId="5A41BEA2">
                  <w:pPr>
                    <w:pStyle w:val="58"/>
                    <w:bidi w:val="0"/>
                    <w:rPr>
                      <w:rFonts w:hint="eastAsia"/>
                      <w:color w:val="auto"/>
                      <w:lang w:val="en-US" w:eastAsia="zh-CN"/>
                    </w:rPr>
                  </w:pPr>
                  <w:r>
                    <w:rPr>
                      <w:rFonts w:hint="eastAsia"/>
                      <w:color w:val="auto"/>
                      <w:lang w:val="en-US" w:eastAsia="zh-CN"/>
                    </w:rPr>
                    <w:t>生活污水产生量</w:t>
                  </w:r>
                </w:p>
              </w:tc>
              <w:tc>
                <w:tcPr>
                  <w:tcW w:w="426" w:type="pct"/>
                  <w:vMerge w:val="restart"/>
                  <w:tcBorders>
                    <w:tl2br w:val="nil"/>
                    <w:tr2bl w:val="nil"/>
                  </w:tcBorders>
                  <w:noWrap w:val="0"/>
                  <w:vAlign w:val="center"/>
                </w:tcPr>
                <w:p w14:paraId="3B9E3DFA">
                  <w:pPr>
                    <w:pStyle w:val="58"/>
                    <w:bidi w:val="0"/>
                    <w:rPr>
                      <w:rFonts w:hint="default"/>
                      <w:color w:val="auto"/>
                      <w:lang w:val="en-US" w:eastAsia="zh-CN"/>
                    </w:rPr>
                  </w:pPr>
                  <w:r>
                    <w:rPr>
                      <w:rFonts w:hint="eastAsia"/>
                      <w:color w:val="auto"/>
                      <w:lang w:val="en-US" w:eastAsia="zh-CN"/>
                    </w:rPr>
                    <w:t>0.512</w:t>
                  </w:r>
                </w:p>
              </w:tc>
              <w:tc>
                <w:tcPr>
                  <w:tcW w:w="456" w:type="pct"/>
                  <w:vMerge w:val="restart"/>
                  <w:tcBorders>
                    <w:tl2br w:val="nil"/>
                    <w:tr2bl w:val="nil"/>
                  </w:tcBorders>
                  <w:noWrap w:val="0"/>
                  <w:vAlign w:val="center"/>
                </w:tcPr>
                <w:p w14:paraId="5F010A88">
                  <w:pPr>
                    <w:pStyle w:val="58"/>
                    <w:bidi w:val="0"/>
                    <w:rPr>
                      <w:rFonts w:hint="default"/>
                      <w:color w:val="auto"/>
                      <w:lang w:val="en-US" w:eastAsia="zh-CN"/>
                    </w:rPr>
                  </w:pPr>
                  <w:r>
                    <w:rPr>
                      <w:rFonts w:hint="eastAsia"/>
                      <w:color w:val="auto"/>
                      <w:lang w:val="en-US" w:eastAsia="zh-CN"/>
                    </w:rPr>
                    <w:t>163.84</w:t>
                  </w:r>
                </w:p>
              </w:tc>
              <w:tc>
                <w:tcPr>
                  <w:tcW w:w="404" w:type="pct"/>
                  <w:tcBorders>
                    <w:tl2br w:val="nil"/>
                    <w:tr2bl w:val="nil"/>
                  </w:tcBorders>
                  <w:noWrap w:val="0"/>
                  <w:vAlign w:val="center"/>
                </w:tcPr>
                <w:p w14:paraId="23C5D36E">
                  <w:pPr>
                    <w:pStyle w:val="58"/>
                    <w:bidi w:val="0"/>
                    <w:rPr>
                      <w:rFonts w:hint="eastAsia"/>
                      <w:color w:val="auto"/>
                      <w:lang w:val="en-US" w:eastAsia="zh-CN"/>
                    </w:rPr>
                  </w:pPr>
                  <w:r>
                    <w:rPr>
                      <w:rFonts w:hint="eastAsia"/>
                      <w:color w:val="auto"/>
                      <w:lang w:val="en-US" w:eastAsia="zh-CN"/>
                    </w:rPr>
                    <w:t>mg/L</w:t>
                  </w:r>
                </w:p>
              </w:tc>
              <w:tc>
                <w:tcPr>
                  <w:tcW w:w="404" w:type="pct"/>
                  <w:tcBorders>
                    <w:tl2br w:val="nil"/>
                    <w:tr2bl w:val="nil"/>
                  </w:tcBorders>
                  <w:noWrap w:val="0"/>
                  <w:vAlign w:val="center"/>
                </w:tcPr>
                <w:p w14:paraId="58C264B7">
                  <w:pPr>
                    <w:pStyle w:val="58"/>
                    <w:bidi w:val="0"/>
                    <w:rPr>
                      <w:rFonts w:hint="default"/>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7C8D55B3">
                  <w:pPr>
                    <w:pStyle w:val="58"/>
                    <w:bidi w:val="0"/>
                    <w:rPr>
                      <w:rFonts w:hint="default"/>
                      <w:color w:val="auto"/>
                      <w:lang w:val="en-US" w:eastAsia="zh-CN"/>
                    </w:rPr>
                  </w:pPr>
                  <w:r>
                    <w:rPr>
                      <w:rFonts w:hint="default"/>
                      <w:color w:val="auto"/>
                      <w:lang w:val="en-US" w:eastAsia="zh-CN"/>
                    </w:rPr>
                    <w:t>250</w:t>
                  </w:r>
                </w:p>
              </w:tc>
              <w:tc>
                <w:tcPr>
                  <w:tcW w:w="749" w:type="dxa"/>
                  <w:tcBorders>
                    <w:tl2br w:val="nil"/>
                    <w:tr2bl w:val="nil"/>
                  </w:tcBorders>
                  <w:noWrap w:val="0"/>
                  <w:vAlign w:val="center"/>
                </w:tcPr>
                <w:p w14:paraId="4107AAA0">
                  <w:pPr>
                    <w:pStyle w:val="58"/>
                    <w:bidi w:val="0"/>
                    <w:rPr>
                      <w:rFonts w:hint="default"/>
                      <w:color w:val="auto"/>
                      <w:lang w:val="en-US" w:eastAsia="zh-CN"/>
                    </w:rPr>
                  </w:pPr>
                  <w:r>
                    <w:rPr>
                      <w:rFonts w:hint="default"/>
                      <w:color w:val="auto"/>
                      <w:lang w:val="en-US" w:eastAsia="zh-CN"/>
                    </w:rPr>
                    <w:t>100</w:t>
                  </w:r>
                </w:p>
              </w:tc>
              <w:tc>
                <w:tcPr>
                  <w:tcW w:w="777" w:type="dxa"/>
                  <w:tcBorders>
                    <w:tl2br w:val="nil"/>
                    <w:tr2bl w:val="nil"/>
                  </w:tcBorders>
                  <w:noWrap w:val="0"/>
                  <w:vAlign w:val="center"/>
                </w:tcPr>
                <w:p w14:paraId="3A424A77">
                  <w:pPr>
                    <w:pStyle w:val="58"/>
                    <w:bidi w:val="0"/>
                    <w:rPr>
                      <w:rFonts w:hint="default"/>
                      <w:color w:val="auto"/>
                      <w:lang w:val="en-US" w:eastAsia="zh-CN"/>
                    </w:rPr>
                  </w:pPr>
                  <w:r>
                    <w:rPr>
                      <w:rFonts w:hint="default"/>
                      <w:color w:val="auto"/>
                      <w:lang w:val="en-US" w:eastAsia="zh-CN"/>
                    </w:rPr>
                    <w:t>120</w:t>
                  </w:r>
                </w:p>
              </w:tc>
              <w:tc>
                <w:tcPr>
                  <w:tcW w:w="777" w:type="dxa"/>
                  <w:tcBorders>
                    <w:tl2br w:val="nil"/>
                    <w:tr2bl w:val="nil"/>
                  </w:tcBorders>
                  <w:noWrap w:val="0"/>
                  <w:vAlign w:val="center"/>
                </w:tcPr>
                <w:p w14:paraId="30062D0B">
                  <w:pPr>
                    <w:pStyle w:val="58"/>
                    <w:bidi w:val="0"/>
                    <w:rPr>
                      <w:rFonts w:hint="default"/>
                      <w:color w:val="auto"/>
                      <w:lang w:val="en-US" w:eastAsia="zh-CN"/>
                    </w:rPr>
                  </w:pPr>
                  <w:r>
                    <w:rPr>
                      <w:rFonts w:hint="default"/>
                      <w:color w:val="auto"/>
                      <w:lang w:val="en-US" w:eastAsia="zh-CN"/>
                    </w:rPr>
                    <w:t>5</w:t>
                  </w:r>
                </w:p>
              </w:tc>
              <w:tc>
                <w:tcPr>
                  <w:tcW w:w="777" w:type="dxa"/>
                  <w:tcBorders>
                    <w:tl2br w:val="nil"/>
                    <w:tr2bl w:val="nil"/>
                  </w:tcBorders>
                  <w:noWrap w:val="0"/>
                  <w:vAlign w:val="center"/>
                </w:tcPr>
                <w:p w14:paraId="3E77728D">
                  <w:pPr>
                    <w:pStyle w:val="58"/>
                    <w:bidi w:val="0"/>
                    <w:rPr>
                      <w:rFonts w:hint="default"/>
                      <w:color w:val="auto"/>
                      <w:lang w:val="en-US" w:eastAsia="zh-CN"/>
                    </w:rPr>
                  </w:pPr>
                  <w:r>
                    <w:rPr>
                      <w:rFonts w:hint="default"/>
                      <w:color w:val="auto"/>
                      <w:lang w:val="en-US" w:eastAsia="zh-CN"/>
                    </w:rPr>
                    <w:t>30</w:t>
                  </w:r>
                </w:p>
              </w:tc>
              <w:tc>
                <w:tcPr>
                  <w:tcW w:w="1124" w:type="dxa"/>
                  <w:tcBorders>
                    <w:tl2br w:val="nil"/>
                    <w:tr2bl w:val="nil"/>
                  </w:tcBorders>
                  <w:noWrap w:val="0"/>
                  <w:vAlign w:val="center"/>
                </w:tcPr>
                <w:p w14:paraId="485D9F21">
                  <w:pPr>
                    <w:pStyle w:val="58"/>
                    <w:bidi w:val="0"/>
                    <w:rPr>
                      <w:rFonts w:hint="default"/>
                      <w:color w:val="auto"/>
                      <w:lang w:val="en-US" w:eastAsia="zh-CN"/>
                    </w:rPr>
                  </w:pPr>
                  <w:r>
                    <w:rPr>
                      <w:rFonts w:hint="default"/>
                      <w:color w:val="auto"/>
                      <w:lang w:val="en-US" w:eastAsia="zh-CN"/>
                    </w:rPr>
                    <w:t>25</w:t>
                  </w:r>
                </w:p>
              </w:tc>
            </w:tr>
            <w:tr w14:paraId="4918F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jc w:val="center"/>
              </w:trPr>
              <w:tc>
                <w:tcPr>
                  <w:tcW w:w="633" w:type="pct"/>
                  <w:vMerge w:val="continue"/>
                  <w:tcBorders>
                    <w:tl2br w:val="nil"/>
                    <w:tr2bl w:val="nil"/>
                  </w:tcBorders>
                  <w:noWrap w:val="0"/>
                  <w:vAlign w:val="center"/>
                </w:tcPr>
                <w:p w14:paraId="01AADAA7">
                  <w:pPr>
                    <w:pStyle w:val="58"/>
                    <w:bidi w:val="0"/>
                    <w:rPr>
                      <w:rFonts w:hint="eastAsia"/>
                      <w:color w:val="auto"/>
                      <w:lang w:val="en-US" w:eastAsia="zh-CN"/>
                    </w:rPr>
                  </w:pPr>
                </w:p>
              </w:tc>
              <w:tc>
                <w:tcPr>
                  <w:tcW w:w="426" w:type="pct"/>
                  <w:vMerge w:val="continue"/>
                  <w:tcBorders>
                    <w:tl2br w:val="nil"/>
                    <w:tr2bl w:val="nil"/>
                  </w:tcBorders>
                  <w:noWrap w:val="0"/>
                  <w:vAlign w:val="center"/>
                </w:tcPr>
                <w:p w14:paraId="14405922">
                  <w:pPr>
                    <w:pStyle w:val="58"/>
                    <w:bidi w:val="0"/>
                    <w:rPr>
                      <w:rFonts w:hint="eastAsia"/>
                      <w:color w:val="auto"/>
                      <w:lang w:val="en-US" w:eastAsia="zh-CN"/>
                    </w:rPr>
                  </w:pPr>
                </w:p>
              </w:tc>
              <w:tc>
                <w:tcPr>
                  <w:tcW w:w="456" w:type="pct"/>
                  <w:vMerge w:val="continue"/>
                  <w:tcBorders>
                    <w:tl2br w:val="nil"/>
                    <w:tr2bl w:val="nil"/>
                  </w:tcBorders>
                  <w:noWrap w:val="0"/>
                  <w:vAlign w:val="center"/>
                </w:tcPr>
                <w:p w14:paraId="0BF1112C">
                  <w:pPr>
                    <w:pStyle w:val="58"/>
                    <w:bidi w:val="0"/>
                    <w:rPr>
                      <w:rFonts w:hint="eastAsia"/>
                      <w:color w:val="auto"/>
                      <w:lang w:val="en-US" w:eastAsia="zh-CN"/>
                    </w:rPr>
                  </w:pPr>
                </w:p>
              </w:tc>
              <w:tc>
                <w:tcPr>
                  <w:tcW w:w="404" w:type="pct"/>
                  <w:tcBorders>
                    <w:tl2br w:val="nil"/>
                    <w:tr2bl w:val="nil"/>
                  </w:tcBorders>
                  <w:noWrap w:val="0"/>
                  <w:vAlign w:val="center"/>
                </w:tcPr>
                <w:p w14:paraId="7B2304F7">
                  <w:pPr>
                    <w:pStyle w:val="58"/>
                    <w:bidi w:val="0"/>
                    <w:rPr>
                      <w:rFonts w:hint="eastAsia"/>
                      <w:color w:val="auto"/>
                      <w:lang w:val="en-US" w:eastAsia="zh-CN"/>
                    </w:rPr>
                  </w:pPr>
                  <w:r>
                    <w:rPr>
                      <w:rFonts w:hint="eastAsia"/>
                      <w:color w:val="auto"/>
                      <w:lang w:val="en-US" w:eastAsia="zh-CN"/>
                    </w:rPr>
                    <w:t>t/a</w:t>
                  </w:r>
                </w:p>
              </w:tc>
              <w:tc>
                <w:tcPr>
                  <w:tcW w:w="404" w:type="pct"/>
                  <w:tcBorders>
                    <w:tl2br w:val="nil"/>
                    <w:tr2bl w:val="nil"/>
                  </w:tcBorders>
                  <w:noWrap w:val="0"/>
                  <w:vAlign w:val="center"/>
                </w:tcPr>
                <w:p w14:paraId="4F4D59B0">
                  <w:pPr>
                    <w:pStyle w:val="58"/>
                    <w:bidi w:val="0"/>
                    <w:rPr>
                      <w:rFonts w:hint="eastAsia"/>
                      <w:color w:val="auto"/>
                      <w:lang w:val="en-US" w:eastAsia="zh-CN"/>
                    </w:rPr>
                  </w:pPr>
                  <w:r>
                    <w:rPr>
                      <w:rFonts w:hint="eastAsia"/>
                      <w:color w:val="auto"/>
                      <w:lang w:val="en-US" w:eastAsia="zh-CN"/>
                    </w:rPr>
                    <w:t>-</w:t>
                  </w:r>
                </w:p>
              </w:tc>
              <w:tc>
                <w:tcPr>
                  <w:tcW w:w="749" w:type="dxa"/>
                  <w:tcBorders>
                    <w:tl2br w:val="nil"/>
                    <w:tr2bl w:val="nil"/>
                  </w:tcBorders>
                  <w:noWrap w:val="0"/>
                  <w:vAlign w:val="center"/>
                </w:tcPr>
                <w:p w14:paraId="6B478D19">
                  <w:pPr>
                    <w:pStyle w:val="58"/>
                    <w:bidi w:val="0"/>
                    <w:rPr>
                      <w:rFonts w:hint="eastAsia"/>
                      <w:color w:val="auto"/>
                      <w:lang w:val="en-US" w:eastAsia="zh-CN"/>
                    </w:rPr>
                  </w:pPr>
                  <w:r>
                    <w:rPr>
                      <w:rFonts w:hint="default"/>
                      <w:color w:val="auto"/>
                      <w:lang w:val="en-US" w:eastAsia="zh-CN"/>
                    </w:rPr>
                    <w:t>0.041</w:t>
                  </w:r>
                </w:p>
              </w:tc>
              <w:tc>
                <w:tcPr>
                  <w:tcW w:w="749" w:type="dxa"/>
                  <w:tcBorders>
                    <w:tl2br w:val="nil"/>
                    <w:tr2bl w:val="nil"/>
                  </w:tcBorders>
                  <w:noWrap w:val="0"/>
                  <w:vAlign w:val="center"/>
                </w:tcPr>
                <w:p w14:paraId="74F84E71">
                  <w:pPr>
                    <w:pStyle w:val="58"/>
                    <w:bidi w:val="0"/>
                    <w:rPr>
                      <w:rFonts w:hint="default"/>
                      <w:color w:val="auto"/>
                      <w:lang w:val="en-US" w:eastAsia="zh-CN"/>
                    </w:rPr>
                  </w:pPr>
                  <w:r>
                    <w:rPr>
                      <w:rFonts w:hint="default"/>
                      <w:color w:val="auto"/>
                      <w:lang w:val="en-US" w:eastAsia="zh-CN"/>
                    </w:rPr>
                    <w:t>0.016</w:t>
                  </w:r>
                </w:p>
              </w:tc>
              <w:tc>
                <w:tcPr>
                  <w:tcW w:w="777" w:type="dxa"/>
                  <w:tcBorders>
                    <w:tl2br w:val="nil"/>
                    <w:tr2bl w:val="nil"/>
                  </w:tcBorders>
                  <w:noWrap w:val="0"/>
                  <w:vAlign w:val="center"/>
                </w:tcPr>
                <w:p w14:paraId="2B2026A1">
                  <w:pPr>
                    <w:pStyle w:val="58"/>
                    <w:bidi w:val="0"/>
                    <w:rPr>
                      <w:rFonts w:hint="default"/>
                      <w:color w:val="auto"/>
                      <w:lang w:val="en-US" w:eastAsia="zh-CN"/>
                    </w:rPr>
                  </w:pPr>
                  <w:r>
                    <w:rPr>
                      <w:rFonts w:hint="default"/>
                      <w:color w:val="auto"/>
                      <w:lang w:val="en-US" w:eastAsia="zh-CN"/>
                    </w:rPr>
                    <w:t>0.02</w:t>
                  </w:r>
                </w:p>
              </w:tc>
              <w:tc>
                <w:tcPr>
                  <w:tcW w:w="777" w:type="dxa"/>
                  <w:tcBorders>
                    <w:tl2br w:val="nil"/>
                    <w:tr2bl w:val="nil"/>
                  </w:tcBorders>
                  <w:noWrap w:val="0"/>
                  <w:vAlign w:val="center"/>
                </w:tcPr>
                <w:p w14:paraId="31E1E6BA">
                  <w:pPr>
                    <w:pStyle w:val="58"/>
                    <w:bidi w:val="0"/>
                    <w:rPr>
                      <w:rFonts w:hint="default"/>
                      <w:color w:val="auto"/>
                      <w:lang w:val="en-US" w:eastAsia="zh-CN"/>
                    </w:rPr>
                  </w:pPr>
                  <w:r>
                    <w:rPr>
                      <w:rFonts w:hint="default"/>
                      <w:color w:val="auto"/>
                      <w:lang w:val="en-US" w:eastAsia="zh-CN"/>
                    </w:rPr>
                    <w:t>0.0008</w:t>
                  </w:r>
                </w:p>
              </w:tc>
              <w:tc>
                <w:tcPr>
                  <w:tcW w:w="777" w:type="dxa"/>
                  <w:tcBorders>
                    <w:tl2br w:val="nil"/>
                    <w:tr2bl w:val="nil"/>
                  </w:tcBorders>
                  <w:noWrap w:val="0"/>
                  <w:vAlign w:val="center"/>
                </w:tcPr>
                <w:p w14:paraId="7A3DB014">
                  <w:pPr>
                    <w:pStyle w:val="58"/>
                    <w:bidi w:val="0"/>
                    <w:rPr>
                      <w:rFonts w:hint="eastAsia"/>
                      <w:color w:val="auto"/>
                      <w:lang w:val="en-US" w:eastAsia="zh-CN"/>
                    </w:rPr>
                  </w:pPr>
                  <w:r>
                    <w:rPr>
                      <w:rFonts w:hint="default"/>
                      <w:color w:val="auto"/>
                      <w:lang w:val="en-US" w:eastAsia="zh-CN"/>
                    </w:rPr>
                    <w:t>0.0049</w:t>
                  </w:r>
                </w:p>
              </w:tc>
              <w:tc>
                <w:tcPr>
                  <w:tcW w:w="1124" w:type="dxa"/>
                  <w:tcBorders>
                    <w:tl2br w:val="nil"/>
                    <w:tr2bl w:val="nil"/>
                  </w:tcBorders>
                  <w:noWrap w:val="0"/>
                  <w:vAlign w:val="center"/>
                </w:tcPr>
                <w:p w14:paraId="21CEA4F9">
                  <w:pPr>
                    <w:pStyle w:val="58"/>
                    <w:bidi w:val="0"/>
                    <w:rPr>
                      <w:rFonts w:hint="eastAsia"/>
                      <w:color w:val="auto"/>
                      <w:lang w:val="en-US" w:eastAsia="zh-CN"/>
                    </w:rPr>
                  </w:pPr>
                  <w:r>
                    <w:rPr>
                      <w:rFonts w:hint="default"/>
                      <w:color w:val="auto"/>
                      <w:lang w:val="en-US" w:eastAsia="zh-CN"/>
                    </w:rPr>
                    <w:t>0.0041</w:t>
                  </w:r>
                </w:p>
              </w:tc>
            </w:tr>
            <w:tr w14:paraId="01D04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restart"/>
                  <w:tcBorders>
                    <w:tl2br w:val="nil"/>
                    <w:tr2bl w:val="nil"/>
                  </w:tcBorders>
                  <w:noWrap w:val="0"/>
                  <w:vAlign w:val="center"/>
                </w:tcPr>
                <w:p w14:paraId="4B2BFAD9">
                  <w:pPr>
                    <w:pStyle w:val="58"/>
                    <w:bidi w:val="0"/>
                    <w:rPr>
                      <w:rFonts w:hint="default"/>
                      <w:color w:val="auto"/>
                      <w:lang w:val="en-US" w:eastAsia="zh-CN"/>
                    </w:rPr>
                  </w:pPr>
                  <w:r>
                    <w:rPr>
                      <w:rFonts w:hint="eastAsia"/>
                      <w:color w:val="auto"/>
                      <w:lang w:val="en-US" w:eastAsia="zh-CN"/>
                    </w:rPr>
                    <w:t>水喷淋废水产生量</w:t>
                  </w:r>
                </w:p>
              </w:tc>
              <w:tc>
                <w:tcPr>
                  <w:tcW w:w="426" w:type="pct"/>
                  <w:vMerge w:val="restart"/>
                  <w:tcBorders>
                    <w:tl2br w:val="nil"/>
                    <w:tr2bl w:val="nil"/>
                  </w:tcBorders>
                  <w:noWrap w:val="0"/>
                  <w:vAlign w:val="center"/>
                </w:tcPr>
                <w:p w14:paraId="0326A5D1">
                  <w:pPr>
                    <w:pStyle w:val="58"/>
                    <w:bidi w:val="0"/>
                    <w:rPr>
                      <w:rFonts w:hint="default"/>
                      <w:color w:val="auto"/>
                      <w:lang w:val="en-US" w:eastAsia="zh-CN"/>
                    </w:rPr>
                  </w:pPr>
                  <w:r>
                    <w:rPr>
                      <w:rFonts w:hint="eastAsia"/>
                      <w:color w:val="auto"/>
                      <w:lang w:val="en-US" w:eastAsia="zh-CN"/>
                    </w:rPr>
                    <w:t>2.25</w:t>
                  </w:r>
                </w:p>
              </w:tc>
              <w:tc>
                <w:tcPr>
                  <w:tcW w:w="456" w:type="pct"/>
                  <w:vMerge w:val="restart"/>
                  <w:tcBorders>
                    <w:tl2br w:val="nil"/>
                    <w:tr2bl w:val="nil"/>
                  </w:tcBorders>
                  <w:noWrap w:val="0"/>
                  <w:vAlign w:val="center"/>
                </w:tcPr>
                <w:p w14:paraId="26DB3FDB">
                  <w:pPr>
                    <w:pStyle w:val="58"/>
                    <w:bidi w:val="0"/>
                    <w:rPr>
                      <w:rFonts w:hint="default"/>
                      <w:color w:val="auto"/>
                      <w:lang w:val="en-US" w:eastAsia="zh-CN"/>
                    </w:rPr>
                  </w:pPr>
                  <w:r>
                    <w:rPr>
                      <w:rFonts w:hint="eastAsia"/>
                      <w:color w:val="auto"/>
                      <w:lang w:val="en-US" w:eastAsia="zh-CN"/>
                    </w:rPr>
                    <w:t>720</w:t>
                  </w:r>
                </w:p>
              </w:tc>
              <w:tc>
                <w:tcPr>
                  <w:tcW w:w="404" w:type="pct"/>
                  <w:tcBorders>
                    <w:tl2br w:val="nil"/>
                    <w:tr2bl w:val="nil"/>
                  </w:tcBorders>
                  <w:noWrap w:val="0"/>
                  <w:vAlign w:val="center"/>
                </w:tcPr>
                <w:p w14:paraId="2AE24305">
                  <w:pPr>
                    <w:pStyle w:val="58"/>
                    <w:bidi w:val="0"/>
                    <w:rPr>
                      <w:rFonts w:hint="eastAsia"/>
                      <w:color w:val="auto"/>
                      <w:lang w:val="en-US" w:eastAsia="zh-CN"/>
                    </w:rPr>
                  </w:pPr>
                  <w:r>
                    <w:rPr>
                      <w:rFonts w:hint="eastAsia"/>
                      <w:color w:val="auto"/>
                      <w:lang w:val="en-US" w:eastAsia="zh-CN"/>
                    </w:rPr>
                    <w:t>mg/L</w:t>
                  </w:r>
                </w:p>
              </w:tc>
              <w:tc>
                <w:tcPr>
                  <w:tcW w:w="404" w:type="pct"/>
                  <w:tcBorders>
                    <w:tl2br w:val="nil"/>
                    <w:tr2bl w:val="nil"/>
                  </w:tcBorders>
                  <w:noWrap w:val="0"/>
                  <w:vAlign w:val="center"/>
                </w:tcPr>
                <w:p w14:paraId="07FB6577">
                  <w:pPr>
                    <w:pStyle w:val="58"/>
                    <w:bidi w:val="0"/>
                    <w:rPr>
                      <w:rFonts w:hint="eastAsia"/>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0A3CBEDF">
                  <w:pPr>
                    <w:pStyle w:val="58"/>
                    <w:bidi w:val="0"/>
                    <w:rPr>
                      <w:rFonts w:hint="eastAsia"/>
                      <w:color w:val="auto"/>
                      <w:lang w:val="en-US" w:eastAsia="zh-CN"/>
                    </w:rPr>
                  </w:pPr>
                  <w:r>
                    <w:rPr>
                      <w:rFonts w:hint="default"/>
                      <w:color w:val="auto"/>
                      <w:lang w:val="en-US" w:eastAsia="zh-CN"/>
                    </w:rPr>
                    <w:t>650</w:t>
                  </w:r>
                </w:p>
              </w:tc>
              <w:tc>
                <w:tcPr>
                  <w:tcW w:w="749" w:type="dxa"/>
                  <w:tcBorders>
                    <w:tl2br w:val="nil"/>
                    <w:tr2bl w:val="nil"/>
                  </w:tcBorders>
                  <w:noWrap w:val="0"/>
                  <w:vAlign w:val="center"/>
                </w:tcPr>
                <w:p w14:paraId="3C6BDA10">
                  <w:pPr>
                    <w:pStyle w:val="58"/>
                    <w:bidi w:val="0"/>
                    <w:rPr>
                      <w:rFonts w:hint="eastAsia"/>
                      <w:color w:val="auto"/>
                      <w:lang w:val="en-US" w:eastAsia="zh-CN"/>
                    </w:rPr>
                  </w:pPr>
                  <w:r>
                    <w:rPr>
                      <w:rFonts w:hint="default"/>
                      <w:color w:val="auto"/>
                      <w:lang w:val="en-US" w:eastAsia="zh-CN"/>
                    </w:rPr>
                    <w:t>300</w:t>
                  </w:r>
                </w:p>
              </w:tc>
              <w:tc>
                <w:tcPr>
                  <w:tcW w:w="777" w:type="dxa"/>
                  <w:tcBorders>
                    <w:tl2br w:val="nil"/>
                    <w:tr2bl w:val="nil"/>
                  </w:tcBorders>
                  <w:noWrap w:val="0"/>
                  <w:vAlign w:val="center"/>
                </w:tcPr>
                <w:p w14:paraId="003CEDCA">
                  <w:pPr>
                    <w:pStyle w:val="58"/>
                    <w:bidi w:val="0"/>
                    <w:rPr>
                      <w:rFonts w:hint="eastAsia"/>
                      <w:color w:val="auto"/>
                      <w:lang w:val="en-US" w:eastAsia="zh-CN"/>
                    </w:rPr>
                  </w:pPr>
                  <w:r>
                    <w:rPr>
                      <w:rFonts w:hint="default"/>
                      <w:color w:val="auto"/>
                      <w:lang w:val="en-US" w:eastAsia="zh-CN"/>
                    </w:rPr>
                    <w:t>150</w:t>
                  </w:r>
                </w:p>
              </w:tc>
              <w:tc>
                <w:tcPr>
                  <w:tcW w:w="777" w:type="dxa"/>
                  <w:tcBorders>
                    <w:tl2br w:val="nil"/>
                    <w:tr2bl w:val="nil"/>
                  </w:tcBorders>
                  <w:noWrap w:val="0"/>
                  <w:vAlign w:val="center"/>
                </w:tcPr>
                <w:p w14:paraId="7AE4A715">
                  <w:pPr>
                    <w:pStyle w:val="58"/>
                    <w:bidi w:val="0"/>
                    <w:rPr>
                      <w:rFonts w:hint="eastAsia"/>
                      <w:color w:val="auto"/>
                      <w:lang w:val="en-US" w:eastAsia="zh-CN"/>
                    </w:rPr>
                  </w:pPr>
                  <w:r>
                    <w:rPr>
                      <w:rFonts w:hint="default"/>
                      <w:color w:val="auto"/>
                      <w:lang w:val="en-US" w:eastAsia="zh-CN"/>
                    </w:rPr>
                    <w:t>0</w:t>
                  </w:r>
                </w:p>
              </w:tc>
              <w:tc>
                <w:tcPr>
                  <w:tcW w:w="777" w:type="dxa"/>
                  <w:tcBorders>
                    <w:tl2br w:val="nil"/>
                    <w:tr2bl w:val="nil"/>
                  </w:tcBorders>
                  <w:noWrap w:val="0"/>
                  <w:vAlign w:val="center"/>
                </w:tcPr>
                <w:p w14:paraId="2E5981E7">
                  <w:pPr>
                    <w:pStyle w:val="58"/>
                    <w:bidi w:val="0"/>
                    <w:rPr>
                      <w:rFonts w:hint="eastAsia"/>
                      <w:color w:val="auto"/>
                      <w:lang w:val="en-US" w:eastAsia="zh-CN"/>
                    </w:rPr>
                  </w:pPr>
                  <w:r>
                    <w:rPr>
                      <w:rFonts w:hint="default"/>
                      <w:color w:val="auto"/>
                      <w:lang w:val="en-US" w:eastAsia="zh-CN"/>
                    </w:rPr>
                    <w:t>47</w:t>
                  </w:r>
                </w:p>
              </w:tc>
              <w:tc>
                <w:tcPr>
                  <w:tcW w:w="1124" w:type="dxa"/>
                  <w:tcBorders>
                    <w:tl2br w:val="nil"/>
                    <w:tr2bl w:val="nil"/>
                  </w:tcBorders>
                  <w:noWrap w:val="0"/>
                  <w:vAlign w:val="center"/>
                </w:tcPr>
                <w:p w14:paraId="3801F05F">
                  <w:pPr>
                    <w:pStyle w:val="58"/>
                    <w:bidi w:val="0"/>
                    <w:rPr>
                      <w:rFonts w:hint="eastAsia"/>
                      <w:color w:val="auto"/>
                      <w:lang w:val="en-US" w:eastAsia="zh-CN"/>
                    </w:rPr>
                  </w:pPr>
                  <w:r>
                    <w:rPr>
                      <w:rFonts w:hint="default"/>
                      <w:color w:val="auto"/>
                      <w:lang w:val="en-US" w:eastAsia="zh-CN"/>
                    </w:rPr>
                    <w:t>45</w:t>
                  </w:r>
                </w:p>
              </w:tc>
            </w:tr>
            <w:tr w14:paraId="56587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continue"/>
                  <w:tcBorders>
                    <w:tl2br w:val="nil"/>
                    <w:tr2bl w:val="nil"/>
                  </w:tcBorders>
                  <w:noWrap w:val="0"/>
                  <w:vAlign w:val="center"/>
                </w:tcPr>
                <w:p w14:paraId="16A3B8B2">
                  <w:pPr>
                    <w:pStyle w:val="58"/>
                    <w:bidi w:val="0"/>
                    <w:rPr>
                      <w:rFonts w:hint="eastAsia"/>
                      <w:color w:val="auto"/>
                      <w:lang w:val="en-US" w:eastAsia="zh-CN"/>
                    </w:rPr>
                  </w:pPr>
                </w:p>
              </w:tc>
              <w:tc>
                <w:tcPr>
                  <w:tcW w:w="426" w:type="pct"/>
                  <w:vMerge w:val="continue"/>
                  <w:tcBorders>
                    <w:tl2br w:val="nil"/>
                    <w:tr2bl w:val="nil"/>
                  </w:tcBorders>
                  <w:noWrap w:val="0"/>
                  <w:vAlign w:val="center"/>
                </w:tcPr>
                <w:p w14:paraId="2E5B6C5E">
                  <w:pPr>
                    <w:pStyle w:val="58"/>
                    <w:bidi w:val="0"/>
                    <w:rPr>
                      <w:rFonts w:hint="eastAsia"/>
                      <w:color w:val="auto"/>
                      <w:lang w:val="en-US" w:eastAsia="zh-CN"/>
                    </w:rPr>
                  </w:pPr>
                </w:p>
              </w:tc>
              <w:tc>
                <w:tcPr>
                  <w:tcW w:w="456" w:type="pct"/>
                  <w:vMerge w:val="continue"/>
                  <w:tcBorders>
                    <w:tl2br w:val="nil"/>
                    <w:tr2bl w:val="nil"/>
                  </w:tcBorders>
                  <w:noWrap w:val="0"/>
                  <w:vAlign w:val="center"/>
                </w:tcPr>
                <w:p w14:paraId="6A0FCFD5">
                  <w:pPr>
                    <w:pStyle w:val="58"/>
                    <w:bidi w:val="0"/>
                    <w:rPr>
                      <w:rFonts w:hint="eastAsia"/>
                      <w:color w:val="auto"/>
                      <w:lang w:val="en-US" w:eastAsia="zh-CN"/>
                    </w:rPr>
                  </w:pPr>
                </w:p>
              </w:tc>
              <w:tc>
                <w:tcPr>
                  <w:tcW w:w="404" w:type="pct"/>
                  <w:tcBorders>
                    <w:tl2br w:val="nil"/>
                    <w:tr2bl w:val="nil"/>
                  </w:tcBorders>
                  <w:noWrap w:val="0"/>
                  <w:vAlign w:val="center"/>
                </w:tcPr>
                <w:p w14:paraId="779EC931">
                  <w:pPr>
                    <w:pStyle w:val="58"/>
                    <w:bidi w:val="0"/>
                    <w:rPr>
                      <w:rFonts w:hint="eastAsia"/>
                      <w:color w:val="auto"/>
                      <w:lang w:val="en-US" w:eastAsia="zh-CN"/>
                    </w:rPr>
                  </w:pPr>
                  <w:r>
                    <w:rPr>
                      <w:rFonts w:hint="eastAsia"/>
                      <w:color w:val="auto"/>
                      <w:lang w:val="en-US" w:eastAsia="zh-CN"/>
                    </w:rPr>
                    <w:t>t/a</w:t>
                  </w:r>
                </w:p>
              </w:tc>
              <w:tc>
                <w:tcPr>
                  <w:tcW w:w="404" w:type="pct"/>
                  <w:tcBorders>
                    <w:tl2br w:val="nil"/>
                    <w:tr2bl w:val="nil"/>
                  </w:tcBorders>
                  <w:noWrap w:val="0"/>
                  <w:vAlign w:val="center"/>
                </w:tcPr>
                <w:p w14:paraId="1DC7E2BB">
                  <w:pPr>
                    <w:pStyle w:val="58"/>
                    <w:bidi w:val="0"/>
                    <w:rPr>
                      <w:rFonts w:hint="eastAsia"/>
                      <w:color w:val="auto"/>
                      <w:lang w:val="en-US" w:eastAsia="zh-CN"/>
                    </w:rPr>
                  </w:pPr>
                  <w:r>
                    <w:rPr>
                      <w:rFonts w:hint="eastAsia"/>
                      <w:color w:val="auto"/>
                      <w:lang w:val="en-US" w:eastAsia="zh-CN"/>
                    </w:rPr>
                    <w:t>-</w:t>
                  </w:r>
                </w:p>
              </w:tc>
              <w:tc>
                <w:tcPr>
                  <w:tcW w:w="749" w:type="dxa"/>
                  <w:tcBorders>
                    <w:tl2br w:val="nil"/>
                    <w:tr2bl w:val="nil"/>
                  </w:tcBorders>
                  <w:noWrap w:val="0"/>
                  <w:vAlign w:val="center"/>
                </w:tcPr>
                <w:p w14:paraId="5B7E65C0">
                  <w:pPr>
                    <w:pStyle w:val="58"/>
                    <w:bidi w:val="0"/>
                    <w:rPr>
                      <w:rFonts w:hint="eastAsia"/>
                      <w:color w:val="auto"/>
                      <w:lang w:val="en-US" w:eastAsia="zh-CN"/>
                    </w:rPr>
                  </w:pPr>
                  <w:r>
                    <w:rPr>
                      <w:rFonts w:hint="default"/>
                      <w:color w:val="auto"/>
                      <w:lang w:val="en-US" w:eastAsia="zh-CN"/>
                    </w:rPr>
                    <w:t>0.468</w:t>
                  </w:r>
                </w:p>
              </w:tc>
              <w:tc>
                <w:tcPr>
                  <w:tcW w:w="749" w:type="dxa"/>
                  <w:tcBorders>
                    <w:tl2br w:val="nil"/>
                    <w:tr2bl w:val="nil"/>
                  </w:tcBorders>
                  <w:noWrap w:val="0"/>
                  <w:vAlign w:val="center"/>
                </w:tcPr>
                <w:p w14:paraId="33ECA521">
                  <w:pPr>
                    <w:pStyle w:val="58"/>
                    <w:bidi w:val="0"/>
                    <w:rPr>
                      <w:rFonts w:hint="eastAsia"/>
                      <w:color w:val="auto"/>
                      <w:lang w:val="en-US" w:eastAsia="zh-CN"/>
                    </w:rPr>
                  </w:pPr>
                  <w:r>
                    <w:rPr>
                      <w:rFonts w:hint="default"/>
                      <w:color w:val="auto"/>
                      <w:lang w:val="en-US" w:eastAsia="zh-CN"/>
                    </w:rPr>
                    <w:t>0.216</w:t>
                  </w:r>
                </w:p>
              </w:tc>
              <w:tc>
                <w:tcPr>
                  <w:tcW w:w="777" w:type="dxa"/>
                  <w:tcBorders>
                    <w:tl2br w:val="nil"/>
                    <w:tr2bl w:val="nil"/>
                  </w:tcBorders>
                  <w:noWrap w:val="0"/>
                  <w:vAlign w:val="center"/>
                </w:tcPr>
                <w:p w14:paraId="1BD7F428">
                  <w:pPr>
                    <w:pStyle w:val="58"/>
                    <w:bidi w:val="0"/>
                    <w:rPr>
                      <w:rFonts w:hint="eastAsia"/>
                      <w:color w:val="auto"/>
                      <w:lang w:val="en-US" w:eastAsia="zh-CN"/>
                    </w:rPr>
                  </w:pPr>
                  <w:r>
                    <w:rPr>
                      <w:rFonts w:hint="default"/>
                      <w:color w:val="auto"/>
                      <w:lang w:val="en-US" w:eastAsia="zh-CN"/>
                    </w:rPr>
                    <w:t>0.108</w:t>
                  </w:r>
                </w:p>
              </w:tc>
              <w:tc>
                <w:tcPr>
                  <w:tcW w:w="777" w:type="dxa"/>
                  <w:tcBorders>
                    <w:tl2br w:val="nil"/>
                    <w:tr2bl w:val="nil"/>
                  </w:tcBorders>
                  <w:noWrap w:val="0"/>
                  <w:vAlign w:val="center"/>
                </w:tcPr>
                <w:p w14:paraId="658F24C8">
                  <w:pPr>
                    <w:pStyle w:val="58"/>
                    <w:bidi w:val="0"/>
                    <w:rPr>
                      <w:rFonts w:hint="eastAsia"/>
                      <w:color w:val="auto"/>
                      <w:lang w:val="en-US" w:eastAsia="zh-CN"/>
                    </w:rPr>
                  </w:pPr>
                  <w:r>
                    <w:rPr>
                      <w:rFonts w:hint="default"/>
                      <w:color w:val="auto"/>
                      <w:lang w:val="en-US" w:eastAsia="zh-CN"/>
                    </w:rPr>
                    <w:t>0</w:t>
                  </w:r>
                </w:p>
              </w:tc>
              <w:tc>
                <w:tcPr>
                  <w:tcW w:w="777" w:type="dxa"/>
                  <w:tcBorders>
                    <w:tl2br w:val="nil"/>
                    <w:tr2bl w:val="nil"/>
                  </w:tcBorders>
                  <w:noWrap w:val="0"/>
                  <w:vAlign w:val="center"/>
                </w:tcPr>
                <w:p w14:paraId="47E4B451">
                  <w:pPr>
                    <w:pStyle w:val="58"/>
                    <w:bidi w:val="0"/>
                    <w:rPr>
                      <w:rFonts w:hint="eastAsia"/>
                      <w:color w:val="auto"/>
                      <w:lang w:val="en-US" w:eastAsia="zh-CN"/>
                    </w:rPr>
                  </w:pPr>
                  <w:r>
                    <w:rPr>
                      <w:rFonts w:hint="default"/>
                      <w:color w:val="auto"/>
                      <w:lang w:val="en-US" w:eastAsia="zh-CN"/>
                    </w:rPr>
                    <w:t>0.0338</w:t>
                  </w:r>
                </w:p>
              </w:tc>
              <w:tc>
                <w:tcPr>
                  <w:tcW w:w="1124" w:type="dxa"/>
                  <w:tcBorders>
                    <w:tl2br w:val="nil"/>
                    <w:tr2bl w:val="nil"/>
                  </w:tcBorders>
                  <w:noWrap w:val="0"/>
                  <w:vAlign w:val="center"/>
                </w:tcPr>
                <w:p w14:paraId="4A01F1AE">
                  <w:pPr>
                    <w:pStyle w:val="58"/>
                    <w:bidi w:val="0"/>
                    <w:rPr>
                      <w:rFonts w:hint="eastAsia"/>
                      <w:color w:val="auto"/>
                      <w:lang w:val="en-US" w:eastAsia="zh-CN"/>
                    </w:rPr>
                  </w:pPr>
                  <w:r>
                    <w:rPr>
                      <w:rFonts w:hint="default"/>
                      <w:color w:val="auto"/>
                      <w:lang w:val="en-US" w:eastAsia="zh-CN"/>
                    </w:rPr>
                    <w:t>0.0324</w:t>
                  </w:r>
                </w:p>
              </w:tc>
            </w:tr>
            <w:tr w14:paraId="77B3A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restart"/>
                  <w:tcBorders>
                    <w:tl2br w:val="nil"/>
                    <w:tr2bl w:val="nil"/>
                  </w:tcBorders>
                  <w:noWrap w:val="0"/>
                  <w:vAlign w:val="center"/>
                </w:tcPr>
                <w:p w14:paraId="70849260">
                  <w:pPr>
                    <w:pStyle w:val="58"/>
                    <w:bidi w:val="0"/>
                    <w:rPr>
                      <w:rFonts w:hint="eastAsia"/>
                      <w:color w:val="auto"/>
                      <w:lang w:val="en-US" w:eastAsia="zh-CN"/>
                    </w:rPr>
                  </w:pPr>
                  <w:r>
                    <w:rPr>
                      <w:rFonts w:hint="eastAsia"/>
                      <w:color w:val="auto"/>
                      <w:lang w:val="en-US" w:eastAsia="zh-CN"/>
                    </w:rPr>
                    <w:t>水环真空泵废水产生量</w:t>
                  </w:r>
                </w:p>
              </w:tc>
              <w:tc>
                <w:tcPr>
                  <w:tcW w:w="426" w:type="pct"/>
                  <w:vMerge w:val="restart"/>
                  <w:tcBorders>
                    <w:tl2br w:val="nil"/>
                    <w:tr2bl w:val="nil"/>
                  </w:tcBorders>
                  <w:noWrap w:val="0"/>
                  <w:vAlign w:val="center"/>
                </w:tcPr>
                <w:p w14:paraId="540E70EA">
                  <w:pPr>
                    <w:pStyle w:val="58"/>
                    <w:bidi w:val="0"/>
                    <w:rPr>
                      <w:rFonts w:hint="default"/>
                      <w:color w:val="auto"/>
                      <w:lang w:val="en-US" w:eastAsia="zh-CN"/>
                    </w:rPr>
                  </w:pPr>
                  <w:r>
                    <w:rPr>
                      <w:rFonts w:hint="eastAsia"/>
                      <w:color w:val="auto"/>
                      <w:lang w:val="en-US" w:eastAsia="zh-CN"/>
                    </w:rPr>
                    <w:t>0.0216</w:t>
                  </w:r>
                </w:p>
              </w:tc>
              <w:tc>
                <w:tcPr>
                  <w:tcW w:w="456" w:type="pct"/>
                  <w:vMerge w:val="restart"/>
                  <w:tcBorders>
                    <w:tl2br w:val="nil"/>
                    <w:tr2bl w:val="nil"/>
                  </w:tcBorders>
                  <w:noWrap w:val="0"/>
                  <w:vAlign w:val="center"/>
                </w:tcPr>
                <w:p w14:paraId="0B262E4F">
                  <w:pPr>
                    <w:pStyle w:val="58"/>
                    <w:bidi w:val="0"/>
                    <w:rPr>
                      <w:rFonts w:hint="default"/>
                      <w:color w:val="auto"/>
                      <w:lang w:val="en-US" w:eastAsia="zh-CN"/>
                    </w:rPr>
                  </w:pPr>
                  <w:r>
                    <w:rPr>
                      <w:rFonts w:hint="eastAsia"/>
                      <w:color w:val="auto"/>
                      <w:lang w:val="en-US" w:eastAsia="zh-CN"/>
                    </w:rPr>
                    <w:t>6.912</w:t>
                  </w:r>
                </w:p>
              </w:tc>
              <w:tc>
                <w:tcPr>
                  <w:tcW w:w="749" w:type="dxa"/>
                  <w:tcBorders>
                    <w:tl2br w:val="nil"/>
                    <w:tr2bl w:val="nil"/>
                  </w:tcBorders>
                  <w:noWrap w:val="0"/>
                  <w:vAlign w:val="center"/>
                </w:tcPr>
                <w:p w14:paraId="6DADE28B">
                  <w:pPr>
                    <w:pStyle w:val="58"/>
                    <w:bidi w:val="0"/>
                    <w:rPr>
                      <w:rFonts w:hint="eastAsia"/>
                      <w:color w:val="auto"/>
                      <w:lang w:val="en-US" w:eastAsia="zh-CN"/>
                    </w:rPr>
                  </w:pPr>
                  <w:r>
                    <w:rPr>
                      <w:rFonts w:hint="eastAsia"/>
                      <w:color w:val="auto"/>
                      <w:lang w:val="en-US" w:eastAsia="zh-CN"/>
                    </w:rPr>
                    <w:t>mg/L</w:t>
                  </w:r>
                </w:p>
              </w:tc>
              <w:tc>
                <w:tcPr>
                  <w:tcW w:w="749" w:type="dxa"/>
                  <w:tcBorders>
                    <w:tl2br w:val="nil"/>
                    <w:tr2bl w:val="nil"/>
                  </w:tcBorders>
                  <w:noWrap w:val="0"/>
                  <w:vAlign w:val="center"/>
                </w:tcPr>
                <w:p w14:paraId="6FED65A3">
                  <w:pPr>
                    <w:pStyle w:val="58"/>
                    <w:bidi w:val="0"/>
                    <w:rPr>
                      <w:rFonts w:hint="eastAsia"/>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073FD91B">
                  <w:pPr>
                    <w:pStyle w:val="58"/>
                    <w:bidi w:val="0"/>
                    <w:rPr>
                      <w:rFonts w:hint="default"/>
                      <w:color w:val="auto"/>
                      <w:lang w:val="en-US" w:eastAsia="zh-CN"/>
                    </w:rPr>
                  </w:pPr>
                  <w:r>
                    <w:rPr>
                      <w:rFonts w:hint="default"/>
                      <w:color w:val="auto"/>
                      <w:lang w:val="en-US" w:eastAsia="zh-CN"/>
                    </w:rPr>
                    <w:t>1200</w:t>
                  </w:r>
                </w:p>
              </w:tc>
              <w:tc>
                <w:tcPr>
                  <w:tcW w:w="749" w:type="dxa"/>
                  <w:tcBorders>
                    <w:tl2br w:val="nil"/>
                    <w:tr2bl w:val="nil"/>
                  </w:tcBorders>
                  <w:noWrap w:val="0"/>
                  <w:vAlign w:val="center"/>
                </w:tcPr>
                <w:p w14:paraId="2B535083">
                  <w:pPr>
                    <w:pStyle w:val="58"/>
                    <w:bidi w:val="0"/>
                    <w:rPr>
                      <w:rFonts w:hint="default"/>
                      <w:color w:val="auto"/>
                      <w:lang w:val="en-US" w:eastAsia="zh-CN"/>
                    </w:rPr>
                  </w:pPr>
                  <w:r>
                    <w:rPr>
                      <w:rFonts w:hint="default"/>
                      <w:color w:val="auto"/>
                      <w:lang w:val="en-US" w:eastAsia="zh-CN"/>
                    </w:rPr>
                    <w:t>800</w:t>
                  </w:r>
                </w:p>
              </w:tc>
              <w:tc>
                <w:tcPr>
                  <w:tcW w:w="777" w:type="dxa"/>
                  <w:tcBorders>
                    <w:tl2br w:val="nil"/>
                    <w:tr2bl w:val="nil"/>
                  </w:tcBorders>
                  <w:noWrap w:val="0"/>
                  <w:vAlign w:val="center"/>
                </w:tcPr>
                <w:p w14:paraId="431C1C9E">
                  <w:pPr>
                    <w:pStyle w:val="58"/>
                    <w:bidi w:val="0"/>
                    <w:rPr>
                      <w:rFonts w:hint="default"/>
                      <w:color w:val="auto"/>
                      <w:lang w:val="en-US" w:eastAsia="zh-CN"/>
                    </w:rPr>
                  </w:pPr>
                  <w:r>
                    <w:rPr>
                      <w:rFonts w:hint="default"/>
                      <w:color w:val="auto"/>
                      <w:lang w:val="en-US" w:eastAsia="zh-CN"/>
                    </w:rPr>
                    <w:t>200</w:t>
                  </w:r>
                </w:p>
              </w:tc>
              <w:tc>
                <w:tcPr>
                  <w:tcW w:w="777" w:type="dxa"/>
                  <w:tcBorders>
                    <w:tl2br w:val="nil"/>
                    <w:tr2bl w:val="nil"/>
                  </w:tcBorders>
                  <w:noWrap w:val="0"/>
                  <w:vAlign w:val="center"/>
                </w:tcPr>
                <w:p w14:paraId="0AA2FE88">
                  <w:pPr>
                    <w:pStyle w:val="58"/>
                    <w:bidi w:val="0"/>
                    <w:rPr>
                      <w:rFonts w:hint="eastAsia"/>
                      <w:color w:val="auto"/>
                      <w:lang w:val="en-US" w:eastAsia="zh-CN"/>
                    </w:rPr>
                  </w:pPr>
                  <w:r>
                    <w:rPr>
                      <w:rFonts w:hint="default"/>
                      <w:color w:val="auto"/>
                      <w:lang w:val="en-US" w:eastAsia="zh-CN"/>
                    </w:rPr>
                    <w:t>0</w:t>
                  </w:r>
                </w:p>
              </w:tc>
              <w:tc>
                <w:tcPr>
                  <w:tcW w:w="777" w:type="dxa"/>
                  <w:tcBorders>
                    <w:tl2br w:val="nil"/>
                    <w:tr2bl w:val="nil"/>
                  </w:tcBorders>
                  <w:noWrap w:val="0"/>
                  <w:vAlign w:val="center"/>
                </w:tcPr>
                <w:p w14:paraId="57A219A5">
                  <w:pPr>
                    <w:pStyle w:val="58"/>
                    <w:bidi w:val="0"/>
                    <w:rPr>
                      <w:rFonts w:hint="eastAsia"/>
                      <w:color w:val="auto"/>
                      <w:lang w:val="en-US" w:eastAsia="zh-CN"/>
                    </w:rPr>
                  </w:pPr>
                  <w:r>
                    <w:rPr>
                      <w:rFonts w:hint="default"/>
                      <w:color w:val="auto"/>
                      <w:lang w:val="en-US" w:eastAsia="zh-CN"/>
                    </w:rPr>
                    <w:t>0</w:t>
                  </w:r>
                </w:p>
              </w:tc>
              <w:tc>
                <w:tcPr>
                  <w:tcW w:w="1124" w:type="dxa"/>
                  <w:tcBorders>
                    <w:tl2br w:val="nil"/>
                    <w:tr2bl w:val="nil"/>
                  </w:tcBorders>
                  <w:noWrap w:val="0"/>
                  <w:vAlign w:val="center"/>
                </w:tcPr>
                <w:p w14:paraId="5B053E01">
                  <w:pPr>
                    <w:pStyle w:val="58"/>
                    <w:bidi w:val="0"/>
                    <w:rPr>
                      <w:rFonts w:hint="eastAsia"/>
                      <w:color w:val="auto"/>
                      <w:lang w:val="en-US" w:eastAsia="zh-CN"/>
                    </w:rPr>
                  </w:pPr>
                  <w:r>
                    <w:rPr>
                      <w:rFonts w:hint="default"/>
                      <w:color w:val="auto"/>
                      <w:lang w:val="en-US" w:eastAsia="zh-CN"/>
                    </w:rPr>
                    <w:t>0</w:t>
                  </w:r>
                </w:p>
              </w:tc>
            </w:tr>
            <w:tr w14:paraId="39C58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jc w:val="center"/>
              </w:trPr>
              <w:tc>
                <w:tcPr>
                  <w:tcW w:w="633" w:type="pct"/>
                  <w:vMerge w:val="continue"/>
                  <w:tcBorders>
                    <w:tl2br w:val="nil"/>
                    <w:tr2bl w:val="nil"/>
                  </w:tcBorders>
                  <w:noWrap w:val="0"/>
                  <w:vAlign w:val="center"/>
                </w:tcPr>
                <w:p w14:paraId="54F2D196">
                  <w:pPr>
                    <w:pStyle w:val="58"/>
                    <w:bidi w:val="0"/>
                    <w:rPr>
                      <w:rFonts w:hint="eastAsia"/>
                      <w:color w:val="auto"/>
                      <w:lang w:val="en-US" w:eastAsia="zh-CN"/>
                    </w:rPr>
                  </w:pPr>
                </w:p>
              </w:tc>
              <w:tc>
                <w:tcPr>
                  <w:tcW w:w="426" w:type="pct"/>
                  <w:vMerge w:val="continue"/>
                  <w:tcBorders>
                    <w:tl2br w:val="nil"/>
                    <w:tr2bl w:val="nil"/>
                  </w:tcBorders>
                  <w:noWrap w:val="0"/>
                  <w:vAlign w:val="center"/>
                </w:tcPr>
                <w:p w14:paraId="551596C5">
                  <w:pPr>
                    <w:pStyle w:val="58"/>
                    <w:bidi w:val="0"/>
                    <w:rPr>
                      <w:rFonts w:hint="eastAsia"/>
                      <w:color w:val="auto"/>
                      <w:lang w:val="en-US" w:eastAsia="zh-CN"/>
                    </w:rPr>
                  </w:pPr>
                </w:p>
              </w:tc>
              <w:tc>
                <w:tcPr>
                  <w:tcW w:w="456" w:type="pct"/>
                  <w:vMerge w:val="continue"/>
                  <w:tcBorders>
                    <w:tl2br w:val="nil"/>
                    <w:tr2bl w:val="nil"/>
                  </w:tcBorders>
                  <w:noWrap w:val="0"/>
                  <w:vAlign w:val="center"/>
                </w:tcPr>
                <w:p w14:paraId="03B3639F">
                  <w:pPr>
                    <w:pStyle w:val="58"/>
                    <w:bidi w:val="0"/>
                    <w:rPr>
                      <w:rFonts w:hint="eastAsia"/>
                      <w:color w:val="auto"/>
                      <w:lang w:val="en-US" w:eastAsia="zh-CN"/>
                    </w:rPr>
                  </w:pPr>
                </w:p>
              </w:tc>
              <w:tc>
                <w:tcPr>
                  <w:tcW w:w="749" w:type="dxa"/>
                  <w:tcBorders>
                    <w:tl2br w:val="nil"/>
                    <w:tr2bl w:val="nil"/>
                  </w:tcBorders>
                  <w:noWrap w:val="0"/>
                  <w:vAlign w:val="center"/>
                </w:tcPr>
                <w:p w14:paraId="50A3C620">
                  <w:pPr>
                    <w:pStyle w:val="58"/>
                    <w:bidi w:val="0"/>
                    <w:rPr>
                      <w:rFonts w:hint="eastAsia"/>
                      <w:color w:val="auto"/>
                      <w:lang w:val="en-US" w:eastAsia="zh-CN"/>
                    </w:rPr>
                  </w:pPr>
                  <w:r>
                    <w:rPr>
                      <w:rFonts w:hint="eastAsia"/>
                      <w:color w:val="auto"/>
                      <w:lang w:val="en-US" w:eastAsia="zh-CN"/>
                    </w:rPr>
                    <w:t>t/a</w:t>
                  </w:r>
                </w:p>
              </w:tc>
              <w:tc>
                <w:tcPr>
                  <w:tcW w:w="749" w:type="dxa"/>
                  <w:tcBorders>
                    <w:tl2br w:val="nil"/>
                    <w:tr2bl w:val="nil"/>
                  </w:tcBorders>
                  <w:noWrap w:val="0"/>
                  <w:vAlign w:val="center"/>
                </w:tcPr>
                <w:p w14:paraId="047DED9F">
                  <w:pPr>
                    <w:pStyle w:val="58"/>
                    <w:bidi w:val="0"/>
                    <w:rPr>
                      <w:rFonts w:hint="eastAsia"/>
                      <w:color w:val="auto"/>
                      <w:lang w:val="en-US" w:eastAsia="zh-CN"/>
                    </w:rPr>
                  </w:pPr>
                  <w:r>
                    <w:rPr>
                      <w:rFonts w:hint="eastAsia"/>
                      <w:color w:val="auto"/>
                      <w:lang w:val="en-US" w:eastAsia="zh-CN"/>
                    </w:rPr>
                    <w:t>-</w:t>
                  </w:r>
                </w:p>
              </w:tc>
              <w:tc>
                <w:tcPr>
                  <w:tcW w:w="749" w:type="dxa"/>
                  <w:tcBorders>
                    <w:tl2br w:val="nil"/>
                    <w:tr2bl w:val="nil"/>
                  </w:tcBorders>
                  <w:noWrap w:val="0"/>
                  <w:vAlign w:val="center"/>
                </w:tcPr>
                <w:p w14:paraId="756CD61B">
                  <w:pPr>
                    <w:pStyle w:val="58"/>
                    <w:bidi w:val="0"/>
                    <w:rPr>
                      <w:rFonts w:hint="eastAsia"/>
                      <w:color w:val="auto"/>
                      <w:lang w:val="en-US" w:eastAsia="zh-CN"/>
                    </w:rPr>
                  </w:pPr>
                  <w:r>
                    <w:rPr>
                      <w:rFonts w:hint="eastAsia"/>
                      <w:color w:val="auto"/>
                      <w:lang w:val="en-US" w:eastAsia="zh-CN"/>
                    </w:rPr>
                    <w:t>0.008</w:t>
                  </w:r>
                </w:p>
              </w:tc>
              <w:tc>
                <w:tcPr>
                  <w:tcW w:w="749" w:type="dxa"/>
                  <w:tcBorders>
                    <w:tl2br w:val="nil"/>
                    <w:tr2bl w:val="nil"/>
                  </w:tcBorders>
                  <w:noWrap w:val="0"/>
                  <w:vAlign w:val="center"/>
                </w:tcPr>
                <w:p w14:paraId="463E3E43">
                  <w:pPr>
                    <w:pStyle w:val="58"/>
                    <w:bidi w:val="0"/>
                    <w:rPr>
                      <w:rFonts w:hint="eastAsia"/>
                      <w:color w:val="auto"/>
                      <w:lang w:val="en-US" w:eastAsia="zh-CN"/>
                    </w:rPr>
                  </w:pPr>
                  <w:r>
                    <w:rPr>
                      <w:rFonts w:hint="eastAsia"/>
                      <w:color w:val="auto"/>
                      <w:lang w:val="en-US" w:eastAsia="zh-CN"/>
                    </w:rPr>
                    <w:t>0.006</w:t>
                  </w:r>
                </w:p>
              </w:tc>
              <w:tc>
                <w:tcPr>
                  <w:tcW w:w="777" w:type="dxa"/>
                  <w:tcBorders>
                    <w:tl2br w:val="nil"/>
                    <w:tr2bl w:val="nil"/>
                  </w:tcBorders>
                  <w:noWrap w:val="0"/>
                  <w:vAlign w:val="center"/>
                </w:tcPr>
                <w:p w14:paraId="3CEF70A4">
                  <w:pPr>
                    <w:pStyle w:val="58"/>
                    <w:bidi w:val="0"/>
                    <w:rPr>
                      <w:rFonts w:hint="eastAsia"/>
                      <w:color w:val="auto"/>
                      <w:lang w:val="en-US" w:eastAsia="zh-CN"/>
                    </w:rPr>
                  </w:pPr>
                  <w:r>
                    <w:rPr>
                      <w:rFonts w:hint="eastAsia"/>
                      <w:color w:val="auto"/>
                      <w:lang w:val="en-US" w:eastAsia="zh-CN"/>
                    </w:rPr>
                    <w:t>0.001</w:t>
                  </w:r>
                </w:p>
              </w:tc>
              <w:tc>
                <w:tcPr>
                  <w:tcW w:w="777" w:type="dxa"/>
                  <w:tcBorders>
                    <w:tl2br w:val="nil"/>
                    <w:tr2bl w:val="nil"/>
                  </w:tcBorders>
                  <w:noWrap w:val="0"/>
                  <w:vAlign w:val="center"/>
                </w:tcPr>
                <w:p w14:paraId="41B3184E">
                  <w:pPr>
                    <w:pStyle w:val="58"/>
                    <w:bidi w:val="0"/>
                    <w:rPr>
                      <w:rFonts w:hint="default"/>
                      <w:color w:val="auto"/>
                      <w:lang w:val="en-US" w:eastAsia="zh-CN"/>
                    </w:rPr>
                  </w:pPr>
                  <w:r>
                    <w:rPr>
                      <w:rFonts w:hint="eastAsia"/>
                      <w:color w:val="auto"/>
                      <w:lang w:val="en-US" w:eastAsia="zh-CN"/>
                    </w:rPr>
                    <w:t>0</w:t>
                  </w:r>
                </w:p>
              </w:tc>
              <w:tc>
                <w:tcPr>
                  <w:tcW w:w="777" w:type="dxa"/>
                  <w:tcBorders>
                    <w:tl2br w:val="nil"/>
                    <w:tr2bl w:val="nil"/>
                  </w:tcBorders>
                  <w:noWrap w:val="0"/>
                  <w:vAlign w:val="center"/>
                </w:tcPr>
                <w:p w14:paraId="5C7071BF">
                  <w:pPr>
                    <w:pStyle w:val="58"/>
                    <w:bidi w:val="0"/>
                    <w:rPr>
                      <w:rFonts w:hint="default"/>
                      <w:color w:val="auto"/>
                      <w:lang w:val="en-US" w:eastAsia="zh-CN"/>
                    </w:rPr>
                  </w:pPr>
                  <w:r>
                    <w:rPr>
                      <w:rFonts w:hint="eastAsia"/>
                      <w:color w:val="auto"/>
                      <w:lang w:val="en-US" w:eastAsia="zh-CN"/>
                    </w:rPr>
                    <w:t>0</w:t>
                  </w:r>
                </w:p>
              </w:tc>
              <w:tc>
                <w:tcPr>
                  <w:tcW w:w="1124" w:type="dxa"/>
                  <w:tcBorders>
                    <w:tl2br w:val="nil"/>
                    <w:tr2bl w:val="nil"/>
                  </w:tcBorders>
                  <w:noWrap w:val="0"/>
                  <w:vAlign w:val="center"/>
                </w:tcPr>
                <w:p w14:paraId="3DFDDDF9">
                  <w:pPr>
                    <w:pStyle w:val="58"/>
                    <w:bidi w:val="0"/>
                    <w:rPr>
                      <w:rFonts w:hint="default"/>
                      <w:color w:val="auto"/>
                      <w:lang w:val="en-US" w:eastAsia="zh-CN"/>
                    </w:rPr>
                  </w:pPr>
                  <w:r>
                    <w:rPr>
                      <w:rFonts w:hint="eastAsia"/>
                      <w:color w:val="auto"/>
                      <w:lang w:val="en-US" w:eastAsia="zh-CN"/>
                    </w:rPr>
                    <w:t>0</w:t>
                  </w:r>
                </w:p>
              </w:tc>
            </w:tr>
            <w:tr w14:paraId="40705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restart"/>
                  <w:tcBorders>
                    <w:tl2br w:val="nil"/>
                    <w:tr2bl w:val="nil"/>
                  </w:tcBorders>
                  <w:noWrap w:val="0"/>
                  <w:vAlign w:val="center"/>
                </w:tcPr>
                <w:p w14:paraId="65FDADBD">
                  <w:pPr>
                    <w:pStyle w:val="58"/>
                    <w:bidi w:val="0"/>
                    <w:rPr>
                      <w:rFonts w:hint="default"/>
                      <w:color w:val="auto"/>
                      <w:lang w:val="en-US" w:eastAsia="zh-CN"/>
                    </w:rPr>
                  </w:pPr>
                  <w:r>
                    <w:rPr>
                      <w:rFonts w:hint="eastAsia"/>
                      <w:color w:val="auto"/>
                      <w:lang w:val="en-US" w:eastAsia="zh-CN"/>
                    </w:rPr>
                    <w:t>综合废水产生量</w:t>
                  </w:r>
                </w:p>
              </w:tc>
              <w:tc>
                <w:tcPr>
                  <w:tcW w:w="789" w:type="dxa"/>
                  <w:vMerge w:val="restart"/>
                  <w:tcBorders>
                    <w:tl2br w:val="nil"/>
                    <w:tr2bl w:val="nil"/>
                  </w:tcBorders>
                  <w:noWrap w:val="0"/>
                  <w:vAlign w:val="center"/>
                </w:tcPr>
                <w:p w14:paraId="0D851357">
                  <w:pPr>
                    <w:pStyle w:val="58"/>
                    <w:bidi w:val="0"/>
                    <w:rPr>
                      <w:rFonts w:hint="eastAsia"/>
                      <w:color w:val="auto"/>
                      <w:lang w:val="en-US" w:eastAsia="zh-CN"/>
                    </w:rPr>
                  </w:pPr>
                  <w:r>
                    <w:rPr>
                      <w:rFonts w:hint="default"/>
                      <w:color w:val="auto"/>
                      <w:lang w:val="en-US" w:eastAsia="zh-CN"/>
                    </w:rPr>
                    <w:t>2.7836</w:t>
                  </w:r>
                </w:p>
              </w:tc>
              <w:tc>
                <w:tcPr>
                  <w:tcW w:w="845" w:type="dxa"/>
                  <w:vMerge w:val="restart"/>
                  <w:tcBorders>
                    <w:tl2br w:val="nil"/>
                    <w:tr2bl w:val="nil"/>
                  </w:tcBorders>
                  <w:noWrap w:val="0"/>
                  <w:vAlign w:val="center"/>
                </w:tcPr>
                <w:p w14:paraId="00B9F8FD">
                  <w:pPr>
                    <w:pStyle w:val="58"/>
                    <w:bidi w:val="0"/>
                    <w:rPr>
                      <w:rFonts w:hint="eastAsia"/>
                      <w:color w:val="auto"/>
                      <w:lang w:val="en-US" w:eastAsia="zh-CN"/>
                    </w:rPr>
                  </w:pPr>
                  <w:r>
                    <w:rPr>
                      <w:rFonts w:hint="default"/>
                      <w:color w:val="auto"/>
                      <w:lang w:val="en-US" w:eastAsia="zh-CN"/>
                    </w:rPr>
                    <w:t>890.752</w:t>
                  </w:r>
                </w:p>
              </w:tc>
              <w:tc>
                <w:tcPr>
                  <w:tcW w:w="404" w:type="pct"/>
                  <w:tcBorders>
                    <w:tl2br w:val="nil"/>
                    <w:tr2bl w:val="nil"/>
                  </w:tcBorders>
                  <w:noWrap w:val="0"/>
                  <w:vAlign w:val="center"/>
                </w:tcPr>
                <w:p w14:paraId="14720E87">
                  <w:pPr>
                    <w:pStyle w:val="58"/>
                    <w:bidi w:val="0"/>
                    <w:rPr>
                      <w:rFonts w:hint="eastAsia"/>
                      <w:color w:val="auto"/>
                      <w:lang w:val="en-US" w:eastAsia="zh-CN"/>
                    </w:rPr>
                  </w:pPr>
                  <w:r>
                    <w:rPr>
                      <w:rFonts w:hint="eastAsia"/>
                      <w:color w:val="auto"/>
                      <w:lang w:val="en-US" w:eastAsia="zh-CN"/>
                    </w:rPr>
                    <w:t>mg/L</w:t>
                  </w:r>
                </w:p>
              </w:tc>
              <w:tc>
                <w:tcPr>
                  <w:tcW w:w="404" w:type="pct"/>
                  <w:tcBorders>
                    <w:tl2br w:val="nil"/>
                    <w:tr2bl w:val="nil"/>
                  </w:tcBorders>
                  <w:noWrap w:val="0"/>
                  <w:vAlign w:val="center"/>
                </w:tcPr>
                <w:p w14:paraId="2CFFCADF">
                  <w:pPr>
                    <w:pStyle w:val="58"/>
                    <w:bidi w:val="0"/>
                    <w:rPr>
                      <w:rFonts w:hint="eastAsia"/>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6BE1F8A2">
                  <w:pPr>
                    <w:pStyle w:val="58"/>
                    <w:bidi w:val="0"/>
                    <w:rPr>
                      <w:rFonts w:hint="eastAsia"/>
                      <w:color w:val="auto"/>
                      <w:lang w:val="en-US" w:eastAsia="zh-CN"/>
                    </w:rPr>
                  </w:pPr>
                  <w:r>
                    <w:rPr>
                      <w:rFonts w:hint="default"/>
                      <w:color w:val="auto"/>
                      <w:lang w:val="en-US" w:eastAsia="zh-CN"/>
                    </w:rPr>
                    <w:t>580.41</w:t>
                  </w:r>
                </w:p>
              </w:tc>
              <w:tc>
                <w:tcPr>
                  <w:tcW w:w="749" w:type="dxa"/>
                  <w:tcBorders>
                    <w:tl2br w:val="nil"/>
                    <w:tr2bl w:val="nil"/>
                  </w:tcBorders>
                  <w:noWrap w:val="0"/>
                  <w:vAlign w:val="center"/>
                </w:tcPr>
                <w:p w14:paraId="0C47B248">
                  <w:pPr>
                    <w:pStyle w:val="58"/>
                    <w:bidi w:val="0"/>
                    <w:rPr>
                      <w:rFonts w:hint="eastAsia"/>
                      <w:color w:val="auto"/>
                      <w:lang w:val="en-US" w:eastAsia="zh-CN"/>
                    </w:rPr>
                  </w:pPr>
                  <w:r>
                    <w:rPr>
                      <w:rFonts w:hint="default"/>
                      <w:color w:val="auto"/>
                      <w:lang w:val="en-US" w:eastAsia="zh-CN"/>
                    </w:rPr>
                    <w:t>267.19</w:t>
                  </w:r>
                </w:p>
              </w:tc>
              <w:tc>
                <w:tcPr>
                  <w:tcW w:w="777" w:type="dxa"/>
                  <w:tcBorders>
                    <w:tl2br w:val="nil"/>
                    <w:tr2bl w:val="nil"/>
                  </w:tcBorders>
                  <w:noWrap w:val="0"/>
                  <w:vAlign w:val="center"/>
                </w:tcPr>
                <w:p w14:paraId="6699924F">
                  <w:pPr>
                    <w:pStyle w:val="58"/>
                    <w:bidi w:val="0"/>
                    <w:rPr>
                      <w:rFonts w:hint="eastAsia"/>
                      <w:color w:val="auto"/>
                      <w:lang w:val="en-US" w:eastAsia="zh-CN"/>
                    </w:rPr>
                  </w:pPr>
                  <w:r>
                    <w:rPr>
                      <w:rFonts w:hint="default"/>
                      <w:color w:val="auto"/>
                      <w:lang w:val="en-US" w:eastAsia="zh-CN"/>
                    </w:rPr>
                    <w:t>144.82</w:t>
                  </w:r>
                </w:p>
              </w:tc>
              <w:tc>
                <w:tcPr>
                  <w:tcW w:w="777" w:type="dxa"/>
                  <w:tcBorders>
                    <w:tl2br w:val="nil"/>
                    <w:tr2bl w:val="nil"/>
                  </w:tcBorders>
                  <w:noWrap w:val="0"/>
                  <w:vAlign w:val="center"/>
                </w:tcPr>
                <w:p w14:paraId="0A4B0E7E">
                  <w:pPr>
                    <w:pStyle w:val="58"/>
                    <w:bidi w:val="0"/>
                    <w:rPr>
                      <w:rFonts w:hint="eastAsia"/>
                      <w:color w:val="auto"/>
                      <w:lang w:val="en-US" w:eastAsia="zh-CN"/>
                    </w:rPr>
                  </w:pPr>
                  <w:r>
                    <w:rPr>
                      <w:rFonts w:hint="default"/>
                      <w:color w:val="auto"/>
                      <w:lang w:val="en-US" w:eastAsia="zh-CN"/>
                    </w:rPr>
                    <w:t>0.898</w:t>
                  </w:r>
                </w:p>
              </w:tc>
              <w:tc>
                <w:tcPr>
                  <w:tcW w:w="777" w:type="dxa"/>
                  <w:tcBorders>
                    <w:tl2br w:val="nil"/>
                    <w:tr2bl w:val="nil"/>
                  </w:tcBorders>
                  <w:noWrap w:val="0"/>
                  <w:vAlign w:val="center"/>
                </w:tcPr>
                <w:p w14:paraId="08E2248C">
                  <w:pPr>
                    <w:pStyle w:val="58"/>
                    <w:bidi w:val="0"/>
                    <w:rPr>
                      <w:rFonts w:hint="eastAsia"/>
                      <w:color w:val="auto"/>
                      <w:lang w:val="en-US" w:eastAsia="zh-CN"/>
                    </w:rPr>
                  </w:pPr>
                  <w:r>
                    <w:rPr>
                      <w:rFonts w:hint="default"/>
                      <w:color w:val="auto"/>
                      <w:lang w:val="en-US" w:eastAsia="zh-CN"/>
                    </w:rPr>
                    <w:t>43.45</w:t>
                  </w:r>
                </w:p>
              </w:tc>
              <w:tc>
                <w:tcPr>
                  <w:tcW w:w="1124" w:type="dxa"/>
                  <w:tcBorders>
                    <w:tl2br w:val="nil"/>
                    <w:tr2bl w:val="nil"/>
                  </w:tcBorders>
                  <w:noWrap w:val="0"/>
                  <w:vAlign w:val="center"/>
                </w:tcPr>
                <w:p w14:paraId="4DC672FA">
                  <w:pPr>
                    <w:pStyle w:val="58"/>
                    <w:bidi w:val="0"/>
                    <w:rPr>
                      <w:rFonts w:hint="eastAsia"/>
                      <w:color w:val="auto"/>
                      <w:lang w:val="en-US" w:eastAsia="zh-CN"/>
                    </w:rPr>
                  </w:pPr>
                  <w:r>
                    <w:rPr>
                      <w:rFonts w:hint="default"/>
                      <w:color w:val="auto"/>
                      <w:lang w:val="en-US" w:eastAsia="zh-CN"/>
                    </w:rPr>
                    <w:t>40.98</w:t>
                  </w:r>
                </w:p>
              </w:tc>
            </w:tr>
            <w:tr w14:paraId="5920F4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continue"/>
                  <w:tcBorders>
                    <w:tl2br w:val="nil"/>
                    <w:tr2bl w:val="nil"/>
                  </w:tcBorders>
                  <w:noWrap w:val="0"/>
                  <w:vAlign w:val="center"/>
                </w:tcPr>
                <w:p w14:paraId="56854C28">
                  <w:pPr>
                    <w:pStyle w:val="58"/>
                    <w:bidi w:val="0"/>
                    <w:rPr>
                      <w:rFonts w:hint="eastAsia"/>
                      <w:color w:val="auto"/>
                      <w:lang w:val="en-US" w:eastAsia="zh-CN"/>
                    </w:rPr>
                  </w:pPr>
                </w:p>
              </w:tc>
              <w:tc>
                <w:tcPr>
                  <w:tcW w:w="426" w:type="pct"/>
                  <w:vMerge w:val="continue"/>
                  <w:tcBorders>
                    <w:tl2br w:val="nil"/>
                    <w:tr2bl w:val="nil"/>
                  </w:tcBorders>
                  <w:noWrap w:val="0"/>
                  <w:vAlign w:val="center"/>
                </w:tcPr>
                <w:p w14:paraId="4095B678">
                  <w:pPr>
                    <w:pStyle w:val="58"/>
                    <w:bidi w:val="0"/>
                    <w:rPr>
                      <w:rFonts w:hint="eastAsia"/>
                      <w:color w:val="auto"/>
                      <w:lang w:val="en-US" w:eastAsia="zh-CN"/>
                    </w:rPr>
                  </w:pPr>
                </w:p>
              </w:tc>
              <w:tc>
                <w:tcPr>
                  <w:tcW w:w="456" w:type="pct"/>
                  <w:vMerge w:val="continue"/>
                  <w:tcBorders>
                    <w:tl2br w:val="nil"/>
                    <w:tr2bl w:val="nil"/>
                  </w:tcBorders>
                  <w:noWrap w:val="0"/>
                  <w:vAlign w:val="center"/>
                </w:tcPr>
                <w:p w14:paraId="53A12361">
                  <w:pPr>
                    <w:pStyle w:val="58"/>
                    <w:bidi w:val="0"/>
                    <w:rPr>
                      <w:rFonts w:hint="eastAsia"/>
                      <w:color w:val="auto"/>
                      <w:lang w:val="en-US" w:eastAsia="zh-CN"/>
                    </w:rPr>
                  </w:pPr>
                </w:p>
              </w:tc>
              <w:tc>
                <w:tcPr>
                  <w:tcW w:w="404" w:type="pct"/>
                  <w:tcBorders>
                    <w:tl2br w:val="nil"/>
                    <w:tr2bl w:val="nil"/>
                  </w:tcBorders>
                  <w:noWrap w:val="0"/>
                  <w:vAlign w:val="center"/>
                </w:tcPr>
                <w:p w14:paraId="56ADB38C">
                  <w:pPr>
                    <w:pStyle w:val="58"/>
                    <w:bidi w:val="0"/>
                    <w:rPr>
                      <w:rFonts w:hint="eastAsia"/>
                      <w:color w:val="auto"/>
                      <w:lang w:val="en-US" w:eastAsia="zh-CN"/>
                    </w:rPr>
                  </w:pPr>
                  <w:r>
                    <w:rPr>
                      <w:rFonts w:hint="eastAsia"/>
                      <w:color w:val="auto"/>
                      <w:lang w:val="en-US" w:eastAsia="zh-CN"/>
                    </w:rPr>
                    <w:t>t/a</w:t>
                  </w:r>
                </w:p>
              </w:tc>
              <w:tc>
                <w:tcPr>
                  <w:tcW w:w="404" w:type="pct"/>
                  <w:tcBorders>
                    <w:tl2br w:val="nil"/>
                    <w:tr2bl w:val="nil"/>
                  </w:tcBorders>
                  <w:noWrap w:val="0"/>
                  <w:vAlign w:val="center"/>
                </w:tcPr>
                <w:p w14:paraId="0E1E15AD">
                  <w:pPr>
                    <w:pStyle w:val="58"/>
                    <w:bidi w:val="0"/>
                    <w:rPr>
                      <w:rFonts w:hint="eastAsia"/>
                      <w:color w:val="auto"/>
                      <w:lang w:val="en-US" w:eastAsia="zh-CN"/>
                    </w:rPr>
                  </w:pPr>
                  <w:r>
                    <w:rPr>
                      <w:rFonts w:hint="eastAsia"/>
                      <w:color w:val="auto"/>
                      <w:lang w:val="en-US" w:eastAsia="zh-CN"/>
                    </w:rPr>
                    <w:t>-</w:t>
                  </w:r>
                </w:p>
              </w:tc>
              <w:tc>
                <w:tcPr>
                  <w:tcW w:w="749" w:type="dxa"/>
                  <w:tcBorders>
                    <w:tl2br w:val="nil"/>
                    <w:tr2bl w:val="nil"/>
                  </w:tcBorders>
                  <w:noWrap w:val="0"/>
                  <w:vAlign w:val="center"/>
                </w:tcPr>
                <w:p w14:paraId="1E31B0F5">
                  <w:pPr>
                    <w:pStyle w:val="58"/>
                    <w:bidi w:val="0"/>
                    <w:rPr>
                      <w:rFonts w:hint="eastAsia"/>
                      <w:color w:val="auto"/>
                      <w:lang w:val="en-US" w:eastAsia="zh-CN"/>
                    </w:rPr>
                  </w:pPr>
                  <w:r>
                    <w:rPr>
                      <w:rFonts w:hint="default"/>
                      <w:color w:val="auto"/>
                      <w:lang w:val="en-US" w:eastAsia="zh-CN"/>
                    </w:rPr>
                    <w:t>0.517</w:t>
                  </w:r>
                </w:p>
              </w:tc>
              <w:tc>
                <w:tcPr>
                  <w:tcW w:w="749" w:type="dxa"/>
                  <w:tcBorders>
                    <w:tl2br w:val="nil"/>
                    <w:tr2bl w:val="nil"/>
                  </w:tcBorders>
                  <w:noWrap w:val="0"/>
                  <w:vAlign w:val="center"/>
                </w:tcPr>
                <w:p w14:paraId="7CF7A7A8">
                  <w:pPr>
                    <w:pStyle w:val="58"/>
                    <w:bidi w:val="0"/>
                    <w:rPr>
                      <w:rFonts w:hint="eastAsia"/>
                      <w:color w:val="auto"/>
                      <w:lang w:val="en-US" w:eastAsia="zh-CN"/>
                    </w:rPr>
                  </w:pPr>
                  <w:r>
                    <w:rPr>
                      <w:rFonts w:hint="default"/>
                      <w:color w:val="auto"/>
                      <w:lang w:val="en-US" w:eastAsia="zh-CN"/>
                    </w:rPr>
                    <w:t>0.238</w:t>
                  </w:r>
                </w:p>
              </w:tc>
              <w:tc>
                <w:tcPr>
                  <w:tcW w:w="777" w:type="dxa"/>
                  <w:tcBorders>
                    <w:tl2br w:val="nil"/>
                    <w:tr2bl w:val="nil"/>
                  </w:tcBorders>
                  <w:noWrap w:val="0"/>
                  <w:vAlign w:val="center"/>
                </w:tcPr>
                <w:p w14:paraId="5CB2C3AB">
                  <w:pPr>
                    <w:pStyle w:val="58"/>
                    <w:bidi w:val="0"/>
                    <w:rPr>
                      <w:rFonts w:hint="eastAsia"/>
                      <w:color w:val="auto"/>
                      <w:lang w:val="en-US" w:eastAsia="zh-CN"/>
                    </w:rPr>
                  </w:pPr>
                  <w:r>
                    <w:rPr>
                      <w:rFonts w:hint="default"/>
                      <w:color w:val="auto"/>
                      <w:lang w:val="en-US" w:eastAsia="zh-CN"/>
                    </w:rPr>
                    <w:t>0.129</w:t>
                  </w:r>
                </w:p>
              </w:tc>
              <w:tc>
                <w:tcPr>
                  <w:tcW w:w="777" w:type="dxa"/>
                  <w:tcBorders>
                    <w:tl2br w:val="nil"/>
                    <w:tr2bl w:val="nil"/>
                  </w:tcBorders>
                  <w:noWrap w:val="0"/>
                  <w:vAlign w:val="center"/>
                </w:tcPr>
                <w:p w14:paraId="6F449CF6">
                  <w:pPr>
                    <w:pStyle w:val="58"/>
                    <w:bidi w:val="0"/>
                    <w:rPr>
                      <w:rFonts w:hint="eastAsia"/>
                      <w:color w:val="auto"/>
                      <w:lang w:val="en-US" w:eastAsia="zh-CN"/>
                    </w:rPr>
                  </w:pPr>
                  <w:r>
                    <w:rPr>
                      <w:rFonts w:hint="default"/>
                      <w:color w:val="auto"/>
                      <w:lang w:val="en-US" w:eastAsia="zh-CN"/>
                    </w:rPr>
                    <w:t>0.0008</w:t>
                  </w:r>
                </w:p>
              </w:tc>
              <w:tc>
                <w:tcPr>
                  <w:tcW w:w="777" w:type="dxa"/>
                  <w:tcBorders>
                    <w:tl2br w:val="nil"/>
                    <w:tr2bl w:val="nil"/>
                  </w:tcBorders>
                  <w:noWrap w:val="0"/>
                  <w:vAlign w:val="center"/>
                </w:tcPr>
                <w:p w14:paraId="79A0874E">
                  <w:pPr>
                    <w:pStyle w:val="58"/>
                    <w:bidi w:val="0"/>
                    <w:rPr>
                      <w:rFonts w:hint="eastAsia"/>
                      <w:color w:val="auto"/>
                      <w:lang w:val="en-US" w:eastAsia="zh-CN"/>
                    </w:rPr>
                  </w:pPr>
                  <w:r>
                    <w:rPr>
                      <w:rFonts w:hint="default"/>
                      <w:color w:val="auto"/>
                      <w:lang w:val="en-US" w:eastAsia="zh-CN"/>
                    </w:rPr>
                    <w:t>0.0387</w:t>
                  </w:r>
                </w:p>
              </w:tc>
              <w:tc>
                <w:tcPr>
                  <w:tcW w:w="1124" w:type="dxa"/>
                  <w:tcBorders>
                    <w:tl2br w:val="nil"/>
                    <w:tr2bl w:val="nil"/>
                  </w:tcBorders>
                  <w:noWrap w:val="0"/>
                  <w:vAlign w:val="center"/>
                </w:tcPr>
                <w:p w14:paraId="79A04847">
                  <w:pPr>
                    <w:pStyle w:val="58"/>
                    <w:bidi w:val="0"/>
                    <w:rPr>
                      <w:rFonts w:hint="eastAsia"/>
                      <w:color w:val="auto"/>
                      <w:lang w:val="en-US" w:eastAsia="zh-CN"/>
                    </w:rPr>
                  </w:pPr>
                  <w:r>
                    <w:rPr>
                      <w:rFonts w:hint="default"/>
                      <w:color w:val="auto"/>
                      <w:lang w:val="en-US" w:eastAsia="zh-CN"/>
                    </w:rPr>
                    <w:t>0.0365</w:t>
                  </w:r>
                </w:p>
              </w:tc>
            </w:tr>
            <w:tr w14:paraId="7FE75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jc w:val="center"/>
              </w:trPr>
              <w:tc>
                <w:tcPr>
                  <w:tcW w:w="633" w:type="pct"/>
                  <w:vMerge w:val="restart"/>
                  <w:tcBorders>
                    <w:tl2br w:val="nil"/>
                    <w:tr2bl w:val="nil"/>
                  </w:tcBorders>
                  <w:noWrap w:val="0"/>
                  <w:vAlign w:val="center"/>
                </w:tcPr>
                <w:p w14:paraId="6984ECEA">
                  <w:pPr>
                    <w:pStyle w:val="58"/>
                    <w:bidi w:val="0"/>
                    <w:rPr>
                      <w:rFonts w:hint="default"/>
                      <w:color w:val="auto"/>
                      <w:lang w:val="en-US" w:eastAsia="zh-CN"/>
                    </w:rPr>
                  </w:pPr>
                  <w:r>
                    <w:rPr>
                      <w:rFonts w:hint="eastAsia"/>
                      <w:color w:val="auto"/>
                      <w:lang w:val="en-US" w:eastAsia="zh-CN"/>
                    </w:rPr>
                    <w:t>经处理后总排口排放量</w:t>
                  </w:r>
                </w:p>
              </w:tc>
              <w:tc>
                <w:tcPr>
                  <w:tcW w:w="789" w:type="dxa"/>
                  <w:vMerge w:val="restart"/>
                  <w:tcBorders>
                    <w:tl2br w:val="nil"/>
                    <w:tr2bl w:val="nil"/>
                  </w:tcBorders>
                  <w:noWrap w:val="0"/>
                  <w:vAlign w:val="center"/>
                </w:tcPr>
                <w:p w14:paraId="31D11A68">
                  <w:pPr>
                    <w:pStyle w:val="58"/>
                    <w:bidi w:val="0"/>
                    <w:rPr>
                      <w:rFonts w:hint="eastAsia"/>
                      <w:color w:val="auto"/>
                      <w:lang w:val="en-US" w:eastAsia="zh-CN"/>
                    </w:rPr>
                  </w:pPr>
                  <w:r>
                    <w:rPr>
                      <w:rFonts w:hint="default"/>
                      <w:color w:val="auto"/>
                      <w:lang w:val="en-US" w:eastAsia="zh-CN"/>
                    </w:rPr>
                    <w:t>2.7836</w:t>
                  </w:r>
                </w:p>
              </w:tc>
              <w:tc>
                <w:tcPr>
                  <w:tcW w:w="845" w:type="dxa"/>
                  <w:vMerge w:val="restart"/>
                  <w:tcBorders>
                    <w:tl2br w:val="nil"/>
                    <w:tr2bl w:val="nil"/>
                  </w:tcBorders>
                  <w:noWrap w:val="0"/>
                  <w:vAlign w:val="center"/>
                </w:tcPr>
                <w:p w14:paraId="1A2F85B8">
                  <w:pPr>
                    <w:pStyle w:val="58"/>
                    <w:bidi w:val="0"/>
                    <w:rPr>
                      <w:rFonts w:hint="eastAsia"/>
                      <w:color w:val="auto"/>
                      <w:lang w:val="en-US" w:eastAsia="zh-CN"/>
                    </w:rPr>
                  </w:pPr>
                  <w:r>
                    <w:rPr>
                      <w:rFonts w:hint="default"/>
                      <w:color w:val="auto"/>
                      <w:lang w:val="en-US" w:eastAsia="zh-CN"/>
                    </w:rPr>
                    <w:t>890.752</w:t>
                  </w:r>
                </w:p>
              </w:tc>
              <w:tc>
                <w:tcPr>
                  <w:tcW w:w="404" w:type="pct"/>
                  <w:tcBorders>
                    <w:tl2br w:val="nil"/>
                    <w:tr2bl w:val="nil"/>
                  </w:tcBorders>
                  <w:noWrap w:val="0"/>
                  <w:vAlign w:val="center"/>
                </w:tcPr>
                <w:p w14:paraId="4DF26BCC">
                  <w:pPr>
                    <w:pStyle w:val="58"/>
                    <w:bidi w:val="0"/>
                    <w:rPr>
                      <w:rFonts w:hint="eastAsia"/>
                      <w:color w:val="auto"/>
                      <w:lang w:val="en-US" w:eastAsia="zh-CN"/>
                    </w:rPr>
                  </w:pPr>
                  <w:r>
                    <w:rPr>
                      <w:rFonts w:hint="eastAsia"/>
                      <w:color w:val="auto"/>
                      <w:lang w:val="en-US" w:eastAsia="zh-CN"/>
                    </w:rPr>
                    <w:t>mg/L</w:t>
                  </w:r>
                </w:p>
              </w:tc>
              <w:tc>
                <w:tcPr>
                  <w:tcW w:w="404" w:type="pct"/>
                  <w:tcBorders>
                    <w:tl2br w:val="nil"/>
                    <w:tr2bl w:val="nil"/>
                  </w:tcBorders>
                  <w:noWrap w:val="0"/>
                  <w:vAlign w:val="center"/>
                </w:tcPr>
                <w:p w14:paraId="25889941">
                  <w:pPr>
                    <w:pStyle w:val="58"/>
                    <w:bidi w:val="0"/>
                    <w:rPr>
                      <w:rFonts w:hint="default"/>
                      <w:color w:val="auto"/>
                      <w:lang w:val="en-US" w:eastAsia="zh-CN"/>
                    </w:rPr>
                  </w:pPr>
                  <w:r>
                    <w:rPr>
                      <w:rFonts w:hint="eastAsia"/>
                      <w:color w:val="auto"/>
                      <w:lang w:val="en-US" w:eastAsia="zh-CN"/>
                    </w:rPr>
                    <w:t>7.4</w:t>
                  </w:r>
                </w:p>
              </w:tc>
              <w:tc>
                <w:tcPr>
                  <w:tcW w:w="749" w:type="dxa"/>
                  <w:tcBorders>
                    <w:tl2br w:val="nil"/>
                    <w:tr2bl w:val="nil"/>
                  </w:tcBorders>
                  <w:noWrap w:val="0"/>
                  <w:vAlign w:val="center"/>
                </w:tcPr>
                <w:p w14:paraId="0B4CE4AA">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w:t>
                  </w:r>
                </w:p>
              </w:tc>
              <w:tc>
                <w:tcPr>
                  <w:tcW w:w="749" w:type="dxa"/>
                  <w:tcBorders>
                    <w:tl2br w:val="nil"/>
                    <w:tr2bl w:val="nil"/>
                  </w:tcBorders>
                  <w:noWrap w:val="0"/>
                  <w:vAlign w:val="center"/>
                </w:tcPr>
                <w:p w14:paraId="00A4446B">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8.5</w:t>
                  </w:r>
                </w:p>
              </w:tc>
              <w:tc>
                <w:tcPr>
                  <w:tcW w:w="777" w:type="dxa"/>
                  <w:tcBorders>
                    <w:tl2br w:val="nil"/>
                    <w:tr2bl w:val="nil"/>
                  </w:tcBorders>
                  <w:noWrap w:val="0"/>
                  <w:vAlign w:val="center"/>
                </w:tcPr>
                <w:p w14:paraId="616A3F55">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21</w:t>
                  </w:r>
                </w:p>
              </w:tc>
              <w:tc>
                <w:tcPr>
                  <w:tcW w:w="777" w:type="dxa"/>
                  <w:tcBorders>
                    <w:tl2br w:val="nil"/>
                    <w:tr2bl w:val="nil"/>
                  </w:tcBorders>
                  <w:noWrap w:val="0"/>
                  <w:vAlign w:val="center"/>
                </w:tcPr>
                <w:p w14:paraId="21E7A3B6">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0.18</w:t>
                  </w:r>
                </w:p>
              </w:tc>
              <w:tc>
                <w:tcPr>
                  <w:tcW w:w="777" w:type="dxa"/>
                  <w:tcBorders>
                    <w:tl2br w:val="nil"/>
                    <w:tr2bl w:val="nil"/>
                  </w:tcBorders>
                  <w:noWrap w:val="0"/>
                  <w:vAlign w:val="center"/>
                </w:tcPr>
                <w:p w14:paraId="19D65DED">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5.91</w:t>
                  </w:r>
                </w:p>
              </w:tc>
              <w:tc>
                <w:tcPr>
                  <w:tcW w:w="1124" w:type="dxa"/>
                  <w:tcBorders>
                    <w:tl2br w:val="nil"/>
                    <w:tr2bl w:val="nil"/>
                  </w:tcBorders>
                  <w:noWrap w:val="0"/>
                  <w:vAlign w:val="center"/>
                </w:tcPr>
                <w:p w14:paraId="6C405200">
                  <w:pPr>
                    <w:pStyle w:val="58"/>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1.35</w:t>
                  </w:r>
                </w:p>
              </w:tc>
            </w:tr>
            <w:tr w14:paraId="304F5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5" w:hRule="atLeast"/>
                <w:jc w:val="center"/>
              </w:trPr>
              <w:tc>
                <w:tcPr>
                  <w:tcW w:w="633" w:type="pct"/>
                  <w:vMerge w:val="continue"/>
                  <w:tcBorders>
                    <w:tl2br w:val="nil"/>
                    <w:tr2bl w:val="nil"/>
                  </w:tcBorders>
                  <w:noWrap w:val="0"/>
                  <w:vAlign w:val="center"/>
                </w:tcPr>
                <w:p w14:paraId="1B1AF961">
                  <w:pPr>
                    <w:pStyle w:val="58"/>
                    <w:bidi w:val="0"/>
                    <w:rPr>
                      <w:rFonts w:hint="eastAsia"/>
                      <w:color w:val="auto"/>
                      <w:lang w:val="en-US" w:eastAsia="zh-CN"/>
                    </w:rPr>
                  </w:pPr>
                </w:p>
              </w:tc>
              <w:tc>
                <w:tcPr>
                  <w:tcW w:w="426" w:type="pct"/>
                  <w:vMerge w:val="continue"/>
                  <w:tcBorders>
                    <w:tl2br w:val="nil"/>
                    <w:tr2bl w:val="nil"/>
                  </w:tcBorders>
                  <w:noWrap w:val="0"/>
                  <w:vAlign w:val="center"/>
                </w:tcPr>
                <w:p w14:paraId="32EB40B1">
                  <w:pPr>
                    <w:pStyle w:val="58"/>
                    <w:bidi w:val="0"/>
                    <w:rPr>
                      <w:rFonts w:hint="eastAsia"/>
                      <w:color w:val="auto"/>
                      <w:lang w:val="en-US" w:eastAsia="zh-CN"/>
                    </w:rPr>
                  </w:pPr>
                </w:p>
              </w:tc>
              <w:tc>
                <w:tcPr>
                  <w:tcW w:w="456" w:type="pct"/>
                  <w:vMerge w:val="continue"/>
                  <w:tcBorders>
                    <w:tl2br w:val="nil"/>
                    <w:tr2bl w:val="nil"/>
                  </w:tcBorders>
                  <w:noWrap w:val="0"/>
                  <w:vAlign w:val="center"/>
                </w:tcPr>
                <w:p w14:paraId="2B54D26D">
                  <w:pPr>
                    <w:pStyle w:val="58"/>
                    <w:bidi w:val="0"/>
                    <w:rPr>
                      <w:rFonts w:hint="eastAsia"/>
                      <w:color w:val="auto"/>
                      <w:lang w:val="en-US" w:eastAsia="zh-CN"/>
                    </w:rPr>
                  </w:pPr>
                </w:p>
              </w:tc>
              <w:tc>
                <w:tcPr>
                  <w:tcW w:w="404" w:type="pct"/>
                  <w:tcBorders>
                    <w:tl2br w:val="nil"/>
                    <w:tr2bl w:val="nil"/>
                  </w:tcBorders>
                  <w:noWrap w:val="0"/>
                  <w:vAlign w:val="center"/>
                </w:tcPr>
                <w:p w14:paraId="09BC2CCC">
                  <w:pPr>
                    <w:pStyle w:val="58"/>
                    <w:bidi w:val="0"/>
                    <w:rPr>
                      <w:rFonts w:hint="eastAsia"/>
                      <w:color w:val="auto"/>
                      <w:lang w:val="en-US" w:eastAsia="zh-CN"/>
                    </w:rPr>
                  </w:pPr>
                  <w:r>
                    <w:rPr>
                      <w:rFonts w:hint="eastAsia"/>
                      <w:color w:val="auto"/>
                      <w:lang w:val="en-US" w:eastAsia="zh-CN"/>
                    </w:rPr>
                    <w:t>t/a</w:t>
                  </w:r>
                </w:p>
              </w:tc>
              <w:tc>
                <w:tcPr>
                  <w:tcW w:w="404" w:type="pct"/>
                  <w:tcBorders>
                    <w:tl2br w:val="nil"/>
                    <w:tr2bl w:val="nil"/>
                  </w:tcBorders>
                  <w:noWrap w:val="0"/>
                  <w:vAlign w:val="center"/>
                </w:tcPr>
                <w:p w14:paraId="15741CAF">
                  <w:pPr>
                    <w:pStyle w:val="58"/>
                    <w:bidi w:val="0"/>
                    <w:rPr>
                      <w:rFonts w:hint="eastAsia"/>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7F8E5A4A">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0.085</w:t>
                  </w:r>
                </w:p>
              </w:tc>
              <w:tc>
                <w:tcPr>
                  <w:tcW w:w="749" w:type="dxa"/>
                  <w:tcBorders>
                    <w:tl2br w:val="nil"/>
                    <w:tr2bl w:val="nil"/>
                  </w:tcBorders>
                  <w:noWrap w:val="0"/>
                  <w:vAlign w:val="center"/>
                </w:tcPr>
                <w:p w14:paraId="08FE549A">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0.0076</w:t>
                  </w:r>
                </w:p>
              </w:tc>
              <w:tc>
                <w:tcPr>
                  <w:tcW w:w="777" w:type="dxa"/>
                  <w:tcBorders>
                    <w:tl2br w:val="nil"/>
                    <w:tr2bl w:val="nil"/>
                  </w:tcBorders>
                  <w:noWrap w:val="0"/>
                  <w:vAlign w:val="center"/>
                </w:tcPr>
                <w:p w14:paraId="195831FB">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0.019</w:t>
                  </w:r>
                </w:p>
              </w:tc>
              <w:tc>
                <w:tcPr>
                  <w:tcW w:w="777" w:type="dxa"/>
                  <w:tcBorders>
                    <w:tl2br w:val="nil"/>
                    <w:tr2bl w:val="nil"/>
                  </w:tcBorders>
                  <w:noWrap w:val="0"/>
                  <w:vAlign w:val="center"/>
                </w:tcPr>
                <w:p w14:paraId="45E5538B">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0.0002</w:t>
                  </w:r>
                </w:p>
              </w:tc>
              <w:tc>
                <w:tcPr>
                  <w:tcW w:w="777" w:type="dxa"/>
                  <w:tcBorders>
                    <w:tl2br w:val="nil"/>
                    <w:tr2bl w:val="nil"/>
                  </w:tcBorders>
                  <w:noWrap w:val="0"/>
                  <w:vAlign w:val="center"/>
                </w:tcPr>
                <w:p w14:paraId="031733E8">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0.0053</w:t>
                  </w:r>
                </w:p>
              </w:tc>
              <w:tc>
                <w:tcPr>
                  <w:tcW w:w="1124" w:type="dxa"/>
                  <w:tcBorders>
                    <w:tl2br w:val="nil"/>
                    <w:tr2bl w:val="nil"/>
                  </w:tcBorders>
                  <w:noWrap w:val="0"/>
                  <w:vAlign w:val="center"/>
                </w:tcPr>
                <w:p w14:paraId="103C15FD">
                  <w:pPr>
                    <w:pStyle w:val="58"/>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0.0012</w:t>
                  </w:r>
                </w:p>
              </w:tc>
            </w:tr>
            <w:tr w14:paraId="15929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jc w:val="center"/>
              </w:trPr>
              <w:tc>
                <w:tcPr>
                  <w:tcW w:w="1920" w:type="pct"/>
                  <w:gridSpan w:val="4"/>
                  <w:tcBorders>
                    <w:tl2br w:val="nil"/>
                    <w:tr2bl w:val="nil"/>
                  </w:tcBorders>
                  <w:noWrap w:val="0"/>
                  <w:vAlign w:val="center"/>
                </w:tcPr>
                <w:p w14:paraId="50DED9B6">
                  <w:pPr>
                    <w:pStyle w:val="58"/>
                    <w:bidi w:val="0"/>
                    <w:rPr>
                      <w:rFonts w:hint="default"/>
                      <w:color w:val="auto"/>
                      <w:lang w:val="en-US" w:eastAsia="zh-CN"/>
                    </w:rPr>
                  </w:pPr>
                  <w:r>
                    <w:rPr>
                      <w:rFonts w:hint="eastAsia"/>
                      <w:color w:val="auto"/>
                      <w:lang w:val="en-US" w:eastAsia="zh-CN"/>
                    </w:rPr>
                    <w:t>《淀粉工业水污染物排放标准》（GB 25461-2010）中表2直接排放标准限值</w:t>
                  </w:r>
                </w:p>
              </w:tc>
              <w:tc>
                <w:tcPr>
                  <w:tcW w:w="404" w:type="pct"/>
                  <w:tcBorders>
                    <w:tl2br w:val="nil"/>
                    <w:tr2bl w:val="nil"/>
                  </w:tcBorders>
                  <w:noWrap w:val="0"/>
                  <w:vAlign w:val="center"/>
                </w:tcPr>
                <w:p w14:paraId="435A4034">
                  <w:pPr>
                    <w:pStyle w:val="58"/>
                    <w:bidi w:val="0"/>
                    <w:rPr>
                      <w:rFonts w:hint="default"/>
                      <w:color w:val="auto"/>
                      <w:lang w:val="en-US" w:eastAsia="zh-CN"/>
                    </w:rPr>
                  </w:pPr>
                  <w:r>
                    <w:rPr>
                      <w:rFonts w:hint="eastAsia"/>
                      <w:color w:val="auto"/>
                      <w:lang w:val="en-US" w:eastAsia="zh-CN"/>
                    </w:rPr>
                    <w:t>6-9</w:t>
                  </w:r>
                </w:p>
              </w:tc>
              <w:tc>
                <w:tcPr>
                  <w:tcW w:w="749" w:type="dxa"/>
                  <w:tcBorders>
                    <w:tl2br w:val="nil"/>
                    <w:tr2bl w:val="nil"/>
                  </w:tcBorders>
                  <w:noWrap w:val="0"/>
                  <w:vAlign w:val="center"/>
                </w:tcPr>
                <w:p w14:paraId="2DE8B907">
                  <w:pPr>
                    <w:pStyle w:val="58"/>
                    <w:bidi w:val="0"/>
                    <w:rPr>
                      <w:rFonts w:hint="default"/>
                      <w:color w:val="auto"/>
                      <w:lang w:val="en-US" w:eastAsia="zh-CN"/>
                    </w:rPr>
                  </w:pPr>
                  <w:r>
                    <w:rPr>
                      <w:rFonts w:hint="default"/>
                      <w:color w:val="auto"/>
                      <w:lang w:val="en-US" w:eastAsia="zh-CN"/>
                    </w:rPr>
                    <w:t>100</w:t>
                  </w:r>
                </w:p>
              </w:tc>
              <w:tc>
                <w:tcPr>
                  <w:tcW w:w="749" w:type="dxa"/>
                  <w:tcBorders>
                    <w:tl2br w:val="nil"/>
                    <w:tr2bl w:val="nil"/>
                  </w:tcBorders>
                  <w:noWrap w:val="0"/>
                  <w:vAlign w:val="center"/>
                </w:tcPr>
                <w:p w14:paraId="5C1BFF72">
                  <w:pPr>
                    <w:pStyle w:val="58"/>
                    <w:bidi w:val="0"/>
                    <w:rPr>
                      <w:rFonts w:hint="default"/>
                      <w:color w:val="auto"/>
                      <w:lang w:val="en-US" w:eastAsia="zh-CN"/>
                    </w:rPr>
                  </w:pPr>
                  <w:r>
                    <w:rPr>
                      <w:rFonts w:hint="default"/>
                      <w:color w:val="auto"/>
                      <w:lang w:val="en-US" w:eastAsia="zh-CN"/>
                    </w:rPr>
                    <w:t>20</w:t>
                  </w:r>
                </w:p>
              </w:tc>
              <w:tc>
                <w:tcPr>
                  <w:tcW w:w="777" w:type="dxa"/>
                  <w:tcBorders>
                    <w:tl2br w:val="nil"/>
                    <w:tr2bl w:val="nil"/>
                  </w:tcBorders>
                  <w:noWrap w:val="0"/>
                  <w:vAlign w:val="center"/>
                </w:tcPr>
                <w:p w14:paraId="40765A65">
                  <w:pPr>
                    <w:pStyle w:val="58"/>
                    <w:bidi w:val="0"/>
                    <w:rPr>
                      <w:rFonts w:hint="default"/>
                      <w:color w:val="auto"/>
                      <w:lang w:val="en-US" w:eastAsia="zh-CN"/>
                    </w:rPr>
                  </w:pPr>
                  <w:r>
                    <w:rPr>
                      <w:rFonts w:hint="default"/>
                      <w:color w:val="auto"/>
                      <w:lang w:val="en-US" w:eastAsia="zh-CN"/>
                    </w:rPr>
                    <w:t>30</w:t>
                  </w:r>
                </w:p>
              </w:tc>
              <w:tc>
                <w:tcPr>
                  <w:tcW w:w="777" w:type="dxa"/>
                  <w:tcBorders>
                    <w:tl2br w:val="nil"/>
                    <w:tr2bl w:val="nil"/>
                  </w:tcBorders>
                  <w:noWrap w:val="0"/>
                  <w:vAlign w:val="center"/>
                </w:tcPr>
                <w:p w14:paraId="6349EBB5">
                  <w:pPr>
                    <w:pStyle w:val="58"/>
                    <w:bidi w:val="0"/>
                    <w:rPr>
                      <w:rFonts w:hint="default"/>
                      <w:color w:val="auto"/>
                      <w:lang w:val="en-US" w:eastAsia="zh-CN"/>
                    </w:rPr>
                  </w:pPr>
                  <w:r>
                    <w:rPr>
                      <w:rFonts w:hint="default"/>
                      <w:color w:val="auto"/>
                      <w:lang w:val="en-US" w:eastAsia="zh-CN"/>
                    </w:rPr>
                    <w:t>1</w:t>
                  </w:r>
                </w:p>
              </w:tc>
              <w:tc>
                <w:tcPr>
                  <w:tcW w:w="777" w:type="dxa"/>
                  <w:tcBorders>
                    <w:tl2br w:val="nil"/>
                    <w:tr2bl w:val="nil"/>
                  </w:tcBorders>
                  <w:noWrap w:val="0"/>
                  <w:vAlign w:val="center"/>
                </w:tcPr>
                <w:p w14:paraId="1B4EC2EF">
                  <w:pPr>
                    <w:pStyle w:val="58"/>
                    <w:bidi w:val="0"/>
                    <w:rPr>
                      <w:rFonts w:hint="default"/>
                      <w:color w:val="auto"/>
                      <w:lang w:val="en-US" w:eastAsia="zh-CN"/>
                    </w:rPr>
                  </w:pPr>
                  <w:r>
                    <w:rPr>
                      <w:rFonts w:hint="default"/>
                      <w:color w:val="auto"/>
                      <w:lang w:val="en-US" w:eastAsia="zh-CN"/>
                    </w:rPr>
                    <w:t>30</w:t>
                  </w:r>
                </w:p>
              </w:tc>
              <w:tc>
                <w:tcPr>
                  <w:tcW w:w="1124" w:type="dxa"/>
                  <w:tcBorders>
                    <w:tl2br w:val="nil"/>
                    <w:tr2bl w:val="nil"/>
                  </w:tcBorders>
                  <w:noWrap w:val="0"/>
                  <w:vAlign w:val="center"/>
                </w:tcPr>
                <w:p w14:paraId="0728AC08">
                  <w:pPr>
                    <w:pStyle w:val="58"/>
                    <w:bidi w:val="0"/>
                    <w:rPr>
                      <w:rFonts w:hint="default"/>
                      <w:color w:val="auto"/>
                      <w:lang w:val="en-US" w:eastAsia="zh-CN"/>
                    </w:rPr>
                  </w:pPr>
                  <w:r>
                    <w:rPr>
                      <w:rFonts w:hint="default"/>
                      <w:color w:val="auto"/>
                      <w:lang w:val="en-US" w:eastAsia="zh-CN"/>
                    </w:rPr>
                    <w:t>15</w:t>
                  </w:r>
                </w:p>
              </w:tc>
            </w:tr>
          </w:tbl>
          <w:p w14:paraId="038D6F94">
            <w:pPr>
              <w:pStyle w:val="42"/>
              <w:keepNext w:val="0"/>
              <w:keepLines w:val="0"/>
              <w:numPr>
                <w:ilvl w:val="0"/>
                <w:numId w:val="0"/>
              </w:numPr>
              <w:suppressLineNumbers w:val="0"/>
              <w:tabs>
                <w:tab w:val="left" w:pos="0"/>
              </w:tabs>
              <w:bidi w:val="0"/>
              <w:spacing w:before="0" w:beforeAutospacing="0" w:after="0" w:afterAutospacing="0" w:line="240" w:lineRule="auto"/>
              <w:ind w:left="0" w:leftChars="0" w:right="0" w:rightChars="0"/>
              <w:jc w:val="both"/>
              <w:rPr>
                <w:rFonts w:hint="default" w:ascii="Times New Roman" w:hAnsi="Times New Roman" w:eastAsia="宋体" w:cs="Times New Roman"/>
                <w:b/>
                <w:color w:val="auto"/>
                <w:kern w:val="0"/>
                <w:sz w:val="24"/>
                <w:szCs w:val="24"/>
                <w:lang w:val="en-US" w:eastAsia="zh-CN" w:bidi="ar-SA"/>
              </w:rPr>
            </w:pPr>
          </w:p>
          <w:p w14:paraId="4D142F56">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eastAsia" w:cs="Times New Roman"/>
                <w:b/>
                <w:color w:val="auto"/>
                <w:kern w:val="0"/>
                <w:sz w:val="24"/>
                <w:szCs w:val="24"/>
                <w:lang w:val="en-US" w:eastAsia="zh-CN" w:bidi="ar-SA"/>
              </w:rPr>
              <w:t>技改</w:t>
            </w:r>
            <w:r>
              <w:rPr>
                <w:rFonts w:hint="eastAsia" w:ascii="Times New Roman" w:hAnsi="Times New Roman" w:eastAsia="宋体" w:cs="Times New Roman"/>
                <w:b/>
                <w:color w:val="auto"/>
                <w:kern w:val="0"/>
                <w:sz w:val="24"/>
                <w:szCs w:val="24"/>
                <w:lang w:val="en-US" w:eastAsia="zh-CN" w:bidi="ar-SA"/>
              </w:rPr>
              <w:t>前后项目水污染物排放分析表</w:t>
            </w:r>
          </w:p>
          <w:tbl>
            <w:tblPr>
              <w:tblStyle w:val="29"/>
              <w:tblW w:w="4957"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
              <w:gridCol w:w="741"/>
              <w:gridCol w:w="447"/>
              <w:gridCol w:w="873"/>
              <w:gridCol w:w="1037"/>
              <w:gridCol w:w="990"/>
              <w:gridCol w:w="928"/>
              <w:gridCol w:w="1256"/>
              <w:gridCol w:w="1209"/>
            </w:tblGrid>
            <w:tr w14:paraId="3277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642" w:type="pct"/>
                  <w:tcBorders>
                    <w:tl2br w:val="nil"/>
                    <w:tr2bl w:val="nil"/>
                  </w:tcBorders>
                  <w:noWrap w:val="0"/>
                  <w:vAlign w:val="center"/>
                </w:tcPr>
                <w:p w14:paraId="083E9A86">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污染物名称</w:t>
                  </w:r>
                </w:p>
              </w:tc>
              <w:tc>
                <w:tcPr>
                  <w:tcW w:w="1047" w:type="pct"/>
                  <w:tcBorders>
                    <w:tl2br w:val="nil"/>
                    <w:tr2bl w:val="nil"/>
                  </w:tcBorders>
                  <w:noWrap w:val="0"/>
                  <w:vAlign w:val="center"/>
                </w:tcPr>
                <w:p w14:paraId="7FC88276">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污染物</w:t>
                  </w:r>
                </w:p>
              </w:tc>
              <w:tc>
                <w:tcPr>
                  <w:tcW w:w="554" w:type="pct"/>
                  <w:tcBorders>
                    <w:tl2br w:val="nil"/>
                    <w:tr2bl w:val="nil"/>
                  </w:tcBorders>
                  <w:noWrap w:val="0"/>
                  <w:vAlign w:val="center"/>
                </w:tcPr>
                <w:p w14:paraId="099844C8">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单位</w:t>
                  </w:r>
                </w:p>
              </w:tc>
              <w:tc>
                <w:tcPr>
                  <w:tcW w:w="719" w:type="dxa"/>
                  <w:tcBorders>
                    <w:tl2br w:val="nil"/>
                    <w:tr2bl w:val="nil"/>
                  </w:tcBorders>
                  <w:noWrap w:val="0"/>
                  <w:vAlign w:val="center"/>
                </w:tcPr>
                <w:p w14:paraId="5C8A9599">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现有项目排放量</w:t>
                  </w:r>
                </w:p>
              </w:tc>
              <w:tc>
                <w:tcPr>
                  <w:tcW w:w="719" w:type="dxa"/>
                  <w:tcBorders>
                    <w:tl2br w:val="nil"/>
                    <w:tr2bl w:val="nil"/>
                  </w:tcBorders>
                  <w:noWrap w:val="0"/>
                  <w:vAlign w:val="center"/>
                </w:tcPr>
                <w:p w14:paraId="058A0A59">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原有项目改造后排放量</w:t>
                  </w:r>
                </w:p>
              </w:tc>
              <w:tc>
                <w:tcPr>
                  <w:tcW w:w="719" w:type="dxa"/>
                  <w:tcBorders>
                    <w:tl2br w:val="nil"/>
                    <w:tr2bl w:val="nil"/>
                  </w:tcBorders>
                  <w:noWrap w:val="0"/>
                  <w:vAlign w:val="center"/>
                </w:tcPr>
                <w:p w14:paraId="01B1598E">
                  <w:pPr>
                    <w:pStyle w:val="24"/>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削减量</w:t>
                  </w:r>
                </w:p>
              </w:tc>
              <w:tc>
                <w:tcPr>
                  <w:tcW w:w="458" w:type="pct"/>
                  <w:tcBorders>
                    <w:tl2br w:val="nil"/>
                    <w:tr2bl w:val="nil"/>
                  </w:tcBorders>
                  <w:noWrap w:val="0"/>
                  <w:vAlign w:val="center"/>
                </w:tcPr>
                <w:p w14:paraId="0C65E77F">
                  <w:pPr>
                    <w:pStyle w:val="24"/>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本项目排放量</w:t>
                  </w:r>
                </w:p>
              </w:tc>
              <w:tc>
                <w:tcPr>
                  <w:tcW w:w="458" w:type="pct"/>
                  <w:tcBorders>
                    <w:tl2br w:val="nil"/>
                    <w:tr2bl w:val="nil"/>
                  </w:tcBorders>
                  <w:noWrap w:val="0"/>
                  <w:vAlign w:val="center"/>
                </w:tcPr>
                <w:p w14:paraId="503CC7F5">
                  <w:pPr>
                    <w:pStyle w:val="24"/>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全厂排放量</w:t>
                  </w:r>
                </w:p>
              </w:tc>
              <w:tc>
                <w:tcPr>
                  <w:tcW w:w="461" w:type="pct"/>
                  <w:tcBorders>
                    <w:tl2br w:val="nil"/>
                    <w:tr2bl w:val="nil"/>
                  </w:tcBorders>
                  <w:noWrap w:val="0"/>
                  <w:vAlign w:val="center"/>
                </w:tcPr>
                <w:p w14:paraId="7C87C2C4">
                  <w:pPr>
                    <w:pStyle w:val="24"/>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增减量</w:t>
                  </w:r>
                </w:p>
              </w:tc>
            </w:tr>
            <w:tr w14:paraId="4BC0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pct"/>
                  <w:vMerge w:val="restart"/>
                  <w:tcBorders>
                    <w:tl2br w:val="nil"/>
                    <w:tr2bl w:val="nil"/>
                  </w:tcBorders>
                  <w:noWrap w:val="0"/>
                  <w:vAlign w:val="center"/>
                </w:tcPr>
                <w:p w14:paraId="020F71EC">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水污染物</w:t>
                  </w:r>
                </w:p>
              </w:tc>
              <w:tc>
                <w:tcPr>
                  <w:tcW w:w="1642" w:type="dxa"/>
                  <w:tcBorders>
                    <w:tl2br w:val="nil"/>
                    <w:tr2bl w:val="nil"/>
                  </w:tcBorders>
                  <w:noWrap w:val="0"/>
                  <w:vAlign w:val="center"/>
                </w:tcPr>
                <w:p w14:paraId="0A29C87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废水量</w:t>
                  </w:r>
                </w:p>
              </w:tc>
              <w:tc>
                <w:tcPr>
                  <w:tcW w:w="870" w:type="dxa"/>
                  <w:tcBorders>
                    <w:tl2br w:val="nil"/>
                    <w:tr2bl w:val="nil"/>
                  </w:tcBorders>
                  <w:noWrap w:val="0"/>
                  <w:vAlign w:val="center"/>
                </w:tcPr>
                <w:p w14:paraId="2DA2824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056F9D7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628896</w:t>
                  </w:r>
                </w:p>
              </w:tc>
              <w:tc>
                <w:tcPr>
                  <w:tcW w:w="719" w:type="dxa"/>
                  <w:tcBorders>
                    <w:tl2br w:val="nil"/>
                    <w:tr2bl w:val="nil"/>
                  </w:tcBorders>
                  <w:noWrap w:val="0"/>
                  <w:vAlign w:val="center"/>
                </w:tcPr>
                <w:p w14:paraId="2B6D229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546158.4</w:t>
                  </w:r>
                </w:p>
              </w:tc>
              <w:tc>
                <w:tcPr>
                  <w:tcW w:w="719" w:type="dxa"/>
                  <w:tcBorders>
                    <w:tl2br w:val="nil"/>
                    <w:tr2bl w:val="nil"/>
                  </w:tcBorders>
                  <w:noWrap w:val="0"/>
                  <w:vAlign w:val="center"/>
                </w:tcPr>
                <w:p w14:paraId="1BB79F5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-82737.6</w:t>
                  </w:r>
                </w:p>
              </w:tc>
              <w:tc>
                <w:tcPr>
                  <w:tcW w:w="719" w:type="dxa"/>
                  <w:tcBorders>
                    <w:tl2br w:val="nil"/>
                    <w:tr2bl w:val="nil"/>
                  </w:tcBorders>
                  <w:noWrap w:val="0"/>
                  <w:vAlign w:val="center"/>
                </w:tcPr>
                <w:p w14:paraId="5070CB5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890.752</w:t>
                  </w:r>
                </w:p>
              </w:tc>
              <w:tc>
                <w:tcPr>
                  <w:tcW w:w="719" w:type="dxa"/>
                  <w:tcBorders>
                    <w:tl2br w:val="nil"/>
                    <w:tr2bl w:val="nil"/>
                  </w:tcBorders>
                  <w:noWrap w:val="0"/>
                  <w:vAlign w:val="center"/>
                </w:tcPr>
                <w:p w14:paraId="77B8A83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547049.152</w:t>
                  </w:r>
                </w:p>
              </w:tc>
              <w:tc>
                <w:tcPr>
                  <w:tcW w:w="724" w:type="dxa"/>
                  <w:tcBorders>
                    <w:tl2br w:val="nil"/>
                    <w:tr2bl w:val="nil"/>
                  </w:tcBorders>
                  <w:noWrap w:val="0"/>
                  <w:vAlign w:val="center"/>
                </w:tcPr>
                <w:p w14:paraId="77B6C95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-81846.848</w:t>
                  </w:r>
                </w:p>
              </w:tc>
            </w:tr>
            <w:tr w14:paraId="59F23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42" w:type="pct"/>
                  <w:vMerge w:val="continue"/>
                  <w:tcBorders>
                    <w:tl2br w:val="nil"/>
                    <w:tr2bl w:val="nil"/>
                  </w:tcBorders>
                  <w:noWrap w:val="0"/>
                  <w:vAlign w:val="center"/>
                </w:tcPr>
                <w:p w14:paraId="066869EB">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3C6108B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870" w:type="dxa"/>
                  <w:tcBorders>
                    <w:tl2br w:val="nil"/>
                    <w:tr2bl w:val="nil"/>
                  </w:tcBorders>
                  <w:noWrap w:val="0"/>
                  <w:vAlign w:val="center"/>
                </w:tcPr>
                <w:p w14:paraId="017CED5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67438F5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59.75</w:t>
                  </w:r>
                </w:p>
              </w:tc>
              <w:tc>
                <w:tcPr>
                  <w:tcW w:w="719" w:type="dxa"/>
                  <w:tcBorders>
                    <w:tl2br w:val="nil"/>
                    <w:tr2bl w:val="nil"/>
                  </w:tcBorders>
                  <w:noWrap w:val="0"/>
                  <w:vAlign w:val="center"/>
                </w:tcPr>
                <w:p w14:paraId="33507B4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51.89</w:t>
                  </w:r>
                </w:p>
              </w:tc>
              <w:tc>
                <w:tcPr>
                  <w:tcW w:w="719" w:type="dxa"/>
                  <w:tcBorders>
                    <w:tl2br w:val="nil"/>
                    <w:tr2bl w:val="nil"/>
                  </w:tcBorders>
                  <w:noWrap w:val="0"/>
                  <w:vAlign w:val="center"/>
                </w:tcPr>
                <w:p w14:paraId="48E6FFC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-7.86</w:t>
                  </w:r>
                </w:p>
              </w:tc>
              <w:tc>
                <w:tcPr>
                  <w:tcW w:w="719" w:type="dxa"/>
                  <w:tcBorders>
                    <w:tl2br w:val="nil"/>
                    <w:tr2bl w:val="nil"/>
                  </w:tcBorders>
                  <w:noWrap w:val="0"/>
                  <w:vAlign w:val="center"/>
                </w:tcPr>
                <w:p w14:paraId="0229E9E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0.085</w:t>
                  </w:r>
                </w:p>
              </w:tc>
              <w:tc>
                <w:tcPr>
                  <w:tcW w:w="719" w:type="dxa"/>
                  <w:tcBorders>
                    <w:tl2br w:val="nil"/>
                    <w:tr2bl w:val="nil"/>
                  </w:tcBorders>
                  <w:noWrap w:val="0"/>
                  <w:vAlign w:val="center"/>
                </w:tcPr>
                <w:p w14:paraId="31AE6D6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51.975</w:t>
                  </w:r>
                </w:p>
              </w:tc>
              <w:tc>
                <w:tcPr>
                  <w:tcW w:w="724" w:type="dxa"/>
                  <w:tcBorders>
                    <w:tl2br w:val="nil"/>
                    <w:tr2bl w:val="nil"/>
                  </w:tcBorders>
                  <w:noWrap w:val="0"/>
                  <w:vAlign w:val="center"/>
                </w:tcPr>
                <w:p w14:paraId="174F9378">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-7.775</w:t>
                  </w:r>
                </w:p>
              </w:tc>
            </w:tr>
            <w:tr w14:paraId="3D84A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pct"/>
                  <w:vMerge w:val="continue"/>
                  <w:tcBorders>
                    <w:tl2br w:val="nil"/>
                    <w:tr2bl w:val="nil"/>
                  </w:tcBorders>
                  <w:noWrap w:val="0"/>
                  <w:vAlign w:val="center"/>
                </w:tcPr>
                <w:p w14:paraId="1C6C43DA">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5A3D6B9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870" w:type="dxa"/>
                  <w:tcBorders>
                    <w:tl2br w:val="nil"/>
                    <w:tr2bl w:val="nil"/>
                  </w:tcBorders>
                  <w:noWrap w:val="0"/>
                  <w:vAlign w:val="center"/>
                </w:tcPr>
                <w:p w14:paraId="0716DCB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09050A3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5.35</w:t>
                  </w:r>
                </w:p>
              </w:tc>
              <w:tc>
                <w:tcPr>
                  <w:tcW w:w="719" w:type="dxa"/>
                  <w:tcBorders>
                    <w:tl2br w:val="nil"/>
                    <w:tr2bl w:val="nil"/>
                  </w:tcBorders>
                  <w:noWrap w:val="0"/>
                  <w:vAlign w:val="center"/>
                </w:tcPr>
                <w:p w14:paraId="29BA90E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4.64</w:t>
                  </w:r>
                </w:p>
              </w:tc>
              <w:tc>
                <w:tcPr>
                  <w:tcW w:w="719" w:type="dxa"/>
                  <w:tcBorders>
                    <w:tl2br w:val="nil"/>
                    <w:tr2bl w:val="nil"/>
                  </w:tcBorders>
                  <w:noWrap w:val="0"/>
                  <w:vAlign w:val="center"/>
                </w:tcPr>
                <w:p w14:paraId="5D2A1E1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-0.71</w:t>
                  </w:r>
                </w:p>
              </w:tc>
              <w:tc>
                <w:tcPr>
                  <w:tcW w:w="719" w:type="dxa"/>
                  <w:tcBorders>
                    <w:tl2br w:val="nil"/>
                    <w:tr2bl w:val="nil"/>
                  </w:tcBorders>
                  <w:noWrap w:val="0"/>
                  <w:vAlign w:val="center"/>
                </w:tcPr>
                <w:p w14:paraId="79D6FBA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0.0076</w:t>
                  </w:r>
                </w:p>
              </w:tc>
              <w:tc>
                <w:tcPr>
                  <w:tcW w:w="719" w:type="dxa"/>
                  <w:tcBorders>
                    <w:tl2br w:val="nil"/>
                    <w:tr2bl w:val="nil"/>
                  </w:tcBorders>
                  <w:noWrap w:val="0"/>
                  <w:vAlign w:val="center"/>
                </w:tcPr>
                <w:p w14:paraId="7FCEFD3F">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4.6476</w:t>
                  </w:r>
                </w:p>
              </w:tc>
              <w:tc>
                <w:tcPr>
                  <w:tcW w:w="724" w:type="dxa"/>
                  <w:tcBorders>
                    <w:tl2br w:val="nil"/>
                    <w:tr2bl w:val="nil"/>
                  </w:tcBorders>
                  <w:noWrap w:val="0"/>
                  <w:vAlign w:val="center"/>
                </w:tcPr>
                <w:p w14:paraId="2091432C">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-0.7024</w:t>
                  </w:r>
                </w:p>
              </w:tc>
            </w:tr>
            <w:tr w14:paraId="0DEA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pct"/>
                  <w:vMerge w:val="continue"/>
                  <w:tcBorders>
                    <w:tl2br w:val="nil"/>
                    <w:tr2bl w:val="nil"/>
                  </w:tcBorders>
                  <w:noWrap w:val="0"/>
                  <w:vAlign w:val="center"/>
                </w:tcPr>
                <w:p w14:paraId="101AC77B">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382CA4C4">
                  <w:pPr>
                    <w:pStyle w:val="6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s="Times New Roman"/>
                      <w:color w:val="auto"/>
                      <w:lang w:val="en-US" w:eastAsia="zh-CN"/>
                    </w:rPr>
                    <w:t>SS</w:t>
                  </w:r>
                </w:p>
              </w:tc>
              <w:tc>
                <w:tcPr>
                  <w:tcW w:w="870" w:type="dxa"/>
                  <w:tcBorders>
                    <w:tl2br w:val="nil"/>
                    <w:tr2bl w:val="nil"/>
                  </w:tcBorders>
                  <w:noWrap w:val="0"/>
                  <w:vAlign w:val="center"/>
                </w:tcPr>
                <w:p w14:paraId="3E31E18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132E8C5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13.21</w:t>
                  </w:r>
                </w:p>
              </w:tc>
              <w:tc>
                <w:tcPr>
                  <w:tcW w:w="719" w:type="dxa"/>
                  <w:tcBorders>
                    <w:tl2br w:val="nil"/>
                    <w:tr2bl w:val="nil"/>
                  </w:tcBorders>
                  <w:noWrap w:val="0"/>
                  <w:vAlign w:val="center"/>
                </w:tcPr>
                <w:p w14:paraId="3413B2E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11.47</w:t>
                  </w:r>
                </w:p>
              </w:tc>
              <w:tc>
                <w:tcPr>
                  <w:tcW w:w="719" w:type="dxa"/>
                  <w:tcBorders>
                    <w:tl2br w:val="nil"/>
                    <w:tr2bl w:val="nil"/>
                  </w:tcBorders>
                  <w:noWrap w:val="0"/>
                  <w:vAlign w:val="center"/>
                </w:tcPr>
                <w:p w14:paraId="07E0EED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-1.74</w:t>
                  </w:r>
                </w:p>
              </w:tc>
              <w:tc>
                <w:tcPr>
                  <w:tcW w:w="719" w:type="dxa"/>
                  <w:tcBorders>
                    <w:tl2br w:val="nil"/>
                    <w:tr2bl w:val="nil"/>
                  </w:tcBorders>
                  <w:noWrap w:val="0"/>
                  <w:vAlign w:val="center"/>
                </w:tcPr>
                <w:p w14:paraId="0DB2D06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0.019</w:t>
                  </w:r>
                </w:p>
              </w:tc>
              <w:tc>
                <w:tcPr>
                  <w:tcW w:w="719" w:type="dxa"/>
                  <w:tcBorders>
                    <w:tl2br w:val="nil"/>
                    <w:tr2bl w:val="nil"/>
                  </w:tcBorders>
                  <w:noWrap w:val="0"/>
                  <w:vAlign w:val="center"/>
                </w:tcPr>
                <w:p w14:paraId="4EE8E5D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11.489</w:t>
                  </w:r>
                </w:p>
              </w:tc>
              <w:tc>
                <w:tcPr>
                  <w:tcW w:w="724" w:type="dxa"/>
                  <w:tcBorders>
                    <w:tl2br w:val="nil"/>
                    <w:tr2bl w:val="nil"/>
                  </w:tcBorders>
                  <w:noWrap w:val="0"/>
                  <w:vAlign w:val="center"/>
                </w:tcPr>
                <w:p w14:paraId="48E375E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-1.721</w:t>
                  </w:r>
                </w:p>
              </w:tc>
            </w:tr>
            <w:tr w14:paraId="7000A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pct"/>
                  <w:vMerge w:val="continue"/>
                  <w:tcBorders>
                    <w:tl2br w:val="nil"/>
                    <w:tr2bl w:val="nil"/>
                  </w:tcBorders>
                  <w:noWrap w:val="0"/>
                  <w:vAlign w:val="center"/>
                </w:tcPr>
                <w:p w14:paraId="20D82A75">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61F63349">
                  <w:pPr>
                    <w:pStyle w:val="6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ascii="Times New Roman" w:hAnsi="Times New Roman" w:eastAsia="宋体" w:cs="Times New Roman"/>
                      <w:color w:val="auto"/>
                      <w:lang w:val="en-US" w:eastAsia="zh-CN"/>
                    </w:rPr>
                    <w:t>TP</w:t>
                  </w:r>
                </w:p>
              </w:tc>
              <w:tc>
                <w:tcPr>
                  <w:tcW w:w="870" w:type="dxa"/>
                  <w:tcBorders>
                    <w:tl2br w:val="nil"/>
                    <w:tr2bl w:val="nil"/>
                  </w:tcBorders>
                  <w:noWrap w:val="0"/>
                  <w:vAlign w:val="center"/>
                </w:tcPr>
                <w:p w14:paraId="42F7B163">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048E469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0.113</w:t>
                  </w:r>
                </w:p>
              </w:tc>
              <w:tc>
                <w:tcPr>
                  <w:tcW w:w="719" w:type="dxa"/>
                  <w:tcBorders>
                    <w:tl2br w:val="nil"/>
                    <w:tr2bl w:val="nil"/>
                  </w:tcBorders>
                  <w:noWrap w:val="0"/>
                  <w:vAlign w:val="center"/>
                </w:tcPr>
                <w:p w14:paraId="432ACD4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0.098</w:t>
                  </w:r>
                </w:p>
              </w:tc>
              <w:tc>
                <w:tcPr>
                  <w:tcW w:w="719" w:type="dxa"/>
                  <w:tcBorders>
                    <w:tl2br w:val="nil"/>
                    <w:tr2bl w:val="nil"/>
                  </w:tcBorders>
                  <w:noWrap w:val="0"/>
                  <w:vAlign w:val="center"/>
                </w:tcPr>
                <w:p w14:paraId="1E39B69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c>
                <w:tcPr>
                  <w:tcW w:w="719" w:type="dxa"/>
                  <w:tcBorders>
                    <w:tl2br w:val="nil"/>
                    <w:tr2bl w:val="nil"/>
                  </w:tcBorders>
                  <w:noWrap w:val="0"/>
                  <w:vAlign w:val="center"/>
                </w:tcPr>
                <w:p w14:paraId="7C2D657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0.0002</w:t>
                  </w:r>
                </w:p>
              </w:tc>
              <w:tc>
                <w:tcPr>
                  <w:tcW w:w="719" w:type="dxa"/>
                  <w:tcBorders>
                    <w:tl2br w:val="nil"/>
                    <w:tr2bl w:val="nil"/>
                  </w:tcBorders>
                  <w:noWrap w:val="0"/>
                  <w:vAlign w:val="center"/>
                </w:tcPr>
                <w:p w14:paraId="3D0C7F6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0.0982</w:t>
                  </w:r>
                </w:p>
              </w:tc>
              <w:tc>
                <w:tcPr>
                  <w:tcW w:w="724" w:type="dxa"/>
                  <w:tcBorders>
                    <w:tl2br w:val="nil"/>
                    <w:tr2bl w:val="nil"/>
                  </w:tcBorders>
                  <w:noWrap w:val="0"/>
                  <w:vAlign w:val="center"/>
                </w:tcPr>
                <w:p w14:paraId="51BAAC1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-0.0148</w:t>
                  </w:r>
                </w:p>
              </w:tc>
            </w:tr>
            <w:tr w14:paraId="14F7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42" w:type="pct"/>
                  <w:vMerge w:val="continue"/>
                  <w:tcBorders>
                    <w:tl2br w:val="nil"/>
                    <w:tr2bl w:val="nil"/>
                  </w:tcBorders>
                  <w:noWrap w:val="0"/>
                  <w:vAlign w:val="center"/>
                </w:tcPr>
                <w:p w14:paraId="5BD58CC3">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00343DE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TN</w:t>
                  </w:r>
                </w:p>
              </w:tc>
              <w:tc>
                <w:tcPr>
                  <w:tcW w:w="870" w:type="dxa"/>
                  <w:tcBorders>
                    <w:tl2br w:val="nil"/>
                    <w:tr2bl w:val="nil"/>
                  </w:tcBorders>
                  <w:noWrap w:val="0"/>
                  <w:vAlign w:val="center"/>
                </w:tcPr>
                <w:p w14:paraId="7DCBEFE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4037FD1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3.72</w:t>
                  </w:r>
                </w:p>
              </w:tc>
              <w:tc>
                <w:tcPr>
                  <w:tcW w:w="719" w:type="dxa"/>
                  <w:tcBorders>
                    <w:tl2br w:val="nil"/>
                    <w:tr2bl w:val="nil"/>
                  </w:tcBorders>
                  <w:noWrap w:val="0"/>
                  <w:vAlign w:val="center"/>
                </w:tcPr>
                <w:p w14:paraId="752631D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3.23</w:t>
                  </w:r>
                </w:p>
              </w:tc>
              <w:tc>
                <w:tcPr>
                  <w:tcW w:w="719" w:type="dxa"/>
                  <w:tcBorders>
                    <w:tl2br w:val="nil"/>
                    <w:tr2bl w:val="nil"/>
                  </w:tcBorders>
                  <w:noWrap w:val="0"/>
                  <w:vAlign w:val="center"/>
                </w:tcPr>
                <w:p w14:paraId="2CC99D4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-0.49</w:t>
                  </w:r>
                </w:p>
              </w:tc>
              <w:tc>
                <w:tcPr>
                  <w:tcW w:w="719" w:type="dxa"/>
                  <w:tcBorders>
                    <w:tl2br w:val="nil"/>
                    <w:tr2bl w:val="nil"/>
                  </w:tcBorders>
                  <w:noWrap w:val="0"/>
                  <w:vAlign w:val="center"/>
                </w:tcPr>
                <w:p w14:paraId="1468D49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0.0053</w:t>
                  </w:r>
                </w:p>
              </w:tc>
              <w:tc>
                <w:tcPr>
                  <w:tcW w:w="719" w:type="dxa"/>
                  <w:tcBorders>
                    <w:tl2br w:val="nil"/>
                    <w:tr2bl w:val="nil"/>
                  </w:tcBorders>
                  <w:noWrap w:val="0"/>
                  <w:vAlign w:val="center"/>
                </w:tcPr>
                <w:p w14:paraId="249EDE6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3.2353</w:t>
                  </w:r>
                </w:p>
              </w:tc>
              <w:tc>
                <w:tcPr>
                  <w:tcW w:w="724" w:type="dxa"/>
                  <w:tcBorders>
                    <w:tl2br w:val="nil"/>
                    <w:tr2bl w:val="nil"/>
                  </w:tcBorders>
                  <w:noWrap w:val="0"/>
                  <w:vAlign w:val="center"/>
                </w:tcPr>
                <w:p w14:paraId="16CC90C0">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-0.4847</w:t>
                  </w:r>
                </w:p>
              </w:tc>
            </w:tr>
            <w:tr w14:paraId="6912F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42" w:type="pct"/>
                  <w:vMerge w:val="continue"/>
                  <w:tcBorders>
                    <w:tl2br w:val="nil"/>
                    <w:tr2bl w:val="nil"/>
                  </w:tcBorders>
                  <w:noWrap w:val="0"/>
                  <w:vAlign w:val="center"/>
                </w:tcPr>
                <w:p w14:paraId="724F5A86">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642" w:type="dxa"/>
                  <w:tcBorders>
                    <w:tl2br w:val="nil"/>
                    <w:tr2bl w:val="nil"/>
                  </w:tcBorders>
                  <w:noWrap w:val="0"/>
                  <w:vAlign w:val="center"/>
                </w:tcPr>
                <w:p w14:paraId="27AE3F7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870" w:type="dxa"/>
                  <w:tcBorders>
                    <w:tl2br w:val="nil"/>
                    <w:tr2bl w:val="nil"/>
                  </w:tcBorders>
                  <w:noWrap w:val="0"/>
                  <w:vAlign w:val="center"/>
                </w:tcPr>
                <w:p w14:paraId="392CB4D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719" w:type="dxa"/>
                  <w:tcBorders>
                    <w:tl2br w:val="nil"/>
                    <w:tr2bl w:val="nil"/>
                  </w:tcBorders>
                  <w:noWrap w:val="0"/>
                  <w:vAlign w:val="center"/>
                </w:tcPr>
                <w:p w14:paraId="1BF444C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0.849</w:t>
                  </w:r>
                </w:p>
              </w:tc>
              <w:tc>
                <w:tcPr>
                  <w:tcW w:w="719" w:type="dxa"/>
                  <w:tcBorders>
                    <w:tl2br w:val="nil"/>
                    <w:tr2bl w:val="nil"/>
                  </w:tcBorders>
                  <w:noWrap w:val="0"/>
                  <w:vAlign w:val="center"/>
                </w:tcPr>
                <w:p w14:paraId="77082B1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0.737</w:t>
                  </w:r>
                </w:p>
              </w:tc>
              <w:tc>
                <w:tcPr>
                  <w:tcW w:w="719" w:type="dxa"/>
                  <w:tcBorders>
                    <w:tl2br w:val="nil"/>
                    <w:tr2bl w:val="nil"/>
                  </w:tcBorders>
                  <w:noWrap w:val="0"/>
                  <w:vAlign w:val="center"/>
                </w:tcPr>
                <w:p w14:paraId="7C23DBA7">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-0.112</w:t>
                  </w:r>
                </w:p>
              </w:tc>
              <w:tc>
                <w:tcPr>
                  <w:tcW w:w="719" w:type="dxa"/>
                  <w:tcBorders>
                    <w:tl2br w:val="nil"/>
                    <w:tr2bl w:val="nil"/>
                  </w:tcBorders>
                  <w:noWrap w:val="0"/>
                  <w:vAlign w:val="center"/>
                </w:tcPr>
                <w:p w14:paraId="404F3B0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0.0012</w:t>
                  </w:r>
                </w:p>
              </w:tc>
              <w:tc>
                <w:tcPr>
                  <w:tcW w:w="719" w:type="dxa"/>
                  <w:tcBorders>
                    <w:tl2br w:val="nil"/>
                    <w:tr2bl w:val="nil"/>
                  </w:tcBorders>
                  <w:noWrap w:val="0"/>
                  <w:vAlign w:val="center"/>
                </w:tcPr>
                <w:p w14:paraId="17685D9F">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0.7382</w:t>
                  </w:r>
                </w:p>
              </w:tc>
              <w:tc>
                <w:tcPr>
                  <w:tcW w:w="724" w:type="dxa"/>
                  <w:tcBorders>
                    <w:tl2br w:val="nil"/>
                    <w:tr2bl w:val="nil"/>
                  </w:tcBorders>
                  <w:noWrap w:val="0"/>
                  <w:vAlign w:val="center"/>
                </w:tcPr>
                <w:p w14:paraId="7B16271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-0.1108</w:t>
                  </w:r>
                </w:p>
              </w:tc>
            </w:tr>
          </w:tbl>
          <w:p w14:paraId="0C22BA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全厂污水在</w:t>
            </w:r>
            <w:r>
              <w:rPr>
                <w:rFonts w:hint="eastAsia" w:cs="Times New Roman"/>
                <w:color w:val="auto"/>
                <w:sz w:val="24"/>
                <w:lang w:val="en-US" w:eastAsia="zh-CN"/>
              </w:rPr>
              <w:t>技改</w:t>
            </w:r>
            <w:r>
              <w:rPr>
                <w:rFonts w:hint="eastAsia" w:ascii="Times New Roman" w:hAnsi="Times New Roman" w:eastAsia="宋体" w:cs="Times New Roman"/>
                <w:color w:val="auto"/>
                <w:sz w:val="24"/>
                <w:lang w:val="en-US" w:eastAsia="zh-CN"/>
              </w:rPr>
              <w:t>后，污水排放量减少，污染物排放量减少，本项目建设不会对锦江水质造成不利影响。</w:t>
            </w:r>
          </w:p>
          <w:p w14:paraId="6CDDCBF3">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361" w:firstLineChars="150"/>
              <w:jc w:val="both"/>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highlight w:val="none"/>
                <w:lang w:eastAsia="zh-CN"/>
              </w:rPr>
              <w:t>）污染治理设施可行性分析</w:t>
            </w:r>
          </w:p>
          <w:p w14:paraId="546E27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项目废水采用自建污水处理</w:t>
            </w:r>
            <w:r>
              <w:rPr>
                <w:rFonts w:hint="eastAsia"/>
                <w:color w:val="auto"/>
                <w:lang w:val="en-US" w:eastAsia="zh-CN"/>
              </w:rPr>
              <w:t>站</w:t>
            </w:r>
            <w:r>
              <w:rPr>
                <w:rFonts w:hint="eastAsia" w:ascii="Times New Roman" w:hAnsi="Times New Roman" w:eastAsia="宋体" w:cs="Times New Roman"/>
                <w:color w:val="auto"/>
                <w:sz w:val="24"/>
                <w:lang w:val="en-US" w:eastAsia="zh-CN"/>
              </w:rPr>
              <w:t>达到</w:t>
            </w:r>
            <w:r>
              <w:rPr>
                <w:rFonts w:hint="eastAsia" w:cs="Times New Roman"/>
                <w:color w:val="auto"/>
                <w:sz w:val="24"/>
                <w:lang w:val="en-US" w:eastAsia="zh-CN"/>
              </w:rPr>
              <w:t>《淀粉工业水污染物排放标准》（GB 25461-2010）中表2直接排放标准限值</w:t>
            </w:r>
            <w:r>
              <w:rPr>
                <w:rFonts w:hint="eastAsia" w:ascii="Times New Roman" w:hAnsi="Times New Roman" w:eastAsia="宋体" w:cs="Times New Roman"/>
                <w:color w:val="auto"/>
                <w:sz w:val="24"/>
                <w:lang w:val="en-US" w:eastAsia="zh-CN"/>
              </w:rPr>
              <w:t>后排入锦江。项目污水处理站采用</w:t>
            </w:r>
            <w:r>
              <w:rPr>
                <w:rFonts w:hint="eastAsia"/>
                <w:color w:val="auto"/>
                <w:sz w:val="24"/>
                <w:szCs w:val="24"/>
                <w:lang w:val="en-US" w:eastAsia="zh-CN"/>
              </w:rPr>
              <w:t>“UASB+混凝沉淀”工艺（调节池+UASB+兼氧池+好氧池1+好氧池2+好氧池3+沉淀池+混凝池+沉淀池+清水池）处理，项目污水经污水处理站处理到达标排放，项目污水处理站设计处理能力为2000t/d，全厂废水处理量为1709.5286t/d污水处理站处理规模可以满足全厂污水处理量，故废水处理措施依托</w:t>
            </w:r>
            <w:r>
              <w:rPr>
                <w:rFonts w:hint="eastAsia" w:ascii="Times New Roman" w:hAnsi="Times New Roman" w:eastAsia="宋体" w:cs="Times New Roman"/>
                <w:color w:val="auto"/>
                <w:sz w:val="24"/>
              </w:rPr>
              <w:t>可行</w:t>
            </w:r>
            <w:r>
              <w:rPr>
                <w:rFonts w:hint="default" w:ascii="Times New Roman" w:hAnsi="Times New Roman" w:eastAsia="宋体" w:cs="Times New Roman"/>
                <w:color w:val="auto"/>
                <w:sz w:val="24"/>
              </w:rPr>
              <w:t>。</w:t>
            </w:r>
          </w:p>
          <w:p w14:paraId="2A09ACB2">
            <w:pPr>
              <w:keepNext w:val="0"/>
              <w:keepLines w:val="0"/>
              <w:pageBreakBefore w:val="0"/>
              <w:widowControl w:val="0"/>
              <w:suppressLineNumbers w:val="0"/>
              <w:kinsoku/>
              <w:wordWrap/>
              <w:overflowPunct/>
              <w:topLinePunct w:val="0"/>
              <w:autoSpaceDE/>
              <w:autoSpaceDN/>
              <w:bidi w:val="0"/>
              <w:adjustRightInd w:val="0"/>
              <w:snapToGrid/>
              <w:spacing w:before="157" w:beforeLines="50" w:beforeAutospacing="0" w:after="0" w:afterAutospacing="0" w:line="360" w:lineRule="auto"/>
              <w:ind w:left="0" w:right="0" w:firstLine="361" w:firstLineChars="150"/>
              <w:jc w:val="both"/>
              <w:textAlignment w:val="auto"/>
              <w:rPr>
                <w:rFonts w:hint="default" w:ascii="Times New Roman" w:hAnsi="Times New Roman" w:cs="Times New Roman"/>
                <w:b/>
                <w:bCs/>
                <w:color w:val="auto"/>
                <w:sz w:val="24"/>
                <w:highlight w:val="none"/>
              </w:rPr>
            </w:pPr>
            <w:r>
              <w:rPr>
                <w:rFonts w:hint="eastAsia"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3</w:t>
            </w:r>
            <w:r>
              <w:rPr>
                <w:rFonts w:hint="eastAsia" w:ascii="Times New Roman" w:hAnsi="Times New Roman" w:cs="Times New Roman"/>
                <w:b/>
                <w:bCs/>
                <w:color w:val="auto"/>
                <w:sz w:val="24"/>
                <w:highlight w:val="none"/>
                <w:lang w:eastAsia="zh-CN"/>
              </w:rPr>
              <w:t>）</w:t>
            </w:r>
            <w:r>
              <w:rPr>
                <w:rFonts w:hint="default" w:ascii="Times New Roman" w:hAnsi="Times New Roman" w:cs="Times New Roman"/>
                <w:b/>
                <w:bCs/>
                <w:color w:val="auto"/>
                <w:sz w:val="24"/>
                <w:highlight w:val="none"/>
              </w:rPr>
              <w:t>监测计划</w:t>
            </w:r>
          </w:p>
          <w:p w14:paraId="4F946E61">
            <w:pPr>
              <w:pStyle w:val="25"/>
              <w:keepNext w:val="0"/>
              <w:keepLines w:val="0"/>
              <w:suppressLineNumbers w:val="0"/>
              <w:spacing w:before="0" w:beforeAutospacing="0" w:after="0" w:afterAutospacing="0" w:line="360" w:lineRule="auto"/>
              <w:ind w:left="0" w:right="0" w:firstLine="480" w:firstLineChars="200"/>
              <w:jc w:val="both"/>
              <w:outlineLvl w:val="0"/>
              <w:rPr>
                <w:rFonts w:hint="default" w:ascii="Times New Roman" w:hAnsi="Times New Roman" w:eastAsia="宋体"/>
                <w:b/>
                <w:caps w:val="0"/>
                <w:color w:val="auto"/>
                <w:highlight w:val="none"/>
                <w:lang w:val="en-US" w:eastAsia="zh-CN"/>
              </w:rPr>
            </w:pPr>
            <w:bookmarkStart w:id="20" w:name="_Toc22665"/>
            <w:bookmarkStart w:id="21" w:name="_Toc3687"/>
            <w:bookmarkStart w:id="22" w:name="_Toc23979"/>
            <w:bookmarkStart w:id="23" w:name="_Toc17803"/>
            <w:bookmarkStart w:id="24" w:name="_Toc14829"/>
            <w:bookmarkStart w:id="25" w:name="_Toc2556"/>
            <w:bookmarkStart w:id="26" w:name="_Toc13616"/>
            <w:bookmarkStart w:id="27" w:name="_Toc6465"/>
            <w:bookmarkStart w:id="28" w:name="_Toc1050"/>
            <w:bookmarkStart w:id="29" w:name="_Toc2053"/>
            <w:bookmarkStart w:id="30" w:name="_Toc30181"/>
            <w:bookmarkStart w:id="31" w:name="_Toc28889"/>
            <w:bookmarkStart w:id="32" w:name="_Toc20662"/>
            <w:r>
              <w:rPr>
                <w:rFonts w:hint="default" w:ascii="Times New Roman" w:hAnsi="Times New Roman" w:eastAsia="宋体"/>
                <w:caps w:val="0"/>
                <w:color w:val="auto"/>
                <w:szCs w:val="24"/>
                <w:highlight w:val="none"/>
                <w:lang w:val="en-US" w:eastAsia="zh-CN"/>
              </w:rPr>
              <w:t>根据</w:t>
            </w:r>
            <w:r>
              <w:rPr>
                <w:rFonts w:hint="default" w:ascii="Times New Roman" w:hAnsi="Times New Roman" w:eastAsia="宋体"/>
                <w:bCs/>
                <w:caps w:val="0"/>
                <w:color w:val="auto"/>
                <w:highlight w:val="none"/>
                <w:lang w:val="en-US" w:eastAsia="zh-CN"/>
              </w:rPr>
              <w:t>《排污单位自行监测技术指南 总则》（HJ</w:t>
            </w:r>
            <w:r>
              <w:rPr>
                <w:rFonts w:hint="eastAsia" w:ascii="Times New Roman" w:hAnsi="Times New Roman" w:eastAsia="宋体"/>
                <w:bCs/>
                <w:caps w:val="0"/>
                <w:color w:val="auto"/>
                <w:highlight w:val="none"/>
                <w:lang w:val="en-US" w:eastAsia="zh-CN"/>
              </w:rPr>
              <w:t xml:space="preserve"> </w:t>
            </w:r>
            <w:r>
              <w:rPr>
                <w:rFonts w:hint="default" w:ascii="Times New Roman" w:hAnsi="Times New Roman" w:eastAsia="宋体"/>
                <w:bCs/>
                <w:caps w:val="0"/>
                <w:color w:val="auto"/>
                <w:highlight w:val="none"/>
                <w:lang w:val="en-US" w:eastAsia="zh-CN"/>
              </w:rPr>
              <w:t>819-2017）</w:t>
            </w:r>
            <w:r>
              <w:rPr>
                <w:rFonts w:hint="eastAsia" w:ascii="Times New Roman" w:hAnsi="Times New Roman" w:eastAsia="宋体"/>
                <w:bCs/>
                <w:caps w:val="0"/>
                <w:color w:val="auto"/>
                <w:highlight w:val="none"/>
                <w:lang w:val="en-US" w:eastAsia="zh-CN"/>
              </w:rPr>
              <w:t>、</w:t>
            </w:r>
            <w:r>
              <w:rPr>
                <w:rFonts w:hint="default" w:ascii="Times New Roman" w:hAnsi="Times New Roman" w:eastAsia="宋体"/>
                <w:bCs/>
                <w:caps w:val="0"/>
                <w:color w:val="auto"/>
                <w:highlight w:val="none"/>
                <w:lang w:val="en-US" w:eastAsia="zh-CN"/>
              </w:rPr>
              <w:t>《</w:t>
            </w:r>
            <w:r>
              <w:rPr>
                <w:rFonts w:hint="eastAsia" w:ascii="Times New Roman" w:hAnsi="Times New Roman"/>
                <w:bCs/>
                <w:caps w:val="0"/>
                <w:color w:val="auto"/>
                <w:highlight w:val="none"/>
                <w:lang w:val="en-US" w:eastAsia="zh-CN"/>
              </w:rPr>
              <w:t>排污许可证申请与核发技术规范 农副食品加工工业-淀粉工业</w:t>
            </w:r>
            <w:r>
              <w:rPr>
                <w:rFonts w:hint="default" w:ascii="Times New Roman" w:hAnsi="Times New Roman" w:eastAsia="宋体"/>
                <w:bCs/>
                <w:caps w:val="0"/>
                <w:color w:val="auto"/>
                <w:highlight w:val="none"/>
                <w:lang w:val="en-US" w:eastAsia="zh-CN"/>
              </w:rPr>
              <w:t>》（HJ</w:t>
            </w:r>
            <w:r>
              <w:rPr>
                <w:rFonts w:hint="eastAsia" w:ascii="Times New Roman" w:hAnsi="Times New Roman" w:eastAsia="宋体"/>
                <w:bCs/>
                <w:caps w:val="0"/>
                <w:color w:val="auto"/>
                <w:highlight w:val="none"/>
                <w:lang w:val="en-US" w:eastAsia="zh-CN"/>
              </w:rPr>
              <w:t xml:space="preserve"> 860.2</w:t>
            </w:r>
            <w:r>
              <w:rPr>
                <w:rFonts w:hint="default" w:ascii="Times New Roman" w:hAnsi="Times New Roman" w:eastAsia="宋体"/>
                <w:bCs/>
                <w:caps w:val="0"/>
                <w:color w:val="auto"/>
                <w:highlight w:val="none"/>
                <w:lang w:val="en-US" w:eastAsia="zh-CN"/>
              </w:rPr>
              <w:t>-201</w:t>
            </w:r>
            <w:r>
              <w:rPr>
                <w:rFonts w:hint="eastAsia" w:ascii="Times New Roman" w:hAnsi="Times New Roman" w:eastAsia="宋体"/>
                <w:bCs/>
                <w:caps w:val="0"/>
                <w:color w:val="auto"/>
                <w:highlight w:val="none"/>
                <w:lang w:val="en-US" w:eastAsia="zh-CN"/>
              </w:rPr>
              <w:t>8</w:t>
            </w:r>
            <w:r>
              <w:rPr>
                <w:rFonts w:hint="default" w:ascii="Times New Roman" w:hAnsi="Times New Roman" w:eastAsia="宋体"/>
                <w:bCs/>
                <w:caps w:val="0"/>
                <w:color w:val="auto"/>
                <w:highlight w:val="none"/>
                <w:lang w:val="en-US" w:eastAsia="zh-CN"/>
              </w:rPr>
              <w:t>）</w:t>
            </w:r>
            <w:r>
              <w:rPr>
                <w:rFonts w:hint="default" w:ascii="Times New Roman" w:hAnsi="Times New Roman" w:eastAsia="宋体"/>
                <w:caps w:val="0"/>
                <w:color w:val="auto"/>
                <w:szCs w:val="24"/>
                <w:highlight w:val="none"/>
                <w:lang w:val="en-US" w:eastAsia="zh-CN"/>
              </w:rPr>
              <w:t>，制定本项目废水监测计划如下</w:t>
            </w:r>
            <w:bookmarkEnd w:id="20"/>
            <w:bookmarkEnd w:id="21"/>
            <w:bookmarkEnd w:id="22"/>
            <w:bookmarkEnd w:id="23"/>
            <w:bookmarkEnd w:id="24"/>
            <w:r>
              <w:rPr>
                <w:rFonts w:hint="eastAsia" w:ascii="Times New Roman" w:hAnsi="Times New Roman" w:eastAsia="宋体"/>
                <w:caps w:val="0"/>
                <w:color w:val="auto"/>
                <w:szCs w:val="24"/>
                <w:highlight w:val="none"/>
                <w:lang w:val="en-US" w:eastAsia="zh-CN"/>
              </w:rPr>
              <w:t>。</w:t>
            </w:r>
            <w:bookmarkEnd w:id="25"/>
            <w:bookmarkEnd w:id="26"/>
            <w:bookmarkEnd w:id="27"/>
            <w:bookmarkEnd w:id="28"/>
            <w:bookmarkEnd w:id="29"/>
            <w:bookmarkEnd w:id="30"/>
            <w:bookmarkEnd w:id="31"/>
            <w:bookmarkEnd w:id="32"/>
          </w:p>
          <w:p w14:paraId="681607AA">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项目水污染物监测计划</w:t>
            </w:r>
          </w:p>
          <w:tbl>
            <w:tblPr>
              <w:tblStyle w:val="29"/>
              <w:tblW w:w="4996"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586"/>
              <w:gridCol w:w="1672"/>
              <w:gridCol w:w="1373"/>
              <w:gridCol w:w="2648"/>
            </w:tblGrid>
            <w:tr w14:paraId="729F6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pct"/>
                  <w:tcBorders>
                    <w:tl2br w:val="nil"/>
                    <w:tr2bl w:val="nil"/>
                  </w:tcBorders>
                  <w:noWrap w:val="0"/>
                  <w:vAlign w:val="center"/>
                </w:tcPr>
                <w:p w14:paraId="604AB948">
                  <w:pPr>
                    <w:pStyle w:val="132"/>
                    <w:keepNext w:val="0"/>
                    <w:keepLines w:val="0"/>
                    <w:suppressLineNumbers w:val="0"/>
                    <w:bidi w:val="0"/>
                    <w:spacing w:before="0" w:beforeAutospacing="0" w:after="0" w:afterAutospacing="0"/>
                    <w:ind w:left="0" w:right="0"/>
                    <w:rPr>
                      <w:rFonts w:hint="default"/>
                      <w:color w:val="auto"/>
                    </w:rPr>
                  </w:pPr>
                  <w:r>
                    <w:rPr>
                      <w:rFonts w:hint="eastAsia"/>
                      <w:color w:val="auto"/>
                    </w:rPr>
                    <w:t>监测点位</w:t>
                  </w:r>
                </w:p>
              </w:tc>
              <w:tc>
                <w:tcPr>
                  <w:tcW w:w="1434" w:type="pct"/>
                  <w:gridSpan w:val="2"/>
                  <w:tcBorders>
                    <w:tl2br w:val="nil"/>
                    <w:tr2bl w:val="nil"/>
                  </w:tcBorders>
                  <w:noWrap w:val="0"/>
                  <w:vAlign w:val="center"/>
                </w:tcPr>
                <w:p w14:paraId="45B8B9B4">
                  <w:pPr>
                    <w:pStyle w:val="132"/>
                    <w:keepNext w:val="0"/>
                    <w:keepLines w:val="0"/>
                    <w:suppressLineNumbers w:val="0"/>
                    <w:bidi w:val="0"/>
                    <w:spacing w:before="0" w:beforeAutospacing="0" w:after="0" w:afterAutospacing="0"/>
                    <w:ind w:left="0" w:right="0"/>
                    <w:rPr>
                      <w:rFonts w:hint="default"/>
                      <w:color w:val="auto"/>
                    </w:rPr>
                  </w:pPr>
                  <w:r>
                    <w:rPr>
                      <w:rFonts w:hint="eastAsia"/>
                      <w:color w:val="auto"/>
                    </w:rPr>
                    <w:t>监测因子</w:t>
                  </w:r>
                </w:p>
              </w:tc>
              <w:tc>
                <w:tcPr>
                  <w:tcW w:w="872" w:type="pct"/>
                  <w:tcBorders>
                    <w:tl2br w:val="nil"/>
                    <w:tr2bl w:val="nil"/>
                  </w:tcBorders>
                  <w:noWrap w:val="0"/>
                  <w:vAlign w:val="center"/>
                </w:tcPr>
                <w:p w14:paraId="6D97B14F">
                  <w:pPr>
                    <w:pStyle w:val="132"/>
                    <w:keepNext w:val="0"/>
                    <w:keepLines w:val="0"/>
                    <w:suppressLineNumbers w:val="0"/>
                    <w:bidi w:val="0"/>
                    <w:spacing w:before="0" w:beforeAutospacing="0" w:after="0" w:afterAutospacing="0"/>
                    <w:ind w:left="0" w:right="0"/>
                    <w:rPr>
                      <w:rFonts w:hint="default"/>
                      <w:color w:val="auto"/>
                    </w:rPr>
                  </w:pPr>
                  <w:r>
                    <w:rPr>
                      <w:rFonts w:hint="default"/>
                      <w:color w:val="auto"/>
                    </w:rPr>
                    <w:t>监测频次</w:t>
                  </w:r>
                </w:p>
              </w:tc>
              <w:tc>
                <w:tcPr>
                  <w:tcW w:w="1682" w:type="pct"/>
                  <w:tcBorders>
                    <w:tl2br w:val="nil"/>
                    <w:tr2bl w:val="nil"/>
                  </w:tcBorders>
                  <w:noWrap w:val="0"/>
                  <w:vAlign w:val="center"/>
                </w:tcPr>
                <w:p w14:paraId="4CE08AE9">
                  <w:pPr>
                    <w:pStyle w:val="132"/>
                    <w:keepNext w:val="0"/>
                    <w:keepLines w:val="0"/>
                    <w:suppressLineNumbers w:val="0"/>
                    <w:bidi w:val="0"/>
                    <w:spacing w:before="0" w:beforeAutospacing="0" w:after="0" w:afterAutospacing="0"/>
                    <w:ind w:left="0" w:right="0"/>
                    <w:rPr>
                      <w:rFonts w:hint="eastAsia"/>
                      <w:color w:val="auto"/>
                    </w:rPr>
                  </w:pPr>
                  <w:r>
                    <w:rPr>
                      <w:rFonts w:hint="eastAsia"/>
                      <w:color w:val="auto"/>
                    </w:rPr>
                    <w:t>执行标准</w:t>
                  </w:r>
                </w:p>
              </w:tc>
            </w:tr>
            <w:tr w14:paraId="40423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10" w:type="pct"/>
                  <w:vMerge w:val="restart"/>
                  <w:tcBorders>
                    <w:tl2br w:val="nil"/>
                    <w:tr2bl w:val="nil"/>
                  </w:tcBorders>
                  <w:noWrap w:val="0"/>
                  <w:vAlign w:val="center"/>
                </w:tcPr>
                <w:p w14:paraId="6BECFDEF">
                  <w:pPr>
                    <w:pStyle w:val="132"/>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综合</w:t>
                  </w:r>
                  <w:r>
                    <w:rPr>
                      <w:rFonts w:hint="eastAsia"/>
                      <w:color w:val="auto"/>
                    </w:rPr>
                    <w:t>废水排放口</w:t>
                  </w:r>
                  <w:r>
                    <w:rPr>
                      <w:rFonts w:hint="eastAsia"/>
                      <w:color w:val="auto"/>
                      <w:lang w:val="en-US" w:eastAsia="zh-CN"/>
                    </w:rPr>
                    <w:t>DW001</w:t>
                  </w:r>
                </w:p>
              </w:tc>
              <w:tc>
                <w:tcPr>
                  <w:tcW w:w="372" w:type="pct"/>
                  <w:vMerge w:val="restart"/>
                  <w:tcBorders>
                    <w:tl2br w:val="nil"/>
                    <w:tr2bl w:val="nil"/>
                  </w:tcBorders>
                  <w:noWrap w:val="0"/>
                  <w:vAlign w:val="center"/>
                </w:tcPr>
                <w:p w14:paraId="0DFD01A0">
                  <w:pPr>
                    <w:pStyle w:val="13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综合废水</w:t>
                  </w:r>
                </w:p>
              </w:tc>
              <w:tc>
                <w:tcPr>
                  <w:tcW w:w="1062" w:type="pct"/>
                  <w:tcBorders>
                    <w:tl2br w:val="nil"/>
                    <w:tr2bl w:val="nil"/>
                  </w:tcBorders>
                  <w:noWrap w:val="0"/>
                  <w:vAlign w:val="center"/>
                </w:tcPr>
                <w:p w14:paraId="266BC90A">
                  <w:pPr>
                    <w:pStyle w:val="13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pH</w:t>
                  </w:r>
                </w:p>
              </w:tc>
              <w:tc>
                <w:tcPr>
                  <w:tcW w:w="872" w:type="pct"/>
                  <w:vMerge w:val="restart"/>
                  <w:tcBorders>
                    <w:tl2br w:val="nil"/>
                    <w:tr2bl w:val="nil"/>
                  </w:tcBorders>
                  <w:noWrap w:val="0"/>
                  <w:vAlign w:val="center"/>
                </w:tcPr>
                <w:p w14:paraId="172E56E9">
                  <w:pPr>
                    <w:pStyle w:val="132"/>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在线监测</w:t>
                  </w:r>
                </w:p>
              </w:tc>
              <w:tc>
                <w:tcPr>
                  <w:tcW w:w="1682" w:type="pct"/>
                  <w:vMerge w:val="restart"/>
                  <w:tcBorders>
                    <w:tl2br w:val="nil"/>
                    <w:tr2bl w:val="nil"/>
                  </w:tcBorders>
                  <w:noWrap w:val="0"/>
                  <w:vAlign w:val="center"/>
                </w:tcPr>
                <w:p w14:paraId="6A37A162">
                  <w:pPr>
                    <w:pStyle w:val="132"/>
                    <w:keepNext w:val="0"/>
                    <w:keepLines w:val="0"/>
                    <w:suppressLineNumbers w:val="0"/>
                    <w:bidi w:val="0"/>
                    <w:spacing w:before="0" w:beforeAutospacing="0" w:after="0" w:afterAutospacing="0"/>
                    <w:ind w:left="0" w:right="0"/>
                    <w:rPr>
                      <w:rFonts w:hint="eastAsia" w:eastAsia="宋体"/>
                      <w:color w:val="auto"/>
                      <w:lang w:val="en-US" w:eastAsia="zh-CN"/>
                    </w:rPr>
                  </w:pPr>
                  <w:r>
                    <w:rPr>
                      <w:rFonts w:hint="eastAsia"/>
                      <w:color w:val="auto"/>
                      <w:lang w:eastAsia="zh-CN"/>
                    </w:rPr>
                    <w:t>《淀粉工业水污染物排放标准》（GB 25461-2010）中表2直接排放标准限值</w:t>
                  </w:r>
                </w:p>
              </w:tc>
            </w:tr>
            <w:tr w14:paraId="2E259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1010" w:type="pct"/>
                  <w:vMerge w:val="continue"/>
                  <w:tcBorders>
                    <w:tl2br w:val="nil"/>
                    <w:tr2bl w:val="nil"/>
                  </w:tcBorders>
                  <w:noWrap w:val="0"/>
                  <w:vAlign w:val="center"/>
                </w:tcPr>
                <w:p w14:paraId="1F33D1C4">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4186347C">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71CEEB21">
                  <w:pPr>
                    <w:pStyle w:val="132"/>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TP</w:t>
                  </w:r>
                </w:p>
              </w:tc>
              <w:tc>
                <w:tcPr>
                  <w:tcW w:w="872" w:type="pct"/>
                  <w:vMerge w:val="continue"/>
                  <w:tcBorders>
                    <w:tl2br w:val="nil"/>
                    <w:tr2bl w:val="nil"/>
                  </w:tcBorders>
                  <w:noWrap w:val="0"/>
                  <w:vAlign w:val="center"/>
                </w:tcPr>
                <w:p w14:paraId="6627BE87">
                  <w:pPr>
                    <w:pStyle w:val="132"/>
                    <w:keepNext w:val="0"/>
                    <w:keepLines w:val="0"/>
                    <w:suppressLineNumbers w:val="0"/>
                    <w:bidi w:val="0"/>
                    <w:spacing w:before="0" w:beforeAutospacing="0" w:after="0" w:afterAutospacing="0"/>
                    <w:ind w:left="0" w:right="0"/>
                    <w:rPr>
                      <w:rFonts w:hint="default"/>
                      <w:color w:val="auto"/>
                    </w:rPr>
                  </w:pPr>
                </w:p>
              </w:tc>
              <w:tc>
                <w:tcPr>
                  <w:tcW w:w="1682" w:type="pct"/>
                  <w:vMerge w:val="continue"/>
                  <w:tcBorders>
                    <w:tl2br w:val="nil"/>
                    <w:tr2bl w:val="nil"/>
                  </w:tcBorders>
                  <w:noWrap w:val="0"/>
                  <w:vAlign w:val="center"/>
                </w:tcPr>
                <w:p w14:paraId="34C0AACC">
                  <w:pPr>
                    <w:pStyle w:val="132"/>
                    <w:keepNext w:val="0"/>
                    <w:keepLines w:val="0"/>
                    <w:suppressLineNumbers w:val="0"/>
                    <w:bidi w:val="0"/>
                    <w:spacing w:before="0" w:beforeAutospacing="0" w:after="0" w:afterAutospacing="0"/>
                    <w:ind w:left="0" w:right="0"/>
                    <w:rPr>
                      <w:rFonts w:hint="default"/>
                      <w:color w:val="auto"/>
                    </w:rPr>
                  </w:pPr>
                </w:p>
              </w:tc>
            </w:tr>
            <w:tr w14:paraId="2DD0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1010" w:type="pct"/>
                  <w:vMerge w:val="continue"/>
                  <w:tcBorders>
                    <w:tl2br w:val="nil"/>
                    <w:tr2bl w:val="nil"/>
                  </w:tcBorders>
                  <w:noWrap w:val="0"/>
                  <w:vAlign w:val="center"/>
                </w:tcPr>
                <w:p w14:paraId="1967F8D7">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4B266A34">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7A936C05">
                  <w:pPr>
                    <w:pStyle w:val="13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sz w:val="24"/>
                      <w:szCs w:val="24"/>
                      <w:lang w:val="en-US" w:eastAsia="zh-CN"/>
                    </w:rPr>
                    <w:t>COD</w:t>
                  </w:r>
                  <w:r>
                    <w:rPr>
                      <w:rFonts w:hint="eastAsia"/>
                      <w:color w:val="auto"/>
                      <w:sz w:val="24"/>
                      <w:szCs w:val="24"/>
                      <w:lang w:val="en-US" w:eastAsia="zh-CN"/>
                    </w:rPr>
                    <w:t>cr</w:t>
                  </w:r>
                </w:p>
              </w:tc>
              <w:tc>
                <w:tcPr>
                  <w:tcW w:w="872" w:type="pct"/>
                  <w:vMerge w:val="continue"/>
                  <w:tcBorders>
                    <w:tl2br w:val="nil"/>
                    <w:tr2bl w:val="nil"/>
                  </w:tcBorders>
                  <w:noWrap w:val="0"/>
                  <w:vAlign w:val="center"/>
                </w:tcPr>
                <w:p w14:paraId="02F25CE3">
                  <w:pPr>
                    <w:pStyle w:val="132"/>
                    <w:keepNext w:val="0"/>
                    <w:keepLines w:val="0"/>
                    <w:suppressLineNumbers w:val="0"/>
                    <w:bidi w:val="0"/>
                    <w:spacing w:before="0" w:beforeAutospacing="0" w:after="0" w:afterAutospacing="0"/>
                    <w:ind w:left="0" w:right="0"/>
                    <w:rPr>
                      <w:rFonts w:hint="default"/>
                      <w:color w:val="auto"/>
                    </w:rPr>
                  </w:pPr>
                </w:p>
              </w:tc>
              <w:tc>
                <w:tcPr>
                  <w:tcW w:w="1682" w:type="pct"/>
                  <w:vMerge w:val="continue"/>
                  <w:tcBorders>
                    <w:tl2br w:val="nil"/>
                    <w:tr2bl w:val="nil"/>
                  </w:tcBorders>
                  <w:noWrap w:val="0"/>
                  <w:vAlign w:val="center"/>
                </w:tcPr>
                <w:p w14:paraId="122ECC5A">
                  <w:pPr>
                    <w:pStyle w:val="132"/>
                    <w:keepNext w:val="0"/>
                    <w:keepLines w:val="0"/>
                    <w:suppressLineNumbers w:val="0"/>
                    <w:bidi w:val="0"/>
                    <w:spacing w:before="0" w:beforeAutospacing="0" w:after="0" w:afterAutospacing="0"/>
                    <w:ind w:left="0" w:right="0"/>
                    <w:rPr>
                      <w:rFonts w:hint="default"/>
                      <w:color w:val="auto"/>
                    </w:rPr>
                  </w:pPr>
                </w:p>
              </w:tc>
            </w:tr>
            <w:tr w14:paraId="07493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010" w:type="pct"/>
                  <w:vMerge w:val="continue"/>
                  <w:tcBorders>
                    <w:tl2br w:val="nil"/>
                    <w:tr2bl w:val="nil"/>
                  </w:tcBorders>
                  <w:noWrap w:val="0"/>
                  <w:vAlign w:val="center"/>
                </w:tcPr>
                <w:p w14:paraId="00F776A0">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12E333A6">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10D31300">
                  <w:pPr>
                    <w:pStyle w:val="13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氨氮</w:t>
                  </w:r>
                </w:p>
              </w:tc>
              <w:tc>
                <w:tcPr>
                  <w:tcW w:w="872" w:type="pct"/>
                  <w:vMerge w:val="continue"/>
                  <w:tcBorders>
                    <w:tl2br w:val="nil"/>
                    <w:tr2bl w:val="nil"/>
                  </w:tcBorders>
                  <w:noWrap w:val="0"/>
                  <w:vAlign w:val="center"/>
                </w:tcPr>
                <w:p w14:paraId="462EB2CC">
                  <w:pPr>
                    <w:pStyle w:val="132"/>
                    <w:keepNext w:val="0"/>
                    <w:keepLines w:val="0"/>
                    <w:suppressLineNumbers w:val="0"/>
                    <w:bidi w:val="0"/>
                    <w:spacing w:before="0" w:beforeAutospacing="0" w:after="0" w:afterAutospacing="0"/>
                    <w:ind w:left="0" w:right="0"/>
                    <w:rPr>
                      <w:rFonts w:hint="default"/>
                      <w:color w:val="auto"/>
                    </w:rPr>
                  </w:pPr>
                </w:p>
              </w:tc>
              <w:tc>
                <w:tcPr>
                  <w:tcW w:w="1682" w:type="pct"/>
                  <w:vMerge w:val="continue"/>
                  <w:tcBorders>
                    <w:tl2br w:val="nil"/>
                    <w:tr2bl w:val="nil"/>
                  </w:tcBorders>
                  <w:noWrap w:val="0"/>
                  <w:vAlign w:val="center"/>
                </w:tcPr>
                <w:p w14:paraId="1042AEF8">
                  <w:pPr>
                    <w:pStyle w:val="132"/>
                    <w:keepNext w:val="0"/>
                    <w:keepLines w:val="0"/>
                    <w:suppressLineNumbers w:val="0"/>
                    <w:bidi w:val="0"/>
                    <w:spacing w:before="0" w:beforeAutospacing="0" w:after="0" w:afterAutospacing="0"/>
                    <w:ind w:left="0" w:right="0"/>
                    <w:rPr>
                      <w:rFonts w:hint="default"/>
                      <w:color w:val="auto"/>
                    </w:rPr>
                  </w:pPr>
                </w:p>
              </w:tc>
            </w:tr>
            <w:tr w14:paraId="0F790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010" w:type="pct"/>
                  <w:vMerge w:val="continue"/>
                  <w:tcBorders>
                    <w:tl2br w:val="nil"/>
                    <w:tr2bl w:val="nil"/>
                  </w:tcBorders>
                  <w:noWrap w:val="0"/>
                  <w:vAlign w:val="center"/>
                </w:tcPr>
                <w:p w14:paraId="1F58097B">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0188056D">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4FFF598B">
                  <w:pPr>
                    <w:pStyle w:val="132"/>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sz w:val="24"/>
                      <w:szCs w:val="24"/>
                      <w:lang w:val="en-US" w:eastAsia="zh-CN"/>
                    </w:rPr>
                    <w:t>TN</w:t>
                  </w:r>
                </w:p>
              </w:tc>
              <w:tc>
                <w:tcPr>
                  <w:tcW w:w="872" w:type="pct"/>
                  <w:vMerge w:val="continue"/>
                  <w:tcBorders>
                    <w:tl2br w:val="nil"/>
                    <w:tr2bl w:val="nil"/>
                  </w:tcBorders>
                  <w:noWrap w:val="0"/>
                  <w:vAlign w:val="center"/>
                </w:tcPr>
                <w:p w14:paraId="7E58C7BD">
                  <w:pPr>
                    <w:pStyle w:val="132"/>
                    <w:keepNext w:val="0"/>
                    <w:keepLines w:val="0"/>
                    <w:suppressLineNumbers w:val="0"/>
                    <w:bidi w:val="0"/>
                    <w:spacing w:before="0" w:beforeAutospacing="0" w:after="0" w:afterAutospacing="0"/>
                    <w:ind w:left="0" w:right="0"/>
                    <w:rPr>
                      <w:rFonts w:hint="default"/>
                      <w:color w:val="auto"/>
                    </w:rPr>
                  </w:pPr>
                </w:p>
              </w:tc>
              <w:tc>
                <w:tcPr>
                  <w:tcW w:w="1682" w:type="pct"/>
                  <w:vMerge w:val="continue"/>
                  <w:tcBorders>
                    <w:tl2br w:val="nil"/>
                    <w:tr2bl w:val="nil"/>
                  </w:tcBorders>
                  <w:noWrap w:val="0"/>
                  <w:vAlign w:val="center"/>
                </w:tcPr>
                <w:p w14:paraId="689F8CA3">
                  <w:pPr>
                    <w:pStyle w:val="132"/>
                    <w:keepNext w:val="0"/>
                    <w:keepLines w:val="0"/>
                    <w:suppressLineNumbers w:val="0"/>
                    <w:bidi w:val="0"/>
                    <w:spacing w:before="0" w:beforeAutospacing="0" w:after="0" w:afterAutospacing="0"/>
                    <w:ind w:left="0" w:right="0"/>
                    <w:rPr>
                      <w:rFonts w:hint="default"/>
                      <w:color w:val="auto"/>
                    </w:rPr>
                  </w:pPr>
                </w:p>
              </w:tc>
            </w:tr>
            <w:tr w14:paraId="63874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010" w:type="pct"/>
                  <w:vMerge w:val="continue"/>
                  <w:tcBorders>
                    <w:tl2br w:val="nil"/>
                    <w:tr2bl w:val="nil"/>
                  </w:tcBorders>
                  <w:noWrap w:val="0"/>
                  <w:vAlign w:val="center"/>
                </w:tcPr>
                <w:p w14:paraId="002FBE2A">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3293B829">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7D002363">
                  <w:pPr>
                    <w:pStyle w:val="13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五日生化需氧量</w:t>
                  </w:r>
                </w:p>
              </w:tc>
              <w:tc>
                <w:tcPr>
                  <w:tcW w:w="872" w:type="pct"/>
                  <w:tcBorders>
                    <w:tl2br w:val="nil"/>
                    <w:tr2bl w:val="nil"/>
                  </w:tcBorders>
                  <w:noWrap w:val="0"/>
                  <w:vAlign w:val="center"/>
                </w:tcPr>
                <w:p w14:paraId="0D0720BA">
                  <w:pPr>
                    <w:pStyle w:val="132"/>
                    <w:keepNext w:val="0"/>
                    <w:keepLines w:val="0"/>
                    <w:suppressLineNumbers w:val="0"/>
                    <w:bidi w:val="0"/>
                    <w:spacing w:before="0" w:beforeAutospacing="0" w:after="0" w:afterAutospacing="0"/>
                    <w:ind w:left="0" w:right="0"/>
                    <w:rPr>
                      <w:rFonts w:hint="default"/>
                      <w:color w:val="auto"/>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月</w:t>
                  </w:r>
                </w:p>
              </w:tc>
              <w:tc>
                <w:tcPr>
                  <w:tcW w:w="1682" w:type="pct"/>
                  <w:vMerge w:val="continue"/>
                  <w:tcBorders>
                    <w:tl2br w:val="nil"/>
                    <w:tr2bl w:val="nil"/>
                  </w:tcBorders>
                  <w:noWrap w:val="0"/>
                  <w:vAlign w:val="center"/>
                </w:tcPr>
                <w:p w14:paraId="14B3780C">
                  <w:pPr>
                    <w:pStyle w:val="132"/>
                    <w:keepNext w:val="0"/>
                    <w:keepLines w:val="0"/>
                    <w:suppressLineNumbers w:val="0"/>
                    <w:bidi w:val="0"/>
                    <w:spacing w:before="0" w:beforeAutospacing="0" w:after="0" w:afterAutospacing="0"/>
                    <w:ind w:left="0" w:right="0"/>
                    <w:rPr>
                      <w:rFonts w:hint="default"/>
                      <w:color w:val="auto"/>
                    </w:rPr>
                  </w:pPr>
                </w:p>
              </w:tc>
            </w:tr>
            <w:tr w14:paraId="1A8CF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010" w:type="pct"/>
                  <w:vMerge w:val="continue"/>
                  <w:tcBorders>
                    <w:tl2br w:val="nil"/>
                    <w:tr2bl w:val="nil"/>
                  </w:tcBorders>
                  <w:noWrap w:val="0"/>
                  <w:vAlign w:val="center"/>
                </w:tcPr>
                <w:p w14:paraId="43CEA4E7">
                  <w:pPr>
                    <w:pStyle w:val="132"/>
                    <w:keepNext w:val="0"/>
                    <w:keepLines w:val="0"/>
                    <w:suppressLineNumbers w:val="0"/>
                    <w:bidi w:val="0"/>
                    <w:spacing w:before="0" w:beforeAutospacing="0" w:after="0" w:afterAutospacing="0"/>
                    <w:ind w:left="0" w:right="0"/>
                    <w:rPr>
                      <w:rFonts w:hint="default"/>
                      <w:color w:val="auto"/>
                    </w:rPr>
                  </w:pPr>
                </w:p>
              </w:tc>
              <w:tc>
                <w:tcPr>
                  <w:tcW w:w="372" w:type="pct"/>
                  <w:vMerge w:val="continue"/>
                  <w:tcBorders>
                    <w:tl2br w:val="nil"/>
                    <w:tr2bl w:val="nil"/>
                  </w:tcBorders>
                  <w:noWrap w:val="0"/>
                  <w:vAlign w:val="center"/>
                </w:tcPr>
                <w:p w14:paraId="3778DE99">
                  <w:pPr>
                    <w:pStyle w:val="132"/>
                    <w:keepNext w:val="0"/>
                    <w:keepLines w:val="0"/>
                    <w:suppressLineNumbers w:val="0"/>
                    <w:bidi w:val="0"/>
                    <w:spacing w:before="0" w:beforeAutospacing="0" w:after="0" w:afterAutospacing="0"/>
                    <w:ind w:left="0" w:right="0"/>
                    <w:rPr>
                      <w:rFonts w:hint="default"/>
                      <w:color w:val="auto"/>
                      <w:lang w:val="en-US" w:eastAsia="zh-CN"/>
                    </w:rPr>
                  </w:pPr>
                </w:p>
              </w:tc>
              <w:tc>
                <w:tcPr>
                  <w:tcW w:w="1062" w:type="pct"/>
                  <w:tcBorders>
                    <w:tl2br w:val="nil"/>
                    <w:tr2bl w:val="nil"/>
                  </w:tcBorders>
                  <w:noWrap w:val="0"/>
                  <w:vAlign w:val="center"/>
                </w:tcPr>
                <w:p w14:paraId="08E87000">
                  <w:pPr>
                    <w:pStyle w:val="132"/>
                    <w:keepNext w:val="0"/>
                    <w:keepLines w:val="0"/>
                    <w:suppressLineNumbers w:val="0"/>
                    <w:bidi w:val="0"/>
                    <w:spacing w:before="0" w:beforeAutospacing="0" w:after="0" w:afterAutospacing="0"/>
                    <w:ind w:left="0" w:right="0"/>
                    <w:rPr>
                      <w:rFonts w:hint="eastAsia"/>
                      <w:color w:val="auto"/>
                      <w:sz w:val="24"/>
                      <w:szCs w:val="24"/>
                      <w:lang w:val="en-US" w:eastAsia="zh-CN"/>
                    </w:rPr>
                  </w:pPr>
                  <w:r>
                    <w:rPr>
                      <w:rFonts w:hint="eastAsia" w:ascii="Times New Roman" w:hAnsi="Times New Roman" w:eastAsia="宋体" w:cs="Times New Roman"/>
                      <w:color w:val="auto"/>
                      <w:lang w:val="en-US" w:eastAsia="zh-CN"/>
                    </w:rPr>
                    <w:t>悬浮物</w:t>
                  </w:r>
                </w:p>
              </w:tc>
              <w:tc>
                <w:tcPr>
                  <w:tcW w:w="872" w:type="pct"/>
                  <w:tcBorders>
                    <w:tl2br w:val="nil"/>
                    <w:tr2bl w:val="nil"/>
                  </w:tcBorders>
                  <w:noWrap w:val="0"/>
                  <w:vAlign w:val="center"/>
                </w:tcPr>
                <w:p w14:paraId="05E7E360">
                  <w:pPr>
                    <w:pStyle w:val="132"/>
                    <w:keepNext w:val="0"/>
                    <w:keepLines w:val="0"/>
                    <w:suppressLineNumbers w:val="0"/>
                    <w:bidi w:val="0"/>
                    <w:spacing w:before="0" w:beforeAutospacing="0" w:after="0" w:afterAutospacing="0"/>
                    <w:ind w:left="0" w:right="0"/>
                    <w:rPr>
                      <w:rFonts w:hint="default"/>
                      <w:color w:val="auto"/>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月</w:t>
                  </w:r>
                </w:p>
              </w:tc>
              <w:tc>
                <w:tcPr>
                  <w:tcW w:w="1682" w:type="pct"/>
                  <w:vMerge w:val="continue"/>
                  <w:tcBorders>
                    <w:tl2br w:val="nil"/>
                    <w:tr2bl w:val="nil"/>
                  </w:tcBorders>
                  <w:noWrap w:val="0"/>
                  <w:vAlign w:val="center"/>
                </w:tcPr>
                <w:p w14:paraId="19967F29">
                  <w:pPr>
                    <w:pStyle w:val="132"/>
                    <w:keepNext w:val="0"/>
                    <w:keepLines w:val="0"/>
                    <w:suppressLineNumbers w:val="0"/>
                    <w:bidi w:val="0"/>
                    <w:spacing w:before="0" w:beforeAutospacing="0" w:after="0" w:afterAutospacing="0"/>
                    <w:ind w:left="0" w:right="0"/>
                    <w:rPr>
                      <w:rFonts w:hint="default"/>
                      <w:color w:val="auto"/>
                    </w:rPr>
                  </w:pPr>
                </w:p>
              </w:tc>
            </w:tr>
          </w:tbl>
          <w:p w14:paraId="0B5EDBFB">
            <w:pPr>
              <w:pStyle w:val="78"/>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p>
        </w:tc>
      </w:tr>
    </w:tbl>
    <w:p w14:paraId="0121A53E">
      <w:pPr>
        <w:pStyle w:val="25"/>
        <w:adjustRightInd w:val="0"/>
        <w:snapToGrid w:val="0"/>
        <w:spacing w:before="0" w:beforeAutospacing="0" w:after="0" w:afterAutospacing="0"/>
        <w:jc w:val="center"/>
        <w:outlineLvl w:val="0"/>
        <w:rPr>
          <w:rFonts w:cs="宋体"/>
          <w:color w:val="auto"/>
          <w:kern w:val="2"/>
          <w:szCs w:val="24"/>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3700"/>
      </w:tblGrid>
      <w:tr w14:paraId="244D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5" w:hRule="atLeast"/>
        </w:trPr>
        <w:tc>
          <w:tcPr>
            <w:tcW w:w="476" w:type="dxa"/>
            <w:noWrap w:val="0"/>
            <w:vAlign w:val="center"/>
          </w:tcPr>
          <w:p w14:paraId="35571C12">
            <w:pPr>
              <w:keepNext w:val="0"/>
              <w:keepLines w:val="0"/>
              <w:suppressLineNumbers w:val="0"/>
              <w:spacing w:before="0" w:beforeAutospacing="0" w:after="0" w:afterAutospacing="0"/>
              <w:ind w:left="0" w:leftChars="0" w:right="0" w:firstLine="0" w:firstLineChars="0"/>
              <w:jc w:val="both"/>
              <w:rPr>
                <w:rFonts w:hint="default" w:cs="Times New Roman"/>
                <w:color w:val="auto"/>
                <w:vertAlign w:val="baseline"/>
              </w:rPr>
            </w:pPr>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p>
        </w:tc>
        <w:tc>
          <w:tcPr>
            <w:tcW w:w="13700" w:type="dxa"/>
            <w:noWrap w:val="0"/>
            <w:vAlign w:val="top"/>
          </w:tcPr>
          <w:p w14:paraId="3BC67B65">
            <w:pPr>
              <w:pStyle w:val="78"/>
              <w:keepNext w:val="0"/>
              <w:keepLines w:val="0"/>
              <w:numPr>
                <w:ilvl w:val="0"/>
                <w:numId w:val="13"/>
              </w:numPr>
              <w:suppressLineNumbers w:val="0"/>
              <w:bidi w:val="0"/>
              <w:spacing w:before="0" w:beforeAutospacing="0" w:after="0" w:afterAutospacing="0"/>
              <w:ind w:left="280" w:leftChars="0" w:right="0" w:firstLineChars="0"/>
              <w:rPr>
                <w:rFonts w:hint="default" w:cs="Times New Roman"/>
                <w:b/>
                <w:bCs/>
                <w:color w:val="auto"/>
                <w:lang w:val="en-US" w:eastAsia="zh-CN"/>
              </w:rPr>
            </w:pPr>
            <w:r>
              <w:rPr>
                <w:rFonts w:hint="default" w:cs="Times New Roman"/>
                <w:b/>
                <w:bCs/>
                <w:color w:val="auto"/>
                <w:lang w:val="en-US" w:eastAsia="zh-CN"/>
              </w:rPr>
              <w:t>噪声污染源源强核算</w:t>
            </w:r>
          </w:p>
          <w:p w14:paraId="66C0C166">
            <w:pPr>
              <w:pStyle w:val="78"/>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本项目</w:t>
            </w:r>
            <w:r>
              <w:rPr>
                <w:rFonts w:hint="default" w:cs="Times New Roman"/>
                <w:color w:val="auto"/>
                <w:lang w:val="en-US" w:eastAsia="zh-CN"/>
              </w:rPr>
              <w:t>噪声主要来自破碎机等设备产生的机械噪声，噪声值为</w:t>
            </w:r>
            <w:r>
              <w:rPr>
                <w:rFonts w:hint="eastAsia" w:cs="Times New Roman"/>
                <w:color w:val="auto"/>
                <w:lang w:val="en-US" w:eastAsia="zh-CN"/>
              </w:rPr>
              <w:t>75</w:t>
            </w:r>
            <w:r>
              <w:rPr>
                <w:rFonts w:hint="default" w:cs="Times New Roman"/>
                <w:color w:val="auto"/>
                <w:lang w:val="en-US" w:eastAsia="zh-CN"/>
              </w:rPr>
              <w:t>-</w:t>
            </w:r>
            <w:r>
              <w:rPr>
                <w:rFonts w:hint="eastAsia" w:cs="Times New Roman"/>
                <w:color w:val="auto"/>
                <w:lang w:val="en-US" w:eastAsia="zh-CN"/>
              </w:rPr>
              <w:t>85</w:t>
            </w:r>
            <w:r>
              <w:rPr>
                <w:rFonts w:hint="default" w:cs="Times New Roman"/>
                <w:color w:val="auto"/>
                <w:lang w:val="en-US" w:eastAsia="zh-CN"/>
              </w:rPr>
              <w:t>dB（A），具体</w:t>
            </w:r>
            <w:r>
              <w:rPr>
                <w:rFonts w:hint="eastAsia" w:cs="Times New Roman"/>
                <w:color w:val="auto"/>
                <w:lang w:val="en-US" w:eastAsia="zh-CN"/>
              </w:rPr>
              <w:t>见下</w:t>
            </w:r>
            <w:r>
              <w:rPr>
                <w:rFonts w:hint="default" w:cs="Times New Roman"/>
                <w:color w:val="auto"/>
                <w:lang w:val="en-US" w:eastAsia="zh-CN"/>
              </w:rPr>
              <w:t>表。</w:t>
            </w:r>
          </w:p>
          <w:p w14:paraId="7AC567B2">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工业企业噪声源强调查清单（室内声源）</w:t>
            </w:r>
          </w:p>
          <w:tbl>
            <w:tblPr>
              <w:tblStyle w:val="29"/>
              <w:tblW w:w="492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97"/>
              <w:gridCol w:w="905"/>
              <w:gridCol w:w="408"/>
              <w:gridCol w:w="1389"/>
              <w:gridCol w:w="1321"/>
              <w:gridCol w:w="1513"/>
              <w:gridCol w:w="875"/>
              <w:gridCol w:w="608"/>
              <w:gridCol w:w="749"/>
              <w:gridCol w:w="595"/>
              <w:gridCol w:w="546"/>
              <w:gridCol w:w="711"/>
              <w:gridCol w:w="950"/>
              <w:gridCol w:w="777"/>
              <w:gridCol w:w="716"/>
              <w:gridCol w:w="807"/>
            </w:tblGrid>
            <w:tr w14:paraId="76EB3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vMerge w:val="restart"/>
                  <w:tcBorders>
                    <w:tl2br w:val="nil"/>
                    <w:tr2bl w:val="nil"/>
                  </w:tcBorders>
                  <w:noWrap w:val="0"/>
                  <w:vAlign w:val="center"/>
                </w:tcPr>
                <w:p w14:paraId="497697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序号</w:t>
                  </w:r>
                </w:p>
              </w:tc>
              <w:tc>
                <w:tcPr>
                  <w:tcW w:w="341" w:type="pct"/>
                  <w:vMerge w:val="restart"/>
                  <w:tcBorders>
                    <w:tl2br w:val="nil"/>
                    <w:tr2bl w:val="nil"/>
                  </w:tcBorders>
                  <w:noWrap w:val="0"/>
                  <w:vAlign w:val="center"/>
                </w:tcPr>
                <w:p w14:paraId="3FAD7F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建筑物名称</w:t>
                  </w:r>
                </w:p>
              </w:tc>
              <w:tc>
                <w:tcPr>
                  <w:tcW w:w="153" w:type="pct"/>
                  <w:vMerge w:val="restart"/>
                  <w:tcBorders>
                    <w:tl2br w:val="nil"/>
                    <w:tr2bl w:val="nil"/>
                  </w:tcBorders>
                  <w:noWrap w:val="0"/>
                  <w:vAlign w:val="center"/>
                </w:tcPr>
                <w:p w14:paraId="67AEE9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数量（台）</w:t>
                  </w:r>
                </w:p>
              </w:tc>
              <w:tc>
                <w:tcPr>
                  <w:tcW w:w="523" w:type="pct"/>
                  <w:vMerge w:val="restart"/>
                  <w:tcBorders>
                    <w:tl2br w:val="nil"/>
                    <w:tr2bl w:val="nil"/>
                  </w:tcBorders>
                  <w:noWrap w:val="0"/>
                  <w:vAlign w:val="center"/>
                </w:tcPr>
                <w:p w14:paraId="613F87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声源</w:t>
                  </w:r>
                </w:p>
                <w:p w14:paraId="35CC8B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名称</w:t>
                  </w:r>
                </w:p>
              </w:tc>
              <w:tc>
                <w:tcPr>
                  <w:tcW w:w="497" w:type="pct"/>
                  <w:vMerge w:val="restart"/>
                  <w:tcBorders>
                    <w:tl2br w:val="nil"/>
                    <w:tr2bl w:val="nil"/>
                  </w:tcBorders>
                  <w:noWrap w:val="0"/>
                  <w:vAlign w:val="center"/>
                </w:tcPr>
                <w:p w14:paraId="0EC957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型号</w:t>
                  </w:r>
                </w:p>
              </w:tc>
              <w:tc>
                <w:tcPr>
                  <w:tcW w:w="570" w:type="pct"/>
                  <w:vMerge w:val="restart"/>
                  <w:tcBorders>
                    <w:tl2br w:val="nil"/>
                    <w:tr2bl w:val="nil"/>
                  </w:tcBorders>
                  <w:noWrap w:val="0"/>
                  <w:vAlign w:val="center"/>
                </w:tcPr>
                <w:p w14:paraId="128149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声源源强（声压级/距声源距离）dB</w:t>
                  </w:r>
                  <w:r>
                    <w:rPr>
                      <w:rFonts w:hint="eastAsia"/>
                      <w:color w:val="auto"/>
                      <w:kern w:val="0"/>
                      <w:sz w:val="21"/>
                      <w:szCs w:val="21"/>
                      <w:lang w:val="en-US" w:eastAsia="zh-CN"/>
                    </w:rPr>
                    <w:t>（</w:t>
                  </w:r>
                  <w:r>
                    <w:rPr>
                      <w:rFonts w:hint="default"/>
                      <w:color w:val="auto"/>
                      <w:kern w:val="0"/>
                      <w:sz w:val="21"/>
                      <w:szCs w:val="21"/>
                      <w:lang w:val="en-US" w:eastAsia="zh-CN"/>
                    </w:rPr>
                    <w:t>A</w:t>
                  </w:r>
                  <w:r>
                    <w:rPr>
                      <w:rFonts w:hint="eastAsia"/>
                      <w:color w:val="auto"/>
                      <w:kern w:val="0"/>
                      <w:sz w:val="21"/>
                      <w:szCs w:val="21"/>
                      <w:lang w:val="en-US" w:eastAsia="zh-CN"/>
                    </w:rPr>
                    <w:t>）</w:t>
                  </w:r>
                  <w:r>
                    <w:rPr>
                      <w:rFonts w:hint="default"/>
                      <w:color w:val="auto"/>
                      <w:kern w:val="0"/>
                      <w:sz w:val="21"/>
                      <w:szCs w:val="21"/>
                      <w:lang w:val="en-US" w:eastAsia="zh-CN"/>
                    </w:rPr>
                    <w:t>/m</w:t>
                  </w:r>
                </w:p>
              </w:tc>
              <w:tc>
                <w:tcPr>
                  <w:tcW w:w="329" w:type="pct"/>
                  <w:vMerge w:val="restart"/>
                  <w:tcBorders>
                    <w:tl2br w:val="nil"/>
                    <w:tr2bl w:val="nil"/>
                  </w:tcBorders>
                  <w:noWrap w:val="0"/>
                  <w:vAlign w:val="center"/>
                </w:tcPr>
                <w:p w14:paraId="703986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声源控制措施</w:t>
                  </w:r>
                </w:p>
              </w:tc>
              <w:tc>
                <w:tcPr>
                  <w:tcW w:w="735" w:type="pct"/>
                  <w:gridSpan w:val="3"/>
                  <w:tcBorders>
                    <w:tl2br w:val="nil"/>
                    <w:tr2bl w:val="nil"/>
                  </w:tcBorders>
                  <w:noWrap w:val="0"/>
                  <w:vAlign w:val="center"/>
                </w:tcPr>
                <w:p w14:paraId="70E2CB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空间相对位置/m</w:t>
                  </w:r>
                </w:p>
              </w:tc>
              <w:tc>
                <w:tcPr>
                  <w:tcW w:w="205" w:type="pct"/>
                  <w:vMerge w:val="restart"/>
                  <w:tcBorders>
                    <w:tl2br w:val="nil"/>
                    <w:tr2bl w:val="nil"/>
                  </w:tcBorders>
                  <w:noWrap w:val="0"/>
                  <w:vAlign w:val="center"/>
                </w:tcPr>
                <w:p w14:paraId="1E1D89D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距室内边界距离/m</w:t>
                  </w:r>
                </w:p>
              </w:tc>
              <w:tc>
                <w:tcPr>
                  <w:tcW w:w="267" w:type="pct"/>
                  <w:vMerge w:val="restart"/>
                  <w:tcBorders>
                    <w:tl2br w:val="nil"/>
                    <w:tr2bl w:val="nil"/>
                  </w:tcBorders>
                  <w:noWrap w:val="0"/>
                  <w:vAlign w:val="center"/>
                </w:tcPr>
                <w:p w14:paraId="54239E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室内边界声级dB</w:t>
                  </w:r>
                  <w:r>
                    <w:rPr>
                      <w:rFonts w:hint="eastAsia"/>
                      <w:color w:val="auto"/>
                      <w:kern w:val="0"/>
                      <w:sz w:val="21"/>
                      <w:szCs w:val="21"/>
                      <w:lang w:val="en-US" w:eastAsia="zh-CN"/>
                    </w:rPr>
                    <w:t>（</w:t>
                  </w:r>
                  <w:r>
                    <w:rPr>
                      <w:rFonts w:hint="default"/>
                      <w:color w:val="auto"/>
                      <w:kern w:val="0"/>
                      <w:sz w:val="21"/>
                      <w:szCs w:val="21"/>
                      <w:lang w:val="en-US" w:eastAsia="zh-CN"/>
                    </w:rPr>
                    <w:t>A</w:t>
                  </w:r>
                  <w:r>
                    <w:rPr>
                      <w:rFonts w:hint="eastAsia"/>
                      <w:color w:val="auto"/>
                      <w:kern w:val="0"/>
                      <w:sz w:val="21"/>
                      <w:szCs w:val="21"/>
                      <w:lang w:val="en-US" w:eastAsia="zh-CN"/>
                    </w:rPr>
                    <w:t>）</w:t>
                  </w:r>
                </w:p>
              </w:tc>
              <w:tc>
                <w:tcPr>
                  <w:tcW w:w="358" w:type="pct"/>
                  <w:vMerge w:val="restart"/>
                  <w:tcBorders>
                    <w:tl2br w:val="nil"/>
                    <w:tr2bl w:val="nil"/>
                  </w:tcBorders>
                  <w:noWrap w:val="0"/>
                  <w:vAlign w:val="center"/>
                </w:tcPr>
                <w:p w14:paraId="604CCD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运行时段</w:t>
                  </w:r>
                </w:p>
              </w:tc>
              <w:tc>
                <w:tcPr>
                  <w:tcW w:w="292" w:type="pct"/>
                  <w:vMerge w:val="restart"/>
                  <w:tcBorders>
                    <w:tl2br w:val="nil"/>
                    <w:tr2bl w:val="nil"/>
                  </w:tcBorders>
                  <w:noWrap w:val="0"/>
                  <w:vAlign w:val="center"/>
                </w:tcPr>
                <w:p w14:paraId="469D9C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建筑物插入损失/dB</w:t>
                  </w:r>
                  <w:r>
                    <w:rPr>
                      <w:rFonts w:hint="eastAsia"/>
                      <w:color w:val="auto"/>
                      <w:kern w:val="0"/>
                      <w:sz w:val="21"/>
                      <w:szCs w:val="21"/>
                      <w:lang w:val="en-US" w:eastAsia="zh-CN"/>
                    </w:rPr>
                    <w:t>（</w:t>
                  </w:r>
                  <w:r>
                    <w:rPr>
                      <w:rFonts w:hint="default"/>
                      <w:color w:val="auto"/>
                      <w:kern w:val="0"/>
                      <w:sz w:val="21"/>
                      <w:szCs w:val="21"/>
                      <w:lang w:val="en-US" w:eastAsia="zh-CN"/>
                    </w:rPr>
                    <w:t>A</w:t>
                  </w:r>
                  <w:r>
                    <w:rPr>
                      <w:rFonts w:hint="eastAsia"/>
                      <w:color w:val="auto"/>
                      <w:kern w:val="0"/>
                      <w:sz w:val="21"/>
                      <w:szCs w:val="21"/>
                      <w:lang w:val="en-US" w:eastAsia="zh-CN"/>
                    </w:rPr>
                    <w:t>）</w:t>
                  </w:r>
                </w:p>
              </w:tc>
              <w:tc>
                <w:tcPr>
                  <w:tcW w:w="573" w:type="pct"/>
                  <w:gridSpan w:val="2"/>
                  <w:tcBorders>
                    <w:tl2br w:val="nil"/>
                    <w:tr2bl w:val="nil"/>
                  </w:tcBorders>
                  <w:noWrap w:val="0"/>
                  <w:vAlign w:val="center"/>
                </w:tcPr>
                <w:p w14:paraId="72E89D8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eastAsia"/>
                      <w:color w:val="auto"/>
                      <w:kern w:val="0"/>
                      <w:sz w:val="21"/>
                      <w:szCs w:val="21"/>
                      <w:lang w:val="en-US" w:eastAsia="zh-CN"/>
                    </w:rPr>
                    <w:t>建筑物外噪声</w:t>
                  </w:r>
                </w:p>
              </w:tc>
            </w:tr>
            <w:tr w14:paraId="35EB5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vMerge w:val="continue"/>
                  <w:tcBorders>
                    <w:tl2br w:val="nil"/>
                    <w:tr2bl w:val="nil"/>
                  </w:tcBorders>
                  <w:noWrap w:val="0"/>
                  <w:vAlign w:val="center"/>
                </w:tcPr>
                <w:p w14:paraId="48DF30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341" w:type="pct"/>
                  <w:vMerge w:val="continue"/>
                  <w:tcBorders>
                    <w:tl2br w:val="nil"/>
                    <w:tr2bl w:val="nil"/>
                  </w:tcBorders>
                  <w:noWrap w:val="0"/>
                  <w:vAlign w:val="center"/>
                </w:tcPr>
                <w:p w14:paraId="790009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153" w:type="pct"/>
                  <w:vMerge w:val="continue"/>
                  <w:tcBorders>
                    <w:tl2br w:val="nil"/>
                    <w:tr2bl w:val="nil"/>
                  </w:tcBorders>
                  <w:noWrap w:val="0"/>
                  <w:vAlign w:val="center"/>
                </w:tcPr>
                <w:p w14:paraId="6E376D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523" w:type="pct"/>
                  <w:vMerge w:val="continue"/>
                  <w:tcBorders>
                    <w:tl2br w:val="nil"/>
                    <w:tr2bl w:val="nil"/>
                  </w:tcBorders>
                  <w:noWrap w:val="0"/>
                  <w:vAlign w:val="center"/>
                </w:tcPr>
                <w:p w14:paraId="275068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497" w:type="pct"/>
                  <w:vMerge w:val="continue"/>
                  <w:tcBorders>
                    <w:tl2br w:val="nil"/>
                    <w:tr2bl w:val="nil"/>
                  </w:tcBorders>
                  <w:noWrap w:val="0"/>
                  <w:vAlign w:val="center"/>
                </w:tcPr>
                <w:p w14:paraId="41BBE7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570" w:type="pct"/>
                  <w:vMerge w:val="continue"/>
                  <w:tcBorders>
                    <w:tl2br w:val="nil"/>
                    <w:tr2bl w:val="nil"/>
                  </w:tcBorders>
                  <w:noWrap w:val="0"/>
                  <w:vAlign w:val="center"/>
                </w:tcPr>
                <w:p w14:paraId="711FC3A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329" w:type="pct"/>
                  <w:vMerge w:val="continue"/>
                  <w:tcBorders>
                    <w:tl2br w:val="nil"/>
                    <w:tr2bl w:val="nil"/>
                  </w:tcBorders>
                  <w:noWrap w:val="0"/>
                  <w:vAlign w:val="center"/>
                </w:tcPr>
                <w:p w14:paraId="5245FC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229" w:type="pct"/>
                  <w:tcBorders>
                    <w:tl2br w:val="nil"/>
                    <w:tr2bl w:val="nil"/>
                  </w:tcBorders>
                  <w:noWrap w:val="0"/>
                  <w:vAlign w:val="center"/>
                </w:tcPr>
                <w:p w14:paraId="16BCA6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zh-CN"/>
                    </w:rPr>
                  </w:pPr>
                  <w:r>
                    <w:rPr>
                      <w:rFonts w:hint="default"/>
                      <w:color w:val="auto"/>
                      <w:kern w:val="0"/>
                      <w:sz w:val="21"/>
                      <w:szCs w:val="21"/>
                      <w:lang w:val="en-US" w:eastAsia="zh-CN"/>
                    </w:rPr>
                    <w:t>X</w:t>
                  </w:r>
                </w:p>
              </w:tc>
              <w:tc>
                <w:tcPr>
                  <w:tcW w:w="282" w:type="pct"/>
                  <w:tcBorders>
                    <w:tl2br w:val="nil"/>
                    <w:tr2bl w:val="nil"/>
                  </w:tcBorders>
                  <w:noWrap w:val="0"/>
                  <w:vAlign w:val="center"/>
                </w:tcPr>
                <w:p w14:paraId="61C80C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zh-CN"/>
                    </w:rPr>
                  </w:pPr>
                  <w:r>
                    <w:rPr>
                      <w:rFonts w:hint="default"/>
                      <w:color w:val="auto"/>
                      <w:kern w:val="0"/>
                      <w:sz w:val="21"/>
                      <w:szCs w:val="21"/>
                      <w:lang w:val="en-US" w:eastAsia="zh-CN"/>
                    </w:rPr>
                    <w:t>Y</w:t>
                  </w:r>
                </w:p>
              </w:tc>
              <w:tc>
                <w:tcPr>
                  <w:tcW w:w="224" w:type="pct"/>
                  <w:tcBorders>
                    <w:tl2br w:val="nil"/>
                    <w:tr2bl w:val="nil"/>
                  </w:tcBorders>
                  <w:noWrap w:val="0"/>
                  <w:vAlign w:val="center"/>
                </w:tcPr>
                <w:p w14:paraId="4A58C1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zh-CN"/>
                    </w:rPr>
                  </w:pPr>
                  <w:r>
                    <w:rPr>
                      <w:rFonts w:hint="default"/>
                      <w:color w:val="auto"/>
                      <w:kern w:val="0"/>
                      <w:sz w:val="21"/>
                      <w:szCs w:val="21"/>
                      <w:lang w:val="en-US" w:eastAsia="zh-CN"/>
                    </w:rPr>
                    <w:t>Z</w:t>
                  </w:r>
                </w:p>
              </w:tc>
              <w:tc>
                <w:tcPr>
                  <w:tcW w:w="205" w:type="pct"/>
                  <w:vMerge w:val="continue"/>
                  <w:tcBorders>
                    <w:tl2br w:val="nil"/>
                    <w:tr2bl w:val="nil"/>
                  </w:tcBorders>
                  <w:noWrap w:val="0"/>
                  <w:vAlign w:val="center"/>
                </w:tcPr>
                <w:p w14:paraId="73B0A3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267" w:type="pct"/>
                  <w:vMerge w:val="continue"/>
                  <w:tcBorders>
                    <w:tl2br w:val="nil"/>
                    <w:tr2bl w:val="nil"/>
                  </w:tcBorders>
                  <w:noWrap w:val="0"/>
                  <w:vAlign w:val="center"/>
                </w:tcPr>
                <w:p w14:paraId="42A322A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358" w:type="pct"/>
                  <w:vMerge w:val="continue"/>
                  <w:tcBorders>
                    <w:tl2br w:val="nil"/>
                    <w:tr2bl w:val="nil"/>
                  </w:tcBorders>
                  <w:noWrap w:val="0"/>
                  <w:vAlign w:val="center"/>
                </w:tcPr>
                <w:p w14:paraId="7F3812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292" w:type="pct"/>
                  <w:vMerge w:val="continue"/>
                  <w:tcBorders>
                    <w:tl2br w:val="nil"/>
                    <w:tr2bl w:val="nil"/>
                  </w:tcBorders>
                  <w:noWrap w:val="0"/>
                  <w:vAlign w:val="center"/>
                </w:tcPr>
                <w:p w14:paraId="6D2832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p>
              </w:tc>
              <w:tc>
                <w:tcPr>
                  <w:tcW w:w="269" w:type="pct"/>
                  <w:tcBorders>
                    <w:tl2br w:val="nil"/>
                    <w:tr2bl w:val="nil"/>
                  </w:tcBorders>
                  <w:noWrap w:val="0"/>
                  <w:vAlign w:val="center"/>
                </w:tcPr>
                <w:p w14:paraId="326BD9F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声压级dB</w:t>
                  </w:r>
                  <w:r>
                    <w:rPr>
                      <w:rFonts w:hint="eastAsia"/>
                      <w:color w:val="auto"/>
                      <w:kern w:val="0"/>
                      <w:sz w:val="21"/>
                      <w:szCs w:val="21"/>
                      <w:lang w:val="en-US" w:eastAsia="zh-CN"/>
                    </w:rPr>
                    <w:t>（</w:t>
                  </w:r>
                  <w:r>
                    <w:rPr>
                      <w:rFonts w:hint="default"/>
                      <w:color w:val="auto"/>
                      <w:kern w:val="0"/>
                      <w:sz w:val="21"/>
                      <w:szCs w:val="21"/>
                      <w:lang w:val="en-US" w:eastAsia="zh-CN"/>
                    </w:rPr>
                    <w:t>A</w:t>
                  </w:r>
                  <w:r>
                    <w:rPr>
                      <w:rFonts w:hint="eastAsia"/>
                      <w:color w:val="auto"/>
                      <w:kern w:val="0"/>
                      <w:sz w:val="21"/>
                      <w:szCs w:val="21"/>
                      <w:lang w:val="en-US" w:eastAsia="zh-CN"/>
                    </w:rPr>
                    <w:t>）</w:t>
                  </w:r>
                </w:p>
              </w:tc>
              <w:tc>
                <w:tcPr>
                  <w:tcW w:w="304" w:type="pct"/>
                  <w:tcBorders>
                    <w:tl2br w:val="nil"/>
                    <w:tr2bl w:val="nil"/>
                  </w:tcBorders>
                  <w:noWrap w:val="0"/>
                  <w:vAlign w:val="center"/>
                </w:tcPr>
                <w:p w14:paraId="5CCC9B6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zh-CN"/>
                    </w:rPr>
                  </w:pPr>
                  <w:r>
                    <w:rPr>
                      <w:rFonts w:hint="default"/>
                      <w:color w:val="auto"/>
                      <w:kern w:val="0"/>
                      <w:sz w:val="21"/>
                      <w:szCs w:val="21"/>
                      <w:lang w:val="en-US" w:eastAsia="zh-CN"/>
                    </w:rPr>
                    <w:t>建筑物外距离m</w:t>
                  </w:r>
                </w:p>
              </w:tc>
            </w:tr>
            <w:tr w14:paraId="1764C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7C702B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c>
                <w:tcPr>
                  <w:tcW w:w="341" w:type="pct"/>
                  <w:vMerge w:val="restart"/>
                  <w:tcBorders>
                    <w:tl2br w:val="nil"/>
                    <w:tr2bl w:val="nil"/>
                  </w:tcBorders>
                  <w:noWrap w:val="0"/>
                  <w:vAlign w:val="center"/>
                </w:tcPr>
                <w:p w14:paraId="259219C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食用生产</w:t>
                  </w:r>
                </w:p>
                <w:p w14:paraId="464EAB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车间</w:t>
                  </w:r>
                </w:p>
              </w:tc>
              <w:tc>
                <w:tcPr>
                  <w:tcW w:w="153" w:type="pct"/>
                  <w:tcBorders>
                    <w:tl2br w:val="nil"/>
                    <w:tr2bl w:val="nil"/>
                  </w:tcBorders>
                  <w:noWrap w:val="0"/>
                  <w:vAlign w:val="center"/>
                </w:tcPr>
                <w:p w14:paraId="3C73EDA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2B7715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空压机</w:t>
                  </w:r>
                </w:p>
              </w:tc>
              <w:tc>
                <w:tcPr>
                  <w:tcW w:w="497" w:type="pct"/>
                  <w:tcBorders>
                    <w:tl2br w:val="nil"/>
                    <w:tr2bl w:val="nil"/>
                  </w:tcBorders>
                  <w:noWrap w:val="0"/>
                  <w:vAlign w:val="center"/>
                </w:tcPr>
                <w:p w14:paraId="3E9F51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GY-265</w:t>
                  </w:r>
                </w:p>
              </w:tc>
              <w:tc>
                <w:tcPr>
                  <w:tcW w:w="570" w:type="pct"/>
                  <w:tcBorders>
                    <w:tl2br w:val="nil"/>
                    <w:tr2bl w:val="nil"/>
                  </w:tcBorders>
                  <w:noWrap w:val="0"/>
                  <w:vAlign w:val="center"/>
                </w:tcPr>
                <w:p w14:paraId="656932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85/1</w:t>
                  </w:r>
                </w:p>
              </w:tc>
              <w:tc>
                <w:tcPr>
                  <w:tcW w:w="329" w:type="pct"/>
                  <w:vMerge w:val="restart"/>
                  <w:tcBorders>
                    <w:tl2br w:val="nil"/>
                    <w:tr2bl w:val="nil"/>
                  </w:tcBorders>
                  <w:noWrap w:val="0"/>
                  <w:vAlign w:val="center"/>
                </w:tcPr>
                <w:p w14:paraId="0FB5D78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基础减振、建筑隔声、选用低噪声设备、厂房隔声</w:t>
                  </w:r>
                </w:p>
              </w:tc>
              <w:tc>
                <w:tcPr>
                  <w:tcW w:w="229" w:type="pct"/>
                  <w:tcBorders>
                    <w:tl2br w:val="nil"/>
                    <w:tr2bl w:val="nil"/>
                  </w:tcBorders>
                  <w:noWrap w:val="0"/>
                  <w:vAlign w:val="center"/>
                </w:tcPr>
                <w:p w14:paraId="6EC525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104</w:t>
                  </w:r>
                </w:p>
              </w:tc>
              <w:tc>
                <w:tcPr>
                  <w:tcW w:w="282" w:type="pct"/>
                  <w:tcBorders>
                    <w:tl2br w:val="nil"/>
                    <w:tr2bl w:val="nil"/>
                  </w:tcBorders>
                  <w:noWrap w:val="0"/>
                  <w:vAlign w:val="center"/>
                </w:tcPr>
                <w:p w14:paraId="08B463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w:t>
                  </w:r>
                </w:p>
              </w:tc>
              <w:tc>
                <w:tcPr>
                  <w:tcW w:w="224" w:type="pct"/>
                  <w:tcBorders>
                    <w:tl2br w:val="nil"/>
                    <w:tr2bl w:val="nil"/>
                  </w:tcBorders>
                  <w:noWrap w:val="0"/>
                  <w:vAlign w:val="center"/>
                </w:tcPr>
                <w:p w14:paraId="7613D59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2</w:t>
                  </w:r>
                </w:p>
              </w:tc>
              <w:tc>
                <w:tcPr>
                  <w:tcW w:w="205" w:type="pct"/>
                  <w:tcBorders>
                    <w:tl2br w:val="nil"/>
                    <w:tr2bl w:val="nil"/>
                  </w:tcBorders>
                  <w:noWrap w:val="0"/>
                  <w:vAlign w:val="center"/>
                </w:tcPr>
                <w:p w14:paraId="099DBD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w:t>
                  </w:r>
                </w:p>
              </w:tc>
              <w:tc>
                <w:tcPr>
                  <w:tcW w:w="267" w:type="pct"/>
                  <w:tcBorders>
                    <w:tl2br w:val="nil"/>
                    <w:tr2bl w:val="nil"/>
                  </w:tcBorders>
                  <w:noWrap w:val="0"/>
                  <w:vAlign w:val="center"/>
                </w:tcPr>
                <w:p w14:paraId="297347A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68.98</w:t>
                  </w:r>
                </w:p>
              </w:tc>
              <w:tc>
                <w:tcPr>
                  <w:tcW w:w="358" w:type="pct"/>
                  <w:vMerge w:val="restart"/>
                  <w:tcBorders>
                    <w:tl2br w:val="nil"/>
                    <w:tr2bl w:val="nil"/>
                  </w:tcBorders>
                  <w:noWrap w:val="0"/>
                  <w:vAlign w:val="center"/>
                </w:tcPr>
                <w:p w14:paraId="242466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0:00-24:00</w:t>
                  </w:r>
                </w:p>
              </w:tc>
              <w:tc>
                <w:tcPr>
                  <w:tcW w:w="292" w:type="pct"/>
                  <w:tcBorders>
                    <w:tl2br w:val="nil"/>
                    <w:tr2bl w:val="nil"/>
                  </w:tcBorders>
                  <w:noWrap w:val="0"/>
                  <w:vAlign w:val="center"/>
                </w:tcPr>
                <w:p w14:paraId="316325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25</w:t>
                  </w:r>
                </w:p>
              </w:tc>
              <w:tc>
                <w:tcPr>
                  <w:tcW w:w="269" w:type="pct"/>
                  <w:tcBorders>
                    <w:tl2br w:val="nil"/>
                    <w:tr2bl w:val="nil"/>
                  </w:tcBorders>
                  <w:noWrap w:val="0"/>
                  <w:vAlign w:val="center"/>
                </w:tcPr>
                <w:p w14:paraId="62A053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43.98</w:t>
                  </w:r>
                </w:p>
              </w:tc>
              <w:tc>
                <w:tcPr>
                  <w:tcW w:w="304" w:type="pct"/>
                  <w:tcBorders>
                    <w:tl2br w:val="nil"/>
                    <w:tr2bl w:val="nil"/>
                  </w:tcBorders>
                  <w:noWrap w:val="0"/>
                  <w:vAlign w:val="center"/>
                </w:tcPr>
                <w:p w14:paraId="2838DD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r>
            <w:tr w14:paraId="11BC7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6B7FBB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w:t>
                  </w:r>
                </w:p>
              </w:tc>
              <w:tc>
                <w:tcPr>
                  <w:tcW w:w="341" w:type="pct"/>
                  <w:vMerge w:val="continue"/>
                  <w:tcBorders>
                    <w:tl2br w:val="nil"/>
                    <w:tr2bl w:val="nil"/>
                  </w:tcBorders>
                  <w:noWrap w:val="0"/>
                  <w:vAlign w:val="center"/>
                </w:tcPr>
                <w:p w14:paraId="4512AD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03B8E4E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2F7BDC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包装机</w:t>
                  </w:r>
                </w:p>
              </w:tc>
              <w:tc>
                <w:tcPr>
                  <w:tcW w:w="497" w:type="pct"/>
                  <w:tcBorders>
                    <w:tl2br w:val="nil"/>
                    <w:tr2bl w:val="nil"/>
                  </w:tcBorders>
                  <w:noWrap w:val="0"/>
                  <w:vAlign w:val="center"/>
                </w:tcPr>
                <w:p w14:paraId="29D2B2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ZQ—06</w:t>
                  </w:r>
                </w:p>
              </w:tc>
              <w:tc>
                <w:tcPr>
                  <w:tcW w:w="570" w:type="pct"/>
                  <w:tcBorders>
                    <w:tl2br w:val="nil"/>
                    <w:tr2bl w:val="nil"/>
                  </w:tcBorders>
                  <w:noWrap w:val="0"/>
                  <w:vAlign w:val="center"/>
                </w:tcPr>
                <w:p w14:paraId="43548C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75/1</w:t>
                  </w:r>
                </w:p>
              </w:tc>
              <w:tc>
                <w:tcPr>
                  <w:tcW w:w="329" w:type="pct"/>
                  <w:vMerge w:val="continue"/>
                  <w:tcBorders>
                    <w:tl2br w:val="nil"/>
                    <w:tr2bl w:val="nil"/>
                  </w:tcBorders>
                  <w:noWrap w:val="0"/>
                  <w:vAlign w:val="center"/>
                </w:tcPr>
                <w:p w14:paraId="1F8821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6808BD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94</w:t>
                  </w:r>
                </w:p>
              </w:tc>
              <w:tc>
                <w:tcPr>
                  <w:tcW w:w="282" w:type="pct"/>
                  <w:tcBorders>
                    <w:tl2br w:val="nil"/>
                    <w:tr2bl w:val="nil"/>
                  </w:tcBorders>
                  <w:noWrap w:val="0"/>
                  <w:vAlign w:val="center"/>
                </w:tcPr>
                <w:p w14:paraId="4F2A0E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w:t>
                  </w:r>
                </w:p>
              </w:tc>
              <w:tc>
                <w:tcPr>
                  <w:tcW w:w="224" w:type="pct"/>
                  <w:tcBorders>
                    <w:tl2br w:val="nil"/>
                    <w:tr2bl w:val="nil"/>
                  </w:tcBorders>
                  <w:noWrap w:val="0"/>
                  <w:vAlign w:val="center"/>
                </w:tcPr>
                <w:p w14:paraId="3E1E95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6.5</w:t>
                  </w:r>
                </w:p>
              </w:tc>
              <w:tc>
                <w:tcPr>
                  <w:tcW w:w="205" w:type="pct"/>
                  <w:tcBorders>
                    <w:tl2br w:val="nil"/>
                    <w:tr2bl w:val="nil"/>
                  </w:tcBorders>
                  <w:noWrap w:val="0"/>
                  <w:vAlign w:val="center"/>
                </w:tcPr>
                <w:p w14:paraId="5FC9ED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w:t>
                  </w:r>
                </w:p>
              </w:tc>
              <w:tc>
                <w:tcPr>
                  <w:tcW w:w="267" w:type="pct"/>
                  <w:tcBorders>
                    <w:tl2br w:val="nil"/>
                    <w:tr2bl w:val="nil"/>
                  </w:tcBorders>
                  <w:noWrap w:val="0"/>
                  <w:vAlign w:val="center"/>
                </w:tcPr>
                <w:p w14:paraId="6C3351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58.98</w:t>
                  </w:r>
                </w:p>
              </w:tc>
              <w:tc>
                <w:tcPr>
                  <w:tcW w:w="358" w:type="pct"/>
                  <w:vMerge w:val="continue"/>
                  <w:tcBorders>
                    <w:tl2br w:val="nil"/>
                    <w:tr2bl w:val="nil"/>
                  </w:tcBorders>
                  <w:noWrap w:val="0"/>
                  <w:vAlign w:val="center"/>
                </w:tcPr>
                <w:p w14:paraId="640E8F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92" w:type="pct"/>
                  <w:tcBorders>
                    <w:tl2br w:val="nil"/>
                    <w:tr2bl w:val="nil"/>
                  </w:tcBorders>
                  <w:noWrap w:val="0"/>
                  <w:vAlign w:val="center"/>
                </w:tcPr>
                <w:p w14:paraId="01BAA7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25</w:t>
                  </w:r>
                </w:p>
              </w:tc>
              <w:tc>
                <w:tcPr>
                  <w:tcW w:w="269" w:type="pct"/>
                  <w:tcBorders>
                    <w:tl2br w:val="nil"/>
                    <w:tr2bl w:val="nil"/>
                  </w:tcBorders>
                  <w:noWrap w:val="0"/>
                  <w:vAlign w:val="center"/>
                </w:tcPr>
                <w:p w14:paraId="672092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33.98</w:t>
                  </w:r>
                </w:p>
              </w:tc>
              <w:tc>
                <w:tcPr>
                  <w:tcW w:w="304" w:type="pct"/>
                  <w:tcBorders>
                    <w:tl2br w:val="nil"/>
                    <w:tr2bl w:val="nil"/>
                  </w:tcBorders>
                  <w:noWrap w:val="0"/>
                  <w:vAlign w:val="center"/>
                </w:tcPr>
                <w:p w14:paraId="63049C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r>
            <w:tr w14:paraId="37572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42DFFE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w:t>
                  </w:r>
                </w:p>
              </w:tc>
              <w:tc>
                <w:tcPr>
                  <w:tcW w:w="341" w:type="pct"/>
                  <w:vMerge w:val="continue"/>
                  <w:tcBorders>
                    <w:tl2br w:val="nil"/>
                    <w:tr2bl w:val="nil"/>
                  </w:tcBorders>
                  <w:noWrap w:val="0"/>
                  <w:vAlign w:val="center"/>
                </w:tcPr>
                <w:p w14:paraId="454157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3D6633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63FBD2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粉碎机（内置</w:t>
                  </w:r>
                  <w:r>
                    <w:rPr>
                      <w:rFonts w:hint="default"/>
                      <w:color w:val="auto"/>
                      <w:kern w:val="0"/>
                      <w:sz w:val="21"/>
                      <w:szCs w:val="21"/>
                      <w:lang w:val="zh-CN" w:eastAsia="zh-CN"/>
                    </w:rPr>
                    <w:t>除铁器</w:t>
                  </w:r>
                  <w:r>
                    <w:rPr>
                      <w:rFonts w:hint="eastAsia"/>
                      <w:color w:val="auto"/>
                      <w:kern w:val="0"/>
                      <w:sz w:val="21"/>
                      <w:szCs w:val="21"/>
                      <w:lang w:val="en-US" w:eastAsia="zh-CN"/>
                    </w:rPr>
                    <w:t>）</w:t>
                  </w:r>
                </w:p>
              </w:tc>
              <w:tc>
                <w:tcPr>
                  <w:tcW w:w="497" w:type="pct"/>
                  <w:tcBorders>
                    <w:tl2br w:val="nil"/>
                    <w:tr2bl w:val="nil"/>
                  </w:tcBorders>
                  <w:noWrap w:val="0"/>
                  <w:vAlign w:val="center"/>
                </w:tcPr>
                <w:p w14:paraId="77E0BF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FZQ—1600</w:t>
                  </w:r>
                </w:p>
              </w:tc>
              <w:tc>
                <w:tcPr>
                  <w:tcW w:w="570" w:type="pct"/>
                  <w:tcBorders>
                    <w:tl2br w:val="nil"/>
                    <w:tr2bl w:val="nil"/>
                  </w:tcBorders>
                  <w:noWrap w:val="0"/>
                  <w:vAlign w:val="center"/>
                </w:tcPr>
                <w:p w14:paraId="5593DD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85/1</w:t>
                  </w:r>
                </w:p>
              </w:tc>
              <w:tc>
                <w:tcPr>
                  <w:tcW w:w="329" w:type="pct"/>
                  <w:vMerge w:val="continue"/>
                  <w:tcBorders>
                    <w:tl2br w:val="nil"/>
                    <w:tr2bl w:val="nil"/>
                  </w:tcBorders>
                  <w:noWrap w:val="0"/>
                  <w:vAlign w:val="center"/>
                </w:tcPr>
                <w:p w14:paraId="3436D4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7D5A4C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76</w:t>
                  </w:r>
                </w:p>
              </w:tc>
              <w:tc>
                <w:tcPr>
                  <w:tcW w:w="282" w:type="pct"/>
                  <w:tcBorders>
                    <w:tl2br w:val="nil"/>
                    <w:tr2bl w:val="nil"/>
                  </w:tcBorders>
                  <w:noWrap w:val="0"/>
                  <w:vAlign w:val="center"/>
                </w:tcPr>
                <w:p w14:paraId="7CC3DF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w:t>
                  </w:r>
                </w:p>
              </w:tc>
              <w:tc>
                <w:tcPr>
                  <w:tcW w:w="224" w:type="pct"/>
                  <w:tcBorders>
                    <w:tl2br w:val="nil"/>
                    <w:tr2bl w:val="nil"/>
                  </w:tcBorders>
                  <w:noWrap w:val="0"/>
                  <w:vAlign w:val="center"/>
                </w:tcPr>
                <w:p w14:paraId="0DB5D5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6.5</w:t>
                  </w:r>
                </w:p>
              </w:tc>
              <w:tc>
                <w:tcPr>
                  <w:tcW w:w="205" w:type="pct"/>
                  <w:tcBorders>
                    <w:tl2br w:val="nil"/>
                    <w:tr2bl w:val="nil"/>
                  </w:tcBorders>
                  <w:noWrap w:val="0"/>
                  <w:vAlign w:val="center"/>
                </w:tcPr>
                <w:p w14:paraId="479ED3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w:t>
                  </w:r>
                </w:p>
              </w:tc>
              <w:tc>
                <w:tcPr>
                  <w:tcW w:w="267" w:type="pct"/>
                  <w:tcBorders>
                    <w:tl2br w:val="nil"/>
                    <w:tr2bl w:val="nil"/>
                  </w:tcBorders>
                  <w:noWrap w:val="0"/>
                  <w:vAlign w:val="center"/>
                </w:tcPr>
                <w:p w14:paraId="0F95CC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58.98</w:t>
                  </w:r>
                </w:p>
              </w:tc>
              <w:tc>
                <w:tcPr>
                  <w:tcW w:w="358" w:type="pct"/>
                  <w:vMerge w:val="continue"/>
                  <w:tcBorders>
                    <w:tl2br w:val="nil"/>
                    <w:tr2bl w:val="nil"/>
                  </w:tcBorders>
                  <w:noWrap w:val="0"/>
                  <w:vAlign w:val="center"/>
                </w:tcPr>
                <w:p w14:paraId="5455E1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92" w:type="pct"/>
                  <w:tcBorders>
                    <w:tl2br w:val="nil"/>
                    <w:tr2bl w:val="nil"/>
                  </w:tcBorders>
                  <w:noWrap w:val="0"/>
                  <w:vAlign w:val="center"/>
                </w:tcPr>
                <w:p w14:paraId="10CA01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25</w:t>
                  </w:r>
                </w:p>
              </w:tc>
              <w:tc>
                <w:tcPr>
                  <w:tcW w:w="269" w:type="pct"/>
                  <w:tcBorders>
                    <w:tl2br w:val="nil"/>
                    <w:tr2bl w:val="nil"/>
                  </w:tcBorders>
                  <w:noWrap w:val="0"/>
                  <w:vAlign w:val="center"/>
                </w:tcPr>
                <w:p w14:paraId="068BB3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33.98</w:t>
                  </w:r>
                </w:p>
              </w:tc>
              <w:tc>
                <w:tcPr>
                  <w:tcW w:w="304" w:type="pct"/>
                  <w:tcBorders>
                    <w:tl2br w:val="nil"/>
                    <w:tr2bl w:val="nil"/>
                  </w:tcBorders>
                  <w:noWrap w:val="0"/>
                  <w:vAlign w:val="center"/>
                </w:tcPr>
                <w:p w14:paraId="243AA7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r>
            <w:tr w14:paraId="5061E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4CC666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4</w:t>
                  </w:r>
                </w:p>
              </w:tc>
              <w:tc>
                <w:tcPr>
                  <w:tcW w:w="341" w:type="pct"/>
                  <w:vMerge w:val="continue"/>
                  <w:tcBorders>
                    <w:tl2br w:val="nil"/>
                    <w:tr2bl w:val="nil"/>
                  </w:tcBorders>
                  <w:noWrap w:val="0"/>
                  <w:vAlign w:val="center"/>
                </w:tcPr>
                <w:p w14:paraId="58A5B1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24E2A2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4A41D7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振动筛</w:t>
                  </w:r>
                </w:p>
              </w:tc>
              <w:tc>
                <w:tcPr>
                  <w:tcW w:w="497" w:type="pct"/>
                  <w:tcBorders>
                    <w:tl2br w:val="nil"/>
                    <w:tr2bl w:val="nil"/>
                  </w:tcBorders>
                  <w:noWrap w:val="0"/>
                  <w:vAlign w:val="center"/>
                </w:tcPr>
                <w:p w14:paraId="2D6F9D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ZD100</w:t>
                  </w:r>
                </w:p>
              </w:tc>
              <w:tc>
                <w:tcPr>
                  <w:tcW w:w="570" w:type="pct"/>
                  <w:tcBorders>
                    <w:tl2br w:val="nil"/>
                    <w:tr2bl w:val="nil"/>
                  </w:tcBorders>
                  <w:noWrap w:val="0"/>
                  <w:vAlign w:val="center"/>
                </w:tcPr>
                <w:p w14:paraId="2CEF1D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80/2</w:t>
                  </w:r>
                </w:p>
              </w:tc>
              <w:tc>
                <w:tcPr>
                  <w:tcW w:w="329" w:type="pct"/>
                  <w:vMerge w:val="continue"/>
                  <w:tcBorders>
                    <w:tl2br w:val="nil"/>
                    <w:tr2bl w:val="nil"/>
                  </w:tcBorders>
                  <w:noWrap w:val="0"/>
                  <w:vAlign w:val="center"/>
                </w:tcPr>
                <w:p w14:paraId="76907BA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27B3F2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68</w:t>
                  </w:r>
                </w:p>
              </w:tc>
              <w:tc>
                <w:tcPr>
                  <w:tcW w:w="282" w:type="pct"/>
                  <w:tcBorders>
                    <w:tl2br w:val="nil"/>
                    <w:tr2bl w:val="nil"/>
                  </w:tcBorders>
                  <w:noWrap w:val="0"/>
                  <w:vAlign w:val="center"/>
                </w:tcPr>
                <w:p w14:paraId="7A0A3B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w:t>
                  </w:r>
                </w:p>
              </w:tc>
              <w:tc>
                <w:tcPr>
                  <w:tcW w:w="224" w:type="pct"/>
                  <w:tcBorders>
                    <w:tl2br w:val="nil"/>
                    <w:tr2bl w:val="nil"/>
                  </w:tcBorders>
                  <w:noWrap w:val="0"/>
                  <w:vAlign w:val="center"/>
                </w:tcPr>
                <w:p w14:paraId="458542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6.5</w:t>
                  </w:r>
                </w:p>
              </w:tc>
              <w:tc>
                <w:tcPr>
                  <w:tcW w:w="205" w:type="pct"/>
                  <w:tcBorders>
                    <w:tl2br w:val="nil"/>
                    <w:tr2bl w:val="nil"/>
                  </w:tcBorders>
                  <w:noWrap w:val="0"/>
                  <w:vAlign w:val="center"/>
                </w:tcPr>
                <w:p w14:paraId="03A964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w:t>
                  </w:r>
                </w:p>
              </w:tc>
              <w:tc>
                <w:tcPr>
                  <w:tcW w:w="267" w:type="pct"/>
                  <w:tcBorders>
                    <w:tl2br w:val="nil"/>
                    <w:tr2bl w:val="nil"/>
                  </w:tcBorders>
                  <w:noWrap w:val="0"/>
                  <w:vAlign w:val="center"/>
                </w:tcPr>
                <w:p w14:paraId="0928C4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68.98</w:t>
                  </w:r>
                </w:p>
              </w:tc>
              <w:tc>
                <w:tcPr>
                  <w:tcW w:w="358" w:type="pct"/>
                  <w:vMerge w:val="continue"/>
                  <w:tcBorders>
                    <w:tl2br w:val="nil"/>
                    <w:tr2bl w:val="nil"/>
                  </w:tcBorders>
                  <w:noWrap w:val="0"/>
                  <w:vAlign w:val="center"/>
                </w:tcPr>
                <w:p w14:paraId="0CB8B3B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292" w:type="pct"/>
                  <w:tcBorders>
                    <w:tl2br w:val="nil"/>
                    <w:tr2bl w:val="nil"/>
                  </w:tcBorders>
                  <w:noWrap w:val="0"/>
                  <w:vAlign w:val="center"/>
                </w:tcPr>
                <w:p w14:paraId="387FF2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25</w:t>
                  </w:r>
                </w:p>
              </w:tc>
              <w:tc>
                <w:tcPr>
                  <w:tcW w:w="269" w:type="pct"/>
                  <w:tcBorders>
                    <w:tl2br w:val="nil"/>
                    <w:tr2bl w:val="nil"/>
                  </w:tcBorders>
                  <w:noWrap w:val="0"/>
                  <w:vAlign w:val="center"/>
                </w:tcPr>
                <w:p w14:paraId="0E4E65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43.98</w:t>
                  </w:r>
                </w:p>
              </w:tc>
              <w:tc>
                <w:tcPr>
                  <w:tcW w:w="304" w:type="pct"/>
                  <w:tcBorders>
                    <w:tl2br w:val="nil"/>
                    <w:tr2bl w:val="nil"/>
                  </w:tcBorders>
                  <w:noWrap w:val="0"/>
                  <w:vAlign w:val="center"/>
                </w:tcPr>
                <w:p w14:paraId="3973AA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r>
            <w:tr w14:paraId="104987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2DA22BD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w:t>
                  </w:r>
                </w:p>
              </w:tc>
              <w:tc>
                <w:tcPr>
                  <w:tcW w:w="341" w:type="pct"/>
                  <w:vMerge w:val="continue"/>
                  <w:tcBorders>
                    <w:tl2br w:val="nil"/>
                    <w:tr2bl w:val="nil"/>
                  </w:tcBorders>
                  <w:noWrap w:val="0"/>
                  <w:vAlign w:val="center"/>
                </w:tcPr>
                <w:p w14:paraId="50B07C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5088ED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117898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水泵真空泵</w:t>
                  </w:r>
                </w:p>
              </w:tc>
              <w:tc>
                <w:tcPr>
                  <w:tcW w:w="497" w:type="pct"/>
                  <w:tcBorders>
                    <w:tl2br w:val="nil"/>
                    <w:tr2bl w:val="nil"/>
                  </w:tcBorders>
                  <w:noWrap w:val="0"/>
                  <w:vAlign w:val="center"/>
                </w:tcPr>
                <w:p w14:paraId="741C23E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KWZYW—09</w:t>
                  </w:r>
                </w:p>
              </w:tc>
              <w:tc>
                <w:tcPr>
                  <w:tcW w:w="570" w:type="pct"/>
                  <w:tcBorders>
                    <w:tl2br w:val="nil"/>
                    <w:tr2bl w:val="nil"/>
                  </w:tcBorders>
                  <w:noWrap w:val="0"/>
                  <w:vAlign w:val="center"/>
                </w:tcPr>
                <w:p w14:paraId="577B59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85/2</w:t>
                  </w:r>
                </w:p>
              </w:tc>
              <w:tc>
                <w:tcPr>
                  <w:tcW w:w="329" w:type="pct"/>
                  <w:vMerge w:val="continue"/>
                  <w:tcBorders>
                    <w:tl2br w:val="nil"/>
                    <w:tr2bl w:val="nil"/>
                  </w:tcBorders>
                  <w:noWrap w:val="0"/>
                  <w:vAlign w:val="center"/>
                </w:tcPr>
                <w:p w14:paraId="468D32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2F0EE1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106</w:t>
                  </w:r>
                </w:p>
              </w:tc>
              <w:tc>
                <w:tcPr>
                  <w:tcW w:w="282" w:type="pct"/>
                  <w:tcBorders>
                    <w:tl2br w:val="nil"/>
                    <w:tr2bl w:val="nil"/>
                  </w:tcBorders>
                  <w:noWrap w:val="0"/>
                  <w:vAlign w:val="center"/>
                </w:tcPr>
                <w:p w14:paraId="211F3B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52</w:t>
                  </w:r>
                </w:p>
              </w:tc>
              <w:tc>
                <w:tcPr>
                  <w:tcW w:w="224" w:type="pct"/>
                  <w:tcBorders>
                    <w:tl2br w:val="nil"/>
                    <w:tr2bl w:val="nil"/>
                  </w:tcBorders>
                  <w:noWrap w:val="0"/>
                  <w:vAlign w:val="center"/>
                </w:tcPr>
                <w:p w14:paraId="537CF0B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2</w:t>
                  </w:r>
                </w:p>
              </w:tc>
              <w:tc>
                <w:tcPr>
                  <w:tcW w:w="205" w:type="pct"/>
                  <w:tcBorders>
                    <w:tl2br w:val="nil"/>
                    <w:tr2bl w:val="nil"/>
                  </w:tcBorders>
                  <w:noWrap w:val="0"/>
                  <w:vAlign w:val="center"/>
                </w:tcPr>
                <w:p w14:paraId="58A9C5A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52</w:t>
                  </w:r>
                </w:p>
              </w:tc>
              <w:tc>
                <w:tcPr>
                  <w:tcW w:w="267" w:type="pct"/>
                  <w:tcBorders>
                    <w:tl2br w:val="nil"/>
                    <w:tr2bl w:val="nil"/>
                  </w:tcBorders>
                  <w:noWrap w:val="0"/>
                  <w:vAlign w:val="center"/>
                </w:tcPr>
                <w:p w14:paraId="008921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63.98</w:t>
                  </w:r>
                </w:p>
              </w:tc>
              <w:tc>
                <w:tcPr>
                  <w:tcW w:w="358" w:type="pct"/>
                  <w:vMerge w:val="continue"/>
                  <w:tcBorders>
                    <w:tl2br w:val="nil"/>
                    <w:tr2bl w:val="nil"/>
                  </w:tcBorders>
                  <w:noWrap w:val="0"/>
                  <w:vAlign w:val="center"/>
                </w:tcPr>
                <w:p w14:paraId="2EEBF2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292" w:type="pct"/>
                  <w:tcBorders>
                    <w:tl2br w:val="nil"/>
                    <w:tr2bl w:val="nil"/>
                  </w:tcBorders>
                  <w:noWrap w:val="0"/>
                  <w:vAlign w:val="center"/>
                </w:tcPr>
                <w:p w14:paraId="7A5947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25</w:t>
                  </w:r>
                </w:p>
              </w:tc>
              <w:tc>
                <w:tcPr>
                  <w:tcW w:w="269" w:type="pct"/>
                  <w:tcBorders>
                    <w:tl2br w:val="nil"/>
                    <w:tr2bl w:val="nil"/>
                  </w:tcBorders>
                  <w:noWrap w:val="0"/>
                  <w:vAlign w:val="center"/>
                </w:tcPr>
                <w:p w14:paraId="5BBD06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38.98</w:t>
                  </w:r>
                </w:p>
              </w:tc>
              <w:tc>
                <w:tcPr>
                  <w:tcW w:w="304" w:type="pct"/>
                  <w:tcBorders>
                    <w:tl2br w:val="nil"/>
                    <w:tr2bl w:val="nil"/>
                  </w:tcBorders>
                  <w:noWrap w:val="0"/>
                  <w:vAlign w:val="center"/>
                </w:tcPr>
                <w:p w14:paraId="56387B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r>
            <w:tr w14:paraId="3A5DF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0CC521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w:t>
                  </w:r>
                </w:p>
              </w:tc>
              <w:tc>
                <w:tcPr>
                  <w:tcW w:w="341" w:type="pct"/>
                  <w:vMerge w:val="continue"/>
                  <w:tcBorders>
                    <w:tl2br w:val="nil"/>
                    <w:tr2bl w:val="nil"/>
                  </w:tcBorders>
                  <w:noWrap w:val="0"/>
                  <w:vAlign w:val="center"/>
                </w:tcPr>
                <w:p w14:paraId="517EE4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20C9B1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noWrap w:val="0"/>
                  <w:vAlign w:val="center"/>
                </w:tcPr>
                <w:p w14:paraId="019125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物料泵</w:t>
                  </w:r>
                </w:p>
              </w:tc>
              <w:tc>
                <w:tcPr>
                  <w:tcW w:w="497" w:type="pct"/>
                  <w:tcBorders>
                    <w:tl2br w:val="nil"/>
                    <w:tr2bl w:val="nil"/>
                  </w:tcBorders>
                  <w:noWrap w:val="0"/>
                  <w:vAlign w:val="center"/>
                </w:tcPr>
                <w:p w14:paraId="3EE4FB0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WSI—989</w:t>
                  </w:r>
                </w:p>
              </w:tc>
              <w:tc>
                <w:tcPr>
                  <w:tcW w:w="570" w:type="pct"/>
                  <w:tcBorders>
                    <w:tl2br w:val="nil"/>
                    <w:tr2bl w:val="nil"/>
                  </w:tcBorders>
                  <w:noWrap w:val="0"/>
                  <w:vAlign w:val="center"/>
                </w:tcPr>
                <w:p w14:paraId="0EF154A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75/1</w:t>
                  </w:r>
                </w:p>
              </w:tc>
              <w:tc>
                <w:tcPr>
                  <w:tcW w:w="329" w:type="pct"/>
                  <w:vMerge w:val="continue"/>
                  <w:tcBorders>
                    <w:tl2br w:val="nil"/>
                    <w:tr2bl w:val="nil"/>
                  </w:tcBorders>
                  <w:noWrap w:val="0"/>
                  <w:vAlign w:val="center"/>
                </w:tcPr>
                <w:p w14:paraId="523442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094E9E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65</w:t>
                  </w:r>
                </w:p>
              </w:tc>
              <w:tc>
                <w:tcPr>
                  <w:tcW w:w="282" w:type="pct"/>
                  <w:tcBorders>
                    <w:tl2br w:val="nil"/>
                    <w:tr2bl w:val="nil"/>
                  </w:tcBorders>
                  <w:noWrap w:val="0"/>
                  <w:vAlign w:val="center"/>
                </w:tcPr>
                <w:p w14:paraId="535387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25</w:t>
                  </w:r>
                </w:p>
              </w:tc>
              <w:tc>
                <w:tcPr>
                  <w:tcW w:w="224" w:type="pct"/>
                  <w:tcBorders>
                    <w:tl2br w:val="nil"/>
                    <w:tr2bl w:val="nil"/>
                  </w:tcBorders>
                  <w:noWrap w:val="0"/>
                  <w:vAlign w:val="center"/>
                </w:tcPr>
                <w:p w14:paraId="63F1A6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2</w:t>
                  </w:r>
                </w:p>
              </w:tc>
              <w:tc>
                <w:tcPr>
                  <w:tcW w:w="205" w:type="pct"/>
                  <w:tcBorders>
                    <w:tl2br w:val="nil"/>
                    <w:tr2bl w:val="nil"/>
                  </w:tcBorders>
                  <w:noWrap w:val="0"/>
                  <w:vAlign w:val="center"/>
                </w:tcPr>
                <w:p w14:paraId="6DCB19E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25</w:t>
                  </w:r>
                </w:p>
              </w:tc>
              <w:tc>
                <w:tcPr>
                  <w:tcW w:w="267" w:type="pct"/>
                  <w:tcBorders>
                    <w:tl2br w:val="nil"/>
                    <w:tr2bl w:val="nil"/>
                  </w:tcBorders>
                  <w:noWrap w:val="0"/>
                  <w:vAlign w:val="center"/>
                </w:tcPr>
                <w:p w14:paraId="765046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58.98</w:t>
                  </w:r>
                </w:p>
              </w:tc>
              <w:tc>
                <w:tcPr>
                  <w:tcW w:w="358" w:type="pct"/>
                  <w:vMerge w:val="continue"/>
                  <w:tcBorders>
                    <w:tl2br w:val="nil"/>
                    <w:tr2bl w:val="nil"/>
                  </w:tcBorders>
                  <w:noWrap w:val="0"/>
                  <w:vAlign w:val="center"/>
                </w:tcPr>
                <w:p w14:paraId="10E9B5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292" w:type="pct"/>
                  <w:tcBorders>
                    <w:tl2br w:val="nil"/>
                    <w:tr2bl w:val="nil"/>
                  </w:tcBorders>
                  <w:noWrap w:val="0"/>
                  <w:vAlign w:val="center"/>
                </w:tcPr>
                <w:p w14:paraId="490ED3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25</w:t>
                  </w:r>
                </w:p>
              </w:tc>
              <w:tc>
                <w:tcPr>
                  <w:tcW w:w="269" w:type="pct"/>
                  <w:tcBorders>
                    <w:tl2br w:val="nil"/>
                    <w:tr2bl w:val="nil"/>
                  </w:tcBorders>
                  <w:noWrap w:val="0"/>
                  <w:vAlign w:val="center"/>
                </w:tcPr>
                <w:p w14:paraId="4DF2A3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33.98</w:t>
                  </w:r>
                </w:p>
              </w:tc>
              <w:tc>
                <w:tcPr>
                  <w:tcW w:w="304" w:type="pct"/>
                  <w:tcBorders>
                    <w:tl2br w:val="nil"/>
                    <w:tr2bl w:val="nil"/>
                  </w:tcBorders>
                  <w:noWrap w:val="0"/>
                  <w:vAlign w:val="center"/>
                </w:tcPr>
                <w:p w14:paraId="265EF4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r>
            <w:tr w14:paraId="5B2C0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5BEB064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w:t>
                  </w:r>
                </w:p>
              </w:tc>
              <w:tc>
                <w:tcPr>
                  <w:tcW w:w="341" w:type="pct"/>
                  <w:vMerge w:val="continue"/>
                  <w:tcBorders>
                    <w:tl2br w:val="nil"/>
                    <w:tr2bl w:val="nil"/>
                  </w:tcBorders>
                  <w:noWrap w:val="0"/>
                  <w:vAlign w:val="center"/>
                </w:tcPr>
                <w:p w14:paraId="684863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53" w:type="pct"/>
                  <w:tcBorders>
                    <w:tl2br w:val="nil"/>
                    <w:tr2bl w:val="nil"/>
                  </w:tcBorders>
                  <w:noWrap w:val="0"/>
                  <w:vAlign w:val="center"/>
                </w:tcPr>
                <w:p w14:paraId="1C4867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shd w:val="clear" w:color="auto" w:fill="auto"/>
                  <w:noWrap w:val="0"/>
                  <w:vAlign w:val="center"/>
                </w:tcPr>
                <w:p w14:paraId="7D7007E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水冷式冷水机</w:t>
                  </w:r>
                </w:p>
              </w:tc>
              <w:tc>
                <w:tcPr>
                  <w:tcW w:w="497" w:type="pct"/>
                  <w:tcBorders>
                    <w:tl2br w:val="nil"/>
                    <w:tr2bl w:val="nil"/>
                  </w:tcBorders>
                  <w:noWrap w:val="0"/>
                  <w:vAlign w:val="center"/>
                </w:tcPr>
                <w:p w14:paraId="4C6440C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SW—009</w:t>
                  </w:r>
                </w:p>
              </w:tc>
              <w:tc>
                <w:tcPr>
                  <w:tcW w:w="570" w:type="pct"/>
                  <w:tcBorders>
                    <w:tl2br w:val="nil"/>
                    <w:tr2bl w:val="nil"/>
                  </w:tcBorders>
                  <w:noWrap w:val="0"/>
                  <w:vAlign w:val="center"/>
                </w:tcPr>
                <w:p w14:paraId="44F395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75/1</w:t>
                  </w:r>
                </w:p>
              </w:tc>
              <w:tc>
                <w:tcPr>
                  <w:tcW w:w="329" w:type="pct"/>
                  <w:vMerge w:val="continue"/>
                  <w:tcBorders>
                    <w:tl2br w:val="nil"/>
                    <w:tr2bl w:val="nil"/>
                  </w:tcBorders>
                  <w:noWrap w:val="0"/>
                  <w:vAlign w:val="center"/>
                </w:tcPr>
                <w:p w14:paraId="0887BA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229" w:type="pct"/>
                  <w:tcBorders>
                    <w:tl2br w:val="nil"/>
                    <w:tr2bl w:val="nil"/>
                  </w:tcBorders>
                  <w:noWrap w:val="0"/>
                  <w:vAlign w:val="center"/>
                </w:tcPr>
                <w:p w14:paraId="678105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52</w:t>
                  </w:r>
                </w:p>
              </w:tc>
              <w:tc>
                <w:tcPr>
                  <w:tcW w:w="282" w:type="pct"/>
                  <w:tcBorders>
                    <w:tl2br w:val="nil"/>
                    <w:tr2bl w:val="nil"/>
                  </w:tcBorders>
                  <w:noWrap w:val="0"/>
                  <w:vAlign w:val="center"/>
                </w:tcPr>
                <w:p w14:paraId="6E16B0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w:t>
                  </w:r>
                </w:p>
              </w:tc>
              <w:tc>
                <w:tcPr>
                  <w:tcW w:w="224" w:type="pct"/>
                  <w:tcBorders>
                    <w:tl2br w:val="nil"/>
                    <w:tr2bl w:val="nil"/>
                  </w:tcBorders>
                  <w:noWrap w:val="0"/>
                  <w:vAlign w:val="center"/>
                </w:tcPr>
                <w:p w14:paraId="407C1B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2</w:t>
                  </w:r>
                </w:p>
              </w:tc>
              <w:tc>
                <w:tcPr>
                  <w:tcW w:w="205" w:type="pct"/>
                  <w:tcBorders>
                    <w:tl2br w:val="nil"/>
                    <w:tr2bl w:val="nil"/>
                  </w:tcBorders>
                  <w:noWrap w:val="0"/>
                  <w:vAlign w:val="center"/>
                </w:tcPr>
                <w:p w14:paraId="1F5E4D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w:t>
                  </w:r>
                </w:p>
              </w:tc>
              <w:tc>
                <w:tcPr>
                  <w:tcW w:w="267" w:type="pct"/>
                  <w:tcBorders>
                    <w:tl2br w:val="nil"/>
                    <w:tr2bl w:val="nil"/>
                  </w:tcBorders>
                  <w:noWrap w:val="0"/>
                  <w:vAlign w:val="center"/>
                </w:tcPr>
                <w:p w14:paraId="09E0A8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58.98</w:t>
                  </w:r>
                </w:p>
              </w:tc>
              <w:tc>
                <w:tcPr>
                  <w:tcW w:w="358" w:type="pct"/>
                  <w:vMerge w:val="continue"/>
                  <w:tcBorders>
                    <w:tl2br w:val="nil"/>
                    <w:tr2bl w:val="nil"/>
                  </w:tcBorders>
                  <w:noWrap w:val="0"/>
                  <w:vAlign w:val="center"/>
                </w:tcPr>
                <w:p w14:paraId="5DE4F0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292" w:type="pct"/>
                  <w:tcBorders>
                    <w:tl2br w:val="nil"/>
                    <w:tr2bl w:val="nil"/>
                  </w:tcBorders>
                  <w:noWrap w:val="0"/>
                  <w:vAlign w:val="center"/>
                </w:tcPr>
                <w:p w14:paraId="6A6BD6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25</w:t>
                  </w:r>
                </w:p>
              </w:tc>
              <w:tc>
                <w:tcPr>
                  <w:tcW w:w="269" w:type="pct"/>
                  <w:tcBorders>
                    <w:tl2br w:val="nil"/>
                    <w:tr2bl w:val="nil"/>
                  </w:tcBorders>
                  <w:noWrap w:val="0"/>
                  <w:vAlign w:val="center"/>
                </w:tcPr>
                <w:p w14:paraId="44EC1CA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33.98</w:t>
                  </w:r>
                </w:p>
              </w:tc>
              <w:tc>
                <w:tcPr>
                  <w:tcW w:w="304" w:type="pct"/>
                  <w:tcBorders>
                    <w:tl2br w:val="nil"/>
                    <w:tr2bl w:val="nil"/>
                  </w:tcBorders>
                  <w:noWrap w:val="0"/>
                  <w:vAlign w:val="center"/>
                </w:tcPr>
                <w:p w14:paraId="11F91D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r>
            <w:tr w14:paraId="256D04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0FB155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w:t>
                  </w:r>
                </w:p>
              </w:tc>
              <w:tc>
                <w:tcPr>
                  <w:tcW w:w="341" w:type="pct"/>
                  <w:tcBorders>
                    <w:tl2br w:val="nil"/>
                    <w:tr2bl w:val="nil"/>
                  </w:tcBorders>
                  <w:noWrap w:val="0"/>
                  <w:vAlign w:val="center"/>
                </w:tcPr>
                <w:p w14:paraId="0E90BA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糖浆生产</w:t>
                  </w:r>
                </w:p>
                <w:p w14:paraId="68F2FA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车间</w:t>
                  </w:r>
                </w:p>
              </w:tc>
              <w:tc>
                <w:tcPr>
                  <w:tcW w:w="153" w:type="pct"/>
                  <w:tcBorders>
                    <w:tl2br w:val="nil"/>
                    <w:tr2bl w:val="nil"/>
                  </w:tcBorders>
                  <w:noWrap w:val="0"/>
                  <w:vAlign w:val="center"/>
                </w:tcPr>
                <w:p w14:paraId="3B1A44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523" w:type="pct"/>
                  <w:tcBorders>
                    <w:tl2br w:val="nil"/>
                    <w:tr2bl w:val="nil"/>
                  </w:tcBorders>
                  <w:shd w:val="clear" w:color="auto" w:fill="auto"/>
                  <w:noWrap w:val="0"/>
                  <w:vAlign w:val="center"/>
                </w:tcPr>
                <w:p w14:paraId="6F71B7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色选机</w:t>
                  </w:r>
                </w:p>
              </w:tc>
              <w:tc>
                <w:tcPr>
                  <w:tcW w:w="497" w:type="pct"/>
                  <w:tcBorders>
                    <w:tl2br w:val="nil"/>
                    <w:tr2bl w:val="nil"/>
                  </w:tcBorders>
                  <w:noWrap w:val="0"/>
                  <w:vAlign w:val="center"/>
                </w:tcPr>
                <w:p w14:paraId="47FCA2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w:t>
                  </w:r>
                </w:p>
              </w:tc>
              <w:tc>
                <w:tcPr>
                  <w:tcW w:w="570" w:type="pct"/>
                  <w:tcBorders>
                    <w:tl2br w:val="nil"/>
                    <w:tr2bl w:val="nil"/>
                  </w:tcBorders>
                  <w:noWrap w:val="0"/>
                  <w:vAlign w:val="center"/>
                </w:tcPr>
                <w:p w14:paraId="6F19AF6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75/1</w:t>
                  </w:r>
                </w:p>
              </w:tc>
              <w:tc>
                <w:tcPr>
                  <w:tcW w:w="329" w:type="pct"/>
                  <w:vMerge w:val="continue"/>
                  <w:tcBorders>
                    <w:tl2br w:val="nil"/>
                    <w:tr2bl w:val="nil"/>
                  </w:tcBorders>
                  <w:noWrap w:val="0"/>
                  <w:vAlign w:val="center"/>
                </w:tcPr>
                <w:p w14:paraId="06AEC5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608" w:type="dxa"/>
                  <w:tcBorders>
                    <w:tl2br w:val="nil"/>
                    <w:tr2bl w:val="nil"/>
                  </w:tcBorders>
                  <w:noWrap w:val="0"/>
                  <w:vAlign w:val="center"/>
                </w:tcPr>
                <w:p w14:paraId="5C4DD6E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52</w:t>
                  </w:r>
                </w:p>
              </w:tc>
              <w:tc>
                <w:tcPr>
                  <w:tcW w:w="749" w:type="dxa"/>
                  <w:tcBorders>
                    <w:tl2br w:val="nil"/>
                    <w:tr2bl w:val="nil"/>
                  </w:tcBorders>
                  <w:noWrap w:val="0"/>
                  <w:vAlign w:val="center"/>
                </w:tcPr>
                <w:p w14:paraId="677E43B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3</w:t>
                  </w:r>
                </w:p>
              </w:tc>
              <w:tc>
                <w:tcPr>
                  <w:tcW w:w="595" w:type="dxa"/>
                  <w:tcBorders>
                    <w:tl2br w:val="nil"/>
                    <w:tr2bl w:val="nil"/>
                  </w:tcBorders>
                  <w:noWrap w:val="0"/>
                  <w:vAlign w:val="center"/>
                </w:tcPr>
                <w:p w14:paraId="214A4A0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4</w:t>
                  </w:r>
                </w:p>
              </w:tc>
              <w:tc>
                <w:tcPr>
                  <w:tcW w:w="546" w:type="dxa"/>
                  <w:tcBorders>
                    <w:tl2br w:val="nil"/>
                    <w:tr2bl w:val="nil"/>
                  </w:tcBorders>
                  <w:noWrap w:val="0"/>
                  <w:vAlign w:val="center"/>
                </w:tcPr>
                <w:p w14:paraId="2E3E622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3</w:t>
                  </w:r>
                </w:p>
              </w:tc>
              <w:tc>
                <w:tcPr>
                  <w:tcW w:w="711" w:type="dxa"/>
                  <w:tcBorders>
                    <w:tl2br w:val="nil"/>
                    <w:tr2bl w:val="nil"/>
                  </w:tcBorders>
                  <w:noWrap w:val="0"/>
                  <w:vAlign w:val="center"/>
                </w:tcPr>
                <w:p w14:paraId="02FAF42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58.99</w:t>
                  </w:r>
                </w:p>
              </w:tc>
              <w:tc>
                <w:tcPr>
                  <w:tcW w:w="358" w:type="pct"/>
                  <w:tcBorders>
                    <w:tl2br w:val="nil"/>
                    <w:tr2bl w:val="nil"/>
                  </w:tcBorders>
                  <w:noWrap w:val="0"/>
                  <w:vAlign w:val="center"/>
                </w:tcPr>
                <w:p w14:paraId="51C005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292" w:type="pct"/>
                  <w:tcBorders>
                    <w:tl2br w:val="nil"/>
                    <w:tr2bl w:val="nil"/>
                  </w:tcBorders>
                  <w:noWrap w:val="0"/>
                  <w:vAlign w:val="center"/>
                </w:tcPr>
                <w:p w14:paraId="5C6008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25</w:t>
                  </w:r>
                </w:p>
              </w:tc>
              <w:tc>
                <w:tcPr>
                  <w:tcW w:w="269" w:type="pct"/>
                  <w:tcBorders>
                    <w:tl2br w:val="nil"/>
                    <w:tr2bl w:val="nil"/>
                  </w:tcBorders>
                  <w:noWrap w:val="0"/>
                  <w:vAlign w:val="center"/>
                </w:tcPr>
                <w:p w14:paraId="24FA73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33.99</w:t>
                  </w:r>
                </w:p>
              </w:tc>
              <w:tc>
                <w:tcPr>
                  <w:tcW w:w="304" w:type="pct"/>
                  <w:tcBorders>
                    <w:tl2br w:val="nil"/>
                    <w:tr2bl w:val="nil"/>
                  </w:tcBorders>
                  <w:noWrap w:val="0"/>
                  <w:vAlign w:val="center"/>
                </w:tcPr>
                <w:p w14:paraId="41BF31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w:t>
                  </w:r>
                </w:p>
              </w:tc>
            </w:tr>
            <w:tr w14:paraId="6F9AB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5000" w:type="pct"/>
                  <w:gridSpan w:val="16"/>
                  <w:tcBorders>
                    <w:tl2br w:val="nil"/>
                    <w:tr2bl w:val="nil"/>
                  </w:tcBorders>
                  <w:noWrap w:val="0"/>
                  <w:vAlign w:val="center"/>
                </w:tcPr>
                <w:p w14:paraId="27F0C8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*注：设车间北侧与车间西侧的交点为设备位置原点（经度115度28分9.606秒，纬度28度25分35.226秒）。</w:t>
                  </w:r>
                </w:p>
              </w:tc>
            </w:tr>
          </w:tbl>
          <w:p w14:paraId="4234306D">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eastAsia" w:ascii="Times New Roman" w:hAnsi="Times New Roman" w:eastAsia="宋体" w:cs="Times New Roman"/>
                <w:b/>
                <w:color w:val="auto"/>
                <w:kern w:val="0"/>
                <w:sz w:val="24"/>
                <w:szCs w:val="24"/>
                <w:lang w:val="en-US" w:eastAsia="zh-CN" w:bidi="ar-SA"/>
              </w:rPr>
            </w:pPr>
            <w:r>
              <w:rPr>
                <w:rFonts w:hint="eastAsia" w:ascii="Times New Roman" w:hAnsi="Times New Roman" w:eastAsia="宋体" w:cs="Times New Roman"/>
                <w:b/>
                <w:color w:val="auto"/>
                <w:kern w:val="0"/>
                <w:sz w:val="24"/>
                <w:szCs w:val="24"/>
                <w:lang w:val="en-US" w:eastAsia="zh-CN" w:bidi="ar-SA"/>
              </w:rPr>
              <w:t>工业企业噪声源强调查清单（室外声源）</w:t>
            </w:r>
          </w:p>
          <w:tbl>
            <w:tblPr>
              <w:tblStyle w:val="116"/>
              <w:tblW w:w="49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6"/>
              <w:gridCol w:w="1105"/>
              <w:gridCol w:w="875"/>
              <w:gridCol w:w="1172"/>
              <w:gridCol w:w="1245"/>
              <w:gridCol w:w="1288"/>
              <w:gridCol w:w="2201"/>
              <w:gridCol w:w="3303"/>
              <w:gridCol w:w="1625"/>
            </w:tblGrid>
            <w:tr w14:paraId="7A19A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239" w:type="pct"/>
                  <w:vMerge w:val="restart"/>
                  <w:tcBorders>
                    <w:tl2br w:val="nil"/>
                    <w:tr2bl w:val="nil"/>
                  </w:tcBorders>
                  <w:noWrap w:val="0"/>
                  <w:vAlign w:val="center"/>
                </w:tcPr>
                <w:p w14:paraId="7E44DA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序号</w:t>
                  </w:r>
                </w:p>
              </w:tc>
              <w:tc>
                <w:tcPr>
                  <w:tcW w:w="410" w:type="pct"/>
                  <w:vMerge w:val="restart"/>
                  <w:tcBorders>
                    <w:tl2br w:val="nil"/>
                    <w:tr2bl w:val="nil"/>
                  </w:tcBorders>
                  <w:noWrap w:val="0"/>
                  <w:vAlign w:val="center"/>
                </w:tcPr>
                <w:p w14:paraId="511E3C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声源名称</w:t>
                  </w:r>
                </w:p>
              </w:tc>
              <w:tc>
                <w:tcPr>
                  <w:tcW w:w="325" w:type="pct"/>
                  <w:vMerge w:val="restart"/>
                  <w:tcBorders>
                    <w:tl2br w:val="nil"/>
                    <w:tr2bl w:val="nil"/>
                  </w:tcBorders>
                  <w:noWrap w:val="0"/>
                  <w:vAlign w:val="center"/>
                </w:tcPr>
                <w:p w14:paraId="0FA6D7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型号</w:t>
                  </w:r>
                </w:p>
              </w:tc>
              <w:tc>
                <w:tcPr>
                  <w:tcW w:w="1376" w:type="pct"/>
                  <w:gridSpan w:val="3"/>
                  <w:tcBorders>
                    <w:tl2br w:val="nil"/>
                    <w:tr2bl w:val="nil"/>
                  </w:tcBorders>
                  <w:noWrap w:val="0"/>
                  <w:vAlign w:val="center"/>
                </w:tcPr>
                <w:p w14:paraId="642DA6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空间相对位置/m</w:t>
                  </w:r>
                </w:p>
              </w:tc>
              <w:tc>
                <w:tcPr>
                  <w:tcW w:w="817" w:type="pct"/>
                  <w:vMerge w:val="restart"/>
                  <w:tcBorders>
                    <w:tl2br w:val="nil"/>
                    <w:tr2bl w:val="nil"/>
                  </w:tcBorders>
                  <w:noWrap w:val="0"/>
                  <w:vAlign w:val="center"/>
                </w:tcPr>
                <w:p w14:paraId="110D21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声源源强/dB（A）</w:t>
                  </w:r>
                </w:p>
              </w:tc>
              <w:tc>
                <w:tcPr>
                  <w:tcW w:w="1226" w:type="pct"/>
                  <w:vMerge w:val="restart"/>
                  <w:tcBorders>
                    <w:tl2br w:val="nil"/>
                    <w:tr2bl w:val="nil"/>
                  </w:tcBorders>
                  <w:noWrap w:val="0"/>
                  <w:vAlign w:val="center"/>
                </w:tcPr>
                <w:p w14:paraId="41C1C4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声源控制措施</w:t>
                  </w:r>
                </w:p>
              </w:tc>
              <w:tc>
                <w:tcPr>
                  <w:tcW w:w="603" w:type="pct"/>
                  <w:vMerge w:val="restart"/>
                  <w:tcBorders>
                    <w:tl2br w:val="nil"/>
                    <w:tr2bl w:val="nil"/>
                  </w:tcBorders>
                  <w:noWrap w:val="0"/>
                  <w:vAlign w:val="center"/>
                </w:tcPr>
                <w:p w14:paraId="1D4BE3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运行时段</w:t>
                  </w:r>
                </w:p>
              </w:tc>
            </w:tr>
            <w:tr w14:paraId="5B867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239" w:type="pct"/>
                  <w:vMerge w:val="continue"/>
                  <w:tcBorders>
                    <w:tl2br w:val="nil"/>
                    <w:tr2bl w:val="nil"/>
                  </w:tcBorders>
                  <w:noWrap w:val="0"/>
                  <w:vAlign w:val="center"/>
                </w:tcPr>
                <w:p w14:paraId="2CEE6F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410" w:type="pct"/>
                  <w:vMerge w:val="continue"/>
                  <w:tcBorders>
                    <w:tl2br w:val="nil"/>
                    <w:tr2bl w:val="nil"/>
                  </w:tcBorders>
                  <w:noWrap w:val="0"/>
                  <w:vAlign w:val="center"/>
                </w:tcPr>
                <w:p w14:paraId="6A8238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325" w:type="pct"/>
                  <w:vMerge w:val="continue"/>
                  <w:tcBorders>
                    <w:tl2br w:val="nil"/>
                    <w:tr2bl w:val="nil"/>
                  </w:tcBorders>
                  <w:noWrap w:val="0"/>
                  <w:vAlign w:val="center"/>
                </w:tcPr>
                <w:p w14:paraId="31BDA9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435" w:type="pct"/>
                  <w:tcBorders>
                    <w:tl2br w:val="nil"/>
                    <w:tr2bl w:val="nil"/>
                  </w:tcBorders>
                  <w:noWrap w:val="0"/>
                  <w:vAlign w:val="center"/>
                </w:tcPr>
                <w:p w14:paraId="72CD94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X</w:t>
                  </w:r>
                </w:p>
              </w:tc>
              <w:tc>
                <w:tcPr>
                  <w:tcW w:w="462" w:type="pct"/>
                  <w:tcBorders>
                    <w:tl2br w:val="nil"/>
                    <w:tr2bl w:val="nil"/>
                  </w:tcBorders>
                  <w:noWrap w:val="0"/>
                  <w:vAlign w:val="center"/>
                </w:tcPr>
                <w:p w14:paraId="6FBDC2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Y</w:t>
                  </w:r>
                </w:p>
              </w:tc>
              <w:tc>
                <w:tcPr>
                  <w:tcW w:w="478" w:type="pct"/>
                  <w:tcBorders>
                    <w:tl2br w:val="nil"/>
                    <w:tr2bl w:val="nil"/>
                  </w:tcBorders>
                  <w:noWrap w:val="0"/>
                  <w:vAlign w:val="center"/>
                </w:tcPr>
                <w:p w14:paraId="77AFF1B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Z</w:t>
                  </w:r>
                </w:p>
              </w:tc>
              <w:tc>
                <w:tcPr>
                  <w:tcW w:w="817" w:type="pct"/>
                  <w:vMerge w:val="continue"/>
                  <w:tcBorders>
                    <w:tl2br w:val="nil"/>
                    <w:tr2bl w:val="nil"/>
                  </w:tcBorders>
                  <w:noWrap w:val="0"/>
                  <w:vAlign w:val="center"/>
                </w:tcPr>
                <w:p w14:paraId="4A4A64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1226" w:type="pct"/>
                  <w:vMerge w:val="continue"/>
                  <w:tcBorders>
                    <w:tl2br w:val="nil"/>
                    <w:tr2bl w:val="nil"/>
                  </w:tcBorders>
                  <w:noWrap w:val="0"/>
                  <w:vAlign w:val="center"/>
                </w:tcPr>
                <w:p w14:paraId="70EACB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603" w:type="pct"/>
                  <w:vMerge w:val="continue"/>
                  <w:tcBorders>
                    <w:tl2br w:val="nil"/>
                    <w:tr2bl w:val="nil"/>
                  </w:tcBorders>
                  <w:noWrap w:val="0"/>
                  <w:vAlign w:val="center"/>
                </w:tcPr>
                <w:p w14:paraId="1245AE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r>
            <w:tr w14:paraId="4E8D1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239" w:type="pct"/>
                  <w:tcBorders>
                    <w:tl2br w:val="nil"/>
                    <w:tr2bl w:val="nil"/>
                  </w:tcBorders>
                  <w:noWrap w:val="0"/>
                  <w:vAlign w:val="center"/>
                </w:tcPr>
                <w:p w14:paraId="109F5CB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w:t>
                  </w:r>
                </w:p>
              </w:tc>
              <w:tc>
                <w:tcPr>
                  <w:tcW w:w="410" w:type="pct"/>
                  <w:tcBorders>
                    <w:tl2br w:val="nil"/>
                    <w:tr2bl w:val="nil"/>
                  </w:tcBorders>
                  <w:noWrap w:val="0"/>
                  <w:vAlign w:val="center"/>
                </w:tcPr>
                <w:p w14:paraId="544995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风机</w:t>
                  </w:r>
                </w:p>
              </w:tc>
              <w:tc>
                <w:tcPr>
                  <w:tcW w:w="325" w:type="pct"/>
                  <w:tcBorders>
                    <w:tl2br w:val="nil"/>
                    <w:tr2bl w:val="nil"/>
                  </w:tcBorders>
                  <w:noWrap w:val="0"/>
                  <w:vAlign w:val="center"/>
                </w:tcPr>
                <w:p w14:paraId="5EA3C3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w:t>
                  </w:r>
                </w:p>
              </w:tc>
              <w:tc>
                <w:tcPr>
                  <w:tcW w:w="435" w:type="pct"/>
                  <w:tcBorders>
                    <w:tl2br w:val="nil"/>
                    <w:tr2bl w:val="nil"/>
                  </w:tcBorders>
                  <w:noWrap w:val="0"/>
                  <w:vAlign w:val="center"/>
                </w:tcPr>
                <w:p w14:paraId="2C6ABC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94</w:t>
                  </w:r>
                </w:p>
              </w:tc>
              <w:tc>
                <w:tcPr>
                  <w:tcW w:w="462" w:type="pct"/>
                  <w:tcBorders>
                    <w:tl2br w:val="nil"/>
                    <w:tr2bl w:val="nil"/>
                  </w:tcBorders>
                  <w:noWrap w:val="0"/>
                  <w:vAlign w:val="center"/>
                </w:tcPr>
                <w:p w14:paraId="02698D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-16</w:t>
                  </w:r>
                </w:p>
              </w:tc>
              <w:tc>
                <w:tcPr>
                  <w:tcW w:w="478" w:type="pct"/>
                  <w:tcBorders>
                    <w:tl2br w:val="nil"/>
                    <w:tr2bl w:val="nil"/>
                  </w:tcBorders>
                  <w:noWrap w:val="0"/>
                  <w:vAlign w:val="center"/>
                </w:tcPr>
                <w:p w14:paraId="7FE7C8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0.5</w:t>
                  </w:r>
                </w:p>
              </w:tc>
              <w:tc>
                <w:tcPr>
                  <w:tcW w:w="817" w:type="pct"/>
                  <w:tcBorders>
                    <w:tl2br w:val="nil"/>
                    <w:tr2bl w:val="nil"/>
                  </w:tcBorders>
                  <w:noWrap w:val="0"/>
                  <w:vAlign w:val="center"/>
                </w:tcPr>
                <w:p w14:paraId="6E04A0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85</w:t>
                  </w:r>
                </w:p>
              </w:tc>
              <w:tc>
                <w:tcPr>
                  <w:tcW w:w="1226" w:type="pct"/>
                  <w:tcBorders>
                    <w:tl2br w:val="nil"/>
                    <w:tr2bl w:val="nil"/>
                  </w:tcBorders>
                  <w:noWrap w:val="0"/>
                  <w:vAlign w:val="center"/>
                </w:tcPr>
                <w:p w14:paraId="5CF620F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隔声、减震，距离衰减，可消减15dB（A）</w:t>
                  </w:r>
                </w:p>
              </w:tc>
              <w:tc>
                <w:tcPr>
                  <w:tcW w:w="603" w:type="pct"/>
                  <w:tcBorders>
                    <w:tl2br w:val="nil"/>
                    <w:tr2bl w:val="nil"/>
                  </w:tcBorders>
                  <w:noWrap w:val="0"/>
                  <w:vAlign w:val="center"/>
                </w:tcPr>
                <w:p w14:paraId="0C73C9C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0:00-24:00</w:t>
                  </w:r>
                </w:p>
              </w:tc>
            </w:tr>
          </w:tbl>
          <w:p w14:paraId="113E2C87">
            <w:pPr>
              <w:keepNext w:val="0"/>
              <w:keepLines w:val="0"/>
              <w:suppressLineNumbers w:val="0"/>
              <w:spacing w:before="0" w:beforeAutospacing="0" w:after="0" w:afterAutospacing="0"/>
              <w:ind w:left="0" w:leftChars="0" w:right="0" w:firstLine="0" w:firstLineChars="0"/>
              <w:rPr>
                <w:rFonts w:hint="eastAsia" w:cs="Times New Roman"/>
                <w:b/>
                <w:bCs/>
                <w:color w:val="auto"/>
                <w:lang w:val="en-US" w:eastAsia="zh-CN"/>
              </w:rPr>
            </w:pPr>
          </w:p>
        </w:tc>
      </w:tr>
    </w:tbl>
    <w:p w14:paraId="25C77184">
      <w:pPr>
        <w:rPr>
          <w:color w:val="auto"/>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cols w:space="720" w:num="1"/>
          <w:docGrid w:linePitch="312" w:charSpace="0"/>
        </w:sectPr>
      </w:pPr>
    </w:p>
    <w:p w14:paraId="1EC88405">
      <w:pPr>
        <w:pStyle w:val="14"/>
        <w:rPr>
          <w:color w:val="auto"/>
        </w:rPr>
      </w:pPr>
    </w:p>
    <w:tbl>
      <w:tblPr>
        <w:tblStyle w:val="29"/>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37"/>
        <w:gridCol w:w="8086"/>
      </w:tblGrid>
      <w:tr w14:paraId="050972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224" w:hRule="atLeast"/>
        </w:trPr>
        <w:tc>
          <w:tcPr>
            <w:tcW w:w="229" w:type="pct"/>
            <w:noWrap w:val="0"/>
            <w:vAlign w:val="center"/>
          </w:tcPr>
          <w:p w14:paraId="595EE8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kern w:val="2"/>
                <w:szCs w:val="24"/>
              </w:rPr>
              <w:t>运营期环境影响和保护措施</w:t>
            </w:r>
          </w:p>
        </w:tc>
        <w:tc>
          <w:tcPr>
            <w:tcW w:w="4770" w:type="pct"/>
            <w:noWrap w:val="0"/>
            <w:vAlign w:val="top"/>
          </w:tcPr>
          <w:p w14:paraId="7D97AEF4">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）声环境影响分析</w:t>
            </w:r>
          </w:p>
          <w:p w14:paraId="71584558">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噪声源强：项目噪声主要</w:t>
            </w:r>
            <w:r>
              <w:rPr>
                <w:rFonts w:hint="default" w:ascii="Times New Roman" w:hAnsi="Times New Roman" w:cs="Times New Roman"/>
                <w:color w:val="auto"/>
                <w:lang w:eastAsia="zh-CN"/>
              </w:rPr>
              <w:t>来自</w:t>
            </w:r>
            <w:r>
              <w:rPr>
                <w:rFonts w:hint="default" w:ascii="Times New Roman" w:hAnsi="Times New Roman" w:cs="Times New Roman"/>
                <w:color w:val="auto"/>
              </w:rPr>
              <w:t>各机械设备噪声</w:t>
            </w:r>
            <w:r>
              <w:rPr>
                <w:rFonts w:hint="default" w:ascii="Times New Roman" w:hAnsi="Times New Roman" w:cs="Times New Roman"/>
                <w:color w:val="auto"/>
                <w:lang w:eastAsia="zh-CN"/>
              </w:rPr>
              <w:t>，</w:t>
            </w:r>
            <w:r>
              <w:rPr>
                <w:rFonts w:hint="default" w:ascii="Times New Roman" w:hAnsi="Times New Roman" w:cs="Times New Roman"/>
                <w:color w:val="auto"/>
              </w:rPr>
              <w:t>其声级为</w:t>
            </w:r>
            <w:r>
              <w:rPr>
                <w:rFonts w:hint="default" w:ascii="Times New Roman" w:hAnsi="Times New Roman" w:cs="Times New Roman"/>
                <w:color w:val="auto"/>
                <w:lang w:val="en-US" w:eastAsia="zh-CN"/>
              </w:rPr>
              <w:t>75</w:t>
            </w:r>
            <w:r>
              <w:rPr>
                <w:rFonts w:hint="default" w:ascii="Times New Roman" w:hAnsi="Times New Roman" w:cs="Times New Roman"/>
                <w:color w:val="auto"/>
              </w:rPr>
              <w:t>~</w:t>
            </w:r>
            <w:r>
              <w:rPr>
                <w:rFonts w:hint="default" w:ascii="Times New Roman" w:hAnsi="Times New Roman" w:cs="Times New Roman"/>
                <w:color w:val="auto"/>
                <w:lang w:val="en-US" w:eastAsia="zh-CN"/>
              </w:rPr>
              <w:t>85</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0EE8241A">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预测的基本思路是：将整个车间看成一个整体声源</w:t>
            </w:r>
            <w:r>
              <w:rPr>
                <w:rFonts w:hint="default" w:ascii="Times New Roman" w:hAnsi="Times New Roman" w:cs="Times New Roman"/>
                <w:color w:val="auto"/>
                <w:lang w:eastAsia="zh-CN"/>
              </w:rPr>
              <w:t>，</w:t>
            </w:r>
            <w:r>
              <w:rPr>
                <w:rFonts w:hint="default" w:ascii="Times New Roman" w:hAnsi="Times New Roman" w:cs="Times New Roman"/>
                <w:color w:val="auto"/>
              </w:rPr>
              <w:t>然后计算整体声源辐射的声能在向受声点传播过程中由各种因素引起的衰减</w:t>
            </w:r>
            <w:r>
              <w:rPr>
                <w:rFonts w:hint="default" w:ascii="Times New Roman" w:hAnsi="Times New Roman" w:cs="Times New Roman"/>
                <w:color w:val="auto"/>
                <w:lang w:eastAsia="zh-CN"/>
              </w:rPr>
              <w:t>，</w:t>
            </w:r>
            <w:r>
              <w:rPr>
                <w:rFonts w:hint="default" w:ascii="Times New Roman" w:hAnsi="Times New Roman" w:cs="Times New Roman"/>
                <w:color w:val="auto"/>
              </w:rPr>
              <w:t>最后求得预测受声点的噪声级。从噪声源到受声点的噪声总衰减量</w:t>
            </w:r>
            <w:r>
              <w:rPr>
                <w:rFonts w:hint="default" w:ascii="Times New Roman" w:hAnsi="Times New Roman" w:cs="Times New Roman"/>
                <w:color w:val="auto"/>
                <w:lang w:eastAsia="zh-CN"/>
              </w:rPr>
              <w:t>，</w:t>
            </w:r>
            <w:r>
              <w:rPr>
                <w:rFonts w:hint="default" w:ascii="Times New Roman" w:hAnsi="Times New Roman" w:cs="Times New Roman"/>
                <w:color w:val="auto"/>
              </w:rPr>
              <w:t>是由噪声源到受声点的距离、墙体隔声量、空气吸收及建筑屏障的衰减综合而成</w:t>
            </w:r>
            <w:r>
              <w:rPr>
                <w:rFonts w:hint="default" w:ascii="Times New Roman" w:hAnsi="Times New Roman" w:cs="Times New Roman"/>
                <w:color w:val="auto"/>
                <w:lang w:eastAsia="zh-CN"/>
              </w:rPr>
              <w:t>，</w:t>
            </w:r>
            <w:r>
              <w:rPr>
                <w:rFonts w:hint="default" w:ascii="Times New Roman" w:hAnsi="Times New Roman" w:cs="Times New Roman"/>
                <w:color w:val="auto"/>
              </w:rPr>
              <w:t>本预测只考虑距离的衰减和建筑墙体的隔声量</w:t>
            </w:r>
            <w:r>
              <w:rPr>
                <w:rFonts w:hint="default" w:ascii="Times New Roman" w:hAnsi="Times New Roman" w:cs="Times New Roman"/>
                <w:color w:val="auto"/>
                <w:lang w:eastAsia="zh-CN"/>
              </w:rPr>
              <w:t>，</w:t>
            </w:r>
            <w:r>
              <w:rPr>
                <w:rFonts w:hint="default" w:ascii="Times New Roman" w:hAnsi="Times New Roman" w:cs="Times New Roman"/>
                <w:color w:val="auto"/>
              </w:rPr>
              <w:t>空气吸收因本建设项目噪声源离预测点较近而忽略不计。</w:t>
            </w:r>
          </w:p>
          <w:p w14:paraId="42525948">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①单声源声压级的预测</w:t>
            </w:r>
          </w:p>
          <w:p w14:paraId="19789814">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将噪声源视为点源</w:t>
            </w:r>
            <w:r>
              <w:rPr>
                <w:rFonts w:hint="default" w:ascii="Times New Roman" w:hAnsi="Times New Roman" w:cs="Times New Roman"/>
                <w:color w:val="auto"/>
                <w:lang w:eastAsia="zh-CN"/>
              </w:rPr>
              <w:t>，</w:t>
            </w:r>
            <w:r>
              <w:rPr>
                <w:rFonts w:hint="default" w:ascii="Times New Roman" w:hAnsi="Times New Roman" w:cs="Times New Roman"/>
                <w:color w:val="auto"/>
              </w:rPr>
              <w:t>以球面波传播</w:t>
            </w:r>
            <w:r>
              <w:rPr>
                <w:rFonts w:hint="default" w:ascii="Times New Roman" w:hAnsi="Times New Roman" w:cs="Times New Roman"/>
                <w:color w:val="auto"/>
                <w:lang w:eastAsia="zh-CN"/>
              </w:rPr>
              <w:t>，</w:t>
            </w:r>
            <w:r>
              <w:rPr>
                <w:rFonts w:hint="default" w:ascii="Times New Roman" w:hAnsi="Times New Roman" w:cs="Times New Roman"/>
                <w:color w:val="auto"/>
              </w:rPr>
              <w:t>预测计算式为：</w:t>
            </w:r>
          </w:p>
          <w:p w14:paraId="0676DF3E">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2"/>
              </w:rPr>
              <w:object>
                <v:shape id="_x0000_i1026" o:spt="75" type="#_x0000_t75" style="height:18pt;width:132pt;" o:ole="t" filled="f" o:preferrelative="t" stroked="f" coordsize="21600,21600">
                  <v:path/>
                  <v:fill on="f" focussize="0,0"/>
                  <v:stroke on="f"/>
                  <v:imagedata r:id="rId27" o:title=""/>
                  <o:lock v:ext="edit" aspectratio="t"/>
                  <w10:wrap type="none"/>
                  <w10:anchorlock/>
                </v:shape>
                <o:OLEObject Type="Embed" ProgID="Equation.3" ShapeID="_x0000_i1026" DrawAspect="Content" ObjectID="_1468075726" r:id="rId26">
                  <o:LockedField>false</o:LockedField>
                </o:OLEObject>
              </w:object>
            </w:r>
          </w:p>
          <w:p w14:paraId="79CFE6B4">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式中  Lr—距声源r米处的声压级</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47F5FAF0">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 xml:space="preserve">      Lr0—距声源r0处的声压级</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；（r0取1米）；</w:t>
            </w:r>
          </w:p>
          <w:p w14:paraId="5E286FB0">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r —距声源的距离</w:t>
            </w:r>
            <w:r>
              <w:rPr>
                <w:rFonts w:hint="default" w:ascii="Times New Roman" w:hAnsi="Times New Roman" w:cs="Times New Roman"/>
                <w:color w:val="auto"/>
                <w:lang w:eastAsia="zh-CN"/>
              </w:rPr>
              <w:t>，</w:t>
            </w:r>
            <w:r>
              <w:rPr>
                <w:rFonts w:hint="default" w:ascii="Times New Roman" w:hAnsi="Times New Roman" w:cs="Times New Roman"/>
                <w:color w:val="auto"/>
              </w:rPr>
              <w:t>米；TL—墙壁隔声量</w:t>
            </w:r>
            <w:r>
              <w:rPr>
                <w:rFonts w:hint="default" w:ascii="Times New Roman" w:hAnsi="Times New Roman" w:cs="Times New Roman"/>
                <w:color w:val="auto"/>
                <w:lang w:eastAsia="zh-CN"/>
              </w:rPr>
              <w:t>，</w:t>
            </w:r>
            <w:r>
              <w:rPr>
                <w:rFonts w:hint="default" w:ascii="Times New Roman" w:hAnsi="Times New Roman" w:cs="Times New Roman"/>
                <w:color w:val="auto"/>
              </w:rPr>
              <w:t>13dB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42FBB0CE">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②多声源声压级的预测</w:t>
            </w:r>
          </w:p>
          <w:p w14:paraId="74C50DD8">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在噪声源众多的情况下</w:t>
            </w:r>
            <w:r>
              <w:rPr>
                <w:rFonts w:hint="default" w:ascii="Times New Roman" w:hAnsi="Times New Roman" w:cs="Times New Roman"/>
                <w:color w:val="auto"/>
                <w:lang w:eastAsia="zh-CN"/>
              </w:rPr>
              <w:t>，</w:t>
            </w:r>
            <w:r>
              <w:rPr>
                <w:rFonts w:hint="default" w:ascii="Times New Roman" w:hAnsi="Times New Roman" w:cs="Times New Roman"/>
                <w:color w:val="auto"/>
              </w:rPr>
              <w:t>某预测点的声压级为各噪声对该受声点的噪声级分贝值叠加之和。</w:t>
            </w:r>
          </w:p>
          <w:p w14:paraId="77A5EDA8">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计算式：</w:t>
            </w:r>
          </w:p>
          <w:p w14:paraId="14559E9F">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30"/>
              </w:rPr>
              <w:object>
                <v:shape id="_x0000_i1027" o:spt="75" type="#_x0000_t75" style="height:36pt;width:113.25pt;" o:ole="t" filled="f" o:preferrelative="t" stroked="f" coordsize="21600,21600">
                  <v:path/>
                  <v:fill on="f" focussize="0,0"/>
                  <v:stroke on="f"/>
                  <v:imagedata r:id="rId29" o:title=""/>
                  <o:lock v:ext="edit" aspectratio="t"/>
                  <w10:wrap type="none"/>
                  <w10:anchorlock/>
                </v:shape>
                <o:OLEObject Type="Embed" ProgID="Equation.3" ShapeID="_x0000_i1027" DrawAspect="Content" ObjectID="_1468075727" r:id="rId28">
                  <o:LockedField>false</o:LockedField>
                </o:OLEObject>
              </w:object>
            </w:r>
          </w:p>
          <w:p w14:paraId="0B257AFC">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 xml:space="preserve">式中  </w:t>
            </w:r>
            <w:r>
              <w:rPr>
                <w:rFonts w:hint="default" w:ascii="Times New Roman" w:hAnsi="Times New Roman" w:cs="Times New Roman"/>
                <w:color w:val="auto"/>
                <w:position w:val="-14"/>
              </w:rPr>
              <w:object>
                <v:shape id="_x0000_i1028" o:spt="75" type="#_x0000_t75" style="height:18.75pt;width:18.75pt;" o:ole="t" filled="f" o:preferrelative="t" stroked="f" coordsize="21600,21600">
                  <v:path/>
                  <v:fill on="f" focussize="0,0"/>
                  <v:stroke on="f"/>
                  <v:imagedata r:id="rId31" o:title=""/>
                  <o:lock v:ext="edit" aspectratio="t"/>
                  <w10:wrap type="none"/>
                  <w10:anchorlock/>
                </v:shape>
                <o:OLEObject Type="Embed" ProgID="Equation.3" ShapeID="_x0000_i1028" DrawAspect="Content" ObjectID="_1468075728" r:id="rId30">
                  <o:LockedField>false</o:LockedField>
                </o:OLEObject>
              </w:object>
            </w:r>
            <w:r>
              <w:rPr>
                <w:rFonts w:hint="default" w:ascii="Times New Roman" w:hAnsi="Times New Roman" w:cs="Times New Roman"/>
                <w:color w:val="auto"/>
              </w:rPr>
              <w:t>—某预测点迭加后的总声压级</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3347ADA3">
            <w:pPr>
              <w:keepNext w:val="0"/>
              <w:keepLines w:val="0"/>
              <w:suppressLineNumbers w:val="0"/>
              <w:bidi w:val="0"/>
              <w:spacing w:before="0" w:beforeAutospacing="0" w:after="0" w:afterAutospacing="0" w:line="360" w:lineRule="auto"/>
              <w:ind w:left="0" w:right="0"/>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      </w:t>
            </w:r>
            <w:r>
              <w:rPr>
                <w:rFonts w:hint="default" w:ascii="Times New Roman" w:hAnsi="Times New Roman" w:cs="Times New Roman"/>
                <w:color w:val="auto"/>
                <w:position w:val="-14"/>
              </w:rPr>
              <w:object>
                <v:shape id="_x0000_i1029" o:spt="75" type="#_x0000_t75" style="height:18.75pt;width:17.25pt;" o:ole="t" filled="f" o:preferrelative="t" stroked="f" coordsize="21600,21600">
                  <v:path/>
                  <v:fill on="f" focussize="0,0"/>
                  <v:stroke on="f"/>
                  <v:imagedata r:id="rId33" o:title=""/>
                  <o:lock v:ext="edit" aspectratio="t"/>
                  <w10:wrap type="none"/>
                  <w10:anchorlock/>
                </v:shape>
                <o:OLEObject Type="Embed" ProgID="Equation.3" ShapeID="_x0000_i1029" DrawAspect="Content" ObjectID="_1468075729" r:id="rId32">
                  <o:LockedField>false</o:LockedField>
                </o:OLEObject>
              </w:object>
            </w:r>
            <w:r>
              <w:rPr>
                <w:rFonts w:hint="default" w:ascii="Times New Roman" w:hAnsi="Times New Roman" w:cs="Times New Roman"/>
                <w:color w:val="auto"/>
              </w:rPr>
              <w:t>—i声源对某预测点的贡献声压级</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p>
          <w:p w14:paraId="4B7B6B60">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③厂界噪声衰减扩散预测</w:t>
            </w:r>
          </w:p>
          <w:p w14:paraId="17CFB9ED">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根据《环境影响评价技术导则 声环境》（HJ2.4-20</w:t>
            </w:r>
            <w:r>
              <w:rPr>
                <w:rFonts w:hint="default" w:ascii="Times New Roman" w:hAnsi="Times New Roman" w:cs="Times New Roman"/>
                <w:color w:val="auto"/>
                <w:lang w:val="en-US" w:eastAsia="zh-CN"/>
              </w:rPr>
              <w:t>21</w:t>
            </w:r>
            <w:r>
              <w:rPr>
                <w:rFonts w:hint="default" w:ascii="Times New Roman" w:hAnsi="Times New Roman" w:cs="Times New Roman"/>
                <w:color w:val="auto"/>
              </w:rPr>
              <w:t>）推荐的噪声户外传播衰减计算的替代方法</w:t>
            </w:r>
            <w:r>
              <w:rPr>
                <w:rFonts w:hint="default" w:ascii="Times New Roman" w:hAnsi="Times New Roman" w:cs="Times New Roman"/>
                <w:color w:val="auto"/>
                <w:lang w:eastAsia="zh-CN"/>
              </w:rPr>
              <w:t>，</w:t>
            </w:r>
            <w:r>
              <w:rPr>
                <w:rFonts w:hint="default" w:ascii="Times New Roman" w:hAnsi="Times New Roman" w:cs="Times New Roman"/>
                <w:color w:val="auto"/>
              </w:rPr>
              <w:t>即用A声级计算</w:t>
            </w:r>
            <w:r>
              <w:rPr>
                <w:rFonts w:hint="default" w:ascii="Times New Roman" w:hAnsi="Times New Roman" w:cs="Times New Roman"/>
                <w:color w:val="auto"/>
                <w:lang w:eastAsia="zh-CN"/>
              </w:rPr>
              <w:t>，</w:t>
            </w:r>
            <w:r>
              <w:rPr>
                <w:rFonts w:hint="default" w:ascii="Times New Roman" w:hAnsi="Times New Roman" w:cs="Times New Roman"/>
                <w:color w:val="auto"/>
              </w:rPr>
              <w:t>其计算公式如下：</w:t>
            </w:r>
          </w:p>
          <w:p w14:paraId="736133A9">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2"/>
              </w:rPr>
              <w:object>
                <v:shape id="_x0000_i1030" o:spt="75" type="#_x0000_t75" style="height:18pt;width:206.2pt;" o:ole="t" filled="f" o:preferrelative="t" stroked="f" coordsize="21600,21600">
                  <v:path/>
                  <v:fill on="f" focussize="0,0"/>
                  <v:stroke on="f"/>
                  <v:imagedata r:id="rId35" o:title=""/>
                  <o:lock v:ext="edit" aspectratio="t"/>
                  <w10:wrap type="none"/>
                  <w10:anchorlock/>
                </v:shape>
                <o:OLEObject Type="Embed" ProgID="Equation.3" ShapeID="_x0000_i1030" DrawAspect="Content" ObjectID="_1468075730" r:id="rId34">
                  <o:LockedField>false</o:LockedField>
                </o:OLEObject>
              </w:object>
            </w:r>
          </w:p>
          <w:p w14:paraId="63761191">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31"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31" DrawAspect="Content" ObjectID="_1468075731" r:id="rId36">
                  <o:LockedField>false</o:LockedField>
                </o:OLEObject>
              </w:object>
            </w:r>
            <w:r>
              <w:rPr>
                <w:rFonts w:hint="default" w:ascii="Times New Roman" w:hAnsi="Times New Roman" w:cs="Times New Roman"/>
                <w:color w:val="auto"/>
              </w:rPr>
              <w:tab/>
            </w:r>
            <w:r>
              <w:rPr>
                <w:rFonts w:hint="default" w:ascii="Times New Roman" w:hAnsi="Times New Roman" w:cs="Times New Roman"/>
                <w:color w:val="auto"/>
              </w:rPr>
              <w:t>式中：</w:t>
            </w:r>
            <w:r>
              <w:rPr>
                <w:rFonts w:hint="default" w:ascii="Times New Roman" w:hAnsi="Times New Roman" w:cs="Times New Roman"/>
                <w:color w:val="auto"/>
                <w:position w:val="-10"/>
              </w:rPr>
              <w:object>
                <v:shape id="_x0000_i1032" o:spt="75" type="#_x0000_t75" style="height:17.25pt;width:30.75pt;" o:ole="t" filled="f" o:preferrelative="t" stroked="f" coordsize="21600,21600">
                  <v:path/>
                  <v:fill on="f" focussize="0,0"/>
                  <v:stroke on="f"/>
                  <v:imagedata r:id="rId39" o:title=""/>
                  <o:lock v:ext="edit" aspectratio="t"/>
                  <w10:wrap type="none"/>
                  <w10:anchorlock/>
                </v:shape>
                <o:OLEObject Type="Embed" ProgID="Equation.3" ShapeID="_x0000_i1032" DrawAspect="Content" ObjectID="_1468075732" r:id="rId38">
                  <o:LockedField>false</o:LockedField>
                </o:OLEObject>
              </w:object>
            </w:r>
            <w:r>
              <w:rPr>
                <w:rFonts w:hint="default" w:ascii="Times New Roman" w:hAnsi="Times New Roman" w:cs="Times New Roman"/>
                <w:color w:val="auto"/>
              </w:rPr>
              <w:t xml:space="preserve"> —距声源r处的A声级</w:t>
            </w:r>
            <w:r>
              <w:rPr>
                <w:rFonts w:hint="default" w:ascii="Times New Roman" w:hAnsi="Times New Roman" w:cs="Times New Roman"/>
                <w:color w:val="auto"/>
                <w:lang w:eastAsia="zh-CN"/>
              </w:rPr>
              <w:t>，</w:t>
            </w:r>
            <w:r>
              <w:rPr>
                <w:rFonts w:hint="default" w:ascii="Times New Roman" w:hAnsi="Times New Roman" w:cs="Times New Roman"/>
                <w:color w:val="auto"/>
              </w:rPr>
              <w:t>dB；</w:t>
            </w:r>
          </w:p>
          <w:p w14:paraId="4FF3908B">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33"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33" DrawAspect="Content" ObjectID="_1468075733" r:id="rId40">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position w:val="-12"/>
              </w:rPr>
              <w:object>
                <v:shape id="_x0000_i1034" o:spt="75" type="#_x0000_t75" style="height:18pt;width:35.25pt;" o:ole="t" filled="f" o:preferrelative="t" stroked="f" coordsize="21600,21600">
                  <v:path/>
                  <v:fill on="f" focussize="0,0"/>
                  <v:stroke on="f"/>
                  <v:imagedata r:id="rId42" o:title=""/>
                  <o:lock v:ext="edit" aspectratio="t"/>
                  <w10:wrap type="none"/>
                  <w10:anchorlock/>
                </v:shape>
                <o:OLEObject Type="Embed" ProgID="Equation.3" ShapeID="_x0000_i1034" DrawAspect="Content" ObjectID="_1468075734" r:id="rId41">
                  <o:LockedField>false</o:LockedField>
                </o:OLEObject>
              </w:object>
            </w:r>
            <w:r>
              <w:rPr>
                <w:rFonts w:hint="default" w:ascii="Times New Roman" w:hAnsi="Times New Roman" w:cs="Times New Roman"/>
                <w:color w:val="auto"/>
              </w:rPr>
              <w:t>—参考位置r0处的A声级</w:t>
            </w:r>
            <w:r>
              <w:rPr>
                <w:rFonts w:hint="default" w:ascii="Times New Roman" w:hAnsi="Times New Roman" w:cs="Times New Roman"/>
                <w:color w:val="auto"/>
                <w:lang w:eastAsia="zh-CN"/>
              </w:rPr>
              <w:t>，</w:t>
            </w:r>
            <w:r>
              <w:rPr>
                <w:rFonts w:hint="default" w:ascii="Times New Roman" w:hAnsi="Times New Roman" w:cs="Times New Roman"/>
                <w:color w:val="auto"/>
              </w:rPr>
              <w:t>dB；当r0=1m时</w:t>
            </w:r>
            <w:r>
              <w:rPr>
                <w:rFonts w:hint="default" w:ascii="Times New Roman" w:hAnsi="Times New Roman" w:cs="Times New Roman"/>
                <w:color w:val="auto"/>
                <w:lang w:eastAsia="zh-CN"/>
              </w:rPr>
              <w:t>，</w:t>
            </w:r>
            <w:r>
              <w:rPr>
                <w:rFonts w:hint="default" w:ascii="Times New Roman" w:hAnsi="Times New Roman" w:cs="Times New Roman"/>
                <w:color w:val="auto"/>
                <w:position w:val="-12"/>
              </w:rPr>
              <w:object>
                <v:shape id="_x0000_i1035" o:spt="75" type="#_x0000_t75" style="height:18pt;width:35.25pt;" o:ole="t" filled="f" o:preferrelative="t" stroked="f" coordsize="21600,21600">
                  <v:path/>
                  <v:fill on="f" focussize="0,0"/>
                  <v:stroke on="f"/>
                  <v:imagedata r:id="rId44" o:title=""/>
                  <o:lock v:ext="edit" aspectratio="t"/>
                  <w10:wrap type="none"/>
                  <w10:anchorlock/>
                </v:shape>
                <o:OLEObject Type="Embed" ProgID="Equation.3" ShapeID="_x0000_i1035" DrawAspect="Content" ObjectID="_1468075735" r:id="rId43">
                  <o:LockedField>false</o:LockedField>
                </o:OLEObject>
              </w:object>
            </w:r>
            <w:r>
              <w:rPr>
                <w:rFonts w:hint="default" w:ascii="Times New Roman" w:hAnsi="Times New Roman" w:cs="Times New Roman"/>
                <w:color w:val="auto"/>
              </w:rPr>
              <w:t xml:space="preserve"> 即为源强；本项目各车间的综合噪声源强。</w:t>
            </w:r>
          </w:p>
          <w:p w14:paraId="057C1EC2">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36"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36" DrawAspect="Content" ObjectID="_1468075736" r:id="rId45">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position w:val="-12"/>
              </w:rPr>
              <w:object>
                <v:shape id="_x0000_i1037" o:spt="75" type="#_x0000_t75" style="height:18pt;width:21pt;" o:ole="t" filled="f" o:preferrelative="t" stroked="f" coordsize="21600,21600">
                  <v:path/>
                  <v:fill on="f" focussize="0,0"/>
                  <v:stroke on="f"/>
                  <v:imagedata r:id="rId47" o:title=""/>
                  <o:lock v:ext="edit" aspectratio="t"/>
                  <w10:wrap type="none"/>
                  <w10:anchorlock/>
                </v:shape>
                <o:OLEObject Type="Embed" ProgID="Equation.3" ShapeID="_x0000_i1037" DrawAspect="Content" ObjectID="_1468075737" r:id="rId46">
                  <o:LockedField>false</o:LockedField>
                </o:OLEObject>
              </w:object>
            </w:r>
            <w:r>
              <w:rPr>
                <w:rFonts w:hint="default" w:ascii="Times New Roman" w:hAnsi="Times New Roman" w:cs="Times New Roman"/>
                <w:color w:val="auto"/>
              </w:rPr>
              <w:t>—声波几何发散引起的A声级衰减量</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667E04EB">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2"/>
              </w:rPr>
              <w:object>
                <v:shape id="_x0000_i1038" o:spt="75" type="#_x0000_t75" style="height:18pt;width:87.75pt;" o:ole="t" filled="f" o:preferrelative="t" stroked="f" coordsize="21600,21600">
                  <v:path/>
                  <v:fill on="f" focussize="0,0"/>
                  <v:stroke on="f"/>
                  <v:imagedata r:id="rId49" o:title=""/>
                  <o:lock v:ext="edit" aspectratio="t"/>
                  <w10:wrap type="none"/>
                  <w10:anchorlock/>
                </v:shape>
                <o:OLEObject Type="Embed" ProgID="Equation.3" ShapeID="_x0000_i1038" DrawAspect="Content" ObjectID="_1468075738" r:id="rId48">
                  <o:LockedField>false</o:LockedField>
                </o:OLEObject>
              </w:object>
            </w:r>
          </w:p>
          <w:p w14:paraId="19224AE5">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39"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39" DrawAspect="Content" ObjectID="_1468075739" r:id="rId50">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position w:val="-12"/>
              </w:rPr>
              <w:object>
                <v:shape id="_x0000_i1040" o:spt="75" type="#_x0000_t75" style="height:18pt;width:21.75pt;" o:ole="t" filled="f" o:preferrelative="t" stroked="f" coordsize="21600,21600">
                  <v:path/>
                  <v:fill on="f" focussize="0,0"/>
                  <v:stroke on="f"/>
                  <v:imagedata r:id="rId52" o:title=""/>
                  <o:lock v:ext="edit" aspectratio="t"/>
                  <w10:wrap type="none"/>
                  <w10:anchorlock/>
                </v:shape>
                <o:OLEObject Type="Embed" ProgID="Equation.3" ShapeID="_x0000_i1040" DrawAspect="Content" ObjectID="_1468075740" r:id="rId51">
                  <o:LockedField>false</o:LockedField>
                </o:OLEObject>
              </w:object>
            </w:r>
            <w:r>
              <w:rPr>
                <w:rFonts w:hint="default" w:ascii="Times New Roman" w:hAnsi="Times New Roman" w:cs="Times New Roman"/>
                <w:color w:val="auto"/>
              </w:rPr>
              <w:t>—遮挡物引起的A声级衰减量</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车间墙体遮挡衰减取13 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0C6E674C">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41"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41" DrawAspect="Content" ObjectID="_1468075741" r:id="rId53">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position w:val="-12"/>
              </w:rPr>
              <w:object>
                <v:shape id="_x0000_i1042" o:spt="75" type="#_x0000_t75" style="height:18pt;width:21.75pt;" o:ole="t" filled="f" o:preferrelative="t" stroked="f" coordsize="21600,21600">
                  <v:path/>
                  <v:fill on="f" focussize="0,0"/>
                  <v:stroke on="f"/>
                  <v:imagedata r:id="rId55" o:title=""/>
                  <o:lock v:ext="edit" aspectratio="t"/>
                  <w10:wrap type="none"/>
                  <w10:anchorlock/>
                </v:shape>
                <o:OLEObject Type="Embed" ProgID="Equation.3" ShapeID="_x0000_i1042" DrawAspect="Content" ObjectID="_1468075742" r:id="rId54">
                  <o:LockedField>false</o:LockedField>
                </o:OLEObject>
              </w:object>
            </w:r>
            <w:r>
              <w:rPr>
                <w:rFonts w:hint="default" w:ascii="Times New Roman" w:hAnsi="Times New Roman" w:cs="Times New Roman"/>
                <w:color w:val="auto"/>
              </w:rPr>
              <w:t>—空气吸收引起的A声级衰减量</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376816C1">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position w:val="-10"/>
              </w:rPr>
              <w:object>
                <v:shape id="_x0000_i1043" o:spt="75" type="#_x0000_t75" style="height:17.25pt;width:9pt;" o:ole="t" filled="f" o:preferrelative="t" stroked="f" coordsize="21600,21600">
                  <v:path/>
                  <v:fill on="f" focussize="0,0"/>
                  <v:stroke on="f"/>
                  <v:imagedata r:id="rId37" o:title=""/>
                  <o:lock v:ext="edit" aspectratio="t"/>
                  <w10:wrap type="none"/>
                  <w10:anchorlock/>
                </v:shape>
                <o:OLEObject Type="Embed" ProgID="Equation.3" ShapeID="_x0000_i1043" DrawAspect="Content" ObjectID="_1468075743" r:id="rId56">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position w:val="-12"/>
              </w:rPr>
              <w:object>
                <v:shape id="_x0000_i1044" o:spt="75" type="#_x0000_t75" style="height:18pt;width:21pt;" o:ole="t" filled="f" o:preferrelative="t" stroked="f" coordsize="21600,21600">
                  <v:path/>
                  <v:fill on="f" focussize="0,0"/>
                  <v:stroke on="f"/>
                  <v:imagedata r:id="rId58" o:title=""/>
                  <o:lock v:ext="edit" aspectratio="t"/>
                  <w10:wrap type="none"/>
                  <w10:anchorlock/>
                </v:shape>
                <o:OLEObject Type="Embed" ProgID="Equation.3" ShapeID="_x0000_i1044" DrawAspect="Content" ObjectID="_1468075744" r:id="rId57">
                  <o:LockedField>false</o:LockedField>
                </o:OLEObject>
              </w:object>
            </w:r>
            <w:r>
              <w:rPr>
                <w:rFonts w:hint="default" w:ascii="Times New Roman" w:hAnsi="Times New Roman" w:cs="Times New Roman"/>
                <w:color w:val="auto"/>
              </w:rPr>
              <w:t>—附加A声级衰减量</w:t>
            </w:r>
            <w:r>
              <w:rPr>
                <w:rFonts w:hint="default" w:ascii="Times New Roman" w:hAnsi="Times New Roman" w:cs="Times New Roman"/>
                <w:color w:val="auto"/>
                <w:lang w:eastAsia="zh-CN"/>
              </w:rPr>
              <w:t>，</w:t>
            </w:r>
            <w:r>
              <w:rPr>
                <w:rFonts w:hint="default" w:ascii="Times New Roman" w:hAnsi="Times New Roman" w:cs="Times New Roman"/>
                <w:color w:val="auto"/>
              </w:rPr>
              <w:t>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30AC3FB4">
            <w:pPr>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rPr>
            </w:pPr>
            <w:r>
              <w:rPr>
                <w:rFonts w:hint="default" w:ascii="Times New Roman" w:hAnsi="Times New Roman" w:cs="Times New Roman"/>
                <w:color w:val="auto"/>
              </w:rPr>
              <w:t>为避免计算中增大衰减量而造成预测值偏小</w:t>
            </w:r>
            <w:r>
              <w:rPr>
                <w:rFonts w:hint="default" w:ascii="Times New Roman" w:hAnsi="Times New Roman" w:cs="Times New Roman"/>
                <w:color w:val="auto"/>
                <w:lang w:eastAsia="zh-CN"/>
              </w:rPr>
              <w:t>，</w:t>
            </w:r>
            <w:r>
              <w:rPr>
                <w:rFonts w:hint="default" w:ascii="Times New Roman" w:hAnsi="Times New Roman" w:cs="Times New Roman"/>
                <w:color w:val="auto"/>
              </w:rPr>
              <w:t>计算时忽略</w:t>
            </w:r>
            <w:r>
              <w:rPr>
                <w:rFonts w:hint="default" w:ascii="Times New Roman" w:hAnsi="Times New Roman" w:cs="Times New Roman"/>
                <w:color w:val="auto"/>
                <w:position w:val="-12"/>
              </w:rPr>
              <w:object>
                <v:shape id="_x0000_i1045" o:spt="75" type="#_x0000_t75" style="height:18pt;width:21.75pt;" o:ole="t" filled="f" o:preferrelative="t" stroked="f" coordsize="21600,21600">
                  <v:path/>
                  <v:fill on="f" focussize="0,0"/>
                  <v:stroke on="f"/>
                  <v:imagedata r:id="rId60" o:title=""/>
                  <o:lock v:ext="edit" aspectratio="t"/>
                  <w10:wrap type="none"/>
                  <w10:anchorlock/>
                </v:shape>
                <o:OLEObject Type="Embed" ProgID="Equation.3" ShapeID="_x0000_i1045" DrawAspect="Content" ObjectID="_1468075745" r:id="rId59">
                  <o:LockedField>false</o:LockedField>
                </o:OLEObject>
              </w:object>
            </w:r>
            <w:r>
              <w:rPr>
                <w:rFonts w:hint="default" w:ascii="Times New Roman" w:hAnsi="Times New Roman" w:cs="Times New Roman"/>
                <w:color w:val="auto"/>
              </w:rPr>
              <w:t>和</w:t>
            </w:r>
            <w:r>
              <w:rPr>
                <w:rFonts w:hint="default" w:ascii="Times New Roman" w:hAnsi="Times New Roman" w:cs="Times New Roman"/>
                <w:color w:val="auto"/>
                <w:position w:val="-12"/>
              </w:rPr>
              <w:object>
                <v:shape id="_x0000_i1046" o:spt="75" type="#_x0000_t75" style="height:18pt;width:21pt;" o:ole="t" filled="f" o:preferrelative="t" stroked="f" coordsize="21600,21600">
                  <v:path/>
                  <v:fill on="f" focussize="0,0"/>
                  <v:stroke on="f"/>
                  <v:imagedata r:id="rId62" o:title=""/>
                  <o:lock v:ext="edit" aspectratio="t"/>
                  <w10:wrap type="none"/>
                  <w10:anchorlock/>
                </v:shape>
                <o:OLEObject Type="Embed" ProgID="Equation.3" ShapeID="_x0000_i1046" DrawAspect="Content" ObjectID="_1468075746" r:id="rId61">
                  <o:LockedField>false</o:LockedField>
                </o:OLEObject>
              </w:object>
            </w:r>
            <w:r>
              <w:rPr>
                <w:rFonts w:hint="default" w:ascii="Times New Roman" w:hAnsi="Times New Roman" w:cs="Times New Roman"/>
                <w:color w:val="auto"/>
              </w:rPr>
              <w:t>。</w:t>
            </w:r>
          </w:p>
          <w:p w14:paraId="1ACC9DAB">
            <w:pPr>
              <w:pStyle w:val="78"/>
              <w:keepNext w:val="0"/>
              <w:keepLines w:val="0"/>
              <w:suppressLineNumbers w:val="0"/>
              <w:bidi w:val="0"/>
              <w:spacing w:before="0" w:beforeAutospacing="0" w:after="0" w:afterAutospacing="0" w:line="360" w:lineRule="auto"/>
              <w:ind w:left="0" w:right="0"/>
              <w:rPr>
                <w:rFonts w:hint="default" w:ascii="Times New Roman" w:hAnsi="Times New Roman" w:cs="Times New Roman"/>
                <w:color w:val="auto"/>
                <w:lang w:val="en-US" w:eastAsia="zh-CN"/>
              </w:rPr>
            </w:pP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）噪声环境影响评价</w:t>
            </w:r>
            <w:r>
              <w:rPr>
                <w:rFonts w:hint="default" w:ascii="Times New Roman" w:hAnsi="Times New Roman" w:cs="Times New Roman"/>
                <w:color w:val="auto"/>
                <w:lang w:val="en-US" w:eastAsia="zh-CN"/>
              </w:rPr>
              <w:t>结论</w:t>
            </w:r>
          </w:p>
          <w:p w14:paraId="0605DB3C">
            <w:pPr>
              <w:keepNext w:val="0"/>
              <w:keepLines w:val="0"/>
              <w:suppressLineNumbers w:val="0"/>
              <w:bidi w:val="0"/>
              <w:spacing w:before="0" w:beforeAutospacing="0" w:after="0" w:afterAutospacing="0" w:line="360" w:lineRule="auto"/>
              <w:ind w:left="0" w:right="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车间墙壁的隔声量按同类型厂区实测作为类比</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一般为20～30dB</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同时考虑到窗户的隔声效果</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对</w:t>
            </w:r>
            <w:r>
              <w:rPr>
                <w:rFonts w:hint="default" w:ascii="Times New Roman" w:hAnsi="Times New Roman" w:cs="Times New Roman"/>
                <w:color w:val="auto"/>
                <w:highlight w:val="none"/>
                <w:lang w:val="en-US" w:eastAsia="zh-CN"/>
              </w:rPr>
              <w:t>此</w:t>
            </w:r>
            <w:r>
              <w:rPr>
                <w:rFonts w:hint="default" w:ascii="Times New Roman" w:hAnsi="Times New Roman" w:cs="Times New Roman"/>
                <w:color w:val="auto"/>
                <w:highlight w:val="none"/>
              </w:rPr>
              <w:t>进行一些修正。考虑车间墙体隔声、建筑物隔声和距离衰减等因素的作用</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经计算得厂界噪声预测结果见下表所示。</w:t>
            </w:r>
          </w:p>
          <w:p w14:paraId="337323D5">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项目噪声源对厂界声环境影响</w:t>
            </w:r>
            <w:r>
              <w:rPr>
                <w:rFonts w:hint="default" w:ascii="Times New Roman" w:hAnsi="Times New Roman" w:cs="Times New Roman"/>
                <w:b/>
                <w:color w:val="auto"/>
                <w:kern w:val="0"/>
                <w:sz w:val="24"/>
                <w:szCs w:val="24"/>
                <w:lang w:val="en-US" w:eastAsia="zh-CN" w:bidi="ar-SA"/>
              </w:rPr>
              <w:t>贡献</w:t>
            </w:r>
            <w:r>
              <w:rPr>
                <w:rFonts w:hint="default" w:ascii="Times New Roman" w:hAnsi="Times New Roman" w:eastAsia="宋体" w:cs="Times New Roman"/>
                <w:b/>
                <w:color w:val="auto"/>
                <w:kern w:val="0"/>
                <w:sz w:val="24"/>
                <w:szCs w:val="24"/>
                <w:lang w:val="en-US" w:eastAsia="zh-CN" w:bidi="ar-SA"/>
              </w:rPr>
              <w:t>值</w:t>
            </w:r>
            <w:r>
              <w:rPr>
                <w:rFonts w:hint="default" w:ascii="Times New Roman" w:hAnsi="Times New Roman" w:cs="Times New Roman"/>
                <w:b/>
                <w:color w:val="auto"/>
                <w:kern w:val="0"/>
                <w:sz w:val="24"/>
                <w:szCs w:val="24"/>
                <w:lang w:val="en-US" w:eastAsia="zh-CN" w:bidi="ar-SA"/>
              </w:rPr>
              <w:t xml:space="preserve"> </w:t>
            </w:r>
            <w:r>
              <w:rPr>
                <w:rFonts w:hint="default" w:ascii="Times New Roman" w:hAnsi="Times New Roman" w:eastAsia="宋体" w:cs="Times New Roman"/>
                <w:b/>
                <w:color w:val="auto"/>
                <w:kern w:val="0"/>
                <w:sz w:val="24"/>
                <w:szCs w:val="24"/>
                <w:lang w:val="en-US" w:eastAsia="zh-CN" w:bidi="ar-SA"/>
              </w:rPr>
              <w:t>单位：dB（A）</w:t>
            </w:r>
          </w:p>
          <w:tbl>
            <w:tblPr>
              <w:tblStyle w:val="29"/>
              <w:tblW w:w="494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02"/>
              <w:gridCol w:w="1296"/>
              <w:gridCol w:w="1474"/>
              <w:gridCol w:w="1424"/>
              <w:gridCol w:w="1873"/>
            </w:tblGrid>
            <w:tr w14:paraId="3B2A8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trPr>
              <w:tc>
                <w:tcPr>
                  <w:tcW w:w="1929" w:type="pct"/>
                  <w:gridSpan w:val="2"/>
                  <w:tcBorders>
                    <w:tl2br w:val="nil"/>
                    <w:tr2bl w:val="nil"/>
                  </w:tcBorders>
                  <w:noWrap w:val="0"/>
                  <w:vAlign w:val="center"/>
                </w:tcPr>
                <w:p w14:paraId="1071280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厂界噪声预测</w:t>
                  </w:r>
                </w:p>
              </w:tc>
              <w:tc>
                <w:tcPr>
                  <w:tcW w:w="948" w:type="pct"/>
                  <w:tcBorders>
                    <w:tl2br w:val="nil"/>
                    <w:tr2bl w:val="nil"/>
                  </w:tcBorders>
                  <w:noWrap w:val="0"/>
                  <w:vAlign w:val="center"/>
                </w:tcPr>
                <w:p w14:paraId="16F4D3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项目贡献值</w:t>
                  </w:r>
                </w:p>
              </w:tc>
              <w:tc>
                <w:tcPr>
                  <w:tcW w:w="916" w:type="pct"/>
                  <w:tcBorders>
                    <w:tl2br w:val="nil"/>
                    <w:tr2bl w:val="nil"/>
                  </w:tcBorders>
                  <w:noWrap w:val="0"/>
                  <w:vAlign w:val="center"/>
                </w:tcPr>
                <w:p w14:paraId="3E41FC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执行标准</w:t>
                  </w:r>
                </w:p>
              </w:tc>
              <w:tc>
                <w:tcPr>
                  <w:tcW w:w="1205" w:type="pct"/>
                  <w:tcBorders>
                    <w:tl2br w:val="nil"/>
                    <w:tr2bl w:val="nil"/>
                  </w:tcBorders>
                  <w:noWrap w:val="0"/>
                  <w:vAlign w:val="center"/>
                </w:tcPr>
                <w:p w14:paraId="1DECE6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是否达标</w:t>
                  </w:r>
                </w:p>
              </w:tc>
            </w:tr>
            <w:tr w14:paraId="48EE3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restart"/>
                  <w:tcBorders>
                    <w:tl2br w:val="nil"/>
                    <w:tr2bl w:val="nil"/>
                  </w:tcBorders>
                  <w:noWrap w:val="0"/>
                  <w:vAlign w:val="center"/>
                </w:tcPr>
                <w:p w14:paraId="5B53E8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东厂界</w:t>
                  </w:r>
                </w:p>
              </w:tc>
              <w:tc>
                <w:tcPr>
                  <w:tcW w:w="834" w:type="pct"/>
                  <w:tcBorders>
                    <w:tl2br w:val="nil"/>
                    <w:tr2bl w:val="nil"/>
                  </w:tcBorders>
                  <w:noWrap w:val="0"/>
                  <w:vAlign w:val="center"/>
                </w:tcPr>
                <w:p w14:paraId="6FBE17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948" w:type="pct"/>
                  <w:tcBorders>
                    <w:tl2br w:val="nil"/>
                    <w:tr2bl w:val="nil"/>
                  </w:tcBorders>
                  <w:noWrap w:val="0"/>
                  <w:vAlign w:val="center"/>
                </w:tcPr>
                <w:p w14:paraId="2D853D0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41.98</w:t>
                  </w:r>
                </w:p>
              </w:tc>
              <w:tc>
                <w:tcPr>
                  <w:tcW w:w="916" w:type="pct"/>
                  <w:tcBorders>
                    <w:tl2br w:val="nil"/>
                    <w:tr2bl w:val="nil"/>
                  </w:tcBorders>
                  <w:noWrap w:val="0"/>
                  <w:vAlign w:val="center"/>
                </w:tcPr>
                <w:p w14:paraId="1FC7AD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05" w:type="pct"/>
                  <w:tcBorders>
                    <w:tl2br w:val="nil"/>
                    <w:tr2bl w:val="nil"/>
                  </w:tcBorders>
                  <w:noWrap w:val="0"/>
                  <w:vAlign w:val="center"/>
                </w:tcPr>
                <w:p w14:paraId="48B32B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2490E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continue"/>
                  <w:tcBorders>
                    <w:tl2br w:val="nil"/>
                    <w:tr2bl w:val="nil"/>
                  </w:tcBorders>
                  <w:noWrap w:val="0"/>
                  <w:vAlign w:val="center"/>
                </w:tcPr>
                <w:p w14:paraId="07D288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834" w:type="pct"/>
                  <w:tcBorders>
                    <w:tl2br w:val="nil"/>
                    <w:tr2bl w:val="nil"/>
                  </w:tcBorders>
                  <w:noWrap w:val="0"/>
                  <w:vAlign w:val="center"/>
                </w:tcPr>
                <w:p w14:paraId="3AC9EC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948" w:type="pct"/>
                  <w:tcBorders>
                    <w:tl2br w:val="nil"/>
                    <w:tr2bl w:val="nil"/>
                  </w:tcBorders>
                  <w:noWrap w:val="0"/>
                  <w:vAlign w:val="center"/>
                </w:tcPr>
                <w:p w14:paraId="6EC187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41.98</w:t>
                  </w:r>
                </w:p>
              </w:tc>
              <w:tc>
                <w:tcPr>
                  <w:tcW w:w="916" w:type="pct"/>
                  <w:tcBorders>
                    <w:tl2br w:val="nil"/>
                    <w:tr2bl w:val="nil"/>
                  </w:tcBorders>
                  <w:noWrap w:val="0"/>
                  <w:vAlign w:val="center"/>
                </w:tcPr>
                <w:p w14:paraId="5597A0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05" w:type="pct"/>
                  <w:tcBorders>
                    <w:tl2br w:val="nil"/>
                    <w:tr2bl w:val="nil"/>
                  </w:tcBorders>
                  <w:noWrap w:val="0"/>
                  <w:vAlign w:val="center"/>
                </w:tcPr>
                <w:p w14:paraId="5DF242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0762F0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restart"/>
                  <w:tcBorders>
                    <w:tl2br w:val="nil"/>
                    <w:tr2bl w:val="nil"/>
                  </w:tcBorders>
                  <w:noWrap w:val="0"/>
                  <w:vAlign w:val="center"/>
                </w:tcPr>
                <w:p w14:paraId="4C55809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南厂界</w:t>
                  </w:r>
                </w:p>
              </w:tc>
              <w:tc>
                <w:tcPr>
                  <w:tcW w:w="834" w:type="pct"/>
                  <w:tcBorders>
                    <w:tl2br w:val="nil"/>
                    <w:tr2bl w:val="nil"/>
                  </w:tcBorders>
                  <w:noWrap w:val="0"/>
                  <w:vAlign w:val="center"/>
                </w:tcPr>
                <w:p w14:paraId="5D61BD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948" w:type="pct"/>
                  <w:tcBorders>
                    <w:tl2br w:val="nil"/>
                    <w:tr2bl w:val="nil"/>
                  </w:tcBorders>
                  <w:noWrap w:val="0"/>
                  <w:vAlign w:val="center"/>
                </w:tcPr>
                <w:p w14:paraId="48AFD7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40.05</w:t>
                  </w:r>
                </w:p>
              </w:tc>
              <w:tc>
                <w:tcPr>
                  <w:tcW w:w="916" w:type="pct"/>
                  <w:tcBorders>
                    <w:tl2br w:val="nil"/>
                    <w:tr2bl w:val="nil"/>
                  </w:tcBorders>
                  <w:noWrap w:val="0"/>
                  <w:vAlign w:val="center"/>
                </w:tcPr>
                <w:p w14:paraId="0A2A8D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05" w:type="pct"/>
                  <w:tcBorders>
                    <w:tl2br w:val="nil"/>
                    <w:tr2bl w:val="nil"/>
                  </w:tcBorders>
                  <w:noWrap w:val="0"/>
                  <w:vAlign w:val="center"/>
                </w:tcPr>
                <w:p w14:paraId="639E4C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61F75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continue"/>
                  <w:tcBorders>
                    <w:tl2br w:val="nil"/>
                    <w:tr2bl w:val="nil"/>
                  </w:tcBorders>
                  <w:noWrap w:val="0"/>
                  <w:vAlign w:val="center"/>
                </w:tcPr>
                <w:p w14:paraId="5122E9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834" w:type="pct"/>
                  <w:tcBorders>
                    <w:tl2br w:val="nil"/>
                    <w:tr2bl w:val="nil"/>
                  </w:tcBorders>
                  <w:noWrap w:val="0"/>
                  <w:vAlign w:val="center"/>
                </w:tcPr>
                <w:p w14:paraId="190C30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948" w:type="pct"/>
                  <w:tcBorders>
                    <w:tl2br w:val="nil"/>
                    <w:tr2bl w:val="nil"/>
                  </w:tcBorders>
                  <w:noWrap w:val="0"/>
                  <w:vAlign w:val="center"/>
                </w:tcPr>
                <w:p w14:paraId="5F1068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40.05</w:t>
                  </w:r>
                </w:p>
              </w:tc>
              <w:tc>
                <w:tcPr>
                  <w:tcW w:w="916" w:type="pct"/>
                  <w:tcBorders>
                    <w:tl2br w:val="nil"/>
                    <w:tr2bl w:val="nil"/>
                  </w:tcBorders>
                  <w:noWrap w:val="0"/>
                  <w:vAlign w:val="center"/>
                </w:tcPr>
                <w:p w14:paraId="6604D7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05" w:type="pct"/>
                  <w:tcBorders>
                    <w:tl2br w:val="nil"/>
                    <w:tr2bl w:val="nil"/>
                  </w:tcBorders>
                  <w:noWrap w:val="0"/>
                  <w:vAlign w:val="center"/>
                </w:tcPr>
                <w:p w14:paraId="6BB22B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5801B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restart"/>
                  <w:tcBorders>
                    <w:tl2br w:val="nil"/>
                    <w:tr2bl w:val="nil"/>
                  </w:tcBorders>
                  <w:noWrap w:val="0"/>
                  <w:vAlign w:val="center"/>
                </w:tcPr>
                <w:p w14:paraId="6D7A72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西厂界</w:t>
                  </w:r>
                </w:p>
              </w:tc>
              <w:tc>
                <w:tcPr>
                  <w:tcW w:w="834" w:type="pct"/>
                  <w:tcBorders>
                    <w:tl2br w:val="nil"/>
                    <w:tr2bl w:val="nil"/>
                  </w:tcBorders>
                  <w:noWrap w:val="0"/>
                  <w:vAlign w:val="center"/>
                </w:tcPr>
                <w:p w14:paraId="674FBC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948" w:type="pct"/>
                  <w:tcBorders>
                    <w:tl2br w:val="nil"/>
                    <w:tr2bl w:val="nil"/>
                  </w:tcBorders>
                  <w:noWrap w:val="0"/>
                  <w:vAlign w:val="center"/>
                </w:tcPr>
                <w:p w14:paraId="7242B4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39.067</w:t>
                  </w:r>
                </w:p>
              </w:tc>
              <w:tc>
                <w:tcPr>
                  <w:tcW w:w="916" w:type="pct"/>
                  <w:tcBorders>
                    <w:tl2br w:val="nil"/>
                    <w:tr2bl w:val="nil"/>
                  </w:tcBorders>
                  <w:noWrap w:val="0"/>
                  <w:vAlign w:val="center"/>
                </w:tcPr>
                <w:p w14:paraId="4AD0E3C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05" w:type="pct"/>
                  <w:tcBorders>
                    <w:tl2br w:val="nil"/>
                    <w:tr2bl w:val="nil"/>
                  </w:tcBorders>
                  <w:noWrap w:val="0"/>
                  <w:vAlign w:val="center"/>
                </w:tcPr>
                <w:p w14:paraId="416463C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744B9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continue"/>
                  <w:tcBorders>
                    <w:tl2br w:val="nil"/>
                    <w:tr2bl w:val="nil"/>
                  </w:tcBorders>
                  <w:noWrap w:val="0"/>
                  <w:vAlign w:val="center"/>
                </w:tcPr>
                <w:p w14:paraId="2012AA2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834" w:type="pct"/>
                  <w:tcBorders>
                    <w:tl2br w:val="nil"/>
                    <w:tr2bl w:val="nil"/>
                  </w:tcBorders>
                  <w:noWrap w:val="0"/>
                  <w:vAlign w:val="center"/>
                </w:tcPr>
                <w:p w14:paraId="7189EA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948" w:type="pct"/>
                  <w:tcBorders>
                    <w:tl2br w:val="nil"/>
                    <w:tr2bl w:val="nil"/>
                  </w:tcBorders>
                  <w:noWrap w:val="0"/>
                  <w:vAlign w:val="center"/>
                </w:tcPr>
                <w:p w14:paraId="60F421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39.07</w:t>
                  </w:r>
                </w:p>
              </w:tc>
              <w:tc>
                <w:tcPr>
                  <w:tcW w:w="916" w:type="pct"/>
                  <w:tcBorders>
                    <w:tl2br w:val="nil"/>
                    <w:tr2bl w:val="nil"/>
                  </w:tcBorders>
                  <w:noWrap w:val="0"/>
                  <w:vAlign w:val="center"/>
                </w:tcPr>
                <w:p w14:paraId="4CF5E3D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05" w:type="pct"/>
                  <w:tcBorders>
                    <w:tl2br w:val="nil"/>
                    <w:tr2bl w:val="nil"/>
                  </w:tcBorders>
                  <w:noWrap w:val="0"/>
                  <w:vAlign w:val="center"/>
                </w:tcPr>
                <w:p w14:paraId="3AD0F6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4A8F1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095" w:type="pct"/>
                  <w:vMerge w:val="restart"/>
                  <w:tcBorders>
                    <w:tl2br w:val="nil"/>
                    <w:tr2bl w:val="nil"/>
                  </w:tcBorders>
                  <w:noWrap w:val="0"/>
                  <w:vAlign w:val="center"/>
                </w:tcPr>
                <w:p w14:paraId="56FBCD9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北厂界</w:t>
                  </w:r>
                </w:p>
              </w:tc>
              <w:tc>
                <w:tcPr>
                  <w:tcW w:w="834" w:type="pct"/>
                  <w:tcBorders>
                    <w:tl2br w:val="nil"/>
                    <w:tr2bl w:val="nil"/>
                  </w:tcBorders>
                  <w:noWrap w:val="0"/>
                  <w:vAlign w:val="center"/>
                </w:tcPr>
                <w:p w14:paraId="320B39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948" w:type="pct"/>
                  <w:tcBorders>
                    <w:tl2br w:val="nil"/>
                    <w:tr2bl w:val="nil"/>
                  </w:tcBorders>
                  <w:noWrap w:val="0"/>
                  <w:vAlign w:val="center"/>
                </w:tcPr>
                <w:p w14:paraId="5CC90A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40.15</w:t>
                  </w:r>
                </w:p>
              </w:tc>
              <w:tc>
                <w:tcPr>
                  <w:tcW w:w="916" w:type="pct"/>
                  <w:tcBorders>
                    <w:tl2br w:val="nil"/>
                    <w:tr2bl w:val="nil"/>
                  </w:tcBorders>
                  <w:noWrap w:val="0"/>
                  <w:vAlign w:val="center"/>
                </w:tcPr>
                <w:p w14:paraId="72DBB8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05" w:type="pct"/>
                  <w:tcBorders>
                    <w:tl2br w:val="nil"/>
                    <w:tr2bl w:val="nil"/>
                  </w:tcBorders>
                  <w:noWrap w:val="0"/>
                  <w:vAlign w:val="center"/>
                </w:tcPr>
                <w:p w14:paraId="72C026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32156B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 w:hRule="atLeast"/>
              </w:trPr>
              <w:tc>
                <w:tcPr>
                  <w:tcW w:w="1095" w:type="pct"/>
                  <w:vMerge w:val="continue"/>
                  <w:tcBorders>
                    <w:tl2br w:val="nil"/>
                    <w:tr2bl w:val="nil"/>
                  </w:tcBorders>
                  <w:noWrap w:val="0"/>
                  <w:vAlign w:val="center"/>
                </w:tcPr>
                <w:p w14:paraId="167211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p>
              </w:tc>
              <w:tc>
                <w:tcPr>
                  <w:tcW w:w="834" w:type="pct"/>
                  <w:tcBorders>
                    <w:tl2br w:val="nil"/>
                    <w:tr2bl w:val="nil"/>
                  </w:tcBorders>
                  <w:noWrap w:val="0"/>
                  <w:vAlign w:val="center"/>
                </w:tcPr>
                <w:p w14:paraId="3687BA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948" w:type="pct"/>
                  <w:tcBorders>
                    <w:tl2br w:val="nil"/>
                    <w:tr2bl w:val="nil"/>
                  </w:tcBorders>
                  <w:noWrap w:val="0"/>
                  <w:vAlign w:val="center"/>
                </w:tcPr>
                <w:p w14:paraId="5FC325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40.15</w:t>
                  </w:r>
                </w:p>
              </w:tc>
              <w:tc>
                <w:tcPr>
                  <w:tcW w:w="916" w:type="pct"/>
                  <w:tcBorders>
                    <w:tl2br w:val="nil"/>
                    <w:tr2bl w:val="nil"/>
                  </w:tcBorders>
                  <w:noWrap w:val="0"/>
                  <w:vAlign w:val="center"/>
                </w:tcPr>
                <w:p w14:paraId="14F16A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05" w:type="pct"/>
                  <w:tcBorders>
                    <w:tl2br w:val="nil"/>
                    <w:tr2bl w:val="nil"/>
                  </w:tcBorders>
                  <w:noWrap w:val="0"/>
                  <w:vAlign w:val="center"/>
                </w:tcPr>
                <w:p w14:paraId="7D7BC2A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bl>
          <w:p w14:paraId="0CB91B45">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项目噪声源对敏感点声环境影响预测值单位：dB（A）</w:t>
            </w:r>
          </w:p>
          <w:tbl>
            <w:tblPr>
              <w:tblStyle w:val="29"/>
              <w:tblW w:w="496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96"/>
              <w:gridCol w:w="1152"/>
              <w:gridCol w:w="1042"/>
              <w:gridCol w:w="881"/>
              <w:gridCol w:w="927"/>
              <w:gridCol w:w="1377"/>
              <w:gridCol w:w="1235"/>
            </w:tblGrid>
            <w:tr w14:paraId="75187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trPr>
              <w:tc>
                <w:tcPr>
                  <w:tcW w:w="2344" w:type="dxa"/>
                  <w:gridSpan w:val="2"/>
                  <w:tcBorders>
                    <w:tl2br w:val="nil"/>
                    <w:tr2bl w:val="nil"/>
                  </w:tcBorders>
                  <w:noWrap w:val="0"/>
                  <w:vAlign w:val="center"/>
                </w:tcPr>
                <w:p w14:paraId="2E2BCC3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厂界噪声预测</w:t>
                  </w:r>
                </w:p>
              </w:tc>
              <w:tc>
                <w:tcPr>
                  <w:tcW w:w="1040" w:type="dxa"/>
                  <w:tcBorders>
                    <w:tl2br w:val="nil"/>
                    <w:tr2bl w:val="nil"/>
                  </w:tcBorders>
                  <w:noWrap w:val="0"/>
                  <w:vAlign w:val="center"/>
                </w:tcPr>
                <w:p w14:paraId="752559E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项目贡献值</w:t>
                  </w:r>
                </w:p>
              </w:tc>
              <w:tc>
                <w:tcPr>
                  <w:tcW w:w="880" w:type="dxa"/>
                  <w:tcBorders>
                    <w:tl2br w:val="nil"/>
                    <w:tr2bl w:val="nil"/>
                  </w:tcBorders>
                  <w:noWrap w:val="0"/>
                  <w:vAlign w:val="center"/>
                </w:tcPr>
                <w:p w14:paraId="6CC8885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项目现状值</w:t>
                  </w:r>
                </w:p>
              </w:tc>
              <w:tc>
                <w:tcPr>
                  <w:tcW w:w="925" w:type="dxa"/>
                  <w:tcBorders>
                    <w:tl2br w:val="nil"/>
                    <w:tr2bl w:val="nil"/>
                  </w:tcBorders>
                  <w:noWrap w:val="0"/>
                  <w:vAlign w:val="center"/>
                </w:tcPr>
                <w:p w14:paraId="1D2DBDD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项目预测值</w:t>
                  </w:r>
                </w:p>
              </w:tc>
              <w:tc>
                <w:tcPr>
                  <w:tcW w:w="1375" w:type="dxa"/>
                  <w:tcBorders>
                    <w:tl2br w:val="nil"/>
                    <w:tr2bl w:val="nil"/>
                  </w:tcBorders>
                  <w:noWrap w:val="0"/>
                  <w:vAlign w:val="center"/>
                </w:tcPr>
                <w:p w14:paraId="5F83F8B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执行标准</w:t>
                  </w:r>
                </w:p>
              </w:tc>
              <w:tc>
                <w:tcPr>
                  <w:tcW w:w="1233" w:type="dxa"/>
                  <w:tcBorders>
                    <w:tl2br w:val="nil"/>
                    <w:tr2bl w:val="nil"/>
                  </w:tcBorders>
                  <w:noWrap w:val="0"/>
                  <w:vAlign w:val="center"/>
                </w:tcPr>
                <w:p w14:paraId="678A6FB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是否达标</w:t>
                  </w:r>
                </w:p>
              </w:tc>
            </w:tr>
            <w:tr w14:paraId="54969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atLeast"/>
              </w:trPr>
              <w:tc>
                <w:tcPr>
                  <w:tcW w:w="1194" w:type="dxa"/>
                  <w:vMerge w:val="restart"/>
                  <w:tcBorders>
                    <w:tl2br w:val="nil"/>
                    <w:tr2bl w:val="nil"/>
                  </w:tcBorders>
                  <w:noWrap w:val="0"/>
                  <w:vAlign w:val="center"/>
                </w:tcPr>
                <w:p w14:paraId="446AAA46">
                  <w:pPr>
                    <w:pStyle w:val="61"/>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lang w:val="en-US" w:eastAsia="zh-CN"/>
                    </w:rPr>
                    <w:t>钟家村</w:t>
                  </w:r>
                </w:p>
              </w:tc>
              <w:tc>
                <w:tcPr>
                  <w:tcW w:w="1150" w:type="dxa"/>
                  <w:tcBorders>
                    <w:tl2br w:val="nil"/>
                    <w:tr2bl w:val="nil"/>
                  </w:tcBorders>
                  <w:noWrap w:val="0"/>
                  <w:vAlign w:val="center"/>
                </w:tcPr>
                <w:p w14:paraId="4FCE45B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1040" w:type="dxa"/>
                  <w:tcBorders>
                    <w:tl2br w:val="nil"/>
                    <w:tr2bl w:val="nil"/>
                  </w:tcBorders>
                  <w:noWrap w:val="0"/>
                  <w:vAlign w:val="center"/>
                </w:tcPr>
                <w:p w14:paraId="1B2A350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20.4</w:t>
                  </w:r>
                </w:p>
              </w:tc>
              <w:tc>
                <w:tcPr>
                  <w:tcW w:w="880" w:type="dxa"/>
                  <w:tcBorders>
                    <w:tl2br w:val="nil"/>
                    <w:tr2bl w:val="nil"/>
                  </w:tcBorders>
                  <w:noWrap w:val="0"/>
                  <w:vAlign w:val="center"/>
                </w:tcPr>
                <w:p w14:paraId="1801830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53.8</w:t>
                  </w:r>
                </w:p>
              </w:tc>
              <w:tc>
                <w:tcPr>
                  <w:tcW w:w="925" w:type="dxa"/>
                  <w:tcBorders>
                    <w:tl2br w:val="nil"/>
                    <w:tr2bl w:val="nil"/>
                  </w:tcBorders>
                  <w:noWrap w:val="0"/>
                  <w:vAlign w:val="center"/>
                </w:tcPr>
                <w:p w14:paraId="2766B1E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53.80 </w:t>
                  </w:r>
                </w:p>
              </w:tc>
              <w:tc>
                <w:tcPr>
                  <w:tcW w:w="1375" w:type="dxa"/>
                  <w:tcBorders>
                    <w:tl2br w:val="nil"/>
                    <w:tr2bl w:val="nil"/>
                  </w:tcBorders>
                  <w:noWrap w:val="0"/>
                  <w:vAlign w:val="center"/>
                </w:tcPr>
                <w:p w14:paraId="31276D9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33" w:type="dxa"/>
                  <w:tcBorders>
                    <w:tl2br w:val="nil"/>
                    <w:tr2bl w:val="nil"/>
                  </w:tcBorders>
                  <w:noWrap w:val="0"/>
                  <w:vAlign w:val="center"/>
                </w:tcPr>
                <w:p w14:paraId="43B02682">
                  <w:pPr>
                    <w:keepNext w:val="0"/>
                    <w:keepLines w:val="0"/>
                    <w:pageBreakBefore/>
                    <w:widowControl/>
                    <w:suppressLineNumbers w:val="0"/>
                    <w:spacing w:before="0" w:beforeLines="0" w:beforeAutospacing="0" w:after="0" w:afterLines="0" w:afterAutospacing="0" w:line="360" w:lineRule="exact"/>
                    <w:ind w:left="0" w:right="0" w:firstLine="420" w:firstLineChars="200"/>
                    <w:jc w:val="both"/>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2586A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atLeast"/>
              </w:trPr>
              <w:tc>
                <w:tcPr>
                  <w:tcW w:w="1194" w:type="dxa"/>
                  <w:vMerge w:val="continue"/>
                  <w:tcBorders>
                    <w:tl2br w:val="nil"/>
                    <w:tr2bl w:val="nil"/>
                  </w:tcBorders>
                  <w:noWrap w:val="0"/>
                  <w:vAlign w:val="center"/>
                </w:tcPr>
                <w:p w14:paraId="0D1C2495">
                  <w:pPr>
                    <w:pStyle w:val="61"/>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lang w:val="en-US" w:eastAsia="zh-CN"/>
                    </w:rPr>
                  </w:pPr>
                </w:p>
              </w:tc>
              <w:tc>
                <w:tcPr>
                  <w:tcW w:w="1150" w:type="dxa"/>
                  <w:tcBorders>
                    <w:tl2br w:val="nil"/>
                    <w:tr2bl w:val="nil"/>
                  </w:tcBorders>
                  <w:noWrap w:val="0"/>
                  <w:vAlign w:val="center"/>
                </w:tcPr>
                <w:p w14:paraId="46B45A5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1040" w:type="dxa"/>
                  <w:tcBorders>
                    <w:tl2br w:val="nil"/>
                    <w:tr2bl w:val="nil"/>
                  </w:tcBorders>
                  <w:noWrap w:val="0"/>
                  <w:vAlign w:val="center"/>
                </w:tcPr>
                <w:p w14:paraId="161B8B2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20.4</w:t>
                  </w:r>
                </w:p>
              </w:tc>
              <w:tc>
                <w:tcPr>
                  <w:tcW w:w="880" w:type="dxa"/>
                  <w:tcBorders>
                    <w:tl2br w:val="nil"/>
                    <w:tr2bl w:val="nil"/>
                  </w:tcBorders>
                  <w:noWrap w:val="0"/>
                  <w:vAlign w:val="center"/>
                </w:tcPr>
                <w:p w14:paraId="69B60E7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43.8</w:t>
                  </w:r>
                </w:p>
              </w:tc>
              <w:tc>
                <w:tcPr>
                  <w:tcW w:w="925" w:type="dxa"/>
                  <w:tcBorders>
                    <w:tl2br w:val="nil"/>
                    <w:tr2bl w:val="nil"/>
                  </w:tcBorders>
                  <w:noWrap w:val="0"/>
                  <w:vAlign w:val="center"/>
                </w:tcPr>
                <w:p w14:paraId="20A1710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43.83</w:t>
                  </w:r>
                </w:p>
              </w:tc>
              <w:tc>
                <w:tcPr>
                  <w:tcW w:w="1375" w:type="dxa"/>
                  <w:tcBorders>
                    <w:tl2br w:val="nil"/>
                    <w:tr2bl w:val="nil"/>
                  </w:tcBorders>
                  <w:noWrap w:val="0"/>
                  <w:vAlign w:val="center"/>
                </w:tcPr>
                <w:p w14:paraId="7BBE1F7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33" w:type="dxa"/>
                  <w:tcBorders>
                    <w:tl2br w:val="nil"/>
                    <w:tr2bl w:val="nil"/>
                  </w:tcBorders>
                  <w:noWrap w:val="0"/>
                  <w:vAlign w:val="center"/>
                </w:tcPr>
                <w:p w14:paraId="7C734038">
                  <w:pPr>
                    <w:keepNext w:val="0"/>
                    <w:keepLines w:val="0"/>
                    <w:pageBreakBefore/>
                    <w:widowControl/>
                    <w:suppressLineNumbers w:val="0"/>
                    <w:spacing w:before="0" w:beforeLines="0" w:beforeAutospacing="0" w:after="0" w:afterLines="0" w:afterAutospacing="0" w:line="360" w:lineRule="exact"/>
                    <w:ind w:left="0" w:right="0" w:firstLine="420" w:firstLineChars="200"/>
                    <w:jc w:val="both"/>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395D7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atLeast"/>
              </w:trPr>
              <w:tc>
                <w:tcPr>
                  <w:tcW w:w="1194" w:type="dxa"/>
                  <w:vMerge w:val="restart"/>
                  <w:tcBorders>
                    <w:tl2br w:val="nil"/>
                    <w:tr2bl w:val="nil"/>
                  </w:tcBorders>
                  <w:noWrap w:val="0"/>
                  <w:vAlign w:val="center"/>
                </w:tcPr>
                <w:p w14:paraId="4D8EDB97">
                  <w:pPr>
                    <w:pStyle w:val="61"/>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lang w:val="en-US" w:eastAsia="zh-CN"/>
                    </w:rPr>
                    <w:t>湾头街</w:t>
                  </w:r>
                </w:p>
              </w:tc>
              <w:tc>
                <w:tcPr>
                  <w:tcW w:w="1150" w:type="dxa"/>
                  <w:tcBorders>
                    <w:tl2br w:val="nil"/>
                    <w:tr2bl w:val="nil"/>
                  </w:tcBorders>
                  <w:noWrap w:val="0"/>
                  <w:vAlign w:val="center"/>
                </w:tcPr>
                <w:p w14:paraId="7483AB2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昼间</w:t>
                  </w:r>
                </w:p>
              </w:tc>
              <w:tc>
                <w:tcPr>
                  <w:tcW w:w="1040" w:type="dxa"/>
                  <w:tcBorders>
                    <w:tl2br w:val="nil"/>
                    <w:tr2bl w:val="nil"/>
                  </w:tcBorders>
                  <w:noWrap w:val="0"/>
                  <w:vAlign w:val="center"/>
                </w:tcPr>
                <w:p w14:paraId="0C022F9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15.2</w:t>
                  </w:r>
                </w:p>
              </w:tc>
              <w:tc>
                <w:tcPr>
                  <w:tcW w:w="880" w:type="dxa"/>
                  <w:tcBorders>
                    <w:tl2br w:val="nil"/>
                    <w:tr2bl w:val="nil"/>
                  </w:tcBorders>
                  <w:noWrap w:val="0"/>
                  <w:vAlign w:val="center"/>
                </w:tcPr>
                <w:p w14:paraId="564415C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52.3</w:t>
                  </w:r>
                </w:p>
              </w:tc>
              <w:tc>
                <w:tcPr>
                  <w:tcW w:w="925" w:type="dxa"/>
                  <w:tcBorders>
                    <w:tl2br w:val="nil"/>
                    <w:tr2bl w:val="nil"/>
                  </w:tcBorders>
                  <w:noWrap w:val="0"/>
                  <w:vAlign w:val="center"/>
                </w:tcPr>
                <w:p w14:paraId="1CE99C2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52.30 </w:t>
                  </w:r>
                </w:p>
              </w:tc>
              <w:tc>
                <w:tcPr>
                  <w:tcW w:w="1375" w:type="dxa"/>
                  <w:tcBorders>
                    <w:tl2br w:val="nil"/>
                    <w:tr2bl w:val="nil"/>
                  </w:tcBorders>
                  <w:noWrap w:val="0"/>
                  <w:vAlign w:val="center"/>
                </w:tcPr>
                <w:p w14:paraId="78E2D76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60</w:t>
                  </w:r>
                </w:p>
              </w:tc>
              <w:tc>
                <w:tcPr>
                  <w:tcW w:w="1233" w:type="dxa"/>
                  <w:tcBorders>
                    <w:tl2br w:val="nil"/>
                    <w:tr2bl w:val="nil"/>
                  </w:tcBorders>
                  <w:noWrap w:val="0"/>
                  <w:vAlign w:val="center"/>
                </w:tcPr>
                <w:p w14:paraId="443F931C">
                  <w:pPr>
                    <w:keepNext w:val="0"/>
                    <w:keepLines w:val="0"/>
                    <w:pageBreakBefore/>
                    <w:widowControl/>
                    <w:suppressLineNumbers w:val="0"/>
                    <w:spacing w:before="0" w:beforeLines="0" w:beforeAutospacing="0" w:after="0" w:afterLines="0" w:afterAutospacing="0" w:line="360" w:lineRule="exact"/>
                    <w:ind w:left="0" w:right="0" w:firstLine="420" w:firstLineChars="200"/>
                    <w:jc w:val="both"/>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r w14:paraId="0A5BD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trPr>
              <w:tc>
                <w:tcPr>
                  <w:tcW w:w="1194" w:type="dxa"/>
                  <w:vMerge w:val="continue"/>
                  <w:tcBorders>
                    <w:tl2br w:val="nil"/>
                    <w:tr2bl w:val="nil"/>
                  </w:tcBorders>
                  <w:noWrap w:val="0"/>
                  <w:vAlign w:val="center"/>
                </w:tcPr>
                <w:p w14:paraId="4D89C3DF">
                  <w:pPr>
                    <w:pStyle w:val="61"/>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kern w:val="0"/>
                      <w:sz w:val="21"/>
                      <w:szCs w:val="21"/>
                      <w:lang w:val="en-US" w:eastAsia="zh-CN"/>
                    </w:rPr>
                  </w:pPr>
                </w:p>
              </w:tc>
              <w:tc>
                <w:tcPr>
                  <w:tcW w:w="1150" w:type="dxa"/>
                  <w:tcBorders>
                    <w:tl2br w:val="nil"/>
                    <w:tr2bl w:val="nil"/>
                  </w:tcBorders>
                  <w:noWrap w:val="0"/>
                  <w:vAlign w:val="center"/>
                </w:tcPr>
                <w:p w14:paraId="61E69F7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夜间</w:t>
                  </w:r>
                </w:p>
              </w:tc>
              <w:tc>
                <w:tcPr>
                  <w:tcW w:w="1040" w:type="dxa"/>
                  <w:tcBorders>
                    <w:tl2br w:val="nil"/>
                    <w:tr2bl w:val="nil"/>
                  </w:tcBorders>
                  <w:noWrap w:val="0"/>
                  <w:vAlign w:val="center"/>
                </w:tcPr>
                <w:p w14:paraId="270AB45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15.2</w:t>
                  </w:r>
                </w:p>
              </w:tc>
              <w:tc>
                <w:tcPr>
                  <w:tcW w:w="880" w:type="dxa"/>
                  <w:tcBorders>
                    <w:tl2br w:val="nil"/>
                    <w:tr2bl w:val="nil"/>
                  </w:tcBorders>
                  <w:noWrap w:val="0"/>
                  <w:vAlign w:val="center"/>
                </w:tcPr>
                <w:p w14:paraId="59B75D4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42.4</w:t>
                  </w:r>
                </w:p>
              </w:tc>
              <w:tc>
                <w:tcPr>
                  <w:tcW w:w="925" w:type="dxa"/>
                  <w:tcBorders>
                    <w:tl2br w:val="nil"/>
                    <w:tr2bl w:val="nil"/>
                  </w:tcBorders>
                  <w:noWrap w:val="0"/>
                  <w:vAlign w:val="center"/>
                </w:tcPr>
                <w:p w14:paraId="6AD09B9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42.41</w:t>
                  </w:r>
                </w:p>
              </w:tc>
              <w:tc>
                <w:tcPr>
                  <w:tcW w:w="1375" w:type="dxa"/>
                  <w:tcBorders>
                    <w:tl2br w:val="nil"/>
                    <w:tr2bl w:val="nil"/>
                  </w:tcBorders>
                  <w:noWrap w:val="0"/>
                  <w:vAlign w:val="center"/>
                </w:tcPr>
                <w:p w14:paraId="06E2D05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50</w:t>
                  </w:r>
                </w:p>
              </w:tc>
              <w:tc>
                <w:tcPr>
                  <w:tcW w:w="1233" w:type="dxa"/>
                  <w:tcBorders>
                    <w:tl2br w:val="nil"/>
                    <w:tr2bl w:val="nil"/>
                  </w:tcBorders>
                  <w:noWrap w:val="0"/>
                  <w:vAlign w:val="center"/>
                </w:tcPr>
                <w:p w14:paraId="291B0AB3">
                  <w:pPr>
                    <w:keepNext w:val="0"/>
                    <w:keepLines w:val="0"/>
                    <w:pageBreakBefore/>
                    <w:widowControl/>
                    <w:suppressLineNumbers w:val="0"/>
                    <w:spacing w:before="0" w:beforeLines="0" w:beforeAutospacing="0" w:after="0" w:afterLines="0" w:afterAutospacing="0" w:line="360" w:lineRule="exact"/>
                    <w:ind w:left="0" w:right="0" w:firstLine="420" w:firstLineChars="200"/>
                    <w:jc w:val="both"/>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达标</w:t>
                  </w:r>
                </w:p>
              </w:tc>
            </w:tr>
          </w:tbl>
          <w:p w14:paraId="50A19478">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由上表可知</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项目噪声经建筑物隔声及距离衰减后</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传至项目厂界满足《工业企业厂界环境噪声排放标准》（GB12348-2008）中</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类标准要求</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钟家村、湾头街满足</w:t>
            </w:r>
            <w:r>
              <w:rPr>
                <w:rFonts w:hint="default" w:ascii="Times New Roman" w:hAnsi="Times New Roman" w:eastAsia="宋体" w:cs="Times New Roman"/>
                <w:color w:val="auto"/>
              </w:rPr>
              <w:t>《声环境质量标准》（GB3096-2008）中</w:t>
            </w:r>
            <w:r>
              <w:rPr>
                <w:rFonts w:hint="default" w:ascii="Times New Roman" w:hAnsi="Times New Roman" w:eastAsia="宋体" w:cs="Times New Roman"/>
                <w:color w:val="auto"/>
                <w:lang w:val="en-US" w:eastAsia="zh-CN"/>
              </w:rPr>
              <w:t>2类标准</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所以项目噪声对周围环境影响很小</w:t>
            </w:r>
            <w:r>
              <w:rPr>
                <w:rFonts w:hint="default" w:ascii="Times New Roman" w:hAnsi="Times New Roman" w:eastAsia="宋体" w:cs="Times New Roman"/>
                <w:color w:val="auto"/>
                <w:lang w:eastAsia="zh-CN"/>
              </w:rPr>
              <w:t>，技改项目</w:t>
            </w:r>
            <w:r>
              <w:rPr>
                <w:rFonts w:hint="default" w:ascii="Times New Roman" w:hAnsi="Times New Roman" w:eastAsia="宋体" w:cs="Times New Roman"/>
                <w:color w:val="auto"/>
              </w:rPr>
              <w:t>对周围环境及环境保护目标不会产生不利影响。</w:t>
            </w:r>
          </w:p>
          <w:p w14:paraId="4C228F31">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为使</w:t>
            </w:r>
            <w:r>
              <w:rPr>
                <w:rFonts w:hint="default" w:ascii="Times New Roman" w:hAnsi="Times New Roman" w:cs="Times New Roman"/>
                <w:color w:val="auto"/>
                <w:lang w:eastAsia="zh-CN"/>
              </w:rPr>
              <w:t>技改项目</w:t>
            </w:r>
            <w:r>
              <w:rPr>
                <w:rFonts w:hint="default" w:ascii="Times New Roman" w:hAnsi="Times New Roman" w:cs="Times New Roman"/>
                <w:color w:val="auto"/>
              </w:rPr>
              <w:t>对周边声环境影响降到最低</w:t>
            </w:r>
            <w:r>
              <w:rPr>
                <w:rFonts w:hint="default" w:ascii="Times New Roman" w:hAnsi="Times New Roman" w:cs="Times New Roman"/>
                <w:color w:val="auto"/>
                <w:lang w:eastAsia="zh-CN"/>
              </w:rPr>
              <w:t>，</w:t>
            </w:r>
            <w:r>
              <w:rPr>
                <w:rFonts w:hint="default" w:ascii="Times New Roman" w:hAnsi="Times New Roman" w:cs="Times New Roman"/>
                <w:color w:val="auto"/>
              </w:rPr>
              <w:t>本环评要求建设单位对该项目的噪声源采取隔声降噪措施。具体措施如下：</w:t>
            </w:r>
          </w:p>
          <w:p w14:paraId="4791CD08">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①从声源上控制</w:t>
            </w:r>
            <w:r>
              <w:rPr>
                <w:rFonts w:hint="default" w:ascii="Times New Roman" w:hAnsi="Times New Roman" w:cs="Times New Roman"/>
                <w:color w:val="auto"/>
                <w:lang w:eastAsia="zh-CN"/>
              </w:rPr>
              <w:t>，</w:t>
            </w:r>
            <w:r>
              <w:rPr>
                <w:rFonts w:hint="default" w:ascii="Times New Roman" w:hAnsi="Times New Roman" w:cs="Times New Roman"/>
                <w:color w:val="auto"/>
              </w:rPr>
              <w:t>选择低噪声和符合国家噪声标准的设备；</w:t>
            </w:r>
          </w:p>
          <w:p w14:paraId="6A77802D">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②合理布局</w:t>
            </w:r>
            <w:r>
              <w:rPr>
                <w:rFonts w:hint="default" w:ascii="Times New Roman" w:hAnsi="Times New Roman" w:cs="Times New Roman"/>
                <w:color w:val="auto"/>
                <w:lang w:eastAsia="zh-CN"/>
              </w:rPr>
              <w:t>技改项目</w:t>
            </w:r>
            <w:r>
              <w:rPr>
                <w:rFonts w:hint="default" w:ascii="Times New Roman" w:hAnsi="Times New Roman" w:cs="Times New Roman"/>
                <w:color w:val="auto"/>
              </w:rPr>
              <w:t>高噪声的设备</w:t>
            </w:r>
            <w:r>
              <w:rPr>
                <w:rFonts w:hint="default" w:ascii="Times New Roman" w:hAnsi="Times New Roman" w:cs="Times New Roman"/>
                <w:color w:val="auto"/>
                <w:lang w:eastAsia="zh-CN"/>
              </w:rPr>
              <w:t>，</w:t>
            </w:r>
            <w:r>
              <w:rPr>
                <w:rFonts w:hint="default" w:ascii="Times New Roman" w:hAnsi="Times New Roman" w:cs="Times New Roman"/>
                <w:color w:val="auto"/>
              </w:rPr>
              <w:t>将生产设备全部布置于车间内部</w:t>
            </w:r>
            <w:r>
              <w:rPr>
                <w:rFonts w:hint="default" w:ascii="Times New Roman" w:hAnsi="Times New Roman" w:cs="Times New Roman"/>
                <w:color w:val="auto"/>
                <w:lang w:eastAsia="zh-CN"/>
              </w:rPr>
              <w:t>，</w:t>
            </w:r>
            <w:r>
              <w:rPr>
                <w:rFonts w:hint="default" w:ascii="Times New Roman" w:hAnsi="Times New Roman" w:cs="Times New Roman"/>
                <w:color w:val="auto"/>
              </w:rPr>
              <w:t>同时将厂房进行封闭</w:t>
            </w:r>
            <w:r>
              <w:rPr>
                <w:rFonts w:hint="default" w:ascii="Times New Roman" w:hAnsi="Times New Roman" w:cs="Times New Roman"/>
                <w:color w:val="auto"/>
                <w:lang w:eastAsia="zh-CN"/>
              </w:rPr>
              <w:t>，</w:t>
            </w:r>
            <w:r>
              <w:rPr>
                <w:rFonts w:hint="default" w:ascii="Times New Roman" w:hAnsi="Times New Roman" w:cs="Times New Roman"/>
                <w:color w:val="auto"/>
              </w:rPr>
              <w:t>减少对外界的影响；</w:t>
            </w:r>
          </w:p>
          <w:p w14:paraId="3281A98D">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③加强对高噪声设备维护</w:t>
            </w:r>
            <w:r>
              <w:rPr>
                <w:rFonts w:hint="default" w:ascii="Times New Roman" w:hAnsi="Times New Roman" w:cs="Times New Roman"/>
                <w:color w:val="auto"/>
                <w:lang w:eastAsia="zh-CN"/>
              </w:rPr>
              <w:t>，</w:t>
            </w:r>
            <w:r>
              <w:rPr>
                <w:rFonts w:hint="default" w:ascii="Times New Roman" w:hAnsi="Times New Roman" w:cs="Times New Roman"/>
                <w:color w:val="auto"/>
              </w:rPr>
              <w:t>确保设备处于良好的运转状态</w:t>
            </w:r>
            <w:r>
              <w:rPr>
                <w:rFonts w:hint="default" w:ascii="Times New Roman" w:hAnsi="Times New Roman" w:cs="Times New Roman"/>
                <w:color w:val="auto"/>
                <w:lang w:eastAsia="zh-CN"/>
              </w:rPr>
              <w:t>，</w:t>
            </w:r>
            <w:r>
              <w:rPr>
                <w:rFonts w:hint="default" w:ascii="Times New Roman" w:hAnsi="Times New Roman" w:cs="Times New Roman"/>
                <w:color w:val="auto"/>
              </w:rPr>
              <w:t>杜绝因设备不正常运转时产生的高噪声现象。</w:t>
            </w:r>
          </w:p>
          <w:p w14:paraId="56C71CAE">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④风机进、排风管安装消声器</w:t>
            </w:r>
            <w:r>
              <w:rPr>
                <w:rFonts w:hint="default" w:ascii="Times New Roman" w:hAnsi="Times New Roman" w:cs="Times New Roman"/>
                <w:color w:val="auto"/>
                <w:lang w:eastAsia="zh-CN"/>
              </w:rPr>
              <w:t>，</w:t>
            </w:r>
            <w:r>
              <w:rPr>
                <w:rFonts w:hint="default" w:ascii="Times New Roman" w:hAnsi="Times New Roman" w:cs="Times New Roman"/>
                <w:color w:val="auto"/>
              </w:rPr>
              <w:t>风机与进、排风管采用橡胶柔性接管连接</w:t>
            </w:r>
            <w:r>
              <w:rPr>
                <w:rFonts w:hint="default" w:ascii="Times New Roman" w:hAnsi="Times New Roman" w:cs="Times New Roman"/>
                <w:color w:val="auto"/>
                <w:lang w:eastAsia="zh-CN"/>
              </w:rPr>
              <w:t>，</w:t>
            </w:r>
            <w:r>
              <w:rPr>
                <w:rFonts w:hint="default" w:ascii="Times New Roman" w:hAnsi="Times New Roman" w:cs="Times New Roman"/>
                <w:color w:val="auto"/>
              </w:rPr>
              <w:t>在风机和基础之间安装隔振器</w:t>
            </w:r>
            <w:r>
              <w:rPr>
                <w:rFonts w:hint="default" w:ascii="Times New Roman" w:hAnsi="Times New Roman" w:cs="Times New Roman"/>
                <w:color w:val="auto"/>
                <w:lang w:eastAsia="zh-CN"/>
              </w:rPr>
              <w:t>，</w:t>
            </w:r>
            <w:r>
              <w:rPr>
                <w:rFonts w:hint="default" w:ascii="Times New Roman" w:hAnsi="Times New Roman" w:cs="Times New Roman"/>
                <w:color w:val="auto"/>
              </w:rPr>
              <w:t>尽可能增加机座惰性块的重量</w:t>
            </w:r>
            <w:r>
              <w:rPr>
                <w:rFonts w:hint="default" w:ascii="Times New Roman" w:hAnsi="Times New Roman" w:cs="Times New Roman"/>
                <w:color w:val="auto"/>
                <w:lang w:eastAsia="zh-CN"/>
              </w:rPr>
              <w:t>，</w:t>
            </w:r>
            <w:r>
              <w:rPr>
                <w:rFonts w:hint="default" w:ascii="Times New Roman" w:hAnsi="Times New Roman" w:cs="Times New Roman"/>
                <w:color w:val="auto"/>
              </w:rPr>
              <w:t>一般为2～3倍机组重量。</w:t>
            </w:r>
          </w:p>
          <w:p w14:paraId="32D0C773">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⑤在设备和基础之间加弹簧和弹性材料制作的减振器或减振垫层以减少设备基础与墙体振动形成的噪声；</w:t>
            </w:r>
          </w:p>
          <w:p w14:paraId="1F5723FF">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⑥在机械设备结构的连接处作减振处理</w:t>
            </w:r>
            <w:r>
              <w:rPr>
                <w:rFonts w:hint="default" w:ascii="Times New Roman" w:hAnsi="Times New Roman" w:cs="Times New Roman"/>
                <w:color w:val="auto"/>
                <w:lang w:eastAsia="zh-CN"/>
              </w:rPr>
              <w:t>，</w:t>
            </w:r>
            <w:r>
              <w:rPr>
                <w:rFonts w:hint="default" w:ascii="Times New Roman" w:hAnsi="Times New Roman" w:cs="Times New Roman"/>
                <w:color w:val="auto"/>
              </w:rPr>
              <w:t>如采用弹性的连轴节</w:t>
            </w:r>
            <w:r>
              <w:rPr>
                <w:rFonts w:hint="default" w:ascii="Times New Roman" w:hAnsi="Times New Roman" w:cs="Times New Roman"/>
                <w:color w:val="auto"/>
                <w:lang w:eastAsia="zh-CN"/>
              </w:rPr>
              <w:t>，</w:t>
            </w:r>
            <w:r>
              <w:rPr>
                <w:rFonts w:hint="default" w:ascii="Times New Roman" w:hAnsi="Times New Roman" w:cs="Times New Roman"/>
                <w:color w:val="auto"/>
              </w:rPr>
              <w:t>弹性垫或</w:t>
            </w:r>
            <w:r>
              <w:rPr>
                <w:rFonts w:hint="default" w:ascii="Times New Roman" w:hAnsi="Times New Roman" w:cs="Times New Roman"/>
                <w:color w:val="auto"/>
                <w:lang w:eastAsia="zh-CN"/>
              </w:rPr>
              <w:t>其他</w:t>
            </w:r>
            <w:r>
              <w:rPr>
                <w:rFonts w:hint="default" w:ascii="Times New Roman" w:hAnsi="Times New Roman" w:cs="Times New Roman"/>
                <w:color w:val="auto"/>
              </w:rPr>
              <w:t>装置。</w:t>
            </w:r>
          </w:p>
          <w:p w14:paraId="2F08A891">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⑦</w:t>
            </w:r>
            <w:r>
              <w:rPr>
                <w:rFonts w:hint="default" w:ascii="Times New Roman" w:hAnsi="Times New Roman" w:eastAsia="宋体" w:cs="Times New Roman"/>
                <w:color w:val="auto"/>
                <w:lang w:val="en-US" w:eastAsia="zh-CN"/>
              </w:rPr>
              <w:t>在夜间停止高噪音设备运行</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如破碎机等</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以减少对周边环境的影响。</w:t>
            </w:r>
          </w:p>
          <w:p w14:paraId="69F955C5">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从总体上来说企业在切实落实本评价所提各</w:t>
            </w:r>
            <w:r>
              <w:rPr>
                <w:rFonts w:hint="default" w:ascii="Times New Roman" w:hAnsi="Times New Roman" w:cs="Times New Roman"/>
                <w:color w:val="auto"/>
                <w:lang w:eastAsia="zh-CN"/>
              </w:rPr>
              <w:t>项</w:t>
            </w:r>
            <w:r>
              <w:rPr>
                <w:rFonts w:hint="default" w:ascii="Times New Roman" w:hAnsi="Times New Roman" w:cs="Times New Roman"/>
                <w:color w:val="auto"/>
              </w:rPr>
              <w:t>措施</w:t>
            </w:r>
            <w:r>
              <w:rPr>
                <w:rFonts w:hint="default" w:ascii="Times New Roman" w:hAnsi="Times New Roman" w:cs="Times New Roman"/>
                <w:color w:val="auto"/>
                <w:lang w:val="en-US" w:eastAsia="zh-CN"/>
              </w:rPr>
              <w:t>后</w:t>
            </w:r>
            <w:r>
              <w:rPr>
                <w:rFonts w:hint="default" w:ascii="Times New Roman" w:hAnsi="Times New Roman" w:cs="Times New Roman"/>
                <w:color w:val="auto"/>
                <w:lang w:eastAsia="zh-CN"/>
              </w:rPr>
              <w:t>，</w:t>
            </w:r>
            <w:r>
              <w:rPr>
                <w:rFonts w:hint="default" w:ascii="Times New Roman" w:hAnsi="Times New Roman" w:cs="Times New Roman"/>
                <w:color w:val="auto"/>
              </w:rPr>
              <w:t>可以认为</w:t>
            </w:r>
            <w:r>
              <w:rPr>
                <w:rFonts w:hint="default" w:ascii="Times New Roman" w:hAnsi="Times New Roman" w:cs="Times New Roman"/>
                <w:color w:val="auto"/>
                <w:lang w:eastAsia="zh-CN"/>
              </w:rPr>
              <w:t>技改项目</w:t>
            </w:r>
            <w:r>
              <w:rPr>
                <w:rFonts w:hint="default" w:ascii="Times New Roman" w:hAnsi="Times New Roman" w:cs="Times New Roman"/>
                <w:color w:val="auto"/>
              </w:rPr>
              <w:t>产生噪声对外环境影响较小。</w:t>
            </w:r>
          </w:p>
          <w:p w14:paraId="17AA9896">
            <w:pPr>
              <w:pStyle w:val="78"/>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ascii="Times New Roman" w:hAnsi="Times New Roman" w:cs="Times New Roman"/>
                <w:color w:val="auto"/>
                <w:lang w:val="en-US" w:eastAsia="zh-CN"/>
              </w:rPr>
            </w:pPr>
            <w:r>
              <w:rPr>
                <w:rFonts w:hint="default" w:ascii="Times New Roman" w:hAnsi="Times New Roman" w:eastAsia="宋体" w:cs="Times New Roman"/>
                <w:color w:val="auto"/>
                <w:kern w:val="2"/>
                <w:sz w:val="24"/>
                <w:szCs w:val="24"/>
                <w:lang w:val="en-US" w:eastAsia="zh-CN" w:bidi="ar-SA"/>
              </w:rPr>
              <w:t>（4）</w:t>
            </w:r>
            <w:r>
              <w:rPr>
                <w:rFonts w:hint="default" w:ascii="Times New Roman" w:hAnsi="Times New Roman" w:cs="Times New Roman"/>
                <w:color w:val="auto"/>
              </w:rPr>
              <w:t>噪声监测</w:t>
            </w:r>
            <w:r>
              <w:rPr>
                <w:rFonts w:hint="default" w:ascii="Times New Roman" w:hAnsi="Times New Roman" w:cs="Times New Roman"/>
                <w:color w:val="auto"/>
                <w:lang w:val="en-US" w:eastAsia="zh-CN"/>
              </w:rPr>
              <w:t>计划</w:t>
            </w:r>
          </w:p>
          <w:p w14:paraId="7F733374">
            <w:pPr>
              <w:pStyle w:val="78"/>
              <w:keepNext w:val="0"/>
              <w:keepLines w:val="0"/>
              <w:numPr>
                <w:ilvl w:val="0"/>
                <w:numId w:val="0"/>
              </w:numPr>
              <w:suppressLineNumbers w:val="0"/>
              <w:bidi w:val="0"/>
              <w:spacing w:before="0" w:beforeAutospacing="0" w:after="0" w:afterAutospacing="0"/>
              <w:ind w:left="480" w:leftChars="200" w:right="0" w:righ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项目营运期的环境监测计划见下表：</w:t>
            </w:r>
          </w:p>
          <w:p w14:paraId="37BFA825">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监测要求及排放标准一览表</w:t>
            </w:r>
          </w:p>
          <w:tbl>
            <w:tblPr>
              <w:tblStyle w:val="29"/>
              <w:tblW w:w="4997"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384"/>
              <w:gridCol w:w="1260"/>
              <w:gridCol w:w="1579"/>
              <w:gridCol w:w="3637"/>
            </w:tblGrid>
            <w:tr w14:paraId="4817DE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80" w:type="pct"/>
                  <w:tcBorders>
                    <w:tl2br w:val="nil"/>
                    <w:tr2bl w:val="nil"/>
                  </w:tcBorders>
                  <w:noWrap w:val="0"/>
                  <w:vAlign w:val="center"/>
                </w:tcPr>
                <w:p w14:paraId="5756A49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监测点位</w:t>
                  </w:r>
                </w:p>
              </w:tc>
              <w:tc>
                <w:tcPr>
                  <w:tcW w:w="801" w:type="pct"/>
                  <w:tcBorders>
                    <w:tl2br w:val="nil"/>
                    <w:tr2bl w:val="nil"/>
                  </w:tcBorders>
                  <w:noWrap w:val="0"/>
                  <w:vAlign w:val="center"/>
                </w:tcPr>
                <w:p w14:paraId="2E11406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监测指标</w:t>
                  </w:r>
                </w:p>
              </w:tc>
              <w:tc>
                <w:tcPr>
                  <w:tcW w:w="1004" w:type="pct"/>
                  <w:tcBorders>
                    <w:tl2br w:val="nil"/>
                    <w:tr2bl w:val="nil"/>
                  </w:tcBorders>
                  <w:noWrap w:val="0"/>
                  <w:vAlign w:val="center"/>
                </w:tcPr>
                <w:p w14:paraId="67255F6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监测频次</w:t>
                  </w:r>
                </w:p>
              </w:tc>
              <w:tc>
                <w:tcPr>
                  <w:tcW w:w="2312" w:type="pct"/>
                  <w:tcBorders>
                    <w:tl2br w:val="nil"/>
                    <w:tr2bl w:val="nil"/>
                  </w:tcBorders>
                  <w:noWrap w:val="0"/>
                  <w:vAlign w:val="center"/>
                </w:tcPr>
                <w:p w14:paraId="4A2480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执行排放标准</w:t>
                  </w:r>
                </w:p>
              </w:tc>
            </w:tr>
            <w:tr w14:paraId="5861F5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80" w:type="pct"/>
                  <w:tcBorders>
                    <w:tl2br w:val="nil"/>
                    <w:tr2bl w:val="nil"/>
                  </w:tcBorders>
                  <w:noWrap w:val="0"/>
                  <w:vAlign w:val="center"/>
                </w:tcPr>
                <w:p w14:paraId="16E3B3A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厂界四周</w:t>
                  </w:r>
                </w:p>
              </w:tc>
              <w:tc>
                <w:tcPr>
                  <w:tcW w:w="801" w:type="pct"/>
                  <w:tcBorders>
                    <w:tl2br w:val="nil"/>
                    <w:tr2bl w:val="nil"/>
                  </w:tcBorders>
                  <w:noWrap w:val="0"/>
                  <w:vAlign w:val="center"/>
                </w:tcPr>
                <w:p w14:paraId="25D6CFA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等效连续A声级</w:t>
                  </w:r>
                </w:p>
              </w:tc>
              <w:tc>
                <w:tcPr>
                  <w:tcW w:w="1004" w:type="pct"/>
                  <w:tcBorders>
                    <w:tl2br w:val="nil"/>
                    <w:tr2bl w:val="nil"/>
                  </w:tcBorders>
                  <w:noWrap w:val="0"/>
                  <w:vAlign w:val="center"/>
                </w:tcPr>
                <w:p w14:paraId="2716C19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eastAsia="zh-CN"/>
                    </w:rPr>
                  </w:pPr>
                  <w:r>
                    <w:rPr>
                      <w:rFonts w:hint="default" w:ascii="Times New Roman" w:hAnsi="Times New Roman" w:cs="Times New Roman"/>
                      <w:color w:val="auto"/>
                    </w:rPr>
                    <w:t>每季度一次</w:t>
                  </w:r>
                  <w:r>
                    <w:rPr>
                      <w:rFonts w:hint="default" w:ascii="Times New Roman" w:hAnsi="Times New Roman" w:cs="Times New Roman"/>
                      <w:color w:val="auto"/>
                      <w:lang w:eastAsia="zh-CN"/>
                    </w:rPr>
                    <w:t>，</w:t>
                  </w:r>
                  <w:r>
                    <w:rPr>
                      <w:rFonts w:hint="default" w:ascii="Times New Roman" w:hAnsi="Times New Roman" w:cs="Times New Roman"/>
                      <w:color w:val="auto"/>
                      <w:highlight w:val="none"/>
                    </w:rPr>
                    <w:t>昼</w:t>
                  </w:r>
                  <w:r>
                    <w:rPr>
                      <w:rFonts w:hint="default" w:ascii="Times New Roman" w:hAnsi="Times New Roman" w:cs="Times New Roman"/>
                      <w:color w:val="auto"/>
                      <w:highlight w:val="none"/>
                      <w:lang w:eastAsia="zh-CN"/>
                    </w:rPr>
                    <w:t>夜各</w:t>
                  </w:r>
                  <w:r>
                    <w:rPr>
                      <w:rFonts w:hint="default" w:ascii="Times New Roman" w:hAnsi="Times New Roman" w:cs="Times New Roman"/>
                      <w:color w:val="auto"/>
                      <w:highlight w:val="none"/>
                    </w:rPr>
                    <w:t>1次</w:t>
                  </w:r>
                </w:p>
              </w:tc>
              <w:tc>
                <w:tcPr>
                  <w:tcW w:w="2312" w:type="pct"/>
                  <w:tcBorders>
                    <w:tl2br w:val="nil"/>
                    <w:tr2bl w:val="nil"/>
                  </w:tcBorders>
                  <w:noWrap w:val="0"/>
                  <w:vAlign w:val="center"/>
                </w:tcPr>
                <w:p w14:paraId="3378653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《工业企业厂界环境噪声排放标准》（GB12348-2008）</w:t>
                  </w:r>
                  <w:r>
                    <w:rPr>
                      <w:rFonts w:hint="default" w:ascii="Times New Roman" w:hAnsi="Times New Roman" w:cs="Times New Roman"/>
                      <w:color w:val="auto"/>
                      <w:lang w:val="en-US" w:eastAsia="zh-CN"/>
                    </w:rPr>
                    <w:t>2</w:t>
                  </w:r>
                  <w:r>
                    <w:rPr>
                      <w:rFonts w:hint="default" w:ascii="Times New Roman" w:hAnsi="Times New Roman" w:cs="Times New Roman"/>
                      <w:color w:val="auto"/>
                    </w:rPr>
                    <w:t>类标准</w:t>
                  </w:r>
                </w:p>
              </w:tc>
            </w:tr>
          </w:tbl>
          <w:p w14:paraId="5E2848AE">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4.固体废物</w:t>
            </w:r>
          </w:p>
          <w:p w14:paraId="73F3215B">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技改</w:t>
            </w:r>
            <w:r>
              <w:rPr>
                <w:rFonts w:hint="default" w:ascii="Times New Roman" w:hAnsi="Times New Roman" w:cs="Times New Roman"/>
                <w:color w:val="auto"/>
                <w:sz w:val="24"/>
                <w:lang w:val="en-US" w:eastAsia="zh-CN"/>
              </w:rPr>
              <w:t>后全厂</w:t>
            </w:r>
            <w:r>
              <w:rPr>
                <w:rFonts w:hint="default" w:ascii="Times New Roman" w:hAnsi="Times New Roman" w:cs="Times New Roman"/>
                <w:color w:val="auto"/>
                <w:sz w:val="24"/>
                <w:lang w:eastAsia="zh-CN"/>
              </w:rPr>
              <w:t>项目</w:t>
            </w:r>
            <w:r>
              <w:rPr>
                <w:rFonts w:hint="default" w:ascii="Times New Roman" w:hAnsi="Times New Roman" w:eastAsia="宋体" w:cs="Times New Roman"/>
                <w:color w:val="auto"/>
                <w:sz w:val="24"/>
                <w:lang w:val="en-US" w:eastAsia="zh-CN"/>
              </w:rPr>
              <w:t>主要的固体废物有一般工业固废（</w:t>
            </w:r>
            <w:r>
              <w:rPr>
                <w:rFonts w:hint="default" w:ascii="Times New Roman" w:hAnsi="Times New Roman" w:eastAsia="宋体" w:cs="Times New Roman"/>
                <w:color w:val="auto"/>
                <w:sz w:val="24"/>
              </w:rPr>
              <w:t>布袋收集</w:t>
            </w:r>
            <w:r>
              <w:rPr>
                <w:rFonts w:hint="default" w:ascii="Times New Roman" w:hAnsi="Times New Roman" w:eastAsia="宋体" w:cs="Times New Roman"/>
                <w:color w:val="auto"/>
                <w:sz w:val="24"/>
                <w:lang w:val="en-US" w:eastAsia="zh-CN"/>
              </w:rPr>
              <w:t>尘、</w:t>
            </w:r>
            <w:r>
              <w:rPr>
                <w:rFonts w:hint="default" w:ascii="Times New Roman" w:hAnsi="Times New Roman" w:eastAsia="宋体" w:cs="Times New Roman"/>
                <w:color w:val="auto"/>
                <w:sz w:val="24"/>
              </w:rPr>
              <w:t>废布袋</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铁屑、废包装袋、不合格品、炉渣、污泥），危</w:t>
            </w:r>
            <w:r>
              <w:rPr>
                <w:rFonts w:hint="default" w:ascii="Times New Roman" w:hAnsi="Times New Roman" w:eastAsia="宋体" w:cs="Times New Roman"/>
                <w:color w:val="auto"/>
                <w:sz w:val="24"/>
                <w:lang w:val="en-US" w:eastAsia="zh-CN"/>
              </w:rPr>
              <w:t>险废物（</w:t>
            </w:r>
            <w:r>
              <w:rPr>
                <w:rFonts w:hint="default" w:ascii="Times New Roman" w:hAnsi="Times New Roman" w:cs="Times New Roman"/>
                <w:color w:val="auto"/>
                <w:sz w:val="24"/>
                <w:lang w:val="en-US" w:eastAsia="zh-CN"/>
              </w:rPr>
              <w:t>废液、</w:t>
            </w:r>
            <w:r>
              <w:rPr>
                <w:rFonts w:hint="default" w:ascii="Times New Roman" w:hAnsi="Times New Roman" w:eastAsia="宋体" w:cs="Times New Roman"/>
                <w:color w:val="auto"/>
                <w:sz w:val="24"/>
                <w:lang w:val="en-US" w:eastAsia="zh-CN"/>
              </w:rPr>
              <w:t>实验室废液</w:t>
            </w:r>
            <w:r>
              <w:rPr>
                <w:rFonts w:hint="default" w:ascii="Times New Roman" w:hAnsi="Times New Roman" w:cs="Times New Roman"/>
                <w:color w:val="auto"/>
                <w:sz w:val="24"/>
                <w:lang w:val="en-US" w:eastAsia="zh-CN"/>
              </w:rPr>
              <w:t>、</w:t>
            </w:r>
            <w:r>
              <w:rPr>
                <w:rFonts w:hint="default" w:ascii="Times New Roman" w:hAnsi="Times New Roman" w:eastAsia="宋体" w:cs="Times New Roman"/>
                <w:color w:val="auto"/>
                <w:sz w:val="24"/>
                <w:lang w:val="en-US" w:eastAsia="zh-CN"/>
              </w:rPr>
              <w:t>实验室废试剂空瓶）</w:t>
            </w:r>
            <w:r>
              <w:rPr>
                <w:rFonts w:hint="default" w:ascii="Times New Roman" w:hAnsi="Times New Roman" w:cs="Times New Roman"/>
                <w:color w:val="auto"/>
                <w:sz w:val="24"/>
                <w:lang w:val="en-US" w:eastAsia="zh-CN"/>
              </w:rPr>
              <w:t>。</w:t>
            </w:r>
          </w:p>
          <w:p w14:paraId="6AF6BC0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一般工业固废</w:t>
            </w:r>
          </w:p>
          <w:p w14:paraId="5A2F025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收集粉尘：根据废气污染源强核算，技改项目</w:t>
            </w:r>
            <w:r>
              <w:rPr>
                <w:rFonts w:hint="default" w:ascii="Times New Roman" w:hAnsi="Times New Roman" w:cs="Times New Roman"/>
                <w:color w:val="auto"/>
                <w:sz w:val="24"/>
              </w:rPr>
              <w:t>布袋</w:t>
            </w:r>
            <w:r>
              <w:rPr>
                <w:rFonts w:hint="default" w:ascii="Times New Roman" w:hAnsi="Times New Roman" w:cs="Times New Roman"/>
                <w:color w:val="auto"/>
                <w:sz w:val="24"/>
                <w:lang w:val="en-US" w:eastAsia="zh-CN"/>
              </w:rPr>
              <w:t>收集粉尘约9.609</w:t>
            </w:r>
            <w:r>
              <w:rPr>
                <w:rFonts w:hint="default" w:ascii="Times New Roman" w:hAnsi="Times New Roman" w:cs="Times New Roman"/>
                <w:color w:val="auto"/>
                <w:sz w:val="24"/>
              </w:rPr>
              <w:t>t/a</w:t>
            </w:r>
            <w:r>
              <w:rPr>
                <w:rFonts w:hint="default" w:ascii="Times New Roman" w:hAnsi="Times New Roman" w:cs="Times New Roman"/>
                <w:color w:val="auto"/>
                <w:sz w:val="24"/>
                <w:lang w:val="en-US" w:eastAsia="zh-CN"/>
              </w:rPr>
              <w:t>回用于生产，根据《固体废物分类与代码目录2024版》，收集粉尘属于SW59其他工业固体废物，固废代码为：900-099-S59。</w:t>
            </w:r>
          </w:p>
          <w:p w14:paraId="428ACCA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sz w:val="24"/>
                <w:lang w:val="en-US" w:eastAsia="zh-CN"/>
              </w:rPr>
              <w:t>废布袋：</w:t>
            </w:r>
            <w:r>
              <w:rPr>
                <w:rFonts w:hint="default" w:ascii="Times New Roman" w:hAnsi="Times New Roman" w:eastAsia="宋体" w:cs="Times New Roman"/>
                <w:color w:val="auto"/>
                <w:sz w:val="24"/>
                <w:lang w:val="en-US" w:eastAsia="zh-CN"/>
              </w:rPr>
              <w:t>袋式除尘器更换产生的</w:t>
            </w:r>
            <w:r>
              <w:rPr>
                <w:rFonts w:hint="default" w:ascii="Times New Roman" w:hAnsi="Times New Roman" w:eastAsia="宋体" w:cs="Times New Roman"/>
                <w:color w:val="auto"/>
                <w:sz w:val="24"/>
              </w:rPr>
              <w:t>废布袋</w:t>
            </w:r>
            <w:r>
              <w:rPr>
                <w:rFonts w:hint="default" w:ascii="Times New Roman" w:hAnsi="Times New Roman" w:cs="Times New Roman"/>
                <w:color w:val="auto"/>
                <w:sz w:val="24"/>
              </w:rPr>
              <w:t>年产生量约</w:t>
            </w:r>
            <w:r>
              <w:rPr>
                <w:rFonts w:hint="default" w:ascii="Times New Roman" w:hAnsi="Times New Roman" w:cs="Times New Roman"/>
                <w:color w:val="auto"/>
                <w:sz w:val="24"/>
                <w:lang w:val="en-US" w:eastAsia="zh-CN"/>
              </w:rPr>
              <w:t>0.5</w:t>
            </w:r>
            <w:r>
              <w:rPr>
                <w:rFonts w:hint="default" w:ascii="Times New Roman" w:hAnsi="Times New Roman" w:cs="Times New Roman"/>
                <w:color w:val="auto"/>
                <w:sz w:val="24"/>
              </w:rPr>
              <w:t>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交由厂家回收处理，根据《固体废物分类与代码目录2024版》，废布袋属于SW59其他工业固体废物，固废代码为：900-009-S59。</w:t>
            </w:r>
          </w:p>
          <w:p w14:paraId="30004EE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废包装袋：</w:t>
            </w:r>
            <w:r>
              <w:rPr>
                <w:rFonts w:hint="default" w:ascii="Times New Roman" w:hAnsi="Times New Roman" w:eastAsia="宋体" w:cs="Times New Roman"/>
                <w:color w:val="auto"/>
                <w:sz w:val="24"/>
                <w:lang w:val="en-US" w:eastAsia="zh-CN"/>
              </w:rPr>
              <w:t>项目产品包装过程中会产生</w:t>
            </w:r>
            <w:r>
              <w:rPr>
                <w:rFonts w:hint="default" w:ascii="Times New Roman" w:hAnsi="Times New Roman" w:cs="Times New Roman"/>
                <w:color w:val="auto"/>
                <w:sz w:val="24"/>
                <w:lang w:val="en-US" w:eastAsia="zh-CN"/>
              </w:rPr>
              <w:t>废包装袋，</w:t>
            </w:r>
            <w:r>
              <w:rPr>
                <w:rFonts w:hint="default" w:ascii="Times New Roman" w:hAnsi="Times New Roman" w:cs="Times New Roman"/>
                <w:color w:val="auto"/>
                <w:sz w:val="24"/>
              </w:rPr>
              <w:t>年产生量约</w:t>
            </w:r>
            <w:r>
              <w:rPr>
                <w:rFonts w:hint="default" w:ascii="Times New Roman" w:hAnsi="Times New Roman" w:cs="Times New Roman"/>
                <w:color w:val="auto"/>
                <w:sz w:val="24"/>
                <w:lang w:val="en-US" w:eastAsia="zh-CN"/>
              </w:rPr>
              <w:t>0.2</w:t>
            </w:r>
            <w:r>
              <w:rPr>
                <w:rFonts w:hint="default" w:ascii="Times New Roman" w:hAnsi="Times New Roman" w:cs="Times New Roman"/>
                <w:color w:val="auto"/>
                <w:sz w:val="24"/>
              </w:rPr>
              <w:t>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集中收集后外售，根据《固体废物分类与代码目录2024版》，废包装袋属于SW59其他工业固体废物，固废代码为：900-099-S59。</w:t>
            </w:r>
          </w:p>
          <w:p w14:paraId="18690E3B">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炉渣：本项目</w:t>
            </w:r>
            <w:r>
              <w:rPr>
                <w:rFonts w:hint="default" w:ascii="Times New Roman" w:hAnsi="Times New Roman" w:eastAsia="宋体" w:cs="Times New Roman"/>
                <w:color w:val="auto"/>
                <w:sz w:val="24"/>
                <w:lang w:val="en-US" w:eastAsia="zh-CN"/>
              </w:rPr>
              <w:t>生物质燃烧过程炉渣</w:t>
            </w:r>
            <w:r>
              <w:rPr>
                <w:rFonts w:hint="default" w:ascii="Times New Roman" w:hAnsi="Times New Roman" w:cs="Times New Roman"/>
                <w:color w:val="auto"/>
                <w:sz w:val="24"/>
              </w:rPr>
              <w:t>年产生量约</w:t>
            </w:r>
            <w:r>
              <w:rPr>
                <w:rFonts w:hint="eastAsia" w:cs="Times New Roman"/>
                <w:color w:val="auto"/>
                <w:sz w:val="24"/>
                <w:lang w:val="en-US" w:eastAsia="zh-CN"/>
              </w:rPr>
              <w:t>76.8</w:t>
            </w:r>
            <w:r>
              <w:rPr>
                <w:rFonts w:hint="default" w:ascii="Times New Roman" w:hAnsi="Times New Roman" w:cs="Times New Roman"/>
                <w:color w:val="auto"/>
                <w:sz w:val="24"/>
              </w:rPr>
              <w:t>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集中收集后外售，根据《固体废物分类与代码目录2024版</w:t>
            </w:r>
            <w:r>
              <w:rPr>
                <w:rFonts w:hint="eastAsia" w:cs="Times New Roman"/>
                <w:color w:val="auto"/>
                <w:sz w:val="24"/>
                <w:lang w:val="en-US" w:eastAsia="zh-CN"/>
              </w:rPr>
              <w:t>》</w:t>
            </w:r>
            <w:r>
              <w:rPr>
                <w:rFonts w:hint="default" w:ascii="Times New Roman" w:hAnsi="Times New Roman" w:cs="Times New Roman"/>
                <w:color w:val="auto"/>
                <w:sz w:val="24"/>
                <w:lang w:val="en-US" w:eastAsia="zh-CN"/>
              </w:rPr>
              <w:t>，炉渣属于SW03炉渣，固废代码为：900-099-S03。</w:t>
            </w:r>
          </w:p>
          <w:p w14:paraId="19DBE37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不合格品：</w:t>
            </w:r>
            <w:r>
              <w:rPr>
                <w:rFonts w:hint="default" w:ascii="Times New Roman" w:hAnsi="Times New Roman" w:eastAsia="宋体" w:cs="Times New Roman"/>
                <w:color w:val="auto"/>
                <w:sz w:val="24"/>
                <w:lang w:val="en-US" w:eastAsia="zh-CN"/>
              </w:rPr>
              <w:t>项目检验工序会产生不合格品，产生量为</w:t>
            </w:r>
            <w:r>
              <w:rPr>
                <w:rFonts w:hint="default" w:ascii="Times New Roman" w:hAnsi="Times New Roman" w:cs="Times New Roman"/>
                <w:color w:val="auto"/>
                <w:sz w:val="24"/>
                <w:lang w:val="en-US" w:eastAsia="zh-CN"/>
              </w:rPr>
              <w:t>1.13</w:t>
            </w:r>
            <w:r>
              <w:rPr>
                <w:rFonts w:hint="default" w:ascii="Times New Roman" w:hAnsi="Times New Roman" w:cs="Times New Roman"/>
                <w:color w:val="auto"/>
                <w:sz w:val="24"/>
              </w:rPr>
              <w:t>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集中收集后回用于生产，根据《固体废物分类与代码目录2024版》，不合格品属于SW59其他工业固体废物，固废代码为：900-099-S59。</w:t>
            </w:r>
          </w:p>
          <w:p w14:paraId="37C5D1B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铁屑：项目经过破碎后产生铁屑，根据物料平衡产生量约为0.001吨，铁屑集中收集后外售，根据《固体废物分类与代码目录2024版》，铁屑属于SW59其他工业固体废物，固废代码为：900-099-S59。</w:t>
            </w:r>
          </w:p>
          <w:p w14:paraId="537D4DF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污泥：本项目污水处理过程中会产生污泥，污泥产生量约为0.27</w:t>
            </w:r>
            <w:r>
              <w:rPr>
                <w:rFonts w:hint="default" w:ascii="Times New Roman" w:hAnsi="Times New Roman" w:eastAsia="宋体" w:cs="Times New Roman"/>
                <w:color w:val="auto"/>
                <w:sz w:val="24"/>
                <w:lang w:val="en-US" w:eastAsia="zh-CN"/>
              </w:rPr>
              <w:t>t/a</w:t>
            </w:r>
            <w:r>
              <w:rPr>
                <w:rFonts w:hint="default" w:ascii="Times New Roman" w:hAnsi="Times New Roman" w:cs="Times New Roman"/>
                <w:color w:val="auto"/>
                <w:sz w:val="24"/>
                <w:lang w:val="en-US" w:eastAsia="zh-CN"/>
              </w:rPr>
              <w:t>，污泥集中收集后外售，根据《固体废物分类与代码目录2024版》，污泥属于SW07污泥，固废代码为：140-001-S07。</w:t>
            </w:r>
          </w:p>
          <w:p w14:paraId="3E492DF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危险废物</w:t>
            </w:r>
          </w:p>
          <w:p w14:paraId="4EC8597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实验室废液：</w:t>
            </w:r>
            <w:r>
              <w:rPr>
                <w:rFonts w:hint="default" w:ascii="Times New Roman" w:hAnsi="Times New Roman" w:cs="Times New Roman"/>
                <w:color w:val="auto"/>
                <w:sz w:val="24"/>
                <w:lang w:val="en-US" w:eastAsia="zh-CN"/>
              </w:rPr>
              <w:t>本</w:t>
            </w:r>
            <w:r>
              <w:rPr>
                <w:rFonts w:hint="default" w:ascii="Times New Roman" w:hAnsi="Times New Roman" w:eastAsia="宋体" w:cs="Times New Roman"/>
                <w:color w:val="auto"/>
                <w:sz w:val="24"/>
                <w:lang w:val="en-US" w:eastAsia="zh-CN"/>
              </w:rPr>
              <w:t>项目需要对生产出来的产品进行质量检测会产生实验室废液，根据业主提供资料实验室废液产生量为</w:t>
            </w:r>
            <w:r>
              <w:rPr>
                <w:rFonts w:hint="default" w:ascii="Times New Roman" w:hAnsi="Times New Roman" w:cs="Times New Roman"/>
                <w:color w:val="auto"/>
                <w:sz w:val="24"/>
                <w:lang w:val="en-US" w:eastAsia="zh-CN"/>
              </w:rPr>
              <w:t>0.51</w:t>
            </w:r>
            <w:r>
              <w:rPr>
                <w:rFonts w:hint="eastAsia" w:cs="Times New Roman"/>
                <w:color w:val="auto"/>
                <w:sz w:val="24"/>
                <w:lang w:val="en-US" w:eastAsia="zh-CN"/>
              </w:rPr>
              <w:t>2</w:t>
            </w:r>
            <w:r>
              <w:rPr>
                <w:rFonts w:hint="default" w:ascii="Times New Roman" w:hAnsi="Times New Roman" w:eastAsia="宋体" w:cs="Times New Roman"/>
                <w:color w:val="auto"/>
                <w:sz w:val="24"/>
                <w:lang w:val="en-US" w:eastAsia="zh-CN"/>
              </w:rPr>
              <w:t>t/a，根据《国家危险废物名录（2025年版）》，属于危险废物HW49，危险代码为900-047-49，经收集后于危废暂存区暂存，定期委托有资质单位收集处置。</w:t>
            </w:r>
          </w:p>
          <w:p w14:paraId="40E8F74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lang w:val="en-US" w:eastAsia="zh-CN"/>
              </w:rPr>
              <w:t>实验室废试剂空瓶：</w:t>
            </w:r>
            <w:r>
              <w:rPr>
                <w:rFonts w:hint="default" w:ascii="Times New Roman" w:hAnsi="Times New Roman" w:eastAsia="宋体" w:cs="Times New Roman"/>
                <w:color w:val="auto"/>
                <w:lang w:eastAsia="zh-CN"/>
              </w:rPr>
              <w:t>项目需要对生产出来的产品进行质量检测会产生废试剂空瓶，根据业主提供资料废试剂空瓶产生量为</w:t>
            </w:r>
            <w:r>
              <w:rPr>
                <w:rFonts w:hint="default" w:ascii="Times New Roman" w:hAnsi="Times New Roman" w:cs="Times New Roman"/>
                <w:color w:val="auto"/>
                <w:lang w:val="en-US" w:eastAsia="zh-CN"/>
              </w:rPr>
              <w:t>0.01</w:t>
            </w:r>
            <w:r>
              <w:rPr>
                <w:rFonts w:hint="default" w:ascii="Times New Roman" w:hAnsi="Times New Roman" w:eastAsia="宋体" w:cs="Times New Roman"/>
                <w:color w:val="auto"/>
                <w:lang w:val="en-US" w:eastAsia="zh-CN"/>
              </w:rPr>
              <w:t>t/a，</w:t>
            </w:r>
            <w:r>
              <w:rPr>
                <w:rFonts w:hint="default" w:ascii="Times New Roman" w:hAnsi="Times New Roman" w:eastAsia="宋体" w:cs="Times New Roman"/>
                <w:color w:val="auto"/>
                <w:lang w:eastAsia="zh-CN"/>
              </w:rPr>
              <w:t>根据《国家危险废物名录（202</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lang w:eastAsia="zh-CN"/>
              </w:rPr>
              <w:t>年版）》，属于危险废物HW</w:t>
            </w:r>
            <w:r>
              <w:rPr>
                <w:rFonts w:hint="default" w:ascii="Times New Roman" w:hAnsi="Times New Roman" w:eastAsia="宋体" w:cs="Times New Roman"/>
                <w:color w:val="auto"/>
                <w:lang w:val="en-US" w:eastAsia="zh-CN"/>
              </w:rPr>
              <w:t>49</w:t>
            </w:r>
            <w:r>
              <w:rPr>
                <w:rFonts w:hint="default" w:ascii="Times New Roman" w:hAnsi="Times New Roman" w:eastAsia="宋体" w:cs="Times New Roman"/>
                <w:color w:val="auto"/>
                <w:lang w:eastAsia="zh-CN"/>
              </w:rPr>
              <w:t>，危险代码为900-04</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lang w:eastAsia="zh-CN"/>
              </w:rPr>
              <w:t>-49，经收集后于危废暂存区暂存，定期委托有资质单位收集处置。</w:t>
            </w:r>
          </w:p>
          <w:p w14:paraId="56DCD5D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废液：项目在蒸馏时会有废液残留在乙醇回收器当中，根据物料平衡废液的产生量为</w:t>
            </w:r>
            <w:r>
              <w:rPr>
                <w:rFonts w:hint="default" w:ascii="Times New Roman" w:hAnsi="Times New Roman" w:cs="Times New Roman"/>
                <w:color w:val="auto"/>
                <w:lang w:val="en-US" w:eastAsia="zh-CN"/>
              </w:rPr>
              <w:t>358.527</w:t>
            </w:r>
            <w:r>
              <w:rPr>
                <w:rFonts w:hint="default" w:ascii="Times New Roman" w:hAnsi="Times New Roman" w:eastAsia="宋体" w:cs="Times New Roman"/>
                <w:color w:val="auto"/>
                <w:lang w:val="en-US" w:eastAsia="zh-CN"/>
              </w:rPr>
              <w:t>t/a，根据《国家危险废物名录》（2025年版），废液为危险废物，危废类别HW06，危废代码900-402-06，交由有资质单位处置。</w:t>
            </w:r>
          </w:p>
          <w:p w14:paraId="1F29900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生活垃圾：项目</w:t>
            </w:r>
            <w:r>
              <w:rPr>
                <w:rFonts w:hint="default" w:ascii="Times New Roman" w:hAnsi="Times New Roman" w:cs="Times New Roman"/>
                <w:color w:val="auto"/>
                <w:sz w:val="24"/>
                <w:lang w:val="en-US" w:eastAsia="zh-CN"/>
              </w:rPr>
              <w:t>新增</w:t>
            </w:r>
            <w:r>
              <w:rPr>
                <w:rFonts w:hint="default" w:ascii="Times New Roman" w:hAnsi="Times New Roman" w:eastAsia="宋体" w:cs="Times New Roman"/>
                <w:color w:val="auto"/>
                <w:sz w:val="24"/>
                <w:lang w:val="en-US" w:eastAsia="zh-CN"/>
              </w:rPr>
              <w:t>劳动定员为</w:t>
            </w:r>
            <w:r>
              <w:rPr>
                <w:rFonts w:hint="default" w:ascii="Times New Roman" w:hAnsi="Times New Roman" w:cs="Times New Roman"/>
                <w:color w:val="auto"/>
                <w:sz w:val="24"/>
                <w:lang w:val="en-US" w:eastAsia="zh-CN"/>
              </w:rPr>
              <w:t>4</w:t>
            </w:r>
            <w:r>
              <w:rPr>
                <w:rFonts w:hint="default" w:ascii="Times New Roman" w:hAnsi="Times New Roman" w:eastAsia="宋体" w:cs="Times New Roman"/>
                <w:color w:val="auto"/>
                <w:sz w:val="24"/>
                <w:lang w:val="en-US" w:eastAsia="zh-CN"/>
              </w:rPr>
              <w:t>人，根据《社会区域类环境影响评价》（中国环境科学出版社），员工办公生活垃圾按照每人每天0.5kg计，故项目生活垃圾的产生量为</w:t>
            </w:r>
            <w:r>
              <w:rPr>
                <w:rFonts w:hint="default" w:ascii="Times New Roman" w:hAnsi="Times New Roman" w:cs="Times New Roman"/>
                <w:color w:val="auto"/>
                <w:sz w:val="24"/>
                <w:lang w:val="en-US" w:eastAsia="zh-CN"/>
              </w:rPr>
              <w:t>0.64</w:t>
            </w:r>
            <w:r>
              <w:rPr>
                <w:rFonts w:hint="default" w:ascii="Times New Roman" w:hAnsi="Times New Roman" w:eastAsia="宋体" w:cs="Times New Roman"/>
                <w:color w:val="auto"/>
                <w:sz w:val="24"/>
                <w:lang w:val="en-US" w:eastAsia="zh-CN"/>
              </w:rPr>
              <w:t>t/a，收集后交由当地环卫部门处理。</w:t>
            </w:r>
          </w:p>
          <w:p w14:paraId="6053F00B">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项目产生的固废污染源核算情况</w:t>
            </w:r>
            <w:r>
              <w:rPr>
                <w:rFonts w:hint="default" w:ascii="Times New Roman" w:hAnsi="Times New Roman" w:cs="Times New Roman"/>
                <w:color w:val="auto"/>
                <w:sz w:val="24"/>
                <w:lang w:eastAsia="zh-CN"/>
              </w:rPr>
              <w:t>见下</w:t>
            </w:r>
            <w:r>
              <w:rPr>
                <w:rFonts w:hint="default" w:ascii="Times New Roman" w:hAnsi="Times New Roman" w:cs="Times New Roman"/>
                <w:color w:val="auto"/>
                <w:sz w:val="24"/>
              </w:rPr>
              <w:t>表。</w:t>
            </w:r>
          </w:p>
          <w:p w14:paraId="7AC01F90">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固废污染源核算结果一览表</w:t>
            </w:r>
          </w:p>
          <w:tbl>
            <w:tblPr>
              <w:tblStyle w:val="29"/>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01"/>
              <w:gridCol w:w="401"/>
              <w:gridCol w:w="401"/>
              <w:gridCol w:w="773"/>
              <w:gridCol w:w="1291"/>
              <w:gridCol w:w="401"/>
              <w:gridCol w:w="630"/>
              <w:gridCol w:w="401"/>
              <w:gridCol w:w="401"/>
              <w:gridCol w:w="981"/>
              <w:gridCol w:w="401"/>
              <w:gridCol w:w="401"/>
              <w:gridCol w:w="982"/>
            </w:tblGrid>
            <w:tr w14:paraId="770629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tcBorders>
                    <w:tl2br w:val="nil"/>
                    <w:tr2bl w:val="nil"/>
                  </w:tcBorders>
                  <w:noWrap w:val="0"/>
                  <w:vAlign w:val="center"/>
                </w:tcPr>
                <w:p w14:paraId="7599E95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属性</w:t>
                  </w:r>
                </w:p>
              </w:tc>
              <w:tc>
                <w:tcPr>
                  <w:tcW w:w="435" w:type="dxa"/>
                  <w:tcBorders>
                    <w:tl2br w:val="nil"/>
                    <w:tr2bl w:val="nil"/>
                  </w:tcBorders>
                  <w:noWrap w:val="0"/>
                  <w:vAlign w:val="center"/>
                </w:tcPr>
                <w:p w14:paraId="1FE756F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产生环节</w:t>
                  </w:r>
                </w:p>
              </w:tc>
              <w:tc>
                <w:tcPr>
                  <w:tcW w:w="426" w:type="dxa"/>
                  <w:tcBorders>
                    <w:tl2br w:val="nil"/>
                    <w:tr2bl w:val="nil"/>
                  </w:tcBorders>
                  <w:noWrap w:val="0"/>
                  <w:vAlign w:val="center"/>
                </w:tcPr>
                <w:p w14:paraId="6F8EB0D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名称</w:t>
                  </w:r>
                </w:p>
              </w:tc>
              <w:tc>
                <w:tcPr>
                  <w:tcW w:w="1972" w:type="dxa"/>
                  <w:gridSpan w:val="2"/>
                  <w:tcBorders>
                    <w:tl2br w:val="nil"/>
                    <w:tr2bl w:val="nil"/>
                  </w:tcBorders>
                  <w:noWrap w:val="0"/>
                  <w:vAlign w:val="center"/>
                </w:tcPr>
                <w:p w14:paraId="177E2ED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代码</w:t>
                  </w:r>
                </w:p>
              </w:tc>
              <w:tc>
                <w:tcPr>
                  <w:tcW w:w="426" w:type="dxa"/>
                  <w:tcBorders>
                    <w:tl2br w:val="nil"/>
                    <w:tr2bl w:val="nil"/>
                  </w:tcBorders>
                  <w:noWrap w:val="0"/>
                  <w:vAlign w:val="center"/>
                </w:tcPr>
                <w:p w14:paraId="506DAA6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物理性状</w:t>
                  </w:r>
                </w:p>
              </w:tc>
              <w:tc>
                <w:tcPr>
                  <w:tcW w:w="660" w:type="dxa"/>
                  <w:tcBorders>
                    <w:tl2br w:val="nil"/>
                    <w:tr2bl w:val="nil"/>
                  </w:tcBorders>
                  <w:noWrap w:val="0"/>
                  <w:vAlign w:val="center"/>
                </w:tcPr>
                <w:p w14:paraId="6F5B18D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危险特性</w:t>
                  </w:r>
                </w:p>
              </w:tc>
              <w:tc>
                <w:tcPr>
                  <w:tcW w:w="426" w:type="dxa"/>
                  <w:tcBorders>
                    <w:tl2br w:val="nil"/>
                    <w:tr2bl w:val="nil"/>
                  </w:tcBorders>
                  <w:noWrap w:val="0"/>
                  <w:vAlign w:val="center"/>
                </w:tcPr>
                <w:p w14:paraId="28068C3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产废周期</w:t>
                  </w:r>
                </w:p>
              </w:tc>
              <w:tc>
                <w:tcPr>
                  <w:tcW w:w="426" w:type="dxa"/>
                  <w:tcBorders>
                    <w:tl2br w:val="nil"/>
                    <w:tr2bl w:val="nil"/>
                  </w:tcBorders>
                  <w:noWrap w:val="0"/>
                  <w:vAlign w:val="center"/>
                </w:tcPr>
                <w:p w14:paraId="7F7DAE5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核算方法</w:t>
                  </w:r>
                </w:p>
              </w:tc>
              <w:tc>
                <w:tcPr>
                  <w:tcW w:w="899" w:type="dxa"/>
                  <w:tcBorders>
                    <w:tl2br w:val="nil"/>
                    <w:tr2bl w:val="nil"/>
                  </w:tcBorders>
                  <w:noWrap w:val="0"/>
                  <w:vAlign w:val="center"/>
                </w:tcPr>
                <w:p w14:paraId="7C925A8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年度产生量t/a</w:t>
                  </w:r>
                </w:p>
              </w:tc>
              <w:tc>
                <w:tcPr>
                  <w:tcW w:w="426" w:type="dxa"/>
                  <w:tcBorders>
                    <w:tl2br w:val="nil"/>
                    <w:tr2bl w:val="nil"/>
                  </w:tcBorders>
                  <w:noWrap w:val="0"/>
                  <w:vAlign w:val="center"/>
                </w:tcPr>
                <w:p w14:paraId="1726D4F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贮存</w:t>
                  </w:r>
                </w:p>
                <w:p w14:paraId="6CC071F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方式</w:t>
                  </w:r>
                </w:p>
              </w:tc>
              <w:tc>
                <w:tcPr>
                  <w:tcW w:w="426" w:type="dxa"/>
                  <w:tcBorders>
                    <w:tl2br w:val="nil"/>
                    <w:tr2bl w:val="nil"/>
                  </w:tcBorders>
                  <w:noWrap w:val="0"/>
                  <w:vAlign w:val="center"/>
                </w:tcPr>
                <w:p w14:paraId="2D32110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利用处置方式及去向</w:t>
                  </w:r>
                </w:p>
              </w:tc>
              <w:tc>
                <w:tcPr>
                  <w:tcW w:w="899" w:type="dxa"/>
                  <w:tcBorders>
                    <w:tl2br w:val="nil"/>
                    <w:tr2bl w:val="nil"/>
                  </w:tcBorders>
                  <w:noWrap w:val="0"/>
                  <w:vAlign w:val="center"/>
                </w:tcPr>
                <w:p w14:paraId="2FD2E6F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利用或处置量</w:t>
                  </w:r>
                </w:p>
              </w:tc>
            </w:tr>
            <w:tr w14:paraId="73DE13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1" w:hRule="atLeast"/>
              </w:trPr>
              <w:tc>
                <w:tcPr>
                  <w:tcW w:w="426" w:type="dxa"/>
                  <w:vMerge w:val="restart"/>
                  <w:tcBorders>
                    <w:tl2br w:val="nil"/>
                    <w:tr2bl w:val="nil"/>
                  </w:tcBorders>
                  <w:noWrap w:val="0"/>
                  <w:vAlign w:val="center"/>
                </w:tcPr>
                <w:p w14:paraId="35AB522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一般固废</w:t>
                  </w:r>
                </w:p>
              </w:tc>
              <w:tc>
                <w:tcPr>
                  <w:tcW w:w="435" w:type="dxa"/>
                  <w:tcBorders>
                    <w:tl2br w:val="nil"/>
                    <w:tr2bl w:val="nil"/>
                  </w:tcBorders>
                  <w:noWrap w:val="0"/>
                  <w:vAlign w:val="center"/>
                </w:tcPr>
                <w:p w14:paraId="3F1F6D8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废气治理</w:t>
                  </w:r>
                </w:p>
              </w:tc>
              <w:tc>
                <w:tcPr>
                  <w:tcW w:w="426" w:type="dxa"/>
                  <w:tcBorders>
                    <w:tl2br w:val="nil"/>
                    <w:tr2bl w:val="nil"/>
                  </w:tcBorders>
                  <w:noWrap w:val="0"/>
                  <w:vAlign w:val="center"/>
                </w:tcPr>
                <w:p w14:paraId="05EBD7F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收集粉尘</w:t>
                  </w:r>
                </w:p>
              </w:tc>
              <w:tc>
                <w:tcPr>
                  <w:tcW w:w="1972" w:type="dxa"/>
                  <w:gridSpan w:val="2"/>
                  <w:tcBorders>
                    <w:tl2br w:val="nil"/>
                    <w:tr2bl w:val="nil"/>
                  </w:tcBorders>
                  <w:noWrap w:val="0"/>
                  <w:vAlign w:val="center"/>
                </w:tcPr>
                <w:p w14:paraId="29C682D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900-099-S59</w:t>
                  </w:r>
                </w:p>
              </w:tc>
              <w:tc>
                <w:tcPr>
                  <w:tcW w:w="426" w:type="dxa"/>
                  <w:tcBorders>
                    <w:tl2br w:val="nil"/>
                    <w:tr2bl w:val="nil"/>
                  </w:tcBorders>
                  <w:noWrap w:val="0"/>
                  <w:vAlign w:val="center"/>
                </w:tcPr>
                <w:p w14:paraId="78D1AB4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660" w:type="dxa"/>
                  <w:tcBorders>
                    <w:tl2br w:val="nil"/>
                    <w:tr2bl w:val="nil"/>
                  </w:tcBorders>
                  <w:noWrap w:val="0"/>
                  <w:vAlign w:val="center"/>
                </w:tcPr>
                <w:p w14:paraId="644D600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426" w:type="dxa"/>
                  <w:tcBorders>
                    <w:tl2br w:val="nil"/>
                    <w:tr2bl w:val="nil"/>
                  </w:tcBorders>
                  <w:noWrap w:val="0"/>
                  <w:vAlign w:val="center"/>
                </w:tcPr>
                <w:p w14:paraId="792089F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6F66A8E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物料平衡法</w:t>
                  </w:r>
                </w:p>
              </w:tc>
              <w:tc>
                <w:tcPr>
                  <w:tcW w:w="899" w:type="dxa"/>
                  <w:tcBorders>
                    <w:tl2br w:val="nil"/>
                    <w:tr2bl w:val="nil"/>
                  </w:tcBorders>
                  <w:noWrap w:val="0"/>
                  <w:vAlign w:val="center"/>
                </w:tcPr>
                <w:p w14:paraId="452C4CE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9.609</w:t>
                  </w:r>
                </w:p>
              </w:tc>
              <w:tc>
                <w:tcPr>
                  <w:tcW w:w="426" w:type="dxa"/>
                  <w:vMerge w:val="restart"/>
                  <w:tcBorders>
                    <w:tl2br w:val="nil"/>
                    <w:tr2bl w:val="nil"/>
                  </w:tcBorders>
                  <w:noWrap w:val="0"/>
                  <w:vAlign w:val="center"/>
                </w:tcPr>
                <w:p w14:paraId="6720A09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暂存于一般固废暂存间</w:t>
                  </w:r>
                </w:p>
              </w:tc>
              <w:tc>
                <w:tcPr>
                  <w:tcW w:w="426" w:type="dxa"/>
                  <w:tcBorders>
                    <w:tl2br w:val="nil"/>
                    <w:tr2bl w:val="nil"/>
                  </w:tcBorders>
                  <w:noWrap w:val="0"/>
                  <w:vAlign w:val="center"/>
                </w:tcPr>
                <w:p w14:paraId="2FDE571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外售</w:t>
                  </w:r>
                </w:p>
              </w:tc>
              <w:tc>
                <w:tcPr>
                  <w:tcW w:w="899" w:type="dxa"/>
                  <w:tcBorders>
                    <w:tl2br w:val="nil"/>
                    <w:tr2bl w:val="nil"/>
                  </w:tcBorders>
                  <w:noWrap w:val="0"/>
                  <w:vAlign w:val="center"/>
                </w:tcPr>
                <w:p w14:paraId="0B48D80F">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9.609</w:t>
                  </w:r>
                </w:p>
              </w:tc>
            </w:tr>
            <w:tr w14:paraId="0B9049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17E8891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629C4EA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废气治理</w:t>
                  </w:r>
                </w:p>
              </w:tc>
              <w:tc>
                <w:tcPr>
                  <w:tcW w:w="426" w:type="dxa"/>
                  <w:tcBorders>
                    <w:tl2br w:val="nil"/>
                    <w:tr2bl w:val="nil"/>
                  </w:tcBorders>
                  <w:noWrap w:val="0"/>
                  <w:vAlign w:val="center"/>
                </w:tcPr>
                <w:p w14:paraId="5131D4B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废布袋</w:t>
                  </w:r>
                </w:p>
              </w:tc>
              <w:tc>
                <w:tcPr>
                  <w:tcW w:w="1972" w:type="dxa"/>
                  <w:gridSpan w:val="2"/>
                  <w:tcBorders>
                    <w:tl2br w:val="nil"/>
                    <w:tr2bl w:val="nil"/>
                  </w:tcBorders>
                  <w:noWrap w:val="0"/>
                  <w:vAlign w:val="center"/>
                </w:tcPr>
                <w:p w14:paraId="252E36E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900-009-S59</w:t>
                  </w:r>
                </w:p>
              </w:tc>
              <w:tc>
                <w:tcPr>
                  <w:tcW w:w="426" w:type="dxa"/>
                  <w:tcBorders>
                    <w:tl2br w:val="nil"/>
                    <w:tr2bl w:val="nil"/>
                  </w:tcBorders>
                  <w:noWrap w:val="0"/>
                  <w:vAlign w:val="center"/>
                </w:tcPr>
                <w:p w14:paraId="1EAB6E0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660" w:type="dxa"/>
                  <w:tcBorders>
                    <w:tl2br w:val="nil"/>
                    <w:tr2bl w:val="nil"/>
                  </w:tcBorders>
                  <w:noWrap w:val="0"/>
                  <w:vAlign w:val="center"/>
                </w:tcPr>
                <w:p w14:paraId="7F9D0B4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w:t>
                  </w:r>
                </w:p>
              </w:tc>
              <w:tc>
                <w:tcPr>
                  <w:tcW w:w="426" w:type="dxa"/>
                  <w:tcBorders>
                    <w:tl2br w:val="nil"/>
                    <w:tr2bl w:val="nil"/>
                  </w:tcBorders>
                  <w:noWrap w:val="0"/>
                  <w:vAlign w:val="center"/>
                </w:tcPr>
                <w:p w14:paraId="1EFFB35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1年</w:t>
                  </w:r>
                </w:p>
              </w:tc>
              <w:tc>
                <w:tcPr>
                  <w:tcW w:w="426" w:type="dxa"/>
                  <w:tcBorders>
                    <w:tl2br w:val="nil"/>
                    <w:tr2bl w:val="nil"/>
                  </w:tcBorders>
                  <w:noWrap w:val="0"/>
                  <w:vAlign w:val="center"/>
                </w:tcPr>
                <w:p w14:paraId="6031484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类比法</w:t>
                  </w:r>
                </w:p>
              </w:tc>
              <w:tc>
                <w:tcPr>
                  <w:tcW w:w="899" w:type="dxa"/>
                  <w:tcBorders>
                    <w:tl2br w:val="nil"/>
                    <w:tr2bl w:val="nil"/>
                  </w:tcBorders>
                  <w:noWrap w:val="0"/>
                  <w:vAlign w:val="center"/>
                </w:tcPr>
                <w:p w14:paraId="407E21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0.5</w:t>
                  </w:r>
                </w:p>
              </w:tc>
              <w:tc>
                <w:tcPr>
                  <w:tcW w:w="426" w:type="dxa"/>
                  <w:vMerge w:val="continue"/>
                  <w:tcBorders>
                    <w:tl2br w:val="nil"/>
                    <w:tr2bl w:val="nil"/>
                  </w:tcBorders>
                  <w:noWrap w:val="0"/>
                  <w:vAlign w:val="center"/>
                </w:tcPr>
                <w:p w14:paraId="52DF67B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26" w:type="dxa"/>
                  <w:tcBorders>
                    <w:tl2br w:val="nil"/>
                    <w:tr2bl w:val="nil"/>
                  </w:tcBorders>
                  <w:noWrap w:val="0"/>
                  <w:vAlign w:val="center"/>
                </w:tcPr>
                <w:p w14:paraId="0512FCC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厂家回收</w:t>
                  </w:r>
                </w:p>
              </w:tc>
              <w:tc>
                <w:tcPr>
                  <w:tcW w:w="899" w:type="dxa"/>
                  <w:tcBorders>
                    <w:tl2br w:val="nil"/>
                    <w:tr2bl w:val="nil"/>
                  </w:tcBorders>
                  <w:noWrap w:val="0"/>
                  <w:vAlign w:val="center"/>
                </w:tcPr>
                <w:p w14:paraId="3497DFD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0.5</w:t>
                  </w:r>
                </w:p>
              </w:tc>
            </w:tr>
            <w:tr w14:paraId="5D1C95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3248A0B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5A6A899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检验</w:t>
                  </w:r>
                </w:p>
              </w:tc>
              <w:tc>
                <w:tcPr>
                  <w:tcW w:w="426" w:type="dxa"/>
                  <w:tcBorders>
                    <w:tl2br w:val="nil"/>
                    <w:tr2bl w:val="nil"/>
                  </w:tcBorders>
                  <w:noWrap w:val="0"/>
                  <w:vAlign w:val="center"/>
                </w:tcPr>
                <w:p w14:paraId="797103E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不合格品</w:t>
                  </w:r>
                </w:p>
              </w:tc>
              <w:tc>
                <w:tcPr>
                  <w:tcW w:w="1972" w:type="dxa"/>
                  <w:gridSpan w:val="2"/>
                  <w:tcBorders>
                    <w:tl2br w:val="nil"/>
                    <w:tr2bl w:val="nil"/>
                  </w:tcBorders>
                  <w:noWrap w:val="0"/>
                  <w:vAlign w:val="center"/>
                </w:tcPr>
                <w:p w14:paraId="53D26E6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900-099-S59</w:t>
                  </w:r>
                </w:p>
              </w:tc>
              <w:tc>
                <w:tcPr>
                  <w:tcW w:w="426" w:type="dxa"/>
                  <w:tcBorders>
                    <w:tl2br w:val="nil"/>
                    <w:tr2bl w:val="nil"/>
                  </w:tcBorders>
                  <w:noWrap w:val="0"/>
                  <w:vAlign w:val="center"/>
                </w:tcPr>
                <w:p w14:paraId="39A69C4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660" w:type="dxa"/>
                  <w:tcBorders>
                    <w:tl2br w:val="nil"/>
                    <w:tr2bl w:val="nil"/>
                  </w:tcBorders>
                  <w:noWrap w:val="0"/>
                  <w:vAlign w:val="center"/>
                </w:tcPr>
                <w:p w14:paraId="0E998B4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w:t>
                  </w:r>
                </w:p>
              </w:tc>
              <w:tc>
                <w:tcPr>
                  <w:tcW w:w="426" w:type="dxa"/>
                  <w:tcBorders>
                    <w:tl2br w:val="nil"/>
                    <w:tr2bl w:val="nil"/>
                  </w:tcBorders>
                  <w:noWrap w:val="0"/>
                  <w:vAlign w:val="center"/>
                </w:tcPr>
                <w:p w14:paraId="7A8C7EF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4E2777E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物料平衡法</w:t>
                  </w:r>
                </w:p>
              </w:tc>
              <w:tc>
                <w:tcPr>
                  <w:tcW w:w="899" w:type="dxa"/>
                  <w:tcBorders>
                    <w:tl2br w:val="nil"/>
                    <w:tr2bl w:val="nil"/>
                  </w:tcBorders>
                  <w:noWrap w:val="0"/>
                  <w:vAlign w:val="center"/>
                </w:tcPr>
                <w:p w14:paraId="2BABF17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1.13</w:t>
                  </w:r>
                </w:p>
              </w:tc>
              <w:tc>
                <w:tcPr>
                  <w:tcW w:w="426" w:type="dxa"/>
                  <w:vMerge w:val="continue"/>
                  <w:tcBorders>
                    <w:tl2br w:val="nil"/>
                    <w:tr2bl w:val="nil"/>
                  </w:tcBorders>
                  <w:noWrap w:val="0"/>
                  <w:vAlign w:val="center"/>
                </w:tcPr>
                <w:p w14:paraId="1F3D179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p>
              </w:tc>
              <w:tc>
                <w:tcPr>
                  <w:tcW w:w="426" w:type="dxa"/>
                  <w:tcBorders>
                    <w:tl2br w:val="nil"/>
                    <w:tr2bl w:val="nil"/>
                  </w:tcBorders>
                  <w:noWrap w:val="0"/>
                  <w:vAlign w:val="center"/>
                </w:tcPr>
                <w:p w14:paraId="39DD0DF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回用于生产</w:t>
                  </w:r>
                </w:p>
              </w:tc>
              <w:tc>
                <w:tcPr>
                  <w:tcW w:w="899" w:type="dxa"/>
                  <w:tcBorders>
                    <w:tl2br w:val="nil"/>
                    <w:tr2bl w:val="nil"/>
                  </w:tcBorders>
                  <w:noWrap w:val="0"/>
                  <w:vAlign w:val="center"/>
                </w:tcPr>
                <w:p w14:paraId="09B861C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1.13</w:t>
                  </w:r>
                </w:p>
              </w:tc>
            </w:tr>
            <w:tr w14:paraId="480735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212F635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20CE2FC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锅炉燃烧</w:t>
                  </w:r>
                </w:p>
              </w:tc>
              <w:tc>
                <w:tcPr>
                  <w:tcW w:w="426" w:type="dxa"/>
                  <w:tcBorders>
                    <w:tl2br w:val="nil"/>
                    <w:tr2bl w:val="nil"/>
                  </w:tcBorders>
                  <w:noWrap w:val="0"/>
                  <w:vAlign w:val="center"/>
                </w:tcPr>
                <w:p w14:paraId="2675EA1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炉渣</w:t>
                  </w:r>
                </w:p>
              </w:tc>
              <w:tc>
                <w:tcPr>
                  <w:tcW w:w="1972" w:type="dxa"/>
                  <w:gridSpan w:val="2"/>
                  <w:tcBorders>
                    <w:tl2br w:val="nil"/>
                    <w:tr2bl w:val="nil"/>
                  </w:tcBorders>
                  <w:noWrap w:val="0"/>
                  <w:vAlign w:val="center"/>
                </w:tcPr>
                <w:p w14:paraId="5E0FF1A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900-099-S03</w:t>
                  </w:r>
                </w:p>
              </w:tc>
              <w:tc>
                <w:tcPr>
                  <w:tcW w:w="426" w:type="dxa"/>
                  <w:tcBorders>
                    <w:tl2br w:val="nil"/>
                    <w:tr2bl w:val="nil"/>
                  </w:tcBorders>
                  <w:noWrap w:val="0"/>
                  <w:vAlign w:val="center"/>
                </w:tcPr>
                <w:p w14:paraId="374A864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660" w:type="dxa"/>
                  <w:tcBorders>
                    <w:tl2br w:val="nil"/>
                    <w:tr2bl w:val="nil"/>
                  </w:tcBorders>
                  <w:noWrap w:val="0"/>
                  <w:vAlign w:val="center"/>
                </w:tcPr>
                <w:p w14:paraId="5CEB53D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426" w:type="dxa"/>
                  <w:tcBorders>
                    <w:tl2br w:val="nil"/>
                    <w:tr2bl w:val="nil"/>
                  </w:tcBorders>
                  <w:noWrap w:val="0"/>
                  <w:vAlign w:val="center"/>
                </w:tcPr>
                <w:p w14:paraId="53EB262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6B43466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类比</w:t>
                  </w:r>
                </w:p>
              </w:tc>
              <w:tc>
                <w:tcPr>
                  <w:tcW w:w="899" w:type="dxa"/>
                  <w:tcBorders>
                    <w:tl2br w:val="nil"/>
                    <w:tr2bl w:val="nil"/>
                  </w:tcBorders>
                  <w:noWrap w:val="0"/>
                  <w:vAlign w:val="center"/>
                </w:tcPr>
                <w:p w14:paraId="1B4A2DF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76.8</w:t>
                  </w:r>
                </w:p>
              </w:tc>
              <w:tc>
                <w:tcPr>
                  <w:tcW w:w="426" w:type="dxa"/>
                  <w:vMerge w:val="continue"/>
                  <w:tcBorders>
                    <w:tl2br w:val="nil"/>
                    <w:tr2bl w:val="nil"/>
                  </w:tcBorders>
                  <w:noWrap w:val="0"/>
                  <w:vAlign w:val="center"/>
                </w:tcPr>
                <w:p w14:paraId="6F1AEAC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26" w:type="dxa"/>
                  <w:tcBorders>
                    <w:tl2br w:val="nil"/>
                    <w:tr2bl w:val="nil"/>
                  </w:tcBorders>
                  <w:noWrap w:val="0"/>
                  <w:vAlign w:val="center"/>
                </w:tcPr>
                <w:p w14:paraId="2216555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外售</w:t>
                  </w:r>
                </w:p>
              </w:tc>
              <w:tc>
                <w:tcPr>
                  <w:tcW w:w="899" w:type="dxa"/>
                  <w:tcBorders>
                    <w:tl2br w:val="nil"/>
                    <w:tr2bl w:val="nil"/>
                  </w:tcBorders>
                  <w:noWrap w:val="0"/>
                  <w:vAlign w:val="center"/>
                </w:tcPr>
                <w:p w14:paraId="3C59B90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76.8</w:t>
                  </w:r>
                </w:p>
              </w:tc>
            </w:tr>
            <w:tr w14:paraId="144F9C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55CC3AD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1477742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包装</w:t>
                  </w:r>
                </w:p>
              </w:tc>
              <w:tc>
                <w:tcPr>
                  <w:tcW w:w="426" w:type="dxa"/>
                  <w:tcBorders>
                    <w:tl2br w:val="nil"/>
                    <w:tr2bl w:val="nil"/>
                  </w:tcBorders>
                  <w:noWrap w:val="0"/>
                  <w:vAlign w:val="center"/>
                </w:tcPr>
                <w:p w14:paraId="40C1D10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废包装袋</w:t>
                  </w:r>
                </w:p>
              </w:tc>
              <w:tc>
                <w:tcPr>
                  <w:tcW w:w="1972" w:type="dxa"/>
                  <w:gridSpan w:val="2"/>
                  <w:tcBorders>
                    <w:tl2br w:val="nil"/>
                    <w:tr2bl w:val="nil"/>
                  </w:tcBorders>
                  <w:noWrap w:val="0"/>
                  <w:vAlign w:val="center"/>
                </w:tcPr>
                <w:p w14:paraId="2FFAF58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900-099-S59</w:t>
                  </w:r>
                </w:p>
              </w:tc>
              <w:tc>
                <w:tcPr>
                  <w:tcW w:w="426" w:type="dxa"/>
                  <w:tcBorders>
                    <w:tl2br w:val="nil"/>
                    <w:tr2bl w:val="nil"/>
                  </w:tcBorders>
                  <w:noWrap w:val="0"/>
                  <w:vAlign w:val="center"/>
                </w:tcPr>
                <w:p w14:paraId="047C1AC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660" w:type="dxa"/>
                  <w:tcBorders>
                    <w:tl2br w:val="nil"/>
                    <w:tr2bl w:val="nil"/>
                  </w:tcBorders>
                  <w:noWrap w:val="0"/>
                  <w:vAlign w:val="center"/>
                </w:tcPr>
                <w:p w14:paraId="3872F9D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426" w:type="dxa"/>
                  <w:tcBorders>
                    <w:tl2br w:val="nil"/>
                    <w:tr2bl w:val="nil"/>
                  </w:tcBorders>
                  <w:noWrap w:val="0"/>
                  <w:vAlign w:val="center"/>
                </w:tcPr>
                <w:p w14:paraId="0B9106C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269B62F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类比</w:t>
                  </w:r>
                </w:p>
              </w:tc>
              <w:tc>
                <w:tcPr>
                  <w:tcW w:w="899" w:type="dxa"/>
                  <w:tcBorders>
                    <w:tl2br w:val="nil"/>
                    <w:tr2bl w:val="nil"/>
                  </w:tcBorders>
                  <w:noWrap w:val="0"/>
                  <w:vAlign w:val="center"/>
                </w:tcPr>
                <w:p w14:paraId="3145129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0.2</w:t>
                  </w:r>
                </w:p>
              </w:tc>
              <w:tc>
                <w:tcPr>
                  <w:tcW w:w="426" w:type="dxa"/>
                  <w:vMerge w:val="continue"/>
                  <w:tcBorders>
                    <w:tl2br w:val="nil"/>
                    <w:tr2bl w:val="nil"/>
                  </w:tcBorders>
                  <w:noWrap w:val="0"/>
                  <w:vAlign w:val="center"/>
                </w:tcPr>
                <w:p w14:paraId="789779D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426" w:type="dxa"/>
                  <w:tcBorders>
                    <w:tl2br w:val="nil"/>
                    <w:tr2bl w:val="nil"/>
                  </w:tcBorders>
                  <w:noWrap w:val="0"/>
                  <w:vAlign w:val="center"/>
                </w:tcPr>
                <w:p w14:paraId="4535A0C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外售</w:t>
                  </w:r>
                </w:p>
              </w:tc>
              <w:tc>
                <w:tcPr>
                  <w:tcW w:w="899" w:type="dxa"/>
                  <w:tcBorders>
                    <w:tl2br w:val="nil"/>
                    <w:tr2bl w:val="nil"/>
                  </w:tcBorders>
                  <w:noWrap w:val="0"/>
                  <w:vAlign w:val="center"/>
                </w:tcPr>
                <w:p w14:paraId="23452A0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0.2</w:t>
                  </w:r>
                </w:p>
              </w:tc>
            </w:tr>
            <w:tr w14:paraId="3B1C26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587B18C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446974A3">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除铁</w:t>
                  </w:r>
                </w:p>
              </w:tc>
              <w:tc>
                <w:tcPr>
                  <w:tcW w:w="426" w:type="dxa"/>
                  <w:tcBorders>
                    <w:tl2br w:val="nil"/>
                    <w:tr2bl w:val="nil"/>
                  </w:tcBorders>
                  <w:noWrap w:val="0"/>
                  <w:vAlign w:val="center"/>
                </w:tcPr>
                <w:p w14:paraId="1319B40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铁屑</w:t>
                  </w:r>
                </w:p>
              </w:tc>
              <w:tc>
                <w:tcPr>
                  <w:tcW w:w="1972" w:type="dxa"/>
                  <w:gridSpan w:val="2"/>
                  <w:tcBorders>
                    <w:tl2br w:val="nil"/>
                    <w:tr2bl w:val="nil"/>
                  </w:tcBorders>
                  <w:noWrap w:val="0"/>
                  <w:vAlign w:val="center"/>
                </w:tcPr>
                <w:p w14:paraId="16CD6AC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900-099-S59</w:t>
                  </w:r>
                </w:p>
              </w:tc>
              <w:tc>
                <w:tcPr>
                  <w:tcW w:w="426" w:type="dxa"/>
                  <w:tcBorders>
                    <w:tl2br w:val="nil"/>
                    <w:tr2bl w:val="nil"/>
                  </w:tcBorders>
                  <w:noWrap w:val="0"/>
                  <w:vAlign w:val="center"/>
                </w:tcPr>
                <w:p w14:paraId="42ABC39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固态</w:t>
                  </w:r>
                </w:p>
              </w:tc>
              <w:tc>
                <w:tcPr>
                  <w:tcW w:w="660" w:type="dxa"/>
                  <w:tcBorders>
                    <w:tl2br w:val="nil"/>
                    <w:tr2bl w:val="nil"/>
                  </w:tcBorders>
                  <w:noWrap w:val="0"/>
                  <w:vAlign w:val="center"/>
                </w:tcPr>
                <w:p w14:paraId="12906FF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rPr>
                    <w:t>/</w:t>
                  </w:r>
                </w:p>
              </w:tc>
              <w:tc>
                <w:tcPr>
                  <w:tcW w:w="426" w:type="dxa"/>
                  <w:tcBorders>
                    <w:tl2br w:val="nil"/>
                    <w:tr2bl w:val="nil"/>
                  </w:tcBorders>
                  <w:noWrap w:val="0"/>
                  <w:vAlign w:val="center"/>
                </w:tcPr>
                <w:p w14:paraId="462C47B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7AB0D38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物料平衡法</w:t>
                  </w:r>
                </w:p>
              </w:tc>
              <w:tc>
                <w:tcPr>
                  <w:tcW w:w="899" w:type="dxa"/>
                  <w:tcBorders>
                    <w:tl2br w:val="nil"/>
                    <w:tr2bl w:val="nil"/>
                  </w:tcBorders>
                  <w:noWrap w:val="0"/>
                  <w:vAlign w:val="center"/>
                </w:tcPr>
                <w:p w14:paraId="494278C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0.001</w:t>
                  </w:r>
                </w:p>
              </w:tc>
              <w:tc>
                <w:tcPr>
                  <w:tcW w:w="426" w:type="dxa"/>
                  <w:vMerge w:val="continue"/>
                  <w:tcBorders>
                    <w:tl2br w:val="nil"/>
                    <w:tr2bl w:val="nil"/>
                  </w:tcBorders>
                  <w:noWrap w:val="0"/>
                  <w:vAlign w:val="center"/>
                </w:tcPr>
                <w:p w14:paraId="437DF76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26" w:type="dxa"/>
                  <w:tcBorders>
                    <w:tl2br w:val="nil"/>
                    <w:tr2bl w:val="nil"/>
                  </w:tcBorders>
                  <w:noWrap w:val="0"/>
                  <w:vAlign w:val="center"/>
                </w:tcPr>
                <w:p w14:paraId="3E9147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外售</w:t>
                  </w:r>
                </w:p>
              </w:tc>
              <w:tc>
                <w:tcPr>
                  <w:tcW w:w="899" w:type="dxa"/>
                  <w:tcBorders>
                    <w:tl2br w:val="nil"/>
                    <w:tr2bl w:val="nil"/>
                  </w:tcBorders>
                  <w:noWrap w:val="0"/>
                  <w:vAlign w:val="center"/>
                </w:tcPr>
                <w:p w14:paraId="6429BCD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0.001</w:t>
                  </w:r>
                </w:p>
              </w:tc>
            </w:tr>
            <w:tr w14:paraId="0D5FE9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10D832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009724E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污水处理</w:t>
                  </w:r>
                </w:p>
              </w:tc>
              <w:tc>
                <w:tcPr>
                  <w:tcW w:w="426" w:type="dxa"/>
                  <w:tcBorders>
                    <w:tl2br w:val="nil"/>
                    <w:tr2bl w:val="nil"/>
                  </w:tcBorders>
                  <w:noWrap w:val="0"/>
                  <w:vAlign w:val="center"/>
                </w:tcPr>
                <w:p w14:paraId="43F19F5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污泥</w:t>
                  </w:r>
                </w:p>
              </w:tc>
              <w:tc>
                <w:tcPr>
                  <w:tcW w:w="1972" w:type="dxa"/>
                  <w:gridSpan w:val="2"/>
                  <w:tcBorders>
                    <w:tl2br w:val="nil"/>
                    <w:tr2bl w:val="nil"/>
                  </w:tcBorders>
                  <w:noWrap w:val="0"/>
                  <w:vAlign w:val="center"/>
                </w:tcPr>
                <w:p w14:paraId="37002BB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140-001-S07</w:t>
                  </w:r>
                </w:p>
              </w:tc>
              <w:tc>
                <w:tcPr>
                  <w:tcW w:w="426" w:type="dxa"/>
                  <w:tcBorders>
                    <w:tl2br w:val="nil"/>
                    <w:tr2bl w:val="nil"/>
                  </w:tcBorders>
                  <w:noWrap w:val="0"/>
                  <w:vAlign w:val="center"/>
                </w:tcPr>
                <w:p w14:paraId="467A690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半固态</w:t>
                  </w:r>
                </w:p>
              </w:tc>
              <w:tc>
                <w:tcPr>
                  <w:tcW w:w="660" w:type="dxa"/>
                  <w:tcBorders>
                    <w:tl2br w:val="nil"/>
                    <w:tr2bl w:val="nil"/>
                  </w:tcBorders>
                  <w:noWrap w:val="0"/>
                  <w:vAlign w:val="center"/>
                </w:tcPr>
                <w:p w14:paraId="07C4BF2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426" w:type="dxa"/>
                  <w:tcBorders>
                    <w:tl2br w:val="nil"/>
                    <w:tr2bl w:val="nil"/>
                  </w:tcBorders>
                  <w:noWrap w:val="0"/>
                  <w:vAlign w:val="center"/>
                </w:tcPr>
                <w:p w14:paraId="12C6E48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1715114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899" w:type="dxa"/>
                  <w:tcBorders>
                    <w:tl2br w:val="nil"/>
                    <w:tr2bl w:val="nil"/>
                  </w:tcBorders>
                  <w:noWrap w:val="0"/>
                  <w:vAlign w:val="center"/>
                </w:tcPr>
                <w:p w14:paraId="1E8604D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0.27</w:t>
                  </w:r>
                </w:p>
              </w:tc>
              <w:tc>
                <w:tcPr>
                  <w:tcW w:w="426" w:type="dxa"/>
                  <w:vMerge w:val="continue"/>
                  <w:tcBorders>
                    <w:tl2br w:val="nil"/>
                    <w:tr2bl w:val="nil"/>
                  </w:tcBorders>
                  <w:noWrap w:val="0"/>
                  <w:vAlign w:val="center"/>
                </w:tcPr>
                <w:p w14:paraId="5EE1A56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26" w:type="dxa"/>
                  <w:tcBorders>
                    <w:tl2br w:val="nil"/>
                    <w:tr2bl w:val="nil"/>
                  </w:tcBorders>
                  <w:noWrap w:val="0"/>
                  <w:vAlign w:val="center"/>
                </w:tcPr>
                <w:p w14:paraId="264A4C5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外售</w:t>
                  </w:r>
                </w:p>
              </w:tc>
              <w:tc>
                <w:tcPr>
                  <w:tcW w:w="899" w:type="dxa"/>
                  <w:tcBorders>
                    <w:tl2br w:val="nil"/>
                    <w:tr2bl w:val="nil"/>
                  </w:tcBorders>
                  <w:noWrap w:val="0"/>
                  <w:vAlign w:val="center"/>
                </w:tcPr>
                <w:p w14:paraId="7F8887A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0.27</w:t>
                  </w:r>
                </w:p>
              </w:tc>
            </w:tr>
            <w:tr w14:paraId="75B9C9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5" w:hRule="atLeast"/>
              </w:trPr>
              <w:tc>
                <w:tcPr>
                  <w:tcW w:w="426" w:type="dxa"/>
                  <w:vMerge w:val="restart"/>
                  <w:tcBorders>
                    <w:tl2br w:val="nil"/>
                    <w:tr2bl w:val="nil"/>
                  </w:tcBorders>
                  <w:noWrap w:val="0"/>
                  <w:vAlign w:val="center"/>
                </w:tcPr>
                <w:p w14:paraId="0E85483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危险废物</w:t>
                  </w:r>
                </w:p>
              </w:tc>
              <w:tc>
                <w:tcPr>
                  <w:tcW w:w="435" w:type="dxa"/>
                  <w:tcBorders>
                    <w:tl2br w:val="nil"/>
                    <w:tr2bl w:val="nil"/>
                  </w:tcBorders>
                  <w:noWrap w:val="0"/>
                  <w:vAlign w:val="center"/>
                </w:tcPr>
                <w:p w14:paraId="7E2D074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乙醇回收</w:t>
                  </w:r>
                </w:p>
              </w:tc>
              <w:tc>
                <w:tcPr>
                  <w:tcW w:w="426" w:type="dxa"/>
                  <w:tcBorders>
                    <w:tl2br w:val="nil"/>
                    <w:tr2bl w:val="nil"/>
                  </w:tcBorders>
                  <w:noWrap w:val="0"/>
                  <w:vAlign w:val="center"/>
                </w:tcPr>
                <w:p w14:paraId="5FD8CDB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废液</w:t>
                  </w:r>
                </w:p>
              </w:tc>
              <w:tc>
                <w:tcPr>
                  <w:tcW w:w="776" w:type="dxa"/>
                  <w:tcBorders>
                    <w:tl2br w:val="nil"/>
                    <w:tr2bl w:val="nil"/>
                  </w:tcBorders>
                  <w:noWrap w:val="0"/>
                  <w:vAlign w:val="center"/>
                </w:tcPr>
                <w:p w14:paraId="2867935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rPr>
                  </w:pPr>
                  <w:r>
                    <w:rPr>
                      <w:rFonts w:hint="default" w:ascii="Times New Roman" w:hAnsi="Times New Roman" w:cs="Times New Roman"/>
                      <w:color w:val="auto"/>
                      <w:lang w:val="en-US" w:eastAsia="zh-CN"/>
                    </w:rPr>
                    <w:t>HW06</w:t>
                  </w:r>
                </w:p>
              </w:tc>
              <w:tc>
                <w:tcPr>
                  <w:tcW w:w="1196" w:type="dxa"/>
                  <w:tcBorders>
                    <w:tl2br w:val="nil"/>
                    <w:tr2bl w:val="nil"/>
                  </w:tcBorders>
                  <w:noWrap w:val="0"/>
                  <w:vAlign w:val="center"/>
                </w:tcPr>
                <w:p w14:paraId="54DF073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900-402-06</w:t>
                  </w:r>
                </w:p>
              </w:tc>
              <w:tc>
                <w:tcPr>
                  <w:tcW w:w="426" w:type="dxa"/>
                  <w:tcBorders>
                    <w:tl2br w:val="nil"/>
                    <w:tr2bl w:val="nil"/>
                  </w:tcBorders>
                  <w:noWrap w:val="0"/>
                  <w:vAlign w:val="center"/>
                </w:tcPr>
                <w:p w14:paraId="7BFF518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固态</w:t>
                  </w:r>
                </w:p>
              </w:tc>
              <w:tc>
                <w:tcPr>
                  <w:tcW w:w="660" w:type="dxa"/>
                  <w:tcBorders>
                    <w:tl2br w:val="nil"/>
                    <w:tr2bl w:val="nil"/>
                  </w:tcBorders>
                  <w:noWrap w:val="0"/>
                  <w:vAlign w:val="center"/>
                </w:tcPr>
                <w:p w14:paraId="4AF5620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T,I,R</w:t>
                  </w:r>
                </w:p>
              </w:tc>
              <w:tc>
                <w:tcPr>
                  <w:tcW w:w="426" w:type="dxa"/>
                  <w:tcBorders>
                    <w:tl2br w:val="nil"/>
                    <w:tr2bl w:val="nil"/>
                  </w:tcBorders>
                  <w:noWrap w:val="0"/>
                  <w:vAlign w:val="center"/>
                </w:tcPr>
                <w:p w14:paraId="0B5469D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每天</w:t>
                  </w:r>
                </w:p>
              </w:tc>
              <w:tc>
                <w:tcPr>
                  <w:tcW w:w="426" w:type="dxa"/>
                  <w:tcBorders>
                    <w:tl2br w:val="nil"/>
                    <w:tr2bl w:val="nil"/>
                  </w:tcBorders>
                  <w:noWrap w:val="0"/>
                  <w:vAlign w:val="center"/>
                </w:tcPr>
                <w:p w14:paraId="1E3E772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物料平衡法</w:t>
                  </w:r>
                </w:p>
              </w:tc>
              <w:tc>
                <w:tcPr>
                  <w:tcW w:w="899" w:type="dxa"/>
                  <w:tcBorders>
                    <w:tl2br w:val="nil"/>
                    <w:tr2bl w:val="nil"/>
                  </w:tcBorders>
                  <w:noWrap w:val="0"/>
                  <w:vAlign w:val="center"/>
                </w:tcPr>
                <w:p w14:paraId="747FD3E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358.527</w:t>
                  </w:r>
                </w:p>
              </w:tc>
              <w:tc>
                <w:tcPr>
                  <w:tcW w:w="426" w:type="dxa"/>
                  <w:vMerge w:val="restart"/>
                  <w:tcBorders>
                    <w:tl2br w:val="nil"/>
                    <w:tr2bl w:val="nil"/>
                  </w:tcBorders>
                  <w:noWrap w:val="0"/>
                  <w:vAlign w:val="center"/>
                </w:tcPr>
                <w:p w14:paraId="7181CC1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危废暂存区暂存</w:t>
                  </w:r>
                </w:p>
              </w:tc>
              <w:tc>
                <w:tcPr>
                  <w:tcW w:w="426" w:type="dxa"/>
                  <w:vMerge w:val="restart"/>
                  <w:tcBorders>
                    <w:tl2br w:val="nil"/>
                    <w:tr2bl w:val="nil"/>
                  </w:tcBorders>
                  <w:noWrap w:val="0"/>
                  <w:vAlign w:val="center"/>
                </w:tcPr>
                <w:p w14:paraId="5D51AFD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eastAsia="zh-CN"/>
                    </w:rPr>
                    <w:t>交由</w:t>
                  </w:r>
                  <w:r>
                    <w:rPr>
                      <w:rFonts w:hint="default" w:ascii="Times New Roman" w:hAnsi="Times New Roman" w:cs="Times New Roman"/>
                      <w:color w:val="auto"/>
                    </w:rPr>
                    <w:t>危废处置资质单位处置</w:t>
                  </w:r>
                </w:p>
              </w:tc>
              <w:tc>
                <w:tcPr>
                  <w:tcW w:w="899" w:type="dxa"/>
                  <w:tcBorders>
                    <w:tl2br w:val="nil"/>
                    <w:tr2bl w:val="nil"/>
                  </w:tcBorders>
                  <w:noWrap w:val="0"/>
                  <w:vAlign w:val="center"/>
                </w:tcPr>
                <w:p w14:paraId="07E7FF01">
                  <w:pPr>
                    <w:pStyle w:val="6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358.527</w:t>
                  </w:r>
                </w:p>
              </w:tc>
            </w:tr>
            <w:tr w14:paraId="357EE6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5" w:hRule="atLeast"/>
              </w:trPr>
              <w:tc>
                <w:tcPr>
                  <w:tcW w:w="426" w:type="dxa"/>
                  <w:vMerge w:val="continue"/>
                  <w:tcBorders>
                    <w:tl2br w:val="nil"/>
                    <w:tr2bl w:val="nil"/>
                  </w:tcBorders>
                  <w:noWrap w:val="0"/>
                  <w:vAlign w:val="center"/>
                </w:tcPr>
                <w:p w14:paraId="3C8E914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noWrap w:val="0"/>
                  <w:vAlign w:val="center"/>
                </w:tcPr>
                <w:p w14:paraId="739474A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检验</w:t>
                  </w:r>
                </w:p>
              </w:tc>
              <w:tc>
                <w:tcPr>
                  <w:tcW w:w="426" w:type="dxa"/>
                  <w:tcBorders>
                    <w:tl2br w:val="nil"/>
                    <w:tr2bl w:val="nil"/>
                  </w:tcBorders>
                  <w:noWrap w:val="0"/>
                  <w:vAlign w:val="center"/>
                </w:tcPr>
                <w:p w14:paraId="055799E1">
                  <w:pPr>
                    <w:pStyle w:val="133"/>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sz w:val="21"/>
                      <w:szCs w:val="21"/>
                      <w:lang w:eastAsia="zh-CN"/>
                    </w:rPr>
                    <w:t>实验室废液</w:t>
                  </w:r>
                </w:p>
              </w:tc>
              <w:tc>
                <w:tcPr>
                  <w:tcW w:w="776" w:type="dxa"/>
                  <w:tcBorders>
                    <w:tl2br w:val="nil"/>
                    <w:tr2bl w:val="nil"/>
                  </w:tcBorders>
                  <w:noWrap w:val="0"/>
                  <w:vAlign w:val="center"/>
                </w:tcPr>
                <w:p w14:paraId="4C67164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eastAsia="宋体" w:cs="Times New Roman"/>
                      <w:color w:val="auto"/>
                      <w:sz w:val="21"/>
                      <w:szCs w:val="21"/>
                      <w:lang w:val="en-US" w:eastAsia="zh-CN"/>
                    </w:rPr>
                    <w:t>HW49</w:t>
                  </w:r>
                </w:p>
              </w:tc>
              <w:tc>
                <w:tcPr>
                  <w:tcW w:w="1196" w:type="dxa"/>
                  <w:tcBorders>
                    <w:tl2br w:val="nil"/>
                    <w:tr2bl w:val="nil"/>
                  </w:tcBorders>
                  <w:noWrap w:val="0"/>
                  <w:vAlign w:val="center"/>
                </w:tcPr>
                <w:p w14:paraId="77AA33B8">
                  <w:pPr>
                    <w:pStyle w:val="133"/>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lang w:val="en-US" w:eastAsia="zh-CN"/>
                    </w:rPr>
                  </w:pPr>
                  <w:r>
                    <w:rPr>
                      <w:rFonts w:hint="default" w:ascii="Times New Roman" w:hAnsi="Times New Roman" w:eastAsia="宋体" w:cs="Times New Roman"/>
                      <w:color w:val="auto"/>
                      <w:sz w:val="21"/>
                      <w:szCs w:val="21"/>
                      <w:lang w:val="en-US" w:eastAsia="zh-CN"/>
                    </w:rPr>
                    <w:t>900-047-49</w:t>
                  </w:r>
                </w:p>
              </w:tc>
              <w:tc>
                <w:tcPr>
                  <w:tcW w:w="426" w:type="dxa"/>
                  <w:tcBorders>
                    <w:tl2br w:val="nil"/>
                    <w:tr2bl w:val="nil"/>
                  </w:tcBorders>
                  <w:noWrap w:val="0"/>
                  <w:vAlign w:val="center"/>
                </w:tcPr>
                <w:p w14:paraId="4FD9E84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固态</w:t>
                  </w:r>
                </w:p>
              </w:tc>
              <w:tc>
                <w:tcPr>
                  <w:tcW w:w="660" w:type="dxa"/>
                  <w:tcBorders>
                    <w:tl2br w:val="nil"/>
                    <w:tr2bl w:val="nil"/>
                  </w:tcBorders>
                  <w:noWrap w:val="0"/>
                  <w:vAlign w:val="center"/>
                </w:tcPr>
                <w:p w14:paraId="2B456FF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T,I,R</w:t>
                  </w:r>
                </w:p>
              </w:tc>
              <w:tc>
                <w:tcPr>
                  <w:tcW w:w="426" w:type="dxa"/>
                  <w:tcBorders>
                    <w:tl2br w:val="nil"/>
                    <w:tr2bl w:val="nil"/>
                  </w:tcBorders>
                  <w:noWrap w:val="0"/>
                  <w:vAlign w:val="center"/>
                </w:tcPr>
                <w:p w14:paraId="584751D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固态</w:t>
                  </w:r>
                </w:p>
              </w:tc>
              <w:tc>
                <w:tcPr>
                  <w:tcW w:w="426" w:type="dxa"/>
                  <w:tcBorders>
                    <w:tl2br w:val="nil"/>
                    <w:tr2bl w:val="nil"/>
                  </w:tcBorders>
                  <w:noWrap w:val="0"/>
                  <w:vAlign w:val="center"/>
                </w:tcPr>
                <w:p w14:paraId="547388F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类比</w:t>
                  </w:r>
                </w:p>
              </w:tc>
              <w:tc>
                <w:tcPr>
                  <w:tcW w:w="899" w:type="dxa"/>
                  <w:tcBorders>
                    <w:tl2br w:val="nil"/>
                    <w:tr2bl w:val="nil"/>
                  </w:tcBorders>
                  <w:noWrap w:val="0"/>
                  <w:vAlign w:val="center"/>
                </w:tcPr>
                <w:p w14:paraId="1652893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0.51</w:t>
                  </w:r>
                  <w:r>
                    <w:rPr>
                      <w:rFonts w:hint="eastAsia" w:cs="Times New Roman"/>
                      <w:color w:val="auto"/>
                      <w:lang w:val="en-US" w:eastAsia="zh-CN"/>
                    </w:rPr>
                    <w:t>2</w:t>
                  </w:r>
                </w:p>
              </w:tc>
              <w:tc>
                <w:tcPr>
                  <w:tcW w:w="426" w:type="dxa"/>
                  <w:vMerge w:val="continue"/>
                  <w:tcBorders>
                    <w:tl2br w:val="nil"/>
                    <w:tr2bl w:val="nil"/>
                  </w:tcBorders>
                  <w:noWrap w:val="0"/>
                  <w:vAlign w:val="center"/>
                </w:tcPr>
                <w:p w14:paraId="2B2E7EA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26" w:type="dxa"/>
                  <w:vMerge w:val="continue"/>
                  <w:tcBorders>
                    <w:tl2br w:val="nil"/>
                    <w:tr2bl w:val="nil"/>
                  </w:tcBorders>
                  <w:noWrap w:val="0"/>
                  <w:vAlign w:val="center"/>
                </w:tcPr>
                <w:p w14:paraId="3690DE3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899" w:type="dxa"/>
                  <w:tcBorders>
                    <w:tl2br w:val="nil"/>
                    <w:tr2bl w:val="nil"/>
                  </w:tcBorders>
                  <w:noWrap w:val="0"/>
                  <w:vAlign w:val="center"/>
                </w:tcPr>
                <w:p w14:paraId="2AF8CDC8">
                  <w:pPr>
                    <w:pStyle w:val="61"/>
                    <w:keepNext w:val="0"/>
                    <w:keepLines w:val="0"/>
                    <w:suppressLineNumbers w:val="0"/>
                    <w:bidi w:val="0"/>
                    <w:spacing w:before="0" w:beforeAutospacing="0" w:after="0" w:afterAutospacing="0"/>
                    <w:ind w:left="0" w:right="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0.51</w:t>
                  </w:r>
                  <w:r>
                    <w:rPr>
                      <w:rFonts w:hint="eastAsia" w:cs="Times New Roman"/>
                      <w:color w:val="auto"/>
                      <w:lang w:val="en-US" w:eastAsia="zh-CN"/>
                    </w:rPr>
                    <w:t>2</w:t>
                  </w:r>
                </w:p>
              </w:tc>
            </w:tr>
            <w:tr w14:paraId="4DFC096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5" w:hRule="atLeast"/>
              </w:trPr>
              <w:tc>
                <w:tcPr>
                  <w:tcW w:w="426" w:type="dxa"/>
                  <w:vMerge w:val="continue"/>
                  <w:tcBorders>
                    <w:tl2br w:val="nil"/>
                    <w:tr2bl w:val="nil"/>
                  </w:tcBorders>
                  <w:noWrap w:val="0"/>
                  <w:vAlign w:val="center"/>
                </w:tcPr>
                <w:p w14:paraId="0D08322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435" w:type="dxa"/>
                  <w:tcBorders>
                    <w:tl2br w:val="nil"/>
                    <w:tr2bl w:val="nil"/>
                  </w:tcBorders>
                  <w:shd w:val="clear" w:color="auto" w:fill="auto"/>
                  <w:noWrap w:val="0"/>
                  <w:vAlign w:val="center"/>
                </w:tcPr>
                <w:p w14:paraId="274953F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检验</w:t>
                  </w:r>
                </w:p>
              </w:tc>
              <w:tc>
                <w:tcPr>
                  <w:tcW w:w="426" w:type="dxa"/>
                  <w:tcBorders>
                    <w:tl2br w:val="nil"/>
                    <w:tr2bl w:val="nil"/>
                  </w:tcBorders>
                  <w:shd w:val="clear" w:color="auto" w:fill="auto"/>
                  <w:noWrap w:val="0"/>
                  <w:vAlign w:val="center"/>
                </w:tcPr>
                <w:p w14:paraId="7B0C9261">
                  <w:pPr>
                    <w:pStyle w:val="13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实验室废试剂空瓶</w:t>
                  </w:r>
                </w:p>
              </w:tc>
              <w:tc>
                <w:tcPr>
                  <w:tcW w:w="776" w:type="dxa"/>
                  <w:tcBorders>
                    <w:tl2br w:val="nil"/>
                    <w:tr2bl w:val="nil"/>
                  </w:tcBorders>
                  <w:shd w:val="clear" w:color="auto" w:fill="auto"/>
                  <w:noWrap w:val="0"/>
                  <w:vAlign w:val="center"/>
                </w:tcPr>
                <w:p w14:paraId="676B597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z w:val="21"/>
                      <w:szCs w:val="21"/>
                      <w:lang w:val="en-US" w:eastAsia="zh-CN"/>
                    </w:rPr>
                    <w:t>HW49</w:t>
                  </w:r>
                </w:p>
              </w:tc>
              <w:tc>
                <w:tcPr>
                  <w:tcW w:w="1196" w:type="dxa"/>
                  <w:tcBorders>
                    <w:tl2br w:val="nil"/>
                    <w:tr2bl w:val="nil"/>
                  </w:tcBorders>
                  <w:shd w:val="clear" w:color="auto" w:fill="auto"/>
                  <w:noWrap w:val="0"/>
                  <w:vAlign w:val="center"/>
                </w:tcPr>
                <w:p w14:paraId="425FA871">
                  <w:pPr>
                    <w:pStyle w:val="13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900-041-49</w:t>
                  </w:r>
                </w:p>
              </w:tc>
              <w:tc>
                <w:tcPr>
                  <w:tcW w:w="426" w:type="dxa"/>
                  <w:tcBorders>
                    <w:tl2br w:val="nil"/>
                    <w:tr2bl w:val="nil"/>
                  </w:tcBorders>
                  <w:shd w:val="clear" w:color="auto" w:fill="auto"/>
                  <w:noWrap w:val="0"/>
                  <w:vAlign w:val="center"/>
                </w:tcPr>
                <w:p w14:paraId="283E994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固态</w:t>
                  </w:r>
                </w:p>
              </w:tc>
              <w:tc>
                <w:tcPr>
                  <w:tcW w:w="660" w:type="dxa"/>
                  <w:tcBorders>
                    <w:tl2br w:val="nil"/>
                    <w:tr2bl w:val="nil"/>
                  </w:tcBorders>
                  <w:shd w:val="clear" w:color="auto" w:fill="auto"/>
                  <w:noWrap w:val="0"/>
                  <w:vAlign w:val="center"/>
                </w:tcPr>
                <w:p w14:paraId="18FD011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T,I,R</w:t>
                  </w:r>
                </w:p>
              </w:tc>
              <w:tc>
                <w:tcPr>
                  <w:tcW w:w="426" w:type="dxa"/>
                  <w:tcBorders>
                    <w:tl2br w:val="nil"/>
                    <w:tr2bl w:val="nil"/>
                  </w:tcBorders>
                  <w:shd w:val="clear" w:color="auto" w:fill="auto"/>
                  <w:noWrap w:val="0"/>
                  <w:vAlign w:val="center"/>
                </w:tcPr>
                <w:p w14:paraId="1552957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固态</w:t>
                  </w:r>
                </w:p>
              </w:tc>
              <w:tc>
                <w:tcPr>
                  <w:tcW w:w="426" w:type="dxa"/>
                  <w:tcBorders>
                    <w:tl2br w:val="nil"/>
                    <w:tr2bl w:val="nil"/>
                  </w:tcBorders>
                  <w:shd w:val="clear" w:color="auto" w:fill="auto"/>
                  <w:noWrap w:val="0"/>
                  <w:vAlign w:val="center"/>
                </w:tcPr>
                <w:p w14:paraId="18CFE14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类比</w:t>
                  </w:r>
                </w:p>
              </w:tc>
              <w:tc>
                <w:tcPr>
                  <w:tcW w:w="899" w:type="dxa"/>
                  <w:tcBorders>
                    <w:tl2br w:val="nil"/>
                    <w:tr2bl w:val="nil"/>
                  </w:tcBorders>
                  <w:shd w:val="clear" w:color="auto" w:fill="auto"/>
                  <w:noWrap w:val="0"/>
                  <w:vAlign w:val="center"/>
                </w:tcPr>
                <w:p w14:paraId="4D7F7A1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lang w:val="en-US" w:eastAsia="zh-CN"/>
                    </w:rPr>
                    <w:t>0.01</w:t>
                  </w:r>
                </w:p>
              </w:tc>
              <w:tc>
                <w:tcPr>
                  <w:tcW w:w="426" w:type="dxa"/>
                  <w:vMerge w:val="continue"/>
                  <w:tcBorders>
                    <w:tl2br w:val="nil"/>
                    <w:tr2bl w:val="nil"/>
                  </w:tcBorders>
                  <w:noWrap w:val="0"/>
                  <w:vAlign w:val="center"/>
                </w:tcPr>
                <w:p w14:paraId="22CF3ED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p>
              </w:tc>
              <w:tc>
                <w:tcPr>
                  <w:tcW w:w="426" w:type="dxa"/>
                  <w:vMerge w:val="continue"/>
                  <w:tcBorders>
                    <w:tl2br w:val="nil"/>
                    <w:tr2bl w:val="nil"/>
                  </w:tcBorders>
                  <w:noWrap w:val="0"/>
                  <w:vAlign w:val="center"/>
                </w:tcPr>
                <w:p w14:paraId="04A94C8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p>
              </w:tc>
              <w:tc>
                <w:tcPr>
                  <w:tcW w:w="899" w:type="dxa"/>
                  <w:tcBorders>
                    <w:tl2br w:val="nil"/>
                    <w:tr2bl w:val="nil"/>
                  </w:tcBorders>
                  <w:noWrap w:val="0"/>
                  <w:vAlign w:val="center"/>
                </w:tcPr>
                <w:p w14:paraId="3EC58B1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0.01</w:t>
                  </w:r>
                </w:p>
              </w:tc>
            </w:tr>
            <w:tr w14:paraId="655D16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7847" w:type="dxa"/>
                  <w:gridSpan w:val="13"/>
                  <w:tcBorders>
                    <w:tl2br w:val="nil"/>
                    <w:tr2bl w:val="nil"/>
                  </w:tcBorders>
                  <w:noWrap w:val="0"/>
                  <w:vAlign w:val="center"/>
                </w:tcPr>
                <w:p w14:paraId="1278F91C">
                  <w:pPr>
                    <w:pStyle w:val="61"/>
                    <w:keepNext w:val="0"/>
                    <w:keepLines w:val="0"/>
                    <w:suppressLineNumbers w:val="0"/>
                    <w:bidi w:val="0"/>
                    <w:spacing w:before="0" w:beforeAutospacing="0" w:after="0" w:afterAutospacing="0"/>
                    <w:ind w:left="0" w:right="0"/>
                    <w:jc w:val="left"/>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注：</w:t>
                  </w:r>
                  <w:r>
                    <w:rPr>
                      <w:rFonts w:hint="default" w:ascii="Times New Roman" w:hAnsi="Times New Roman" w:cs="Times New Roman"/>
                      <w:color w:val="auto"/>
                    </w:rPr>
                    <w:t>对生态环境和人体健康具有有害影响的毒性（Toxicity</w:t>
                  </w:r>
                  <w:r>
                    <w:rPr>
                      <w:rFonts w:hint="default" w:ascii="Times New Roman" w:hAnsi="Times New Roman" w:cs="Times New Roman"/>
                      <w:color w:val="auto"/>
                      <w:lang w:eastAsia="zh-CN"/>
                    </w:rPr>
                    <w:t>，</w:t>
                  </w:r>
                  <w:r>
                    <w:rPr>
                      <w:rFonts w:hint="default" w:ascii="Times New Roman" w:hAnsi="Times New Roman" w:cs="Times New Roman"/>
                      <w:color w:val="auto"/>
                    </w:rPr>
                    <w:t>T）、腐蚀性（Corrosivity</w:t>
                  </w:r>
                  <w:r>
                    <w:rPr>
                      <w:rFonts w:hint="default" w:ascii="Times New Roman" w:hAnsi="Times New Roman" w:cs="Times New Roman"/>
                      <w:color w:val="auto"/>
                      <w:lang w:eastAsia="zh-CN"/>
                    </w:rPr>
                    <w:t>，</w:t>
                  </w:r>
                  <w:r>
                    <w:rPr>
                      <w:rFonts w:hint="default" w:ascii="Times New Roman" w:hAnsi="Times New Roman" w:cs="Times New Roman"/>
                      <w:color w:val="auto"/>
                    </w:rPr>
                    <w:t>C）、易燃性（Ignitability</w:t>
                  </w:r>
                  <w:r>
                    <w:rPr>
                      <w:rFonts w:hint="default" w:ascii="Times New Roman" w:hAnsi="Times New Roman" w:cs="Times New Roman"/>
                      <w:color w:val="auto"/>
                      <w:lang w:eastAsia="zh-CN"/>
                    </w:rPr>
                    <w:t>，</w:t>
                  </w:r>
                  <w:r>
                    <w:rPr>
                      <w:rFonts w:hint="default" w:ascii="Times New Roman" w:hAnsi="Times New Roman" w:cs="Times New Roman"/>
                      <w:color w:val="auto"/>
                    </w:rPr>
                    <w:t>I）、反应性（Reactivity</w:t>
                  </w:r>
                  <w:r>
                    <w:rPr>
                      <w:rFonts w:hint="default" w:ascii="Times New Roman" w:hAnsi="Times New Roman" w:cs="Times New Roman"/>
                      <w:color w:val="auto"/>
                      <w:lang w:eastAsia="zh-CN"/>
                    </w:rPr>
                    <w:t>，</w:t>
                  </w:r>
                  <w:r>
                    <w:rPr>
                      <w:rFonts w:hint="default" w:ascii="Times New Roman" w:hAnsi="Times New Roman" w:cs="Times New Roman"/>
                      <w:color w:val="auto"/>
                    </w:rPr>
                    <w:t>R）和感染性（Infectivity</w:t>
                  </w:r>
                  <w:r>
                    <w:rPr>
                      <w:rFonts w:hint="default" w:ascii="Times New Roman" w:hAnsi="Times New Roman" w:cs="Times New Roman"/>
                      <w:color w:val="auto"/>
                      <w:lang w:eastAsia="zh-CN"/>
                    </w:rPr>
                    <w:t>，</w:t>
                  </w:r>
                  <w:r>
                    <w:rPr>
                      <w:rFonts w:hint="default" w:ascii="Times New Roman" w:hAnsi="Times New Roman" w:cs="Times New Roman"/>
                      <w:color w:val="auto"/>
                    </w:rPr>
                    <w:t>In）</w:t>
                  </w:r>
                </w:p>
              </w:tc>
            </w:tr>
          </w:tbl>
          <w:p w14:paraId="00C8044A">
            <w:pPr>
              <w:pStyle w:val="6"/>
              <w:numPr>
                <w:ilvl w:val="0"/>
                <w:numId w:val="0"/>
              </w:numPr>
              <w:suppressLineNumbers w:val="0"/>
              <w:spacing w:before="0" w:beforeLines="0" w:beforeAutospacing="0" w:after="0" w:afterLines="0" w:afterAutospacing="0"/>
              <w:ind w:left="0" w:leftChars="0" w:right="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项目技改后全厂年周转危险废物</w:t>
            </w:r>
            <w:r>
              <w:rPr>
                <w:rFonts w:hint="eastAsia" w:cs="Times New Roman"/>
                <w:color w:val="auto"/>
                <w:sz w:val="24"/>
                <w:szCs w:val="24"/>
                <w:lang w:val="en-US" w:eastAsia="zh-CN"/>
              </w:rPr>
              <w:t>359.049</w:t>
            </w:r>
            <w:r>
              <w:rPr>
                <w:rFonts w:hint="default" w:ascii="Times New Roman" w:hAnsi="Times New Roman" w:eastAsia="宋体" w:cs="Times New Roman"/>
                <w:color w:val="auto"/>
                <w:sz w:val="24"/>
                <w:szCs w:val="24"/>
                <w:lang w:val="en-US" w:eastAsia="zh-CN"/>
              </w:rPr>
              <w:t>t/a，项目危险废物暂存间储存能力100t/批次，企业每季度转运一次危险废物，则企业危险废物暂存间可以年周转400t危险废物，故技改项目危险废物依托原有危险废物暂存间可行。</w:t>
            </w:r>
          </w:p>
          <w:p w14:paraId="103F3E44">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）固体废物环境影响分析</w:t>
            </w:r>
          </w:p>
          <w:p w14:paraId="42837BA6">
            <w:pPr>
              <w:pStyle w:val="6"/>
              <w:numPr>
                <w:ilvl w:val="0"/>
                <w:numId w:val="0"/>
              </w:numPr>
              <w:suppressLineNumbers w:val="0"/>
              <w:spacing w:before="0" w:beforeLines="0" w:beforeAutospacing="0" w:after="0" w:afterLines="0" w:afterAutospacing="0"/>
              <w:ind w:left="0" w:leftChars="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环境管理要求</w:t>
            </w:r>
          </w:p>
          <w:p w14:paraId="5D7D1436">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技改项目</w:t>
            </w:r>
            <w:r>
              <w:rPr>
                <w:rFonts w:hint="default" w:ascii="Times New Roman" w:hAnsi="Times New Roman" w:cs="Times New Roman"/>
                <w:color w:val="auto"/>
                <w:sz w:val="24"/>
                <w:szCs w:val="24"/>
              </w:rPr>
              <w:t>建设一般固废暂存间对各生产固废分别进行暂存</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一般固废暂存间按照《一般工业固体废物贮存和填埋污染控制标准》（GB18599-2020）的要求建设</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禁止危险废物和生活垃圾混入一般固废间</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地面做硬化、防渗处理。</w:t>
            </w:r>
          </w:p>
          <w:p w14:paraId="44E8750C">
            <w:pPr>
              <w:keepNext w:val="0"/>
              <w:keepLines w:val="0"/>
              <w:numPr>
                <w:ilvl w:val="0"/>
                <w:numId w:val="14"/>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暂存间应设置防渗措施</w:t>
            </w:r>
          </w:p>
          <w:p w14:paraId="4EF51FF5">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固体废物暂存间应进行地面硬化处理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并按照相关要求设置防渗层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可选用天然或人工材料构筑防渗层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防渗层的厚度应相当于渗透系数1.0×10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vertAlign w:val="superscript"/>
              </w:rPr>
              <w:t>7</w:t>
            </w:r>
            <w:r>
              <w:rPr>
                <w:rFonts w:hint="default" w:ascii="Times New Roman" w:hAnsi="Times New Roman" w:cs="Times New Roman"/>
                <w:color w:val="auto"/>
                <w:sz w:val="24"/>
                <w:szCs w:val="24"/>
              </w:rPr>
              <w:t>cm/s和厚度1.5m的粘土层的防渗性能。</w:t>
            </w:r>
          </w:p>
          <w:p w14:paraId="79D32A31">
            <w:pPr>
              <w:keepNext w:val="0"/>
              <w:keepLines w:val="0"/>
              <w:numPr>
                <w:ilvl w:val="0"/>
                <w:numId w:val="14"/>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设置防风、防晒、防雨措施</w:t>
            </w:r>
          </w:p>
          <w:p w14:paraId="0F738EAC">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暂存间应设置遮阳棚、雨棚等设施</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周边应设置导流渠</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防止雨水径流进入贮存、处置场内。</w:t>
            </w:r>
          </w:p>
          <w:p w14:paraId="2300321E">
            <w:pPr>
              <w:keepNext w:val="0"/>
              <w:keepLines w:val="0"/>
              <w:numPr>
                <w:ilvl w:val="0"/>
                <w:numId w:val="14"/>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设置环境保护图像标志</w:t>
            </w:r>
          </w:p>
          <w:p w14:paraId="137D5F48">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按GB15562.2设置环境保护图形标志。</w:t>
            </w:r>
          </w:p>
          <w:p w14:paraId="7399F08C">
            <w:pPr>
              <w:keepNext w:val="0"/>
              <w:keepLines w:val="0"/>
              <w:numPr>
                <w:ilvl w:val="0"/>
                <w:numId w:val="14"/>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危险废物</w:t>
            </w:r>
          </w:p>
          <w:p w14:paraId="39169DAF">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项目拟对各类危险废物进行分类收集、包装</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并建设危险废物暂存间</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危险废物委托有资质单位处置。项目在危险废物的产生、贮存、运输、处置、利用过程中拟制定严格的管理制度和操作规程</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严格按照《危险废物收集、贮存、运输技术规范》（HJ2025-2012）、《危险废物转移联单管理办法》《危险废物规范化管理指标体系》等要求规范化建设和运行。</w:t>
            </w:r>
          </w:p>
          <w:p w14:paraId="2D1536E3">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项目拟严格按照《危险废物贮存污染控制标准》（GB18597-2023）要求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设置危险废物暂存间</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并根据项目危险废物产生量、贮存期限等</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分区设置各类危险废物贮存场所的能力</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以满足暂存要求</w:t>
            </w:r>
            <w:r>
              <w:rPr>
                <w:rFonts w:hint="default" w:ascii="Times New Roman" w:hAnsi="Times New Roman" w:cs="Times New Roman"/>
                <w:color w:val="auto"/>
                <w:sz w:val="24"/>
                <w:szCs w:val="24"/>
                <w:lang w:eastAsia="zh-CN"/>
              </w:rPr>
              <w:t>。危险废物暂存间</w:t>
            </w:r>
            <w:r>
              <w:rPr>
                <w:rFonts w:hint="default" w:ascii="Times New Roman" w:hAnsi="Times New Roman" w:cs="Times New Roman"/>
                <w:color w:val="auto"/>
                <w:sz w:val="24"/>
                <w:szCs w:val="24"/>
              </w:rPr>
              <w:t>设置1处</w:t>
            </w:r>
            <w:r>
              <w:rPr>
                <w:rFonts w:hint="default" w:ascii="Times New Roman" w:hAnsi="Times New Roman" w:cs="Times New Roman"/>
                <w:color w:val="auto"/>
                <w:sz w:val="24"/>
                <w:szCs w:val="24"/>
                <w:lang w:val="en-US" w:eastAsia="zh-CN"/>
              </w:rPr>
              <w:t>50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sz w:val="24"/>
                <w:szCs w:val="24"/>
              </w:rPr>
              <w:t>地面采取防渗、防腐及泄漏收集等措施</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对各类危险废物采用密闭式包装后分类贮存</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其贮存能力可满足暂存要求；严格按危险废物的管理要求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暂存期不超过1年</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按规范要求进行转移并委托有资质的单位进行处置。</w:t>
            </w:r>
          </w:p>
          <w:p w14:paraId="7CE641FD">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w:t>
            </w:r>
            <w:r>
              <w:rPr>
                <w:rFonts w:hint="default" w:ascii="Times New Roman" w:hAnsi="Times New Roman" w:cs="Times New Roman"/>
                <w:color w:val="auto"/>
                <w:sz w:val="24"/>
                <w:szCs w:val="24"/>
                <w:lang w:eastAsia="zh-CN"/>
              </w:rPr>
              <w:t>技改项目</w:t>
            </w:r>
            <w:r>
              <w:rPr>
                <w:rFonts w:hint="default" w:ascii="Times New Roman" w:hAnsi="Times New Roman" w:cs="Times New Roman"/>
                <w:color w:val="auto"/>
                <w:sz w:val="24"/>
                <w:szCs w:val="24"/>
              </w:rPr>
              <w:t>危险废物暂存间满足《危险废物收集、贮存、运输技术规范》（HJ2025-2012）、《危险废物转移联单管理办法》《危险废物规范化管理指标体系》《危险废物贮存污染控制标准》（GB18597-2023）等文件要求。</w:t>
            </w:r>
          </w:p>
          <w:p w14:paraId="3A0EEC08">
            <w:pPr>
              <w:keepNext w:val="0"/>
              <w:keepLines w:val="0"/>
              <w:suppressLineNumbers w:val="0"/>
              <w:bidi w:val="0"/>
              <w:spacing w:before="0" w:beforeAutospacing="0" w:after="0" w:afterAutospacing="0"/>
              <w:ind w:left="0" w:right="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5.地下水、土壤</w:t>
            </w:r>
          </w:p>
          <w:p w14:paraId="0E70E348">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bookmarkStart w:id="33" w:name="_Toc524021199"/>
            <w:bookmarkStart w:id="34" w:name="_Toc7712"/>
            <w:r>
              <w:rPr>
                <w:rFonts w:hint="default" w:ascii="Times New Roman" w:hAnsi="Times New Roman" w:cs="Times New Roman"/>
                <w:color w:val="auto"/>
                <w:lang w:val="en-US" w:eastAsia="zh-CN"/>
              </w:rPr>
              <w:t>技改项目属于食品制造业项目，本评价主要分析地下水、土壤污染途径和防控措施。</w:t>
            </w:r>
          </w:p>
          <w:p w14:paraId="3D1F8532">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（1）污染源分析</w:t>
            </w:r>
          </w:p>
          <w:p w14:paraId="4D02D6BC">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技改项目正常工况下不会对土壤、地下水环境造成影响，若发生泄漏时可能造成影响的污染源主要是厂区污泥储存区、渗滤液池等区域。</w:t>
            </w:r>
          </w:p>
          <w:p w14:paraId="53769B05">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（2）污染途径分析</w:t>
            </w:r>
          </w:p>
          <w:p w14:paraId="7412C2CE">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根据分析，技改项目土壤、地下水可能影响途径为地面漫流、垂直入渗。</w:t>
            </w:r>
          </w:p>
          <w:p w14:paraId="72DCAA78">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项目污泥、脱硫石膏等堆放在原料库。由于这些物料均含有一定量的水分，故在堆放的时候会产生一定量的渗滤液。在防渗层发生破损或者损坏的情况下有可能下渗污染土壤以及地下水。</w:t>
            </w:r>
          </w:p>
          <w:p w14:paraId="4DA3B9A8">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（3）地下水及土壤污染防治措施</w:t>
            </w:r>
          </w:p>
          <w:p w14:paraId="0C88622E">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源头控制，分区防治”原则的要求，对污染防治区进行分区防渗，对可能造成污染的区域（污染防治区）地面基础采取防渗处理，阻止污染物下渗进入地下水及土壤环境。将厂区划分为重点防渗区、一般防渗区，针对不同的区域提出相应的防渗措施。</w:t>
            </w:r>
          </w:p>
          <w:p w14:paraId="45F69698">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地下水污染防治区一览表</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4"/>
              <w:gridCol w:w="1613"/>
              <w:gridCol w:w="2673"/>
              <w:gridCol w:w="2278"/>
            </w:tblGrid>
            <w:tr w14:paraId="72B44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174" w:type="dxa"/>
                  <w:tcBorders>
                    <w:tl2br w:val="nil"/>
                    <w:tr2bl w:val="nil"/>
                  </w:tcBorders>
                  <w:noWrap w:val="0"/>
                  <w:vAlign w:val="center"/>
                </w:tcPr>
                <w:p w14:paraId="1E86CFF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编号</w:t>
                  </w:r>
                </w:p>
              </w:tc>
              <w:tc>
                <w:tcPr>
                  <w:tcW w:w="1613" w:type="dxa"/>
                  <w:tcBorders>
                    <w:tl2br w:val="nil"/>
                    <w:tr2bl w:val="nil"/>
                  </w:tcBorders>
                  <w:noWrap w:val="0"/>
                  <w:vAlign w:val="center"/>
                </w:tcPr>
                <w:p w14:paraId="23E9CF4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防治区分区</w:t>
                  </w:r>
                </w:p>
              </w:tc>
              <w:tc>
                <w:tcPr>
                  <w:tcW w:w="2673" w:type="dxa"/>
                  <w:tcBorders>
                    <w:tl2br w:val="nil"/>
                    <w:tr2bl w:val="nil"/>
                  </w:tcBorders>
                  <w:noWrap w:val="0"/>
                  <w:vAlign w:val="center"/>
                </w:tcPr>
                <w:p w14:paraId="65ABBB6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装置或构筑物名称</w:t>
                  </w:r>
                </w:p>
              </w:tc>
              <w:tc>
                <w:tcPr>
                  <w:tcW w:w="2278" w:type="dxa"/>
                  <w:tcBorders>
                    <w:tl2br w:val="nil"/>
                    <w:tr2bl w:val="nil"/>
                  </w:tcBorders>
                  <w:noWrap w:val="0"/>
                  <w:vAlign w:val="center"/>
                </w:tcPr>
                <w:p w14:paraId="1D834F5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防渗要求</w:t>
                  </w:r>
                </w:p>
              </w:tc>
            </w:tr>
            <w:tr w14:paraId="4088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1174" w:type="dxa"/>
                  <w:tcBorders>
                    <w:tl2br w:val="nil"/>
                    <w:tr2bl w:val="nil"/>
                  </w:tcBorders>
                  <w:noWrap w:val="0"/>
                  <w:vAlign w:val="center"/>
                </w:tcPr>
                <w:p w14:paraId="040597B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w:t>
                  </w:r>
                </w:p>
              </w:tc>
              <w:tc>
                <w:tcPr>
                  <w:tcW w:w="1613" w:type="dxa"/>
                  <w:tcBorders>
                    <w:tl2br w:val="nil"/>
                    <w:tr2bl w:val="nil"/>
                  </w:tcBorders>
                  <w:noWrap w:val="0"/>
                  <w:vAlign w:val="center"/>
                </w:tcPr>
                <w:p w14:paraId="6EED15C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重点防渗区</w:t>
                  </w:r>
                </w:p>
              </w:tc>
              <w:tc>
                <w:tcPr>
                  <w:tcW w:w="2673" w:type="dxa"/>
                  <w:tcBorders>
                    <w:tl2br w:val="nil"/>
                    <w:tr2bl w:val="nil"/>
                  </w:tcBorders>
                  <w:noWrap w:val="0"/>
                  <w:vAlign w:val="center"/>
                </w:tcPr>
                <w:p w14:paraId="54D76E9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乙醇储存区、盐酸储存区、危险废物暂存间、污水处理站、乙醇回收区、应急事故池</w:t>
                  </w:r>
                </w:p>
              </w:tc>
              <w:tc>
                <w:tcPr>
                  <w:tcW w:w="2278" w:type="dxa"/>
                  <w:tcBorders>
                    <w:tl2br w:val="nil"/>
                    <w:tr2bl w:val="nil"/>
                  </w:tcBorders>
                  <w:noWrap w:val="0"/>
                  <w:vAlign w:val="center"/>
                </w:tcPr>
                <w:p w14:paraId="44CD583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等效黏土防渗层Mb≥6.0m，K≤1×10</w:t>
                  </w:r>
                  <w:r>
                    <w:rPr>
                      <w:rFonts w:hint="default" w:ascii="Times New Roman" w:hAnsi="Times New Roman" w:cs="Times New Roman"/>
                      <w:color w:val="auto"/>
                      <w:vertAlign w:val="superscript"/>
                      <w:lang w:val="en-US" w:eastAsia="zh-CN"/>
                    </w:rPr>
                    <w:t>-7</w:t>
                  </w:r>
                  <w:r>
                    <w:rPr>
                      <w:rFonts w:hint="default" w:ascii="Times New Roman" w:hAnsi="Times New Roman" w:cs="Times New Roman"/>
                      <w:color w:val="auto"/>
                      <w:lang w:val="en-US" w:eastAsia="zh-CN"/>
                    </w:rPr>
                    <w:t>cm/s，或参照GB18598执行</w:t>
                  </w:r>
                </w:p>
              </w:tc>
            </w:tr>
            <w:tr w14:paraId="39C50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1174" w:type="dxa"/>
                  <w:tcBorders>
                    <w:tl2br w:val="nil"/>
                    <w:tr2bl w:val="nil"/>
                  </w:tcBorders>
                  <w:noWrap w:val="0"/>
                  <w:vAlign w:val="center"/>
                </w:tcPr>
                <w:p w14:paraId="4EC04C5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w:t>
                  </w:r>
                </w:p>
              </w:tc>
              <w:tc>
                <w:tcPr>
                  <w:tcW w:w="1613" w:type="dxa"/>
                  <w:tcBorders>
                    <w:tl2br w:val="nil"/>
                    <w:tr2bl w:val="nil"/>
                  </w:tcBorders>
                  <w:noWrap w:val="0"/>
                  <w:vAlign w:val="center"/>
                </w:tcPr>
                <w:p w14:paraId="55F9DB3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一般防渗区</w:t>
                  </w:r>
                </w:p>
              </w:tc>
              <w:tc>
                <w:tcPr>
                  <w:tcW w:w="2673" w:type="dxa"/>
                  <w:tcBorders>
                    <w:tl2br w:val="nil"/>
                    <w:tr2bl w:val="nil"/>
                  </w:tcBorders>
                  <w:noWrap w:val="0"/>
                  <w:vAlign w:val="center"/>
                </w:tcPr>
                <w:p w14:paraId="5B41A72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一般固废暂存间</w:t>
                  </w:r>
                  <w:r>
                    <w:rPr>
                      <w:rFonts w:hint="eastAsia" w:cs="Times New Roman"/>
                      <w:color w:val="auto"/>
                      <w:lang w:val="en-US" w:eastAsia="zh-CN"/>
                    </w:rPr>
                    <w:t>、初期雨水收集池</w:t>
                  </w:r>
                </w:p>
              </w:tc>
              <w:tc>
                <w:tcPr>
                  <w:tcW w:w="2278" w:type="dxa"/>
                  <w:tcBorders>
                    <w:tl2br w:val="nil"/>
                    <w:tr2bl w:val="nil"/>
                  </w:tcBorders>
                  <w:noWrap w:val="0"/>
                  <w:vAlign w:val="center"/>
                </w:tcPr>
                <w:p w14:paraId="5804904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等效黏土防渗层Mb≥1.5m，K≤1×10</w:t>
                  </w:r>
                  <w:r>
                    <w:rPr>
                      <w:rFonts w:hint="default" w:ascii="Times New Roman" w:hAnsi="Times New Roman" w:cs="Times New Roman"/>
                      <w:color w:val="auto"/>
                      <w:vertAlign w:val="superscript"/>
                      <w:lang w:val="en-US" w:eastAsia="zh-CN"/>
                    </w:rPr>
                    <w:t>-7</w:t>
                  </w:r>
                  <w:r>
                    <w:rPr>
                      <w:rFonts w:hint="default" w:ascii="Times New Roman" w:hAnsi="Times New Roman" w:cs="Times New Roman"/>
                      <w:color w:val="auto"/>
                      <w:lang w:val="en-US" w:eastAsia="zh-CN"/>
                    </w:rPr>
                    <w:t>cm/s，或参照GB16889执行</w:t>
                  </w:r>
                </w:p>
              </w:tc>
            </w:tr>
            <w:tr w14:paraId="0330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174" w:type="dxa"/>
                  <w:tcBorders>
                    <w:tl2br w:val="nil"/>
                    <w:tr2bl w:val="nil"/>
                  </w:tcBorders>
                  <w:noWrap w:val="0"/>
                  <w:vAlign w:val="center"/>
                </w:tcPr>
                <w:p w14:paraId="088AC8D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w:t>
                  </w:r>
                </w:p>
              </w:tc>
              <w:tc>
                <w:tcPr>
                  <w:tcW w:w="1613" w:type="dxa"/>
                  <w:tcBorders>
                    <w:tl2br w:val="nil"/>
                    <w:tr2bl w:val="nil"/>
                  </w:tcBorders>
                  <w:noWrap w:val="0"/>
                  <w:vAlign w:val="center"/>
                </w:tcPr>
                <w:p w14:paraId="6D4C950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简单防渗区</w:t>
                  </w:r>
                </w:p>
              </w:tc>
              <w:tc>
                <w:tcPr>
                  <w:tcW w:w="2673" w:type="dxa"/>
                  <w:tcBorders>
                    <w:tl2br w:val="nil"/>
                    <w:tr2bl w:val="nil"/>
                  </w:tcBorders>
                  <w:noWrap w:val="0"/>
                  <w:vAlign w:val="center"/>
                </w:tcPr>
                <w:p w14:paraId="19A7EA3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rPr>
                  </w:pPr>
                  <w:r>
                    <w:rPr>
                      <w:rFonts w:hint="default" w:ascii="Times New Roman" w:hAnsi="Times New Roman" w:cs="Times New Roman"/>
                      <w:color w:val="auto"/>
                      <w:lang w:eastAsia="zh-CN"/>
                    </w:rPr>
                    <w:t>室外地面、</w:t>
                  </w:r>
                  <w:r>
                    <w:rPr>
                      <w:rFonts w:hint="default" w:ascii="Times New Roman" w:hAnsi="Times New Roman" w:cs="Times New Roman"/>
                      <w:color w:val="auto"/>
                      <w:lang w:val="en-US" w:eastAsia="zh-CN"/>
                    </w:rPr>
                    <w:t>生产车间</w:t>
                  </w:r>
                </w:p>
              </w:tc>
              <w:tc>
                <w:tcPr>
                  <w:tcW w:w="2278" w:type="dxa"/>
                  <w:tcBorders>
                    <w:tl2br w:val="nil"/>
                    <w:tr2bl w:val="nil"/>
                  </w:tcBorders>
                  <w:noWrap w:val="0"/>
                  <w:vAlign w:val="top"/>
                </w:tcPr>
                <w:p w14:paraId="2DF65BA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eastAsia="zh-CN"/>
                    </w:rPr>
                    <w:t>一般地面硬化</w:t>
                  </w:r>
                </w:p>
              </w:tc>
            </w:tr>
            <w:bookmarkEnd w:id="33"/>
            <w:bookmarkEnd w:id="34"/>
          </w:tbl>
          <w:p w14:paraId="1E551140">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6</w:t>
            </w:r>
            <w:r>
              <w:rPr>
                <w:rFonts w:hint="default" w:ascii="Times New Roman" w:hAnsi="Times New Roman" w:cs="Times New Roman"/>
                <w:color w:val="auto"/>
              </w:rPr>
              <w:t>.环境风险</w:t>
            </w:r>
          </w:p>
          <w:p w14:paraId="65C189B1">
            <w:pPr>
              <w:pStyle w:val="6"/>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环境风险评价的目的</w:t>
            </w:r>
          </w:p>
          <w:p w14:paraId="6E97F561">
            <w:pPr>
              <w:keepNext w:val="0"/>
              <w:keepLines w:val="0"/>
              <w:suppressLineNumbers w:val="0"/>
              <w:spacing w:before="0" w:beforeAutospacing="0" w:after="0" w:afterAutospacing="0"/>
              <w:ind w:left="0" w:right="0" w:firstLine="518"/>
              <w:textAlignment w:val="auto"/>
              <w:rPr>
                <w:rFonts w:hint="default" w:ascii="Times New Roman" w:hAnsi="Times New Roman" w:cs="Times New Roman"/>
                <w:color w:val="auto"/>
              </w:rPr>
            </w:pPr>
            <w:r>
              <w:rPr>
                <w:rFonts w:hint="default" w:ascii="Times New Roman" w:hAnsi="Times New Roman" w:cs="Times New Roman"/>
                <w:color w:val="auto"/>
              </w:rPr>
              <w:t>环境风险分析的目的是分析和预测建设项目潜在</w:t>
            </w:r>
            <w:r>
              <w:rPr>
                <w:rFonts w:hint="default" w:ascii="Times New Roman" w:hAnsi="Times New Roman" w:cs="Times New Roman"/>
                <w:color w:val="auto"/>
                <w:lang w:eastAsia="zh-CN"/>
              </w:rPr>
              <w:t>环境风险</w:t>
            </w:r>
            <w:r>
              <w:rPr>
                <w:rFonts w:hint="default" w:ascii="Times New Roman" w:hAnsi="Times New Roman" w:cs="Times New Roman"/>
                <w:color w:val="auto"/>
              </w:rPr>
              <w:t>、有害因素，建设项目建设和运行期间可能发生的突发事件或事故，引起有毒有害易燃易爆等物质泄漏，所造成的人身安全与环境影响和损害程度，提出合理可行的防范、应急与减缓措施，以使事故率、损失和环境影响达到可接受水平。</w:t>
            </w:r>
          </w:p>
          <w:p w14:paraId="7C9ED72F">
            <w:pPr>
              <w:pStyle w:val="6"/>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环境风险识别</w:t>
            </w:r>
          </w:p>
          <w:p w14:paraId="2B7A9E59">
            <w:pPr>
              <w:keepNext w:val="0"/>
              <w:keepLines w:val="0"/>
              <w:suppressLineNumbers w:val="0"/>
              <w:spacing w:before="0" w:beforeAutospacing="0" w:after="0" w:afterAutospacing="0"/>
              <w:ind w:left="0" w:right="0" w:firstLine="518"/>
              <w:rPr>
                <w:rFonts w:hint="default" w:ascii="Times New Roman" w:hAnsi="Times New Roman" w:cs="Times New Roman"/>
                <w:color w:val="auto"/>
              </w:rPr>
            </w:pPr>
            <w:r>
              <w:rPr>
                <w:rFonts w:hint="default" w:ascii="Times New Roman" w:hAnsi="Times New Roman" w:cs="Times New Roman"/>
                <w:color w:val="auto"/>
              </w:rPr>
              <w:t>根据《建设项目环境风险评价技术导则》（HJ169-2018）第7.2.2条规定，按工艺流程和平面布置功能区划，结合物质危险性识别，给出危险单元划分结果及单元内危险物质的最大存在量，按生产工艺流程分析危险单元内潜在的风险源。按附录B识别出危险物质，明确危险物质的分布。</w:t>
            </w:r>
          </w:p>
          <w:p w14:paraId="57AC290B">
            <w:pPr>
              <w:keepNext w:val="0"/>
              <w:keepLines w:val="0"/>
              <w:suppressLineNumbers w:val="0"/>
              <w:spacing w:before="0" w:beforeAutospacing="0" w:after="0" w:afterAutospacing="0"/>
              <w:ind w:left="0" w:right="0" w:firstLine="518"/>
              <w:rPr>
                <w:rFonts w:hint="default" w:ascii="Times New Roman" w:hAnsi="Times New Roman" w:cs="Times New Roman"/>
                <w:b/>
                <w:bCs/>
                <w:color w:val="auto"/>
              </w:rPr>
            </w:pPr>
            <w:r>
              <w:rPr>
                <w:rFonts w:hint="default" w:ascii="Times New Roman" w:hAnsi="Times New Roman" w:cs="Times New Roman"/>
                <w:color w:val="auto"/>
              </w:rPr>
              <w:t>根据导则附录B重点关注的危险物质及临界量，本项目运行过程中涉及</w:t>
            </w:r>
            <w:r>
              <w:rPr>
                <w:rFonts w:hint="default" w:ascii="Times New Roman" w:hAnsi="Times New Roman" w:cs="Times New Roman"/>
                <w:color w:val="auto"/>
                <w:lang w:eastAsia="zh-CN"/>
              </w:rPr>
              <w:t>危险物质为</w:t>
            </w:r>
            <w:r>
              <w:rPr>
                <w:rFonts w:hint="default" w:ascii="Times New Roman" w:hAnsi="Times New Roman" w:cs="Times New Roman"/>
                <w:color w:val="auto"/>
                <w:lang w:val="en-US" w:eastAsia="zh-CN"/>
              </w:rPr>
              <w:t>乙醇</w:t>
            </w:r>
            <w:r>
              <w:rPr>
                <w:rFonts w:hint="default" w:ascii="Times New Roman" w:hAnsi="Times New Roman" w:cs="Times New Roman"/>
                <w:color w:val="auto"/>
              </w:rPr>
              <w:t>，危险物质数量及主要分布情况具体见下表。</w:t>
            </w:r>
          </w:p>
          <w:p w14:paraId="2487D409">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项目全厂主要危险物质存量及储运方式</w:t>
            </w:r>
          </w:p>
          <w:tbl>
            <w:tblPr>
              <w:tblStyle w:val="29"/>
              <w:tblW w:w="78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3"/>
              <w:gridCol w:w="2293"/>
              <w:gridCol w:w="1037"/>
              <w:gridCol w:w="1037"/>
              <w:gridCol w:w="829"/>
              <w:gridCol w:w="1401"/>
              <w:gridCol w:w="879"/>
            </w:tblGrid>
            <w:tr w14:paraId="6E865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6" w:type="pct"/>
                  <w:tcBorders>
                    <w:tl2br w:val="nil"/>
                    <w:tr2bl w:val="nil"/>
                  </w:tcBorders>
                  <w:noWrap w:val="0"/>
                  <w:vAlign w:val="center"/>
                </w:tcPr>
                <w:p w14:paraId="1C0F521B">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序号</w:t>
                  </w:r>
                </w:p>
              </w:tc>
              <w:tc>
                <w:tcPr>
                  <w:tcW w:w="1455" w:type="pct"/>
                  <w:tcBorders>
                    <w:tl2br w:val="nil"/>
                    <w:tr2bl w:val="nil"/>
                  </w:tcBorders>
                  <w:noWrap w:val="0"/>
                  <w:vAlign w:val="center"/>
                </w:tcPr>
                <w:p w14:paraId="07F0F0A5">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危险物质名称</w:t>
                  </w:r>
                </w:p>
              </w:tc>
              <w:tc>
                <w:tcPr>
                  <w:tcW w:w="658" w:type="pct"/>
                  <w:tcBorders>
                    <w:tl2br w:val="nil"/>
                    <w:tr2bl w:val="nil"/>
                  </w:tcBorders>
                  <w:noWrap w:val="0"/>
                  <w:vAlign w:val="center"/>
                </w:tcPr>
                <w:p w14:paraId="6EAABBC2">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CAS号</w:t>
                  </w:r>
                </w:p>
              </w:tc>
              <w:tc>
                <w:tcPr>
                  <w:tcW w:w="658" w:type="pct"/>
                  <w:tcBorders>
                    <w:tl2br w:val="nil"/>
                    <w:tr2bl w:val="nil"/>
                  </w:tcBorders>
                  <w:noWrap w:val="0"/>
                  <w:vAlign w:val="center"/>
                </w:tcPr>
                <w:p w14:paraId="638E9A47">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eastAsia="zh-CN"/>
                    </w:rPr>
                    <w:t>最大储存量</w:t>
                  </w:r>
                  <w:r>
                    <w:rPr>
                      <w:rFonts w:hint="default" w:ascii="Times New Roman" w:hAnsi="Times New Roman" w:cs="Times New Roman"/>
                      <w:color w:val="auto"/>
                      <w:lang w:val="en-US" w:eastAsia="zh-CN"/>
                    </w:rPr>
                    <w:t>t</w:t>
                  </w:r>
                </w:p>
              </w:tc>
              <w:tc>
                <w:tcPr>
                  <w:tcW w:w="526" w:type="pct"/>
                  <w:tcBorders>
                    <w:tl2br w:val="nil"/>
                    <w:tr2bl w:val="nil"/>
                  </w:tcBorders>
                  <w:noWrap w:val="0"/>
                  <w:vAlign w:val="center"/>
                </w:tcPr>
                <w:p w14:paraId="76341C36">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储存方式</w:t>
                  </w:r>
                </w:p>
              </w:tc>
              <w:tc>
                <w:tcPr>
                  <w:tcW w:w="889" w:type="pct"/>
                  <w:tcBorders>
                    <w:tl2br w:val="nil"/>
                    <w:tr2bl w:val="nil"/>
                  </w:tcBorders>
                  <w:noWrap w:val="0"/>
                  <w:vAlign w:val="center"/>
                </w:tcPr>
                <w:p w14:paraId="70074D56">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储存场所</w:t>
                  </w:r>
                </w:p>
              </w:tc>
              <w:tc>
                <w:tcPr>
                  <w:tcW w:w="557" w:type="pct"/>
                  <w:tcBorders>
                    <w:tl2br w:val="nil"/>
                    <w:tr2bl w:val="nil"/>
                  </w:tcBorders>
                  <w:noWrap w:val="0"/>
                  <w:vAlign w:val="center"/>
                </w:tcPr>
                <w:p w14:paraId="1FD7BCBF">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运输方式</w:t>
                  </w:r>
                </w:p>
              </w:tc>
            </w:tr>
            <w:tr w14:paraId="4AD11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 w:hRule="atLeast"/>
                <w:jc w:val="center"/>
              </w:trPr>
              <w:tc>
                <w:tcPr>
                  <w:tcW w:w="256" w:type="pct"/>
                  <w:vMerge w:val="restart"/>
                  <w:tcBorders>
                    <w:tl2br w:val="nil"/>
                    <w:tr2bl w:val="nil"/>
                  </w:tcBorders>
                  <w:noWrap w:val="0"/>
                  <w:vAlign w:val="center"/>
                </w:tcPr>
                <w:p w14:paraId="069C2A0D">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455" w:type="pct"/>
                  <w:vMerge w:val="restart"/>
                  <w:tcBorders>
                    <w:tl2br w:val="nil"/>
                    <w:tr2bl w:val="nil"/>
                  </w:tcBorders>
                  <w:noWrap w:val="0"/>
                  <w:vAlign w:val="center"/>
                </w:tcPr>
                <w:p w14:paraId="3513660D">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乙醇</w:t>
                  </w:r>
                </w:p>
              </w:tc>
              <w:tc>
                <w:tcPr>
                  <w:tcW w:w="658" w:type="pct"/>
                  <w:vMerge w:val="restart"/>
                  <w:tcBorders>
                    <w:tl2br w:val="nil"/>
                    <w:tr2bl w:val="nil"/>
                  </w:tcBorders>
                  <w:noWrap w:val="0"/>
                  <w:vAlign w:val="center"/>
                </w:tcPr>
                <w:p w14:paraId="423AB14A">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rPr>
                    <w:t>64-17-5</w:t>
                  </w:r>
                </w:p>
              </w:tc>
              <w:tc>
                <w:tcPr>
                  <w:tcW w:w="658" w:type="pct"/>
                  <w:tcBorders>
                    <w:tl2br w:val="nil"/>
                    <w:tr2bl w:val="nil"/>
                  </w:tcBorders>
                  <w:noWrap w:val="0"/>
                  <w:vAlign w:val="center"/>
                </w:tcPr>
                <w:p w14:paraId="145C1D6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40*</w:t>
                  </w:r>
                </w:p>
              </w:tc>
              <w:tc>
                <w:tcPr>
                  <w:tcW w:w="526" w:type="pct"/>
                  <w:vMerge w:val="restart"/>
                  <w:tcBorders>
                    <w:tl2br w:val="nil"/>
                    <w:tr2bl w:val="nil"/>
                  </w:tcBorders>
                  <w:noWrap w:val="0"/>
                  <w:vAlign w:val="center"/>
                </w:tcPr>
                <w:p w14:paraId="5CCEF47F">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罐装</w:t>
                  </w:r>
                </w:p>
              </w:tc>
              <w:tc>
                <w:tcPr>
                  <w:tcW w:w="889" w:type="pct"/>
                  <w:vMerge w:val="restart"/>
                  <w:tcBorders>
                    <w:tl2br w:val="nil"/>
                    <w:tr2bl w:val="nil"/>
                  </w:tcBorders>
                  <w:noWrap w:val="0"/>
                  <w:vAlign w:val="center"/>
                </w:tcPr>
                <w:p w14:paraId="679CE8DE">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食用蛋白粉车间</w:t>
                  </w:r>
                </w:p>
              </w:tc>
              <w:tc>
                <w:tcPr>
                  <w:tcW w:w="557" w:type="pct"/>
                  <w:vMerge w:val="restart"/>
                  <w:tcBorders>
                    <w:tl2br w:val="nil"/>
                    <w:tr2bl w:val="nil"/>
                  </w:tcBorders>
                  <w:noWrap w:val="0"/>
                  <w:vAlign w:val="center"/>
                </w:tcPr>
                <w:p w14:paraId="07E1B29C">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汽车运入</w:t>
                  </w:r>
                </w:p>
              </w:tc>
            </w:tr>
            <w:tr w14:paraId="1711E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5" w:hRule="atLeast"/>
                <w:jc w:val="center"/>
              </w:trPr>
              <w:tc>
                <w:tcPr>
                  <w:tcW w:w="256" w:type="pct"/>
                  <w:vMerge w:val="continue"/>
                  <w:tcBorders>
                    <w:tl2br w:val="nil"/>
                    <w:tr2bl w:val="nil"/>
                  </w:tcBorders>
                  <w:noWrap w:val="0"/>
                  <w:vAlign w:val="center"/>
                </w:tcPr>
                <w:p w14:paraId="3DC96094">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p>
              </w:tc>
              <w:tc>
                <w:tcPr>
                  <w:tcW w:w="1455" w:type="pct"/>
                  <w:vMerge w:val="continue"/>
                  <w:tcBorders>
                    <w:tl2br w:val="nil"/>
                    <w:tr2bl w:val="nil"/>
                  </w:tcBorders>
                  <w:noWrap w:val="0"/>
                  <w:vAlign w:val="center"/>
                </w:tcPr>
                <w:p w14:paraId="69123401">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p>
              </w:tc>
              <w:tc>
                <w:tcPr>
                  <w:tcW w:w="658" w:type="pct"/>
                  <w:vMerge w:val="continue"/>
                  <w:tcBorders>
                    <w:tl2br w:val="nil"/>
                    <w:tr2bl w:val="nil"/>
                  </w:tcBorders>
                  <w:noWrap w:val="0"/>
                  <w:vAlign w:val="center"/>
                </w:tcPr>
                <w:p w14:paraId="6344A761">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658" w:type="pct"/>
                  <w:tcBorders>
                    <w:tl2br w:val="nil"/>
                    <w:tr2bl w:val="nil"/>
                  </w:tcBorders>
                  <w:noWrap w:val="0"/>
                  <w:vAlign w:val="center"/>
                </w:tcPr>
                <w:p w14:paraId="72239B9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20.274*</w:t>
                  </w:r>
                </w:p>
              </w:tc>
              <w:tc>
                <w:tcPr>
                  <w:tcW w:w="526" w:type="pct"/>
                  <w:vMerge w:val="continue"/>
                  <w:tcBorders>
                    <w:tl2br w:val="nil"/>
                    <w:tr2bl w:val="nil"/>
                  </w:tcBorders>
                  <w:noWrap w:val="0"/>
                  <w:vAlign w:val="center"/>
                </w:tcPr>
                <w:p w14:paraId="5DDB0DE3">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889" w:type="pct"/>
                  <w:vMerge w:val="continue"/>
                  <w:tcBorders>
                    <w:tl2br w:val="nil"/>
                    <w:tr2bl w:val="nil"/>
                  </w:tcBorders>
                  <w:noWrap w:val="0"/>
                  <w:vAlign w:val="center"/>
                </w:tcPr>
                <w:p w14:paraId="6BCA7230">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57" w:type="pct"/>
                  <w:vMerge w:val="continue"/>
                  <w:tcBorders>
                    <w:tl2br w:val="nil"/>
                    <w:tr2bl w:val="nil"/>
                  </w:tcBorders>
                  <w:noWrap w:val="0"/>
                  <w:vAlign w:val="center"/>
                </w:tcPr>
                <w:p w14:paraId="77873646">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p>
              </w:tc>
            </w:tr>
            <w:tr w14:paraId="0A8A8E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jc w:val="center"/>
              </w:trPr>
              <w:tc>
                <w:tcPr>
                  <w:tcW w:w="256" w:type="pct"/>
                  <w:vMerge w:val="continue"/>
                  <w:tcBorders>
                    <w:tl2br w:val="nil"/>
                    <w:tr2bl w:val="nil"/>
                  </w:tcBorders>
                  <w:noWrap w:val="0"/>
                  <w:vAlign w:val="center"/>
                </w:tcPr>
                <w:p w14:paraId="1953C62F">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1455" w:type="pct"/>
                  <w:vMerge w:val="continue"/>
                  <w:tcBorders>
                    <w:tl2br w:val="nil"/>
                    <w:tr2bl w:val="nil"/>
                  </w:tcBorders>
                  <w:noWrap w:val="0"/>
                  <w:vAlign w:val="center"/>
                </w:tcPr>
                <w:p w14:paraId="30E136F0">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658" w:type="pct"/>
                  <w:vMerge w:val="continue"/>
                  <w:tcBorders>
                    <w:tl2br w:val="nil"/>
                    <w:tr2bl w:val="nil"/>
                  </w:tcBorders>
                  <w:noWrap w:val="0"/>
                  <w:vAlign w:val="center"/>
                </w:tcPr>
                <w:p w14:paraId="7F0B13CA">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658" w:type="pct"/>
                  <w:tcBorders>
                    <w:tl2br w:val="nil"/>
                    <w:tr2bl w:val="nil"/>
                  </w:tcBorders>
                  <w:noWrap w:val="0"/>
                  <w:vAlign w:val="center"/>
                </w:tcPr>
                <w:p w14:paraId="2872E81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14.634*</w:t>
                  </w:r>
                </w:p>
              </w:tc>
              <w:tc>
                <w:tcPr>
                  <w:tcW w:w="526" w:type="pct"/>
                  <w:vMerge w:val="continue"/>
                  <w:tcBorders>
                    <w:tl2br w:val="nil"/>
                    <w:tr2bl w:val="nil"/>
                  </w:tcBorders>
                  <w:noWrap w:val="0"/>
                  <w:vAlign w:val="center"/>
                </w:tcPr>
                <w:p w14:paraId="2741C44E">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889" w:type="pct"/>
                  <w:vMerge w:val="continue"/>
                  <w:tcBorders>
                    <w:tl2br w:val="nil"/>
                    <w:tr2bl w:val="nil"/>
                  </w:tcBorders>
                  <w:noWrap w:val="0"/>
                  <w:vAlign w:val="center"/>
                </w:tcPr>
                <w:p w14:paraId="3D32CF25">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557" w:type="pct"/>
                  <w:vMerge w:val="continue"/>
                  <w:tcBorders>
                    <w:tl2br w:val="nil"/>
                    <w:tr2bl w:val="nil"/>
                  </w:tcBorders>
                  <w:noWrap w:val="0"/>
                  <w:vAlign w:val="center"/>
                </w:tcPr>
                <w:p w14:paraId="22FC0C6D">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r>
            <w:tr w14:paraId="3B7B95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jc w:val="center"/>
              </w:trPr>
              <w:tc>
                <w:tcPr>
                  <w:tcW w:w="256" w:type="pct"/>
                  <w:vMerge w:val="continue"/>
                  <w:tcBorders>
                    <w:tl2br w:val="nil"/>
                    <w:tr2bl w:val="nil"/>
                  </w:tcBorders>
                  <w:noWrap w:val="0"/>
                  <w:vAlign w:val="center"/>
                </w:tcPr>
                <w:p w14:paraId="56772486">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2113" w:type="pct"/>
                  <w:gridSpan w:val="2"/>
                  <w:tcBorders>
                    <w:tl2br w:val="nil"/>
                    <w:tr2bl w:val="nil"/>
                  </w:tcBorders>
                  <w:noWrap w:val="0"/>
                  <w:vAlign w:val="center"/>
                </w:tcPr>
                <w:p w14:paraId="20499D75">
                  <w:pPr>
                    <w:pStyle w:val="135"/>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合计</w:t>
                  </w:r>
                </w:p>
              </w:tc>
              <w:tc>
                <w:tcPr>
                  <w:tcW w:w="658" w:type="pct"/>
                  <w:tcBorders>
                    <w:tl2br w:val="nil"/>
                    <w:tr2bl w:val="nil"/>
                  </w:tcBorders>
                  <w:noWrap w:val="0"/>
                  <w:vAlign w:val="center"/>
                </w:tcPr>
                <w:p w14:paraId="50A644D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sz w:val="21"/>
                      <w:szCs w:val="21"/>
                      <w:lang w:val="en-US" w:eastAsia="zh-CN"/>
                    </w:rPr>
                    <w:t>74.908</w:t>
                  </w:r>
                </w:p>
              </w:tc>
              <w:tc>
                <w:tcPr>
                  <w:tcW w:w="526" w:type="pct"/>
                  <w:vMerge w:val="continue"/>
                  <w:tcBorders>
                    <w:tl2br w:val="nil"/>
                    <w:tr2bl w:val="nil"/>
                  </w:tcBorders>
                  <w:noWrap w:val="0"/>
                  <w:vAlign w:val="center"/>
                </w:tcPr>
                <w:p w14:paraId="2459B13C">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889" w:type="pct"/>
                  <w:vMerge w:val="continue"/>
                  <w:tcBorders>
                    <w:tl2br w:val="nil"/>
                    <w:tr2bl w:val="nil"/>
                  </w:tcBorders>
                  <w:noWrap w:val="0"/>
                  <w:vAlign w:val="center"/>
                </w:tcPr>
                <w:p w14:paraId="5634BB01">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c>
                <w:tcPr>
                  <w:tcW w:w="557" w:type="pct"/>
                  <w:vMerge w:val="continue"/>
                  <w:tcBorders>
                    <w:tl2br w:val="nil"/>
                    <w:tr2bl w:val="nil"/>
                  </w:tcBorders>
                  <w:noWrap w:val="0"/>
                  <w:vAlign w:val="center"/>
                </w:tcPr>
                <w:p w14:paraId="5DFD78F5">
                  <w:pPr>
                    <w:pStyle w:val="135"/>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p>
              </w:tc>
            </w:tr>
            <w:tr w14:paraId="06D19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000" w:type="pct"/>
                  <w:gridSpan w:val="7"/>
                  <w:tcBorders>
                    <w:tl2br w:val="nil"/>
                    <w:tr2bl w:val="nil"/>
                  </w:tcBorders>
                  <w:noWrap w:val="0"/>
                  <w:vAlign w:val="center"/>
                </w:tcPr>
                <w:p w14:paraId="37F15409">
                  <w:pPr>
                    <w:pStyle w:val="61"/>
                    <w:keepNext w:val="0"/>
                    <w:keepLines w:val="0"/>
                    <w:suppressLineNumbers w:val="0"/>
                    <w:bidi w:val="0"/>
                    <w:spacing w:before="0" w:beforeAutospacing="0" w:after="0" w:afterAutospacing="0"/>
                    <w:ind w:left="0" w:right="0"/>
                    <w:jc w:val="lef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*注：</w:t>
                  </w:r>
                  <w:r>
                    <w:rPr>
                      <w:rFonts w:hint="default" w:ascii="Times New Roman" w:hAnsi="Times New Roman" w:eastAsia="宋体" w:cs="Times New Roman"/>
                      <w:color w:val="auto"/>
                      <w:lang w:val="en-US" w:eastAsia="zh-CN"/>
                    </w:rPr>
                    <w:t>废液的产生量中乙醇的含量为</w:t>
                  </w:r>
                  <w:r>
                    <w:rPr>
                      <w:rFonts w:hint="default" w:ascii="Times New Roman" w:hAnsi="Times New Roman" w:cs="Times New Roman"/>
                      <w:color w:val="auto"/>
                      <w:lang w:val="en-US" w:eastAsia="zh-CN"/>
                    </w:rPr>
                    <w:t>58.534</w:t>
                  </w:r>
                  <w:r>
                    <w:rPr>
                      <w:rFonts w:hint="default" w:ascii="Times New Roman" w:hAnsi="Times New Roman" w:eastAsia="宋体" w:cs="Times New Roman"/>
                      <w:color w:val="auto"/>
                      <w:lang w:val="en-US" w:eastAsia="zh-CN"/>
                    </w:rPr>
                    <w:t>t/a，危险废物间</w:t>
                  </w:r>
                  <w:r>
                    <w:rPr>
                      <w:rFonts w:hint="default" w:ascii="Times New Roman" w:hAnsi="Times New Roman" w:cs="Times New Roman"/>
                      <w:color w:val="auto"/>
                      <w:lang w:val="en-US" w:eastAsia="zh-CN"/>
                    </w:rPr>
                    <w:t>每月</w:t>
                  </w:r>
                  <w:r>
                    <w:rPr>
                      <w:rFonts w:hint="default" w:ascii="Times New Roman" w:hAnsi="Times New Roman" w:eastAsia="宋体" w:cs="Times New Roman"/>
                      <w:color w:val="auto"/>
                      <w:lang w:val="en-US" w:eastAsia="zh-CN"/>
                    </w:rPr>
                    <w:t>清理一次，其最大储存量为</w:t>
                  </w:r>
                  <w:r>
                    <w:rPr>
                      <w:rFonts w:hint="default" w:ascii="Times New Roman" w:hAnsi="Times New Roman" w:cs="Times New Roman"/>
                      <w:color w:val="auto"/>
                      <w:lang w:val="en-US" w:eastAsia="zh-CN"/>
                    </w:rPr>
                    <w:t>14.634</w:t>
                  </w:r>
                  <w:r>
                    <w:rPr>
                      <w:rFonts w:hint="default" w:ascii="Times New Roman" w:hAnsi="Times New Roman" w:eastAsia="宋体" w:cs="Times New Roman"/>
                      <w:color w:val="auto"/>
                      <w:lang w:val="en-US" w:eastAsia="zh-CN"/>
                    </w:rPr>
                    <w:t>吨，</w:t>
                  </w:r>
                  <w:r>
                    <w:rPr>
                      <w:rFonts w:hint="default" w:ascii="Times New Roman" w:hAnsi="Times New Roman" w:cs="Times New Roman"/>
                      <w:color w:val="auto"/>
                      <w:lang w:val="en-US" w:eastAsia="zh-CN"/>
                    </w:rPr>
                    <w:t>储罐中乙醇储存量为40</w:t>
                  </w:r>
                  <w:r>
                    <w:rPr>
                      <w:rFonts w:hint="default" w:ascii="Times New Roman" w:hAnsi="Times New Roman" w:eastAsia="宋体" w:cs="Times New Roman"/>
                      <w:color w:val="auto"/>
                      <w:lang w:val="en-US" w:eastAsia="zh-CN"/>
                    </w:rPr>
                    <w:t>吨</w:t>
                  </w:r>
                  <w:r>
                    <w:rPr>
                      <w:rFonts w:hint="default" w:ascii="Times New Roman" w:hAnsi="Times New Roman" w:cs="Times New Roman"/>
                      <w:color w:val="auto"/>
                      <w:lang w:val="en-US" w:eastAsia="zh-CN"/>
                    </w:rPr>
                    <w:t>，生产过程中乙醇用量为20.274</w:t>
                  </w:r>
                  <w:r>
                    <w:rPr>
                      <w:rFonts w:hint="default" w:ascii="Times New Roman" w:hAnsi="Times New Roman" w:eastAsia="宋体" w:cs="Times New Roman"/>
                      <w:color w:val="auto"/>
                      <w:lang w:val="en-US" w:eastAsia="zh-CN"/>
                    </w:rPr>
                    <w:t>吨</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乙醇临界量参照《危险化学品重大危险源辨识》（GB 18218-2018）</w:t>
                  </w:r>
                </w:p>
              </w:tc>
            </w:tr>
          </w:tbl>
          <w:p w14:paraId="1E85F373">
            <w:pPr>
              <w:pStyle w:val="6"/>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w:t>
            </w:r>
            <w:r>
              <w:rPr>
                <w:rFonts w:hint="default" w:ascii="Times New Roman" w:hAnsi="Times New Roman" w:cs="Times New Roman"/>
                <w:color w:val="auto"/>
                <w:lang w:eastAsia="zh-CN"/>
              </w:rPr>
              <w:t>敏感</w:t>
            </w:r>
            <w:r>
              <w:rPr>
                <w:rFonts w:hint="default" w:ascii="Times New Roman" w:hAnsi="Times New Roman" w:cs="Times New Roman"/>
                <w:color w:val="auto"/>
              </w:rPr>
              <w:t>目标概况</w:t>
            </w:r>
          </w:p>
          <w:p w14:paraId="2F44873F">
            <w:pPr>
              <w:keepNext w:val="0"/>
              <w:keepLines w:val="0"/>
              <w:suppressLineNumbers w:val="0"/>
              <w:spacing w:before="0" w:beforeAutospacing="0" w:after="0" w:afterAutospacing="0"/>
              <w:ind w:left="0" w:right="0" w:firstLine="518"/>
              <w:rPr>
                <w:rFonts w:hint="default" w:ascii="Times New Roman" w:hAnsi="Times New Roman" w:eastAsia="宋体" w:cs="Times New Roman"/>
                <w:color w:val="auto"/>
              </w:rPr>
            </w:pPr>
            <w:r>
              <w:rPr>
                <w:rFonts w:hint="default" w:ascii="Times New Roman" w:hAnsi="Times New Roman" w:cs="Times New Roman"/>
                <w:color w:val="auto"/>
              </w:rPr>
              <w:t>本项目占地不属于自然保护区、风景名胜区、饮用水源地和其他需要特殊保护的区域。环境风险涉及的环境保护目标详见表</w:t>
            </w:r>
            <w:r>
              <w:rPr>
                <w:rFonts w:hint="default" w:ascii="Times New Roman" w:hAnsi="Times New Roman" w:cs="Times New Roman"/>
                <w:color w:val="auto"/>
                <w:lang w:val="en-US" w:eastAsia="zh-CN"/>
              </w:rPr>
              <w:t>3-4</w:t>
            </w:r>
            <w:r>
              <w:rPr>
                <w:rFonts w:hint="default" w:ascii="Times New Roman" w:hAnsi="Times New Roman" w:cs="Times New Roman"/>
                <w:color w:val="auto"/>
              </w:rPr>
              <w:t>。</w:t>
            </w:r>
          </w:p>
          <w:p w14:paraId="4EB912FB">
            <w:pPr>
              <w:pStyle w:val="6"/>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风险潜势初判</w:t>
            </w:r>
          </w:p>
          <w:p w14:paraId="5DCDD6E1">
            <w:pPr>
              <w:keepNext w:val="0"/>
              <w:keepLines w:val="0"/>
              <w:suppressLineNumbers w:val="0"/>
              <w:spacing w:before="0" w:beforeAutospacing="0" w:after="0" w:afterAutospacing="0"/>
              <w:ind w:left="0" w:right="0" w:firstLine="518"/>
              <w:textAlignment w:val="auto"/>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）危险物质数量与临界量比值（Q）</w:t>
            </w:r>
          </w:p>
          <w:p w14:paraId="1E88D94D">
            <w:pPr>
              <w:keepNext w:val="0"/>
              <w:keepLines w:val="0"/>
              <w:suppressLineNumbers w:val="0"/>
              <w:spacing w:before="0" w:beforeAutospacing="0" w:after="0" w:afterAutospacing="0"/>
              <w:ind w:left="0" w:right="0" w:firstLine="518"/>
              <w:textAlignment w:val="auto"/>
              <w:rPr>
                <w:rFonts w:hint="default" w:ascii="Times New Roman" w:hAnsi="Times New Roman" w:cs="Times New Roman"/>
                <w:color w:val="auto"/>
              </w:rPr>
            </w:pPr>
            <w:r>
              <w:rPr>
                <w:rFonts w:hint="default" w:ascii="Times New Roman" w:hAnsi="Times New Roman" w:cs="Times New Roman"/>
                <w:color w:val="auto"/>
              </w:rPr>
              <w:t>计算所涉及的每种危险物质在厂界内的最大存在总量与其在附录B中对应临界量的比值（Q）。当存在多种危险物质时，则按下式计算物质总量与其临界量比值（Q）：</w:t>
            </w:r>
          </w:p>
          <w:p w14:paraId="31905306">
            <w:pPr>
              <w:keepNext w:val="0"/>
              <w:keepLines w:val="0"/>
              <w:suppressLineNumbers w:val="0"/>
              <w:spacing w:before="0" w:beforeAutospacing="0" w:after="0" w:afterAutospacing="0"/>
              <w:ind w:left="0" w:right="0" w:firstLine="518"/>
              <w:textAlignment w:val="auto"/>
              <w:rPr>
                <w:rFonts w:hint="default" w:ascii="Times New Roman" w:hAnsi="Times New Roman" w:cs="Times New Roman"/>
                <w:color w:val="auto"/>
              </w:rPr>
            </w:pPr>
          </w:p>
          <w:p w14:paraId="5A55315B">
            <w:pPr>
              <w:keepNext w:val="0"/>
              <w:keepLines w:val="0"/>
              <w:suppressLineNumbers w:val="0"/>
              <w:spacing w:before="0" w:beforeAutospacing="0" w:after="0" w:afterAutospacing="0"/>
              <w:ind w:left="0" w:right="0" w:firstLine="518"/>
              <w:jc w:val="center"/>
              <w:textAlignment w:val="auto"/>
              <w:rPr>
                <w:rFonts w:hint="default" w:ascii="Times New Roman" w:hAnsi="Times New Roman" w:cs="Times New Roman"/>
                <w:color w:val="auto"/>
              </w:rPr>
            </w:pPr>
            <w:r>
              <w:rPr>
                <w:rFonts w:hint="default" w:ascii="Times New Roman" w:hAnsi="Times New Roman" w:cs="Times New Roman"/>
                <w:color w:val="auto"/>
              </w:rPr>
              <w:drawing>
                <wp:anchor distT="0" distB="0" distL="114300" distR="114300" simplePos="0" relativeHeight="251668480" behindDoc="0" locked="0" layoutInCell="1" allowOverlap="1">
                  <wp:simplePos x="0" y="0"/>
                  <wp:positionH relativeFrom="column">
                    <wp:posOffset>2092325</wp:posOffset>
                  </wp:positionH>
                  <wp:positionV relativeFrom="paragraph">
                    <wp:posOffset>-157480</wp:posOffset>
                  </wp:positionV>
                  <wp:extent cx="1091565" cy="379095"/>
                  <wp:effectExtent l="0" t="0" r="13335" b="1905"/>
                  <wp:wrapSquare wrapText="bothSides"/>
                  <wp:docPr id="16" name="图片 23" descr="b9d09c7b09274159e0ded4374c7b39b"/>
                  <wp:cNvGraphicFramePr/>
                  <a:graphic xmlns:a="http://schemas.openxmlformats.org/drawingml/2006/main">
                    <a:graphicData uri="http://schemas.openxmlformats.org/drawingml/2006/picture">
                      <pic:pic xmlns:pic="http://schemas.openxmlformats.org/drawingml/2006/picture">
                        <pic:nvPicPr>
                          <pic:cNvPr id="16" name="图片 23" descr="b9d09c7b09274159e0ded4374c7b39b"/>
                          <pic:cNvPicPr/>
                        </pic:nvPicPr>
                        <pic:blipFill>
                          <a:blip r:embed="rId63"/>
                          <a:stretch>
                            <a:fillRect/>
                          </a:stretch>
                        </pic:blipFill>
                        <pic:spPr>
                          <a:xfrm>
                            <a:off x="0" y="0"/>
                            <a:ext cx="1091565" cy="379095"/>
                          </a:xfrm>
                          <a:prstGeom prst="rect">
                            <a:avLst/>
                          </a:prstGeom>
                          <a:noFill/>
                          <a:ln>
                            <a:noFill/>
                          </a:ln>
                        </pic:spPr>
                      </pic:pic>
                    </a:graphicData>
                  </a:graphic>
                </wp:anchor>
              </w:drawing>
            </w:r>
          </w:p>
          <w:p w14:paraId="008E48EF">
            <w:pPr>
              <w:keepNext w:val="0"/>
              <w:keepLines w:val="0"/>
              <w:suppressLineNumbers w:val="0"/>
              <w:spacing w:before="0" w:beforeAutospacing="0" w:after="0" w:afterAutospacing="0"/>
              <w:ind w:left="0" w:right="0" w:firstLine="518"/>
              <w:textAlignment w:val="auto"/>
              <w:rPr>
                <w:rFonts w:hint="default" w:ascii="Times New Roman" w:hAnsi="Times New Roman" w:cs="Times New Roman"/>
                <w:color w:val="auto"/>
              </w:rPr>
            </w:pPr>
            <w:r>
              <w:rPr>
                <w:rFonts w:hint="default" w:ascii="Times New Roman" w:hAnsi="Times New Roman" w:cs="Times New Roman"/>
                <w:color w:val="auto"/>
              </w:rPr>
              <w:t>式中：q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——每种危险物质的最大存在总量，t；</w:t>
            </w:r>
          </w:p>
          <w:p w14:paraId="37244C50">
            <w:pPr>
              <w:keepNext w:val="0"/>
              <w:keepLines w:val="0"/>
              <w:suppressLineNumbers w:val="0"/>
              <w:spacing w:before="0" w:beforeAutospacing="0" w:after="0" w:afterAutospacing="0"/>
              <w:ind w:left="0" w:right="0" w:firstLine="1200" w:firstLineChars="500"/>
              <w:textAlignment w:val="auto"/>
              <w:rPr>
                <w:rFonts w:hint="default" w:ascii="Times New Roman" w:hAnsi="Times New Roman" w:cs="Times New Roman"/>
                <w:color w:val="auto"/>
              </w:rPr>
            </w:pPr>
            <w:r>
              <w:rPr>
                <w:rFonts w:hint="default" w:ascii="Times New Roman" w:hAnsi="Times New Roman" w:cs="Times New Roman"/>
                <w:color w:val="auto"/>
              </w:rPr>
              <w:t>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n</w:t>
            </w:r>
            <w:r>
              <w:rPr>
                <w:rFonts w:hint="default" w:ascii="Times New Roman" w:hAnsi="Times New Roman" w:cs="Times New Roman"/>
                <w:color w:val="auto"/>
              </w:rPr>
              <w:t>——每种危险物质的临界量，t；</w:t>
            </w:r>
          </w:p>
          <w:p w14:paraId="4D79FF28">
            <w:pPr>
              <w:keepNext w:val="0"/>
              <w:keepLines w:val="0"/>
              <w:suppressLineNumbers w:val="0"/>
              <w:spacing w:before="0" w:beforeAutospacing="0" w:after="0" w:afterAutospacing="0"/>
              <w:ind w:left="0" w:right="0" w:firstLine="1200" w:firstLineChars="500"/>
              <w:textAlignment w:val="auto"/>
              <w:rPr>
                <w:rFonts w:hint="default" w:ascii="Times New Roman" w:hAnsi="Times New Roman" w:cs="Times New Roman"/>
                <w:color w:val="auto"/>
              </w:rPr>
            </w:pPr>
            <w:r>
              <w:rPr>
                <w:rFonts w:hint="default" w:ascii="Times New Roman" w:hAnsi="Times New Roman" w:cs="Times New Roman"/>
                <w:color w:val="auto"/>
              </w:rPr>
              <w:t>当Q＜1时，该项目环境风险潜势为Ⅰ；</w:t>
            </w:r>
          </w:p>
          <w:p w14:paraId="18A45594">
            <w:pPr>
              <w:keepNext w:val="0"/>
              <w:keepLines w:val="0"/>
              <w:suppressLineNumbers w:val="0"/>
              <w:spacing w:before="0" w:beforeAutospacing="0" w:after="0" w:afterAutospacing="0"/>
              <w:ind w:left="0" w:right="0" w:firstLine="1200" w:firstLineChars="500"/>
              <w:textAlignment w:val="auto"/>
              <w:rPr>
                <w:rFonts w:hint="default" w:ascii="Times New Roman" w:hAnsi="Times New Roman" w:cs="Times New Roman"/>
                <w:color w:val="auto"/>
              </w:rPr>
            </w:pPr>
            <w:r>
              <w:rPr>
                <w:rFonts w:hint="default" w:ascii="Times New Roman" w:hAnsi="Times New Roman" w:cs="Times New Roman"/>
                <w:color w:val="auto"/>
              </w:rPr>
              <w:t>当Q＞1时，将Q值划分为：1≤Q＜10；10≤Q＜100；Q≥100。</w:t>
            </w:r>
          </w:p>
          <w:p w14:paraId="637F4591">
            <w:pPr>
              <w:keepNext w:val="0"/>
              <w:keepLines w:val="0"/>
              <w:suppressLineNumbers w:val="0"/>
              <w:spacing w:before="0" w:beforeAutospacing="0" w:after="0" w:afterAutospacing="0"/>
              <w:ind w:left="0" w:right="0" w:firstLine="518"/>
              <w:textAlignment w:val="auto"/>
              <w:rPr>
                <w:rFonts w:hint="default" w:ascii="Times New Roman" w:hAnsi="Times New Roman" w:cs="Times New Roman"/>
                <w:color w:val="auto"/>
                <w:szCs w:val="22"/>
              </w:rPr>
            </w:pPr>
            <w:r>
              <w:rPr>
                <w:rFonts w:hint="default" w:ascii="Times New Roman" w:hAnsi="Times New Roman" w:cs="Times New Roman"/>
                <w:color w:val="auto"/>
              </w:rPr>
              <w:t>本项目各危险物质数量与临界量比值（Q）见表</w:t>
            </w:r>
            <w:r>
              <w:rPr>
                <w:rFonts w:hint="default" w:ascii="Times New Roman" w:hAnsi="Times New Roman" w:cs="Times New Roman"/>
                <w:color w:val="auto"/>
                <w:lang w:val="en-US" w:eastAsia="zh-CN"/>
              </w:rPr>
              <w:t>4-</w:t>
            </w:r>
            <w:r>
              <w:rPr>
                <w:rFonts w:hint="eastAsia" w:cs="Times New Roman"/>
                <w:color w:val="auto"/>
                <w:lang w:val="en-US" w:eastAsia="zh-CN"/>
              </w:rPr>
              <w:t>20</w:t>
            </w:r>
            <w:r>
              <w:rPr>
                <w:rFonts w:hint="default" w:ascii="Times New Roman" w:hAnsi="Times New Roman" w:cs="Times New Roman"/>
                <w:color w:val="auto"/>
              </w:rPr>
              <w:t>。</w:t>
            </w:r>
          </w:p>
          <w:p w14:paraId="1F83D5E4">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危险物质数量与临界量比值（Q）一览表</w:t>
            </w:r>
          </w:p>
          <w:tbl>
            <w:tblPr>
              <w:tblStyle w:val="29"/>
              <w:tblW w:w="50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75"/>
              <w:gridCol w:w="1389"/>
              <w:gridCol w:w="1340"/>
              <w:gridCol w:w="1683"/>
              <w:gridCol w:w="1668"/>
              <w:gridCol w:w="1243"/>
            </w:tblGrid>
            <w:tr w14:paraId="316F9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 w:type="pct"/>
                  <w:tcBorders>
                    <w:tl2br w:val="nil"/>
                    <w:tr2bl w:val="nil"/>
                  </w:tcBorders>
                  <w:noWrap w:val="0"/>
                  <w:vAlign w:val="center"/>
                </w:tcPr>
                <w:p w14:paraId="60244BA0">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序号</w:t>
                  </w:r>
                </w:p>
              </w:tc>
              <w:tc>
                <w:tcPr>
                  <w:tcW w:w="879" w:type="pct"/>
                  <w:tcBorders>
                    <w:tl2br w:val="nil"/>
                    <w:tr2bl w:val="nil"/>
                  </w:tcBorders>
                  <w:noWrap w:val="0"/>
                  <w:vAlign w:val="center"/>
                </w:tcPr>
                <w:p w14:paraId="71EF38DB">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危险物质名称</w:t>
                  </w:r>
                </w:p>
              </w:tc>
              <w:tc>
                <w:tcPr>
                  <w:tcW w:w="848" w:type="pct"/>
                  <w:tcBorders>
                    <w:tl2br w:val="nil"/>
                    <w:tr2bl w:val="nil"/>
                  </w:tcBorders>
                  <w:noWrap w:val="0"/>
                  <w:vAlign w:val="center"/>
                </w:tcPr>
                <w:p w14:paraId="468545E8">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CAS号</w:t>
                  </w:r>
                </w:p>
              </w:tc>
              <w:tc>
                <w:tcPr>
                  <w:tcW w:w="1065" w:type="pct"/>
                  <w:tcBorders>
                    <w:tl2br w:val="nil"/>
                    <w:tr2bl w:val="nil"/>
                  </w:tcBorders>
                  <w:noWrap w:val="0"/>
                  <w:vAlign w:val="center"/>
                </w:tcPr>
                <w:p w14:paraId="204E8461">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最大存在总量q</w:t>
                  </w:r>
                  <w:r>
                    <w:rPr>
                      <w:rFonts w:hint="default" w:ascii="Times New Roman" w:hAnsi="Times New Roman" w:cs="Times New Roman"/>
                      <w:b/>
                      <w:bCs/>
                      <w:color w:val="auto"/>
                      <w:kern w:val="21"/>
                      <w:sz w:val="21"/>
                      <w:szCs w:val="21"/>
                      <w:vertAlign w:val="subscript"/>
                    </w:rPr>
                    <w:t>n</w:t>
                  </w:r>
                  <w:r>
                    <w:rPr>
                      <w:rFonts w:hint="default" w:ascii="Times New Roman" w:hAnsi="Times New Roman" w:cs="Times New Roman"/>
                      <w:b/>
                      <w:bCs/>
                      <w:color w:val="auto"/>
                      <w:kern w:val="21"/>
                      <w:sz w:val="21"/>
                      <w:szCs w:val="21"/>
                    </w:rPr>
                    <w:t>/t</w:t>
                  </w:r>
                </w:p>
              </w:tc>
              <w:tc>
                <w:tcPr>
                  <w:tcW w:w="1054" w:type="pct"/>
                  <w:tcBorders>
                    <w:tl2br w:val="nil"/>
                    <w:tr2bl w:val="nil"/>
                  </w:tcBorders>
                  <w:noWrap w:val="0"/>
                  <w:vAlign w:val="center"/>
                </w:tcPr>
                <w:p w14:paraId="3B27E17E">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临界量Q</w:t>
                  </w:r>
                  <w:r>
                    <w:rPr>
                      <w:rFonts w:hint="default" w:ascii="Times New Roman" w:hAnsi="Times New Roman" w:cs="Times New Roman"/>
                      <w:b/>
                      <w:bCs/>
                      <w:color w:val="auto"/>
                      <w:kern w:val="21"/>
                      <w:sz w:val="21"/>
                      <w:szCs w:val="21"/>
                      <w:vertAlign w:val="subscript"/>
                    </w:rPr>
                    <w:t>n</w:t>
                  </w:r>
                  <w:r>
                    <w:rPr>
                      <w:rFonts w:hint="default" w:ascii="Times New Roman" w:hAnsi="Times New Roman" w:cs="Times New Roman"/>
                      <w:b/>
                      <w:bCs/>
                      <w:color w:val="auto"/>
                      <w:kern w:val="21"/>
                      <w:sz w:val="21"/>
                      <w:szCs w:val="21"/>
                    </w:rPr>
                    <w:t>/t</w:t>
                  </w:r>
                </w:p>
              </w:tc>
              <w:tc>
                <w:tcPr>
                  <w:tcW w:w="787" w:type="pct"/>
                  <w:tcBorders>
                    <w:tl2br w:val="nil"/>
                    <w:tr2bl w:val="nil"/>
                  </w:tcBorders>
                  <w:noWrap w:val="0"/>
                  <w:vAlign w:val="center"/>
                </w:tcPr>
                <w:p w14:paraId="692BE612">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kern w:val="21"/>
                      <w:sz w:val="21"/>
                      <w:szCs w:val="21"/>
                    </w:rPr>
                  </w:pPr>
                  <w:r>
                    <w:rPr>
                      <w:rFonts w:hint="default" w:ascii="Times New Roman" w:hAnsi="Times New Roman" w:cs="Times New Roman"/>
                      <w:b/>
                      <w:bCs/>
                      <w:color w:val="auto"/>
                      <w:kern w:val="21"/>
                      <w:sz w:val="21"/>
                      <w:szCs w:val="21"/>
                    </w:rPr>
                    <w:t>Q值</w:t>
                  </w:r>
                </w:p>
              </w:tc>
            </w:tr>
            <w:tr w14:paraId="21285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364" w:type="pct"/>
                  <w:tcBorders>
                    <w:tl2br w:val="nil"/>
                    <w:tr2bl w:val="nil"/>
                  </w:tcBorders>
                  <w:noWrap w:val="0"/>
                  <w:vAlign w:val="center"/>
                </w:tcPr>
                <w:p w14:paraId="2E2895CD">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1</w:t>
                  </w:r>
                </w:p>
              </w:tc>
              <w:tc>
                <w:tcPr>
                  <w:tcW w:w="879" w:type="pct"/>
                  <w:tcBorders>
                    <w:tl2br w:val="nil"/>
                    <w:tr2bl w:val="nil"/>
                  </w:tcBorders>
                  <w:noWrap w:val="0"/>
                  <w:vAlign w:val="center"/>
                </w:tcPr>
                <w:p w14:paraId="7563B83A">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乙醇</w:t>
                  </w:r>
                </w:p>
              </w:tc>
              <w:tc>
                <w:tcPr>
                  <w:tcW w:w="848" w:type="pct"/>
                  <w:tcBorders>
                    <w:tl2br w:val="nil"/>
                    <w:tr2bl w:val="nil"/>
                  </w:tcBorders>
                  <w:noWrap w:val="0"/>
                  <w:vAlign w:val="center"/>
                </w:tcPr>
                <w:p w14:paraId="75188447">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64-17-5</w:t>
                  </w:r>
                </w:p>
              </w:tc>
              <w:tc>
                <w:tcPr>
                  <w:tcW w:w="1065" w:type="pct"/>
                  <w:tcBorders>
                    <w:tl2br w:val="nil"/>
                    <w:tr2bl w:val="nil"/>
                  </w:tcBorders>
                  <w:noWrap w:val="0"/>
                  <w:vAlign w:val="center"/>
                </w:tcPr>
                <w:p w14:paraId="3AE85DDF">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74.908</w:t>
                  </w:r>
                </w:p>
              </w:tc>
              <w:tc>
                <w:tcPr>
                  <w:tcW w:w="1054" w:type="pct"/>
                  <w:tcBorders>
                    <w:tl2br w:val="nil"/>
                    <w:tr2bl w:val="nil"/>
                  </w:tcBorders>
                  <w:noWrap w:val="0"/>
                  <w:vAlign w:val="center"/>
                </w:tcPr>
                <w:p w14:paraId="52E9F9EC">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500</w:t>
                  </w:r>
                </w:p>
              </w:tc>
              <w:tc>
                <w:tcPr>
                  <w:tcW w:w="787" w:type="pct"/>
                  <w:tcBorders>
                    <w:tl2br w:val="nil"/>
                    <w:tr2bl w:val="nil"/>
                  </w:tcBorders>
                  <w:noWrap w:val="0"/>
                  <w:vAlign w:val="center"/>
                </w:tcPr>
                <w:p w14:paraId="788F8BDD">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0.15</w:t>
                  </w:r>
                </w:p>
              </w:tc>
            </w:tr>
            <w:tr w14:paraId="5B4D4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212" w:type="pct"/>
                  <w:gridSpan w:val="5"/>
                  <w:tcBorders>
                    <w:tl2br w:val="nil"/>
                    <w:tr2bl w:val="nil"/>
                  </w:tcBorders>
                  <w:noWrap w:val="0"/>
                  <w:vAlign w:val="center"/>
                </w:tcPr>
                <w:p w14:paraId="22EACE2D">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项目Q值总计</w:t>
                  </w:r>
                </w:p>
              </w:tc>
              <w:tc>
                <w:tcPr>
                  <w:tcW w:w="787" w:type="pct"/>
                  <w:tcBorders>
                    <w:tl2br w:val="nil"/>
                    <w:tr2bl w:val="nil"/>
                  </w:tcBorders>
                  <w:noWrap w:val="0"/>
                  <w:vAlign w:val="center"/>
                </w:tcPr>
                <w:p w14:paraId="752E95D8">
                  <w:pPr>
                    <w:keepNext w:val="0"/>
                    <w:keepLines w:val="0"/>
                    <w:suppressLineNumbers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0.15</w:t>
                  </w:r>
                </w:p>
              </w:tc>
            </w:tr>
          </w:tbl>
          <w:p w14:paraId="01175B69">
            <w:pPr>
              <w:keepNext w:val="0"/>
              <w:keepLines w:val="0"/>
              <w:suppressLineNumbers w:val="0"/>
              <w:spacing w:before="0" w:beforeAutospacing="0" w:after="0" w:afterAutospacing="0"/>
              <w:ind w:left="0" w:right="0" w:firstLine="518"/>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乙醇临界量参照《危险化学品重大危险源辨识》（GB 18218-2018）</w:t>
            </w:r>
          </w:p>
          <w:p w14:paraId="7E93756C">
            <w:pPr>
              <w:keepNext w:val="0"/>
              <w:keepLines w:val="0"/>
              <w:suppressLineNumbers w:val="0"/>
              <w:spacing w:before="0" w:beforeAutospacing="0" w:after="0" w:afterAutospacing="0"/>
              <w:ind w:left="0" w:right="0" w:firstLine="518"/>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由表4-</w:t>
            </w:r>
            <w:r>
              <w:rPr>
                <w:rFonts w:hint="eastAsia" w:cs="Times New Roman"/>
                <w:color w:val="auto"/>
                <w:lang w:val="en-US" w:eastAsia="zh-CN"/>
              </w:rPr>
              <w:t>19</w:t>
            </w:r>
            <w:r>
              <w:rPr>
                <w:rFonts w:hint="default" w:ascii="Times New Roman" w:hAnsi="Times New Roman" w:eastAsia="宋体" w:cs="Times New Roman"/>
                <w:color w:val="auto"/>
                <w:lang w:val="en-US" w:eastAsia="zh-CN"/>
              </w:rPr>
              <w:t>可知，本项目危险物质数量与临界量比值为0.15，Q值划分为＜1。本次风险评价工作等级为简单分析。</w:t>
            </w:r>
          </w:p>
          <w:p w14:paraId="1570A354">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（2）环境风险识别</w:t>
            </w:r>
          </w:p>
          <w:p w14:paraId="49E5CBF0">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w:t>
            </w:r>
            <w:r>
              <w:rPr>
                <w:rFonts w:hint="default" w:ascii="Times New Roman" w:hAnsi="Times New Roman" w:cs="Times New Roman" w:eastAsiaTheme="minorEastAsia"/>
                <w:color w:val="auto"/>
                <w:lang w:val="en-US" w:eastAsia="zh-CN"/>
              </w:rPr>
              <w:t>乙醇</w:t>
            </w:r>
            <w:r>
              <w:rPr>
                <w:rFonts w:hint="default" w:ascii="Times New Roman" w:hAnsi="Times New Roman" w:cs="Times New Roman" w:eastAsiaTheme="minorEastAsia"/>
                <w:color w:val="auto"/>
              </w:rPr>
              <w:t>泄漏及火灾引发的环境污染</w:t>
            </w:r>
          </w:p>
          <w:p w14:paraId="2A9B7474">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项目可能的风险主要为</w:t>
            </w:r>
            <w:r>
              <w:rPr>
                <w:rFonts w:hint="default" w:ascii="Times New Roman" w:hAnsi="Times New Roman" w:cs="Times New Roman" w:eastAsiaTheme="minorEastAsia"/>
                <w:color w:val="auto"/>
                <w:lang w:val="en-US" w:eastAsia="zh-CN"/>
              </w:rPr>
              <w:t>乙醇储罐</w:t>
            </w:r>
            <w:r>
              <w:rPr>
                <w:rFonts w:hint="default" w:ascii="Times New Roman" w:hAnsi="Times New Roman" w:cs="Times New Roman" w:eastAsiaTheme="minorEastAsia"/>
                <w:color w:val="auto"/>
              </w:rPr>
              <w:t>发生泄漏，有害成分进入大气中，对环境空气造成污染；</w:t>
            </w:r>
            <w:r>
              <w:rPr>
                <w:rFonts w:hint="default" w:ascii="Times New Roman" w:hAnsi="Times New Roman" w:cs="Times New Roman" w:eastAsiaTheme="minorEastAsia"/>
                <w:color w:val="auto"/>
                <w:lang w:val="en-US" w:eastAsia="zh-CN"/>
              </w:rPr>
              <w:t>乙醇储存</w:t>
            </w:r>
            <w:r>
              <w:rPr>
                <w:rFonts w:hint="default" w:ascii="Times New Roman" w:hAnsi="Times New Roman" w:cs="Times New Roman" w:eastAsiaTheme="minorEastAsia"/>
                <w:color w:val="auto"/>
              </w:rPr>
              <w:t>过程中由于泄漏，</w:t>
            </w:r>
            <w:r>
              <w:rPr>
                <w:rFonts w:hint="default" w:ascii="Times New Roman" w:hAnsi="Times New Roman" w:cs="Times New Roman" w:eastAsiaTheme="minorEastAsia"/>
                <w:color w:val="auto"/>
                <w:lang w:val="en-US" w:eastAsia="zh-CN"/>
              </w:rPr>
              <w:t>乙醇</w:t>
            </w:r>
            <w:r>
              <w:rPr>
                <w:rFonts w:hint="default" w:ascii="Times New Roman" w:hAnsi="Times New Roman" w:cs="Times New Roman" w:eastAsiaTheme="minorEastAsia"/>
                <w:color w:val="auto"/>
              </w:rPr>
              <w:t>遇高温或明火发生火灾、爆炸事故。</w:t>
            </w:r>
          </w:p>
          <w:p w14:paraId="43BA2D4C">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②污水处理设施环境风险事故</w:t>
            </w:r>
          </w:p>
          <w:p w14:paraId="4F637CC7">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污水处理设施发生泄漏可能污染地下水，或可能由于恶劣天气影响，导致雨水渗入等。</w:t>
            </w:r>
          </w:p>
          <w:p w14:paraId="2DE35B8E">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③废气处理设施故障事故</w:t>
            </w:r>
          </w:p>
          <w:p w14:paraId="4AE2BEDB">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废气处理设施发生故障，导致污染物超标排放至外环境。</w:t>
            </w:r>
          </w:p>
          <w:p w14:paraId="65645787">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（3）环境风险分析</w:t>
            </w:r>
          </w:p>
          <w:p w14:paraId="394FCF7E">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当发生</w:t>
            </w:r>
            <w:r>
              <w:rPr>
                <w:rFonts w:hint="default" w:ascii="Times New Roman" w:hAnsi="Times New Roman" w:cs="Times New Roman" w:eastAsiaTheme="minorEastAsia"/>
                <w:color w:val="auto"/>
                <w:lang w:val="en-US" w:eastAsia="zh-CN"/>
              </w:rPr>
              <w:t>乙醇</w:t>
            </w:r>
            <w:r>
              <w:rPr>
                <w:rFonts w:hint="default" w:ascii="Times New Roman" w:hAnsi="Times New Roman" w:cs="Times New Roman" w:eastAsiaTheme="minorEastAsia"/>
                <w:color w:val="auto"/>
              </w:rPr>
              <w:t>泄漏事故时，有害成分进入大气中，对环境空气造成污染；发生火灾事故时，在火灾、爆炸的灭火过程中，消防喷水、泡沫喷淋等均会产生废水，若直接进入纳污水体含高浓度的消防废水势必对水体造成不利的影响，导致严重污染环境的后果。</w:t>
            </w:r>
          </w:p>
          <w:p w14:paraId="2206F5E2">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污水处理设施发生泄漏，生产废水和生活污水泄漏直接进入纳污水体，对纳污水体造成不利影响。废气处理设施故障，废气未经处理直接排放，对环境空气造成影响。</w:t>
            </w:r>
          </w:p>
          <w:p w14:paraId="47864442">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风险事故类型分为火灾、爆炸和泄漏三种。结合本项目的工程特征，潜在的风险事故可以分为三大类：一是有</w:t>
            </w:r>
            <w:r>
              <w:rPr>
                <w:rFonts w:hint="default" w:ascii="Times New Roman" w:hAnsi="Times New Roman" w:cs="Times New Roman" w:eastAsiaTheme="minorEastAsia"/>
                <w:color w:val="auto"/>
                <w:lang w:val="en-US" w:eastAsia="zh-CN"/>
              </w:rPr>
              <w:t>乙醇</w:t>
            </w:r>
            <w:r>
              <w:rPr>
                <w:rFonts w:hint="default" w:ascii="Times New Roman" w:hAnsi="Times New Roman" w:cs="Times New Roman" w:eastAsiaTheme="minorEastAsia"/>
                <w:color w:val="auto"/>
              </w:rPr>
              <w:t>的泄漏，直接污染环境空气或遇明火造成火灾、爆炸环境污染；</w:t>
            </w:r>
            <w:r>
              <w:rPr>
                <w:rFonts w:hint="default" w:ascii="Times New Roman" w:hAnsi="Times New Roman" w:cs="Times New Roman" w:eastAsiaTheme="minorEastAsia"/>
                <w:color w:val="auto"/>
                <w:lang w:val="en-US" w:eastAsia="zh-CN"/>
              </w:rPr>
              <w:t>二</w:t>
            </w:r>
            <w:r>
              <w:rPr>
                <w:rFonts w:hint="default" w:ascii="Times New Roman" w:hAnsi="Times New Roman" w:cs="Times New Roman" w:eastAsiaTheme="minorEastAsia"/>
                <w:color w:val="auto"/>
              </w:rPr>
              <w:t>是废气废水处理设施故障引起的污染；</w:t>
            </w:r>
            <w:r>
              <w:rPr>
                <w:rFonts w:hint="default" w:ascii="Times New Roman" w:hAnsi="Times New Roman" w:cs="Times New Roman" w:eastAsiaTheme="minorEastAsia"/>
                <w:color w:val="auto"/>
                <w:lang w:val="en-US" w:eastAsia="zh-CN"/>
              </w:rPr>
              <w:t>三</w:t>
            </w:r>
            <w:r>
              <w:rPr>
                <w:rFonts w:hint="default" w:ascii="Times New Roman" w:hAnsi="Times New Roman" w:cs="Times New Roman" w:eastAsiaTheme="minorEastAsia"/>
                <w:color w:val="auto"/>
              </w:rPr>
              <w:t>是未经处理的废气废水泄漏事故导致环境污染。</w:t>
            </w:r>
          </w:p>
          <w:p w14:paraId="66CC468A">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（4）环境风险防范措施</w:t>
            </w:r>
          </w:p>
          <w:p w14:paraId="7E75FACF">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风险事故发生时的应急处理建议采取以下措施：</w:t>
            </w:r>
          </w:p>
          <w:p w14:paraId="21677D39">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①发生火灾、爆炸事故时，在事故发生位置四周用装满沙土的袋子围成围堰拦截消防废液，并在校内采取导流方式将消防废液、泡沫等统一收集，集中处理，消除隐患后交由有资质单位处理。</w:t>
            </w:r>
          </w:p>
          <w:p w14:paraId="19665E63">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②制定废气处理操作规程并上墙，严格按照操作规范的要求进行运行控制，防止误操作导致的废气事故超标排放。</w:t>
            </w:r>
          </w:p>
          <w:p w14:paraId="08629FBA">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w:t>
            </w:r>
            <w:r>
              <w:rPr>
                <w:rFonts w:hint="default" w:ascii="Times New Roman" w:hAnsi="Times New Roman" w:cs="Times New Roman" w:eastAsiaTheme="minorEastAsia"/>
                <w:color w:val="auto"/>
                <w:lang w:eastAsia="zh-CN"/>
              </w:rPr>
              <w:t>建立巡察制度</w:t>
            </w:r>
            <w:r>
              <w:rPr>
                <w:rFonts w:hint="default" w:ascii="Times New Roman" w:hAnsi="Times New Roman" w:cs="Times New Roman" w:eastAsiaTheme="minorEastAsia"/>
                <w:color w:val="auto"/>
              </w:rPr>
              <w:t>，定期对废水、废气处理设施和天然气管道进行巡检，并做好记录，发现问题及时停工检修。</w:t>
            </w:r>
          </w:p>
          <w:p w14:paraId="79171B59">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 4 \* GB3 \* MERGEFORMAT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④</w:t>
            </w:r>
            <w:r>
              <w:rPr>
                <w:rFonts w:hint="default"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t>为防止事故发生时乙醇、盐酸等泄漏导致锦江水体被污染，项目设置一个应急事故池。</w:t>
            </w:r>
            <w:r>
              <w:rPr>
                <w:rFonts w:hint="default" w:ascii="Times New Roman" w:hAnsi="Times New Roman" w:eastAsia="宋体" w:cs="Times New Roman"/>
                <w:color w:val="auto"/>
              </w:rPr>
              <w:t>根据《建设项目环境风险评价技术导则》（HJ69-2018），“水体污染事故源强应结合污染物释放量、消防用水量及雨水量等因素确定”，且不得小于第5.5.3条计算的总有效容积”。第5.5.3条：事故排水储存设施的总有效容积按下式确定：</w:t>
            </w:r>
          </w:p>
          <w:p w14:paraId="121EBD70">
            <w:pPr>
              <w:keepNext w:val="0"/>
              <w:keepLines w:val="0"/>
              <w:suppressLineNumbers w:val="0"/>
              <w:spacing w:before="163" w:beforeAutospacing="0" w:after="163" w:afterAutospacing="0" w:line="240" w:lineRule="auto"/>
              <w:ind w:left="0" w:right="0" w:firstLine="480"/>
              <w:jc w:val="center"/>
              <w:rPr>
                <w:rFonts w:hint="default" w:ascii="Times New Roman" w:hAnsi="Times New Roman" w:eastAsia="宋体" w:cs="Times New Roman"/>
                <w:color w:val="auto"/>
                <w:vertAlign w:val="subscript"/>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总</w:t>
            </w:r>
            <w:r>
              <w:rPr>
                <w:rFonts w:hint="default" w:ascii="Times New Roman" w:hAnsi="Times New Roman" w:eastAsia="宋体" w:cs="Times New Roman"/>
                <w:color w:val="auto"/>
              </w:rPr>
              <w:t>=</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1</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vertAlign w:val="subscript"/>
              </w:rPr>
              <w:t>max</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4</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5</w:t>
            </w:r>
          </w:p>
          <w:p w14:paraId="0FEEBE64">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式中：</w:t>
            </w:r>
          </w:p>
          <w:p w14:paraId="711AE3A1">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V总——事故排水储存设施的总有效容积（即事故排水总量），m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p w14:paraId="74854239">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1</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vertAlign w:val="subscript"/>
              </w:rPr>
              <w:t>max</w:t>
            </w:r>
            <w:r>
              <w:rPr>
                <w:rFonts w:hint="default" w:ascii="Times New Roman" w:hAnsi="Times New Roman" w:eastAsia="宋体" w:cs="Times New Roman"/>
                <w:color w:val="auto"/>
              </w:rPr>
              <w:t>——对收集系统范围内不同罐组或装置分别计算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1</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，取其中最大值。</w:t>
            </w:r>
          </w:p>
          <w:p w14:paraId="26F95090">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1</w:t>
            </w:r>
            <w:r>
              <w:rPr>
                <w:rFonts w:hint="default" w:ascii="Times New Roman" w:hAnsi="Times New Roman" w:eastAsia="宋体" w:cs="Times New Roman"/>
                <w:color w:val="auto"/>
              </w:rPr>
              <w:t>——收集系统范围内发生事故的一个罐组或一套装置的物料量，m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；储存相同物料的罐组按一个最大储罐计，装置物料量按存留最大物料量的一台反应（塔）器或中间储罐计；</w:t>
            </w:r>
          </w:p>
          <w:p w14:paraId="7EF9C934">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——火灾延续时间内，事故发生区域范围内的消防用水量，m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29272BE4">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——发生事故时可以储存、转运到其他设施的事故排水量，m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272EC5EF">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4</w:t>
            </w:r>
            <w:r>
              <w:rPr>
                <w:rFonts w:hint="default" w:ascii="Times New Roman" w:hAnsi="Times New Roman" w:eastAsia="宋体" w:cs="Times New Roman"/>
                <w:color w:val="auto"/>
              </w:rPr>
              <w:t>——发生事故时必须进入事故排水收集系统的生产废水量，m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12E1E6F1">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5</w:t>
            </w:r>
            <w:r>
              <w:rPr>
                <w:rFonts w:hint="default" w:ascii="Times New Roman" w:hAnsi="Times New Roman" w:eastAsia="宋体" w:cs="Times New Roman"/>
                <w:color w:val="auto"/>
              </w:rPr>
              <w:t>——发生事故时可能进入该收集系统的降雨量，m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p w14:paraId="3C803616">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本项目V</w:t>
            </w:r>
            <w:r>
              <w:rPr>
                <w:rFonts w:hint="default" w:ascii="Times New Roman" w:hAnsi="Times New Roman" w:eastAsia="宋体" w:cs="Times New Roman"/>
                <w:color w:val="auto"/>
                <w:vertAlign w:val="subscript"/>
              </w:rPr>
              <w:t>1</w:t>
            </w:r>
            <w:r>
              <w:rPr>
                <w:rFonts w:hint="default" w:ascii="Times New Roman" w:hAnsi="Times New Roman" w:eastAsia="宋体" w:cs="Times New Roman"/>
                <w:color w:val="auto"/>
              </w:rPr>
              <w:t>取</w:t>
            </w:r>
            <w:r>
              <w:rPr>
                <w:rFonts w:hint="eastAsia" w:ascii="Times New Roman" w:hAnsi="Times New Roman" w:eastAsia="宋体" w:cs="Times New Roman"/>
                <w:color w:val="auto"/>
                <w:lang w:val="en-US" w:eastAsia="zh-CN"/>
              </w:rPr>
              <w:t>35</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vertAlign w:val="baseline"/>
                <w:lang w:eastAsia="zh-CN"/>
              </w:rPr>
              <w:t>，</w:t>
            </w:r>
            <w:r>
              <w:rPr>
                <w:rFonts w:hint="default" w:ascii="Times New Roman" w:hAnsi="Times New Roman" w:eastAsia="宋体" w:cs="Times New Roman"/>
                <w:color w:val="auto"/>
                <w:lang w:val="en-US" w:eastAsia="zh-CN"/>
              </w:rPr>
              <w:t>项目</w:t>
            </w:r>
            <w:r>
              <w:rPr>
                <w:rFonts w:hint="eastAsia" w:ascii="Times New Roman" w:hAnsi="Times New Roman" w:eastAsia="宋体" w:cs="Times New Roman"/>
                <w:color w:val="auto"/>
                <w:lang w:val="en-US" w:eastAsia="zh-CN"/>
              </w:rPr>
              <w:t>乙醇单个最大</w:t>
            </w:r>
            <w:r>
              <w:rPr>
                <w:rFonts w:hint="default" w:ascii="Times New Roman" w:hAnsi="Times New Roman" w:eastAsia="宋体" w:cs="Times New Roman"/>
                <w:color w:val="auto"/>
                <w:lang w:val="en-US" w:eastAsia="zh-CN"/>
              </w:rPr>
              <w:t>储罐</w:t>
            </w:r>
            <w:r>
              <w:rPr>
                <w:rFonts w:hint="eastAsia" w:ascii="Times New Roman" w:hAnsi="Times New Roman" w:eastAsia="宋体" w:cs="Times New Roman"/>
                <w:color w:val="auto"/>
                <w:lang w:val="en-US" w:eastAsia="zh-CN"/>
              </w:rPr>
              <w:t>为储罐8</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eastAsiaTheme="minorEastAsia"/>
                <w:color w:val="auto"/>
                <w:lang w:val="en-US" w:eastAsia="zh-CN"/>
              </w:rPr>
              <w:t>，盐酸储罐35</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eastAsia="宋体" w:cs="Times New Roman"/>
                <w:color w:val="auto"/>
              </w:rPr>
              <w:t>；</w:t>
            </w:r>
          </w:p>
          <w:p w14:paraId="0C6A350C">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消防废水</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产生量为20L/s</w:t>
            </w:r>
            <w:r>
              <w:rPr>
                <w:rFonts w:hint="default" w:ascii="Arial" w:hAnsi="Arial" w:eastAsia="宋体" w:cs="Arial"/>
                <w:color w:val="auto"/>
              </w:rPr>
              <w:t>×</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w:t>
            </w:r>
            <w:r>
              <w:rPr>
                <w:rFonts w:hint="default" w:ascii="Arial" w:hAnsi="Arial" w:eastAsia="宋体" w:cs="Arial"/>
                <w:color w:val="auto"/>
              </w:rPr>
              <w:t>×</w:t>
            </w:r>
            <w:r>
              <w:rPr>
                <w:rFonts w:hint="default" w:ascii="Times New Roman" w:hAnsi="Times New Roman" w:eastAsia="宋体" w:cs="Times New Roman"/>
                <w:color w:val="auto"/>
              </w:rPr>
              <w:t>3600s</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=144m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厂区设计消防用水量不小于20L/s，火灾延续时间为2h，以消防用水量为20L/s计</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，即V</w:t>
            </w:r>
            <w:r>
              <w:rPr>
                <w:rFonts w:hint="default" w:ascii="Times New Roman" w:hAnsi="Times New Roman" w:eastAsia="宋体" w:cs="Times New Roman"/>
                <w:color w:val="auto"/>
                <w:vertAlign w:val="subscript"/>
              </w:rPr>
              <w:t>2</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144</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1D322C3C">
            <w:pPr>
              <w:pStyle w:val="11"/>
              <w:keepNext w:val="0"/>
              <w:keepLines w:val="0"/>
              <w:suppressLineNumbers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取</w:t>
            </w:r>
            <w:r>
              <w:rPr>
                <w:rFonts w:hint="eastAsia" w:ascii="Times New Roman" w:hAnsi="Times New Roman" w:eastAsia="宋体" w:cs="Times New Roman"/>
                <w:color w:val="auto"/>
                <w:vertAlign w:val="baseline"/>
                <w:lang w:val="en-US" w:eastAsia="zh-CN"/>
              </w:rPr>
              <w:t>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2FE4A52D">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由于</w:t>
            </w:r>
            <w:r>
              <w:rPr>
                <w:rFonts w:hint="default" w:ascii="Times New Roman" w:hAnsi="Times New Roman" w:cs="Times New Roman" w:eastAsiaTheme="minorEastAsia"/>
                <w:color w:val="auto"/>
                <w:lang w:val="en-US" w:eastAsia="zh-CN"/>
              </w:rPr>
              <w:t>项目已建一座备用污水处理站，原有污水处理站发生事故时，事故</w:t>
            </w:r>
            <w:r>
              <w:rPr>
                <w:rFonts w:hint="eastAsia" w:ascii="Times New Roman" w:hAnsi="Times New Roman" w:cs="Times New Roman" w:eastAsiaTheme="minorEastAsia"/>
                <w:color w:val="auto"/>
                <w:lang w:val="en-US" w:eastAsia="zh-CN"/>
              </w:rPr>
              <w:t>生产</w:t>
            </w:r>
            <w:r>
              <w:rPr>
                <w:rFonts w:hint="default" w:ascii="Times New Roman" w:hAnsi="Times New Roman" w:cs="Times New Roman" w:eastAsiaTheme="minorEastAsia"/>
                <w:color w:val="auto"/>
                <w:lang w:val="en-US" w:eastAsia="zh-CN"/>
              </w:rPr>
              <w:t>废水排入</w:t>
            </w:r>
            <w:r>
              <w:rPr>
                <w:rFonts w:hint="eastAsia" w:ascii="Times New Roman" w:hAnsi="Times New Roman" w:cs="Times New Roman" w:eastAsiaTheme="minorEastAsia"/>
                <w:color w:val="auto"/>
                <w:lang w:val="en-US" w:eastAsia="zh-CN"/>
              </w:rPr>
              <w:t>备用</w:t>
            </w:r>
            <w:r>
              <w:rPr>
                <w:rFonts w:hint="default" w:ascii="Times New Roman" w:hAnsi="Times New Roman" w:cs="Times New Roman" w:eastAsiaTheme="minorEastAsia"/>
                <w:color w:val="auto"/>
                <w:lang w:val="en-US" w:eastAsia="zh-CN"/>
              </w:rPr>
              <w:t>污水处理站处理</w:t>
            </w:r>
            <w:r>
              <w:rPr>
                <w:rFonts w:hint="default" w:ascii="Times New Roman" w:hAnsi="Times New Roman" w:eastAsia="宋体" w:cs="Times New Roman"/>
                <w:color w:val="auto"/>
                <w:lang w:val="en-US" w:eastAsia="zh-CN"/>
              </w:rPr>
              <w:t>，故</w:t>
            </w: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4</w:t>
            </w:r>
            <w:r>
              <w:rPr>
                <w:rFonts w:hint="default" w:ascii="Times New Roman" w:hAnsi="Times New Roman" w:eastAsia="宋体" w:cs="Times New Roman"/>
                <w:color w:val="auto"/>
              </w:rPr>
              <w:t>取</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w:t>
            </w:r>
          </w:p>
          <w:p w14:paraId="39597C21">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V</w:t>
            </w:r>
            <w:r>
              <w:rPr>
                <w:rFonts w:hint="default" w:ascii="Times New Roman" w:hAnsi="Times New Roman" w:eastAsia="宋体" w:cs="Times New Roman"/>
                <w:color w:val="auto"/>
                <w:vertAlign w:val="subscript"/>
              </w:rPr>
              <w:t>5</w:t>
            </w:r>
            <w:r>
              <w:rPr>
                <w:rFonts w:hint="default" w:ascii="Times New Roman" w:hAnsi="Times New Roman" w:eastAsia="宋体" w:cs="Times New Roman"/>
                <w:color w:val="auto"/>
                <w:lang w:val="en-US" w:eastAsia="zh-CN"/>
              </w:rPr>
              <w:t>为发生事故时可能进入收集系统的降雨量</w:t>
            </w:r>
            <w:r>
              <w:rPr>
                <w:rFonts w:hint="eastAsia" w:ascii="Times New Roman" w:hAnsi="Times New Roman" w:eastAsia="宋体" w:cs="Times New Roman"/>
                <w:color w:val="auto"/>
                <w:lang w:val="en-US" w:eastAsia="zh-CN"/>
              </w:rPr>
              <w:t>，由于初期雨水单独设置初期雨水收集池收集，初期雨水不纳入事故池，</w:t>
            </w:r>
            <w:r>
              <w:rPr>
                <w:rFonts w:hint="default" w:ascii="Times New Roman" w:hAnsi="Times New Roman" w:eastAsia="宋体" w:cs="Times New Roman"/>
                <w:color w:val="auto"/>
                <w:lang w:val="en-US" w:eastAsia="zh-CN"/>
              </w:rPr>
              <w:t>故</w:t>
            </w:r>
            <w:r>
              <w:rPr>
                <w:rFonts w:hint="default" w:ascii="Times New Roman" w:hAnsi="Times New Roman" w:eastAsia="宋体" w:cs="Times New Roman"/>
                <w:color w:val="auto"/>
              </w:rPr>
              <w:t>V</w:t>
            </w:r>
            <w:r>
              <w:rPr>
                <w:rFonts w:hint="eastAsia" w:ascii="Times New Roman" w:hAnsi="Times New Roman" w:eastAsia="宋体" w:cs="Times New Roman"/>
                <w:color w:val="auto"/>
                <w:vertAlign w:val="subscript"/>
                <w:lang w:val="en-US" w:eastAsia="zh-CN"/>
              </w:rPr>
              <w:t>5</w:t>
            </w:r>
            <w:r>
              <w:rPr>
                <w:rFonts w:hint="default" w:ascii="Times New Roman" w:hAnsi="Times New Roman" w:eastAsia="宋体" w:cs="Times New Roman"/>
                <w:color w:val="auto"/>
              </w:rPr>
              <w:t>取</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lang w:val="en-US" w:eastAsia="zh-CN"/>
              </w:rPr>
              <w:t>。</w:t>
            </w:r>
          </w:p>
          <w:p w14:paraId="139F5DB8">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V总=</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V1+V2-V3</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vertAlign w:val="subscript"/>
                <w:lang w:val="en-US" w:eastAsia="zh-CN"/>
              </w:rPr>
              <w:t>max</w:t>
            </w:r>
            <w:r>
              <w:rPr>
                <w:rFonts w:hint="default" w:ascii="Times New Roman" w:hAnsi="Times New Roman" w:eastAsia="宋体" w:cs="Times New Roman"/>
                <w:color w:val="auto"/>
                <w:lang w:val="en-US" w:eastAsia="zh-CN"/>
              </w:rPr>
              <w:t>+V4+V5</w:t>
            </w:r>
            <w:r>
              <w:rPr>
                <w:rFonts w:hint="eastAsia" w:ascii="Times New Roman" w:hAnsi="Times New Roman" w:eastAsia="宋体" w:cs="Times New Roman"/>
                <w:color w:val="auto"/>
                <w:lang w:val="en-US" w:eastAsia="zh-CN"/>
              </w:rPr>
              <w:t>=35</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+144</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eastAsia" w:ascii="Times New Roman" w:hAnsi="Times New Roman" w:eastAsia="宋体" w:cs="Times New Roman"/>
                <w:color w:val="auto"/>
                <w:lang w:val="en-US" w:eastAsia="zh-CN"/>
              </w:rPr>
              <w:t>+0+0=179</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p>
          <w:p w14:paraId="169EEEEB">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lang w:val="en-US" w:eastAsia="zh-CN"/>
              </w:rPr>
            </w:pPr>
            <w:r>
              <w:rPr>
                <w:rFonts w:hint="default" w:ascii="Times New Roman" w:hAnsi="Times New Roman" w:eastAsia="宋体" w:cs="Times New Roman"/>
                <w:color w:val="auto"/>
              </w:rPr>
              <w:t>综上所述，本项目需要的事故池总有效容积为</w:t>
            </w:r>
            <w:r>
              <w:rPr>
                <w:rFonts w:hint="eastAsia" w:ascii="Times New Roman" w:hAnsi="Times New Roman" w:eastAsia="宋体" w:cs="Times New Roman"/>
                <w:color w:val="auto"/>
                <w:lang w:val="en-US" w:eastAsia="zh-CN"/>
              </w:rPr>
              <w:t>179</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，本项目</w:t>
            </w:r>
            <w:r>
              <w:rPr>
                <w:rFonts w:hint="default" w:ascii="Times New Roman" w:hAnsi="Times New Roman" w:eastAsia="宋体" w:cs="Times New Roman"/>
                <w:color w:val="auto"/>
                <w:lang w:eastAsia="zh-CN"/>
              </w:rPr>
              <w:t>拟</w:t>
            </w:r>
            <w:r>
              <w:rPr>
                <w:rFonts w:hint="default" w:ascii="Times New Roman" w:hAnsi="Times New Roman" w:eastAsia="宋体" w:cs="Times New Roman"/>
                <w:color w:val="auto"/>
              </w:rPr>
              <w:t>设置</w:t>
            </w: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rPr>
              <w:t>座事故池，</w:t>
            </w:r>
            <w:r>
              <w:rPr>
                <w:rFonts w:hint="default" w:ascii="Times New Roman" w:hAnsi="Times New Roman" w:eastAsia="宋体" w:cs="Times New Roman"/>
                <w:color w:val="auto"/>
                <w:lang w:eastAsia="zh-CN"/>
              </w:rPr>
              <w:t>事故池容积</w:t>
            </w:r>
            <w:r>
              <w:rPr>
                <w:rFonts w:hint="eastAsia" w:ascii="Times New Roman" w:hAnsi="Times New Roman" w:eastAsia="宋体" w:cs="Times New Roman"/>
                <w:color w:val="auto"/>
                <w:lang w:val="en-US" w:eastAsia="zh-CN"/>
              </w:rPr>
              <w:t>200</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，大于需要的事故池总有效容积</w:t>
            </w:r>
            <w:r>
              <w:rPr>
                <w:rFonts w:hint="eastAsia" w:ascii="Times New Roman" w:hAnsi="Times New Roman" w:eastAsia="宋体" w:cs="Times New Roman"/>
                <w:color w:val="auto"/>
                <w:lang w:val="en-US" w:eastAsia="zh-CN"/>
              </w:rPr>
              <w:t>179</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，保证在发生事故的情况下，事故废水能够自发流向事故池。发生事故或其他情况</w:t>
            </w:r>
            <w:r>
              <w:rPr>
                <w:rFonts w:hint="default" w:ascii="Times New Roman" w:hAnsi="Times New Roman" w:eastAsia="宋体" w:cs="Times New Roman"/>
                <w:color w:val="auto"/>
                <w:lang w:eastAsia="zh-CN"/>
              </w:rPr>
              <w:t>导致</w:t>
            </w:r>
            <w:r>
              <w:rPr>
                <w:rFonts w:hint="default" w:ascii="Times New Roman" w:hAnsi="Times New Roman" w:eastAsia="宋体" w:cs="Times New Roman"/>
                <w:color w:val="auto"/>
              </w:rPr>
              <w:t>事故池有积水，应该及时清理</w:t>
            </w:r>
            <w:r>
              <w:rPr>
                <w:rFonts w:hint="default" w:ascii="Times New Roman" w:hAnsi="Times New Roman" w:cs="Times New Roman"/>
                <w:color w:val="auto"/>
                <w:lang w:eastAsia="zh-CN"/>
              </w:rPr>
              <w:t>。</w:t>
            </w:r>
          </w:p>
          <w:p w14:paraId="4D05EF70">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（5）评价结论与建议</w:t>
            </w:r>
          </w:p>
          <w:p w14:paraId="64249B38">
            <w:pPr>
              <w:keepNext w:val="0"/>
              <w:keepLines w:val="0"/>
              <w:suppressLineNumbers w:val="0"/>
              <w:bidi w:val="0"/>
              <w:spacing w:before="0" w:beforeAutospacing="0" w:after="0" w:afterAutospacing="0"/>
              <w:ind w:left="0" w:right="0"/>
              <w:rPr>
                <w:rFonts w:hint="default" w:ascii="Times New Roman" w:hAnsi="Times New Roman" w:cs="Times New Roman" w:eastAsiaTheme="minorEastAsia"/>
                <w:color w:val="auto"/>
                <w:lang w:val="zh-CN"/>
              </w:rPr>
            </w:pPr>
            <w:r>
              <w:rPr>
                <w:rFonts w:hint="default" w:ascii="Times New Roman" w:hAnsi="Times New Roman" w:cs="Times New Roman" w:eastAsiaTheme="minorEastAsia"/>
                <w:color w:val="auto"/>
              </w:rPr>
              <w:t>综上所述，本项目环境风险潜势划分为Ⅰ级，因此确定项目环境风险评价等级为简单分析。经分析，环境风险影响范围较小，影响程度轻微，在采取相应风险管理防范措施的情况下，项目环境风险影响可控。</w:t>
            </w:r>
          </w:p>
          <w:p w14:paraId="1F5EFBE6">
            <w:pPr>
              <w:pStyle w:val="83"/>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textAlignment w:val="auto"/>
              <w:rPr>
                <w:rFonts w:hint="default" w:ascii="Times New Roman" w:hAnsi="Times New Roman" w:cs="Times New Roman"/>
                <w:b/>
                <w:bCs/>
                <w:color w:val="auto"/>
              </w:rPr>
            </w:pPr>
            <w:r>
              <w:rPr>
                <w:rFonts w:hint="default" w:ascii="Times New Roman" w:hAnsi="Times New Roman" w:cs="Times New Roman"/>
                <w:b/>
                <w:bCs/>
                <w:color w:val="auto"/>
                <w:lang w:val="en-US" w:eastAsia="zh-CN"/>
              </w:rPr>
              <w:t>7</w:t>
            </w:r>
            <w:r>
              <w:rPr>
                <w:rFonts w:hint="default" w:ascii="Times New Roman" w:hAnsi="Times New Roman" w:cs="Times New Roman"/>
                <w:b/>
                <w:bCs/>
                <w:color w:val="auto"/>
              </w:rPr>
              <w:t>、生态环境影响分析</w:t>
            </w:r>
          </w:p>
          <w:p w14:paraId="5A96A6C9">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本项目在现有厂区内建设，无自然植被分布，周边植被主要为道路绿化带，项目污水合法排放，项目技改后，污水量减少，废水中水质中无对湿地公园有毒害作用的物质</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因此项目对湿地公园的影响更小，不破坏湿地及其生态功能。</w:t>
            </w:r>
            <w:r>
              <w:rPr>
                <w:rFonts w:hint="default" w:ascii="Times New Roman" w:hAnsi="Times New Roman" w:cs="Times New Roman"/>
                <w:color w:val="auto"/>
                <w:lang w:val="en-US" w:eastAsia="zh-CN"/>
              </w:rPr>
              <w:t>事故状态下生产废水和盐酸和乙醇</w:t>
            </w:r>
            <w:r>
              <w:rPr>
                <w:rFonts w:hint="eastAsia" w:ascii="Times New Roman" w:hAnsi="Times New Roman" w:cs="Times New Roman"/>
                <w:color w:val="auto"/>
                <w:lang w:val="en-US" w:eastAsia="zh-CN"/>
              </w:rPr>
              <w:t>泄漏</w:t>
            </w:r>
            <w:r>
              <w:rPr>
                <w:rFonts w:hint="default" w:ascii="Times New Roman" w:hAnsi="Times New Roman" w:cs="Times New Roman"/>
                <w:color w:val="auto"/>
                <w:lang w:val="en-US" w:eastAsia="zh-CN"/>
              </w:rPr>
              <w:t>可能影响</w:t>
            </w:r>
            <w:r>
              <w:rPr>
                <w:rFonts w:hint="eastAsia" w:ascii="Times New Roman" w:hAnsi="Times New Roman" w:cs="Times New Roman"/>
                <w:color w:val="auto"/>
                <w:lang w:val="en-US" w:eastAsia="zh-CN"/>
              </w:rPr>
              <w:t>江西高安锦江国家湿地公园</w:t>
            </w:r>
            <w:r>
              <w:rPr>
                <w:rFonts w:hint="eastAsia" w:cs="Times New Roman"/>
                <w:color w:val="auto"/>
                <w:lang w:val="en-US" w:eastAsia="zh-CN"/>
              </w:rPr>
              <w:t>。</w:t>
            </w:r>
            <w:r>
              <w:rPr>
                <w:rFonts w:hint="default" w:ascii="Times New Roman" w:hAnsi="Times New Roman" w:cs="Times New Roman"/>
                <w:color w:val="auto"/>
                <w:lang w:val="en-US" w:eastAsia="zh-CN"/>
              </w:rPr>
              <w:t>企业</w:t>
            </w:r>
            <w:r>
              <w:rPr>
                <w:rFonts w:hint="eastAsia" w:cs="Times New Roman"/>
                <w:color w:val="auto"/>
                <w:lang w:val="en-US" w:eastAsia="zh-CN"/>
              </w:rPr>
              <w:t>已建一座备用污水处理站，用于</w:t>
            </w:r>
            <w:r>
              <w:rPr>
                <w:rFonts w:hint="default" w:ascii="Times New Roman" w:hAnsi="Times New Roman" w:cs="Times New Roman"/>
                <w:color w:val="auto"/>
                <w:lang w:val="en-US" w:eastAsia="zh-CN"/>
              </w:rPr>
              <w:t>原有污水处理站</w:t>
            </w:r>
            <w:r>
              <w:rPr>
                <w:rFonts w:hint="eastAsia" w:cs="Times New Roman"/>
                <w:color w:val="auto"/>
                <w:lang w:val="en-US" w:eastAsia="zh-CN"/>
              </w:rPr>
              <w:t>发生事故时</w:t>
            </w:r>
            <w:r>
              <w:rPr>
                <w:rFonts w:hint="default" w:ascii="Times New Roman" w:hAnsi="Times New Roman" w:cs="Times New Roman"/>
                <w:color w:val="auto"/>
                <w:lang w:val="en-US" w:eastAsia="zh-CN"/>
              </w:rPr>
              <w:t>处理事故生产废水，</w:t>
            </w:r>
            <w:r>
              <w:rPr>
                <w:rFonts w:hint="eastAsia" w:cs="Times New Roman"/>
                <w:color w:val="auto"/>
                <w:lang w:val="en-US" w:eastAsia="zh-CN"/>
              </w:rPr>
              <w:t>项目设置</w:t>
            </w:r>
            <w:r>
              <w:rPr>
                <w:rFonts w:hint="default" w:ascii="Times New Roman" w:hAnsi="Times New Roman" w:cs="Times New Roman"/>
                <w:color w:val="auto"/>
                <w:lang w:val="en-US" w:eastAsia="zh-CN"/>
              </w:rPr>
              <w:t>应急事故池收集</w:t>
            </w:r>
            <w:r>
              <w:rPr>
                <w:rFonts w:hint="eastAsia" w:ascii="Times New Roman" w:hAnsi="Times New Roman" w:cs="Times New Roman"/>
                <w:color w:val="auto"/>
                <w:lang w:val="en-US" w:eastAsia="zh-CN"/>
              </w:rPr>
              <w:t>泄漏</w:t>
            </w:r>
            <w:r>
              <w:rPr>
                <w:rFonts w:hint="default" w:ascii="Times New Roman" w:hAnsi="Times New Roman" w:cs="Times New Roman"/>
                <w:color w:val="auto"/>
                <w:lang w:val="en-US" w:eastAsia="zh-CN"/>
              </w:rPr>
              <w:t>的盐酸</w:t>
            </w:r>
            <w:r>
              <w:rPr>
                <w:rFonts w:hint="eastAsia" w:cs="Times New Roman"/>
                <w:color w:val="auto"/>
                <w:lang w:val="en-US" w:eastAsia="zh-CN"/>
              </w:rPr>
              <w:t>、</w:t>
            </w:r>
            <w:r>
              <w:rPr>
                <w:rFonts w:hint="default" w:ascii="Times New Roman" w:hAnsi="Times New Roman" w:cs="Times New Roman"/>
                <w:color w:val="auto"/>
                <w:lang w:val="en-US" w:eastAsia="zh-CN"/>
              </w:rPr>
              <w:t>乙醇</w:t>
            </w:r>
            <w:r>
              <w:rPr>
                <w:rFonts w:hint="eastAsia" w:cs="Times New Roman"/>
                <w:color w:val="auto"/>
                <w:lang w:val="en-US" w:eastAsia="zh-CN"/>
              </w:rPr>
              <w:t>和消防废水</w:t>
            </w:r>
            <w:r>
              <w:rPr>
                <w:rFonts w:hint="default" w:ascii="Times New Roman" w:hAnsi="Times New Roman" w:cs="Times New Roman"/>
                <w:color w:val="auto"/>
                <w:lang w:val="en-US" w:eastAsia="zh-CN"/>
              </w:rPr>
              <w:t>，经企业合</w:t>
            </w:r>
            <w:r>
              <w:rPr>
                <w:rFonts w:hint="eastAsia" w:ascii="Times New Roman" w:hAnsi="Times New Roman" w:cs="Times New Roman"/>
                <w:color w:val="auto"/>
                <w:lang w:val="en-US" w:eastAsia="zh-CN"/>
              </w:rPr>
              <w:t>规</w:t>
            </w:r>
            <w:r>
              <w:rPr>
                <w:rFonts w:hint="default" w:ascii="Times New Roman" w:hAnsi="Times New Roman" w:cs="Times New Roman"/>
                <w:color w:val="auto"/>
                <w:lang w:val="en-US" w:eastAsia="zh-CN"/>
              </w:rPr>
              <w:t>处置后，事故状态下，企业不会对</w:t>
            </w:r>
            <w:r>
              <w:rPr>
                <w:rFonts w:hint="eastAsia" w:ascii="Times New Roman" w:hAnsi="Times New Roman" w:cs="Times New Roman"/>
                <w:color w:val="auto"/>
                <w:lang w:val="en-US" w:eastAsia="zh-CN"/>
              </w:rPr>
              <w:t>江西高安锦江国家湿地公园</w:t>
            </w:r>
            <w:r>
              <w:rPr>
                <w:rFonts w:hint="default" w:ascii="Times New Roman" w:hAnsi="Times New Roman" w:cs="Times New Roman"/>
                <w:color w:val="auto"/>
                <w:lang w:val="en-US" w:eastAsia="zh-CN"/>
              </w:rPr>
              <w:t>造成不利影响</w:t>
            </w:r>
            <w:r>
              <w:rPr>
                <w:rFonts w:hint="eastAsia" w:cs="Times New Roman"/>
                <w:color w:val="auto"/>
                <w:lang w:val="en-US" w:eastAsia="zh-CN"/>
              </w:rPr>
              <w:t>。</w:t>
            </w:r>
            <w:r>
              <w:rPr>
                <w:rFonts w:hint="default" w:ascii="Times New Roman" w:hAnsi="Times New Roman" w:eastAsia="宋体" w:cs="Times New Roman"/>
                <w:color w:val="auto"/>
                <w:lang w:val="en-US" w:eastAsia="zh-CN"/>
              </w:rPr>
              <w:t>项目废气、固体废物、噪声等各项污染物采取相关措施处理后对周围生态环境无明显影响。综上所述，技改项目的建设对周边生态环境影响较小。</w:t>
            </w:r>
          </w:p>
          <w:p w14:paraId="3CD8BC4C">
            <w:pPr>
              <w:pStyle w:val="78"/>
              <w:keepNext w:val="0"/>
              <w:keepLines w:val="0"/>
              <w:suppressLineNumbers w:val="0"/>
              <w:spacing w:before="0" w:beforeAutospacing="0" w:after="0" w:afterAutospacing="0"/>
              <w:ind w:left="0" w:right="0" w:firstLine="480"/>
              <w:rPr>
                <w:rFonts w:hint="default" w:ascii="Times New Roman" w:hAnsi="Times New Roman" w:cs="Times New Roman"/>
                <w:b/>
                <w:bCs/>
                <w:color w:val="auto"/>
              </w:rPr>
            </w:pPr>
            <w:r>
              <w:rPr>
                <w:rFonts w:hint="default" w:ascii="Times New Roman" w:hAnsi="Times New Roman" w:cs="Times New Roman"/>
                <w:b/>
                <w:bCs/>
                <w:color w:val="auto"/>
                <w:lang w:val="en-US" w:eastAsia="zh-CN"/>
              </w:rPr>
              <w:t>8</w:t>
            </w:r>
            <w:r>
              <w:rPr>
                <w:rFonts w:hint="default" w:ascii="Times New Roman" w:hAnsi="Times New Roman" w:cs="Times New Roman"/>
                <w:b/>
                <w:bCs/>
                <w:color w:val="auto"/>
              </w:rPr>
              <w:t>、项目环保投资费用</w:t>
            </w:r>
          </w:p>
          <w:p w14:paraId="1C35C9BA">
            <w:pPr>
              <w:pStyle w:val="78"/>
              <w:keepNext w:val="0"/>
              <w:keepLines w:val="0"/>
              <w:suppressLineNumbers w:val="0"/>
              <w:spacing w:before="0" w:beforeAutospacing="0" w:after="0" w:afterAutospacing="0"/>
              <w:ind w:left="0" w:right="0" w:firstLine="480"/>
              <w:rPr>
                <w:rFonts w:hint="default" w:ascii="Times New Roman" w:hAnsi="Times New Roman" w:cs="Times New Roman"/>
                <w:color w:val="auto"/>
              </w:rPr>
            </w:pPr>
            <w:r>
              <w:rPr>
                <w:rFonts w:hint="default" w:ascii="Times New Roman" w:hAnsi="Times New Roman" w:cs="Times New Roman"/>
                <w:color w:val="auto"/>
              </w:rPr>
              <w:t>根据项目投资及行业特性</w:t>
            </w:r>
            <w:r>
              <w:rPr>
                <w:rFonts w:hint="default" w:ascii="Times New Roman" w:hAnsi="Times New Roman" w:cs="Times New Roman"/>
                <w:color w:val="auto"/>
                <w:lang w:eastAsia="zh-CN"/>
              </w:rPr>
              <w:t>，技改项目</w:t>
            </w:r>
            <w:r>
              <w:rPr>
                <w:rFonts w:hint="default" w:ascii="Times New Roman" w:hAnsi="Times New Roman" w:cs="Times New Roman"/>
                <w:color w:val="auto"/>
              </w:rPr>
              <w:t>运营期环保投资如下：</w:t>
            </w:r>
          </w:p>
          <w:p w14:paraId="2E2103B0">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建设项目环保投资情况一览表</w:t>
            </w:r>
          </w:p>
          <w:tbl>
            <w:tblPr>
              <w:tblStyle w:val="29"/>
              <w:tblW w:w="4981"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11"/>
              <w:gridCol w:w="475"/>
              <w:gridCol w:w="1328"/>
              <w:gridCol w:w="3785"/>
              <w:gridCol w:w="1536"/>
            </w:tblGrid>
            <w:tr w14:paraId="2C69B00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tcBorders>
                    <w:tl2br w:val="nil"/>
                    <w:tr2bl w:val="nil"/>
                  </w:tcBorders>
                  <w:noWrap w:val="0"/>
                  <w:vAlign w:val="center"/>
                </w:tcPr>
                <w:p w14:paraId="68937C8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序号</w:t>
                  </w:r>
                </w:p>
              </w:tc>
              <w:tc>
                <w:tcPr>
                  <w:tcW w:w="1150" w:type="pct"/>
                  <w:gridSpan w:val="2"/>
                  <w:tcBorders>
                    <w:tl2br w:val="nil"/>
                    <w:tr2bl w:val="nil"/>
                  </w:tcBorders>
                  <w:noWrap w:val="0"/>
                  <w:vAlign w:val="center"/>
                </w:tcPr>
                <w:p w14:paraId="0E76F4F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污染源</w:t>
                  </w:r>
                </w:p>
              </w:tc>
              <w:tc>
                <w:tcPr>
                  <w:tcW w:w="2414" w:type="pct"/>
                  <w:tcBorders>
                    <w:tl2br w:val="nil"/>
                    <w:tr2bl w:val="nil"/>
                  </w:tcBorders>
                  <w:noWrap w:val="0"/>
                  <w:vAlign w:val="center"/>
                </w:tcPr>
                <w:p w14:paraId="4D0861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环保措施</w:t>
                  </w:r>
                </w:p>
              </w:tc>
              <w:tc>
                <w:tcPr>
                  <w:tcW w:w="980" w:type="pct"/>
                  <w:tcBorders>
                    <w:tl2br w:val="nil"/>
                    <w:tr2bl w:val="nil"/>
                  </w:tcBorders>
                  <w:noWrap w:val="0"/>
                  <w:vAlign w:val="center"/>
                </w:tcPr>
                <w:p w14:paraId="0008F0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环保投资（万）</w:t>
                  </w:r>
                </w:p>
              </w:tc>
            </w:tr>
            <w:tr w14:paraId="10FB12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tcBorders>
                    <w:tl2br w:val="nil"/>
                    <w:tr2bl w:val="nil"/>
                  </w:tcBorders>
                  <w:noWrap w:val="0"/>
                  <w:vAlign w:val="center"/>
                </w:tcPr>
                <w:p w14:paraId="13332C8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w:t>
                  </w:r>
                </w:p>
              </w:tc>
              <w:tc>
                <w:tcPr>
                  <w:tcW w:w="1150" w:type="pct"/>
                  <w:gridSpan w:val="2"/>
                  <w:tcBorders>
                    <w:tl2br w:val="nil"/>
                    <w:tr2bl w:val="nil"/>
                  </w:tcBorders>
                  <w:noWrap w:val="0"/>
                  <w:vAlign w:val="center"/>
                </w:tcPr>
                <w:p w14:paraId="77F1E5B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废水</w:t>
                  </w:r>
                </w:p>
              </w:tc>
              <w:tc>
                <w:tcPr>
                  <w:tcW w:w="2414" w:type="pct"/>
                  <w:tcBorders>
                    <w:tl2br w:val="nil"/>
                    <w:tr2bl w:val="nil"/>
                  </w:tcBorders>
                  <w:noWrap w:val="0"/>
                  <w:vAlign w:val="center"/>
                </w:tcPr>
                <w:p w14:paraId="6A610D9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新建备用污水处理站</w:t>
                  </w:r>
                </w:p>
              </w:tc>
              <w:tc>
                <w:tcPr>
                  <w:tcW w:w="980" w:type="pct"/>
                  <w:tcBorders>
                    <w:tl2br w:val="nil"/>
                    <w:tr2bl w:val="nil"/>
                  </w:tcBorders>
                  <w:noWrap w:val="0"/>
                  <w:vAlign w:val="center"/>
                </w:tcPr>
                <w:p w14:paraId="6C9C6C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400</w:t>
                  </w:r>
                </w:p>
              </w:tc>
            </w:tr>
            <w:tr w14:paraId="4BA5A5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4" w:hRule="atLeast"/>
              </w:trPr>
              <w:tc>
                <w:tcPr>
                  <w:tcW w:w="454" w:type="pct"/>
                  <w:vMerge w:val="restart"/>
                  <w:tcBorders>
                    <w:tl2br w:val="nil"/>
                    <w:tr2bl w:val="nil"/>
                  </w:tcBorders>
                  <w:noWrap w:val="0"/>
                  <w:vAlign w:val="center"/>
                </w:tcPr>
                <w:p w14:paraId="0026BA1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w:t>
                  </w:r>
                </w:p>
              </w:tc>
              <w:tc>
                <w:tcPr>
                  <w:tcW w:w="303" w:type="pct"/>
                  <w:vMerge w:val="restart"/>
                  <w:tcBorders>
                    <w:tl2br w:val="nil"/>
                    <w:tr2bl w:val="nil"/>
                  </w:tcBorders>
                  <w:noWrap w:val="0"/>
                  <w:vAlign w:val="center"/>
                </w:tcPr>
                <w:p w14:paraId="63BECB3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w:t>
                  </w:r>
                </w:p>
              </w:tc>
              <w:tc>
                <w:tcPr>
                  <w:tcW w:w="847" w:type="pct"/>
                  <w:tcBorders>
                    <w:tl2br w:val="nil"/>
                    <w:tr2bl w:val="nil"/>
                  </w:tcBorders>
                  <w:noWrap w:val="0"/>
                  <w:vAlign w:val="center"/>
                </w:tcPr>
                <w:p w14:paraId="1B5CC76E">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破碎废气</w:t>
                  </w:r>
                </w:p>
              </w:tc>
              <w:tc>
                <w:tcPr>
                  <w:tcW w:w="2414" w:type="pct"/>
                  <w:tcBorders>
                    <w:tl2br w:val="nil"/>
                    <w:tr2bl w:val="nil"/>
                  </w:tcBorders>
                  <w:noWrap w:val="0"/>
                  <w:vAlign w:val="center"/>
                </w:tcPr>
                <w:p w14:paraId="7C742D0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w:t>
                  </w:r>
                </w:p>
              </w:tc>
              <w:tc>
                <w:tcPr>
                  <w:tcW w:w="980" w:type="pct"/>
                  <w:tcBorders>
                    <w:tl2br w:val="nil"/>
                    <w:tr2bl w:val="nil"/>
                  </w:tcBorders>
                  <w:noWrap w:val="0"/>
                  <w:vAlign w:val="center"/>
                </w:tcPr>
                <w:p w14:paraId="1FAC19B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w:t>
                  </w:r>
                </w:p>
              </w:tc>
            </w:tr>
            <w:tr w14:paraId="40A650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4" w:hRule="atLeast"/>
              </w:trPr>
              <w:tc>
                <w:tcPr>
                  <w:tcW w:w="454" w:type="pct"/>
                  <w:vMerge w:val="continue"/>
                  <w:tcBorders>
                    <w:tl2br w:val="nil"/>
                    <w:tr2bl w:val="nil"/>
                  </w:tcBorders>
                  <w:noWrap w:val="0"/>
                  <w:vAlign w:val="center"/>
                </w:tcPr>
                <w:p w14:paraId="10495425">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p>
              </w:tc>
              <w:tc>
                <w:tcPr>
                  <w:tcW w:w="303" w:type="pct"/>
                  <w:vMerge w:val="continue"/>
                  <w:tcBorders>
                    <w:tl2br w:val="nil"/>
                    <w:tr2bl w:val="nil"/>
                  </w:tcBorders>
                  <w:noWrap w:val="0"/>
                  <w:vAlign w:val="center"/>
                </w:tcPr>
                <w:p w14:paraId="3562C49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847" w:type="pct"/>
                  <w:tcBorders>
                    <w:tl2br w:val="nil"/>
                    <w:tr2bl w:val="nil"/>
                  </w:tcBorders>
                  <w:noWrap w:val="0"/>
                  <w:vAlign w:val="center"/>
                </w:tcPr>
                <w:p w14:paraId="6B57AAE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上料废气</w:t>
                  </w:r>
                </w:p>
              </w:tc>
              <w:tc>
                <w:tcPr>
                  <w:tcW w:w="2414" w:type="pct"/>
                  <w:tcBorders>
                    <w:tl2br w:val="nil"/>
                    <w:tr2bl w:val="nil"/>
                  </w:tcBorders>
                  <w:noWrap w:val="0"/>
                  <w:vAlign w:val="center"/>
                </w:tcPr>
                <w:p w14:paraId="7CDAA2B9">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w:t>
                  </w:r>
                </w:p>
              </w:tc>
              <w:tc>
                <w:tcPr>
                  <w:tcW w:w="980" w:type="pct"/>
                  <w:tcBorders>
                    <w:tl2br w:val="nil"/>
                    <w:tr2bl w:val="nil"/>
                  </w:tcBorders>
                  <w:noWrap w:val="0"/>
                  <w:vAlign w:val="center"/>
                </w:tcPr>
                <w:p w14:paraId="2EEDCB20">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r>
            <w:tr w14:paraId="0212E32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vMerge w:val="continue"/>
                  <w:tcBorders>
                    <w:tl2br w:val="nil"/>
                    <w:tr2bl w:val="nil"/>
                  </w:tcBorders>
                  <w:shd w:val="clear" w:color="auto" w:fill="auto"/>
                  <w:noWrap w:val="0"/>
                  <w:vAlign w:val="center"/>
                </w:tcPr>
                <w:p w14:paraId="03189F5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p>
              </w:tc>
              <w:tc>
                <w:tcPr>
                  <w:tcW w:w="303" w:type="pct"/>
                  <w:vMerge w:val="continue"/>
                  <w:tcBorders>
                    <w:tl2br w:val="nil"/>
                    <w:tr2bl w:val="nil"/>
                  </w:tcBorders>
                  <w:noWrap w:val="0"/>
                  <w:vAlign w:val="center"/>
                </w:tcPr>
                <w:p w14:paraId="584A4EA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847" w:type="pct"/>
                  <w:tcBorders>
                    <w:tl2br w:val="nil"/>
                    <w:tr2bl w:val="nil"/>
                  </w:tcBorders>
                  <w:noWrap w:val="0"/>
                  <w:vAlign w:val="center"/>
                </w:tcPr>
                <w:p w14:paraId="42AC16E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冷凝废气</w:t>
                  </w:r>
                </w:p>
              </w:tc>
              <w:tc>
                <w:tcPr>
                  <w:tcW w:w="2414" w:type="pct"/>
                  <w:tcBorders>
                    <w:tl2br w:val="nil"/>
                    <w:tr2bl w:val="nil"/>
                  </w:tcBorders>
                  <w:noWrap w:val="0"/>
                  <w:vAlign w:val="center"/>
                </w:tcPr>
                <w:p w14:paraId="1F54A3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布袋除尘器+</w:t>
                  </w: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c>
                <w:tcPr>
                  <w:tcW w:w="980" w:type="pct"/>
                  <w:vMerge w:val="restart"/>
                  <w:tcBorders>
                    <w:tl2br w:val="nil"/>
                    <w:tr2bl w:val="nil"/>
                  </w:tcBorders>
                  <w:noWrap w:val="0"/>
                  <w:vAlign w:val="center"/>
                </w:tcPr>
                <w:p w14:paraId="64A72048">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60</w:t>
                  </w:r>
                </w:p>
              </w:tc>
            </w:tr>
            <w:tr w14:paraId="4B46EA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vMerge w:val="continue"/>
                  <w:tcBorders>
                    <w:tl2br w:val="nil"/>
                    <w:tr2bl w:val="nil"/>
                  </w:tcBorders>
                  <w:shd w:val="clear" w:color="auto" w:fill="auto"/>
                  <w:noWrap w:val="0"/>
                  <w:vAlign w:val="center"/>
                </w:tcPr>
                <w:p w14:paraId="3010E6A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p>
              </w:tc>
              <w:tc>
                <w:tcPr>
                  <w:tcW w:w="303" w:type="pct"/>
                  <w:vMerge w:val="continue"/>
                  <w:tcBorders>
                    <w:tl2br w:val="nil"/>
                    <w:tr2bl w:val="nil"/>
                  </w:tcBorders>
                  <w:noWrap w:val="0"/>
                  <w:vAlign w:val="center"/>
                </w:tcPr>
                <w:p w14:paraId="6F5B15B4">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847" w:type="pct"/>
                  <w:tcBorders>
                    <w:tl2br w:val="nil"/>
                    <w:tr2bl w:val="nil"/>
                  </w:tcBorders>
                  <w:noWrap w:val="0"/>
                  <w:vAlign w:val="center"/>
                </w:tcPr>
                <w:p w14:paraId="7709CED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沉淀、过滤废气</w:t>
                  </w:r>
                </w:p>
              </w:tc>
              <w:tc>
                <w:tcPr>
                  <w:tcW w:w="2414" w:type="pct"/>
                  <w:tcBorders>
                    <w:tl2br w:val="nil"/>
                    <w:tr2bl w:val="nil"/>
                  </w:tcBorders>
                  <w:noWrap w:val="0"/>
                  <w:vAlign w:val="center"/>
                </w:tcPr>
                <w:p w14:paraId="6FE6AEB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三级水喷淋装置</w:t>
                  </w:r>
                  <w:r>
                    <w:rPr>
                      <w:rFonts w:hint="default" w:ascii="Times New Roman" w:hAnsi="Times New Roman" w:cs="Times New Roman"/>
                      <w:color w:val="auto"/>
                      <w:lang w:val="en-US" w:eastAsia="zh-CN"/>
                    </w:rPr>
                    <w:t>+15m的排气筒排放（DA002）</w:t>
                  </w:r>
                </w:p>
              </w:tc>
              <w:tc>
                <w:tcPr>
                  <w:tcW w:w="980" w:type="pct"/>
                  <w:vMerge w:val="continue"/>
                  <w:tcBorders>
                    <w:tl2br w:val="nil"/>
                    <w:tr2bl w:val="nil"/>
                  </w:tcBorders>
                  <w:noWrap w:val="0"/>
                  <w:vAlign w:val="center"/>
                </w:tcPr>
                <w:p w14:paraId="6DC77BD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r>
            <w:tr w14:paraId="2F8DB4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vMerge w:val="continue"/>
                  <w:tcBorders>
                    <w:tl2br w:val="nil"/>
                    <w:tr2bl w:val="nil"/>
                  </w:tcBorders>
                  <w:shd w:val="clear" w:color="auto" w:fill="auto"/>
                  <w:noWrap w:val="0"/>
                  <w:vAlign w:val="center"/>
                </w:tcPr>
                <w:p w14:paraId="5D80D56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p>
              </w:tc>
              <w:tc>
                <w:tcPr>
                  <w:tcW w:w="303" w:type="pct"/>
                  <w:vMerge w:val="continue"/>
                  <w:tcBorders>
                    <w:tl2br w:val="nil"/>
                    <w:tr2bl w:val="nil"/>
                  </w:tcBorders>
                  <w:noWrap w:val="0"/>
                  <w:vAlign w:val="center"/>
                </w:tcPr>
                <w:p w14:paraId="36865872">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847" w:type="pct"/>
                  <w:tcBorders>
                    <w:tl2br w:val="nil"/>
                    <w:tr2bl w:val="nil"/>
                  </w:tcBorders>
                  <w:noWrap w:val="0"/>
                  <w:vAlign w:val="center"/>
                </w:tcPr>
                <w:p w14:paraId="6D1DE05B">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锅炉烟气</w:t>
                  </w:r>
                </w:p>
              </w:tc>
              <w:tc>
                <w:tcPr>
                  <w:tcW w:w="2414" w:type="pct"/>
                  <w:tcBorders>
                    <w:tl2br w:val="nil"/>
                    <w:tr2bl w:val="nil"/>
                  </w:tcBorders>
                  <w:noWrap w:val="0"/>
                  <w:vAlign w:val="center"/>
                </w:tcPr>
                <w:p w14:paraId="52E8C2B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依托现有</w:t>
                  </w:r>
                </w:p>
              </w:tc>
              <w:tc>
                <w:tcPr>
                  <w:tcW w:w="980" w:type="pct"/>
                  <w:tcBorders>
                    <w:tl2br w:val="nil"/>
                    <w:tr2bl w:val="nil"/>
                  </w:tcBorders>
                  <w:noWrap w:val="0"/>
                  <w:vAlign w:val="center"/>
                </w:tcPr>
                <w:p w14:paraId="0C6651E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w:t>
                  </w:r>
                </w:p>
              </w:tc>
            </w:tr>
            <w:tr w14:paraId="79D06C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tcBorders>
                    <w:tl2br w:val="nil"/>
                    <w:tr2bl w:val="nil"/>
                  </w:tcBorders>
                  <w:shd w:val="clear" w:color="auto" w:fill="auto"/>
                  <w:noWrap w:val="0"/>
                  <w:vAlign w:val="center"/>
                </w:tcPr>
                <w:p w14:paraId="581E557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cs="Times New Roman"/>
                      <w:color w:val="auto"/>
                    </w:rPr>
                    <w:t>3</w:t>
                  </w:r>
                </w:p>
              </w:tc>
              <w:tc>
                <w:tcPr>
                  <w:tcW w:w="1150" w:type="pct"/>
                  <w:gridSpan w:val="2"/>
                  <w:tcBorders>
                    <w:tl2br w:val="nil"/>
                    <w:tr2bl w:val="nil"/>
                  </w:tcBorders>
                  <w:noWrap w:val="0"/>
                  <w:vAlign w:val="center"/>
                </w:tcPr>
                <w:p w14:paraId="5CD7225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噪声</w:t>
                  </w:r>
                </w:p>
              </w:tc>
              <w:tc>
                <w:tcPr>
                  <w:tcW w:w="2414" w:type="pct"/>
                  <w:tcBorders>
                    <w:tl2br w:val="nil"/>
                    <w:tr2bl w:val="nil"/>
                  </w:tcBorders>
                  <w:noWrap w:val="0"/>
                  <w:vAlign w:val="center"/>
                </w:tcPr>
                <w:p w14:paraId="367A7BEC">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生产设备底座设置减振垫</w:t>
                  </w:r>
                  <w:r>
                    <w:rPr>
                      <w:rFonts w:hint="default" w:ascii="Times New Roman" w:hAnsi="Times New Roman" w:cs="Times New Roman"/>
                      <w:color w:val="auto"/>
                      <w:lang w:eastAsia="zh-CN"/>
                    </w:rPr>
                    <w:t>，</w:t>
                  </w:r>
                  <w:r>
                    <w:rPr>
                      <w:rFonts w:hint="default" w:ascii="Times New Roman" w:hAnsi="Times New Roman" w:cs="Times New Roman"/>
                      <w:color w:val="auto"/>
                    </w:rPr>
                    <w:t>外侧设置隔声罩</w:t>
                  </w:r>
                </w:p>
              </w:tc>
              <w:tc>
                <w:tcPr>
                  <w:tcW w:w="980" w:type="pct"/>
                  <w:tcBorders>
                    <w:tl2br w:val="nil"/>
                    <w:tr2bl w:val="nil"/>
                  </w:tcBorders>
                  <w:noWrap w:val="0"/>
                  <w:vAlign w:val="center"/>
                </w:tcPr>
                <w:p w14:paraId="334DF9D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r>
            <w:tr w14:paraId="3734E4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454" w:type="pct"/>
                  <w:tcBorders>
                    <w:tl2br w:val="nil"/>
                    <w:tr2bl w:val="nil"/>
                  </w:tcBorders>
                  <w:shd w:val="clear" w:color="auto" w:fill="auto"/>
                  <w:noWrap w:val="0"/>
                  <w:vAlign w:val="center"/>
                </w:tcPr>
                <w:p w14:paraId="4DB1001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w:t>
                  </w:r>
                </w:p>
              </w:tc>
              <w:tc>
                <w:tcPr>
                  <w:tcW w:w="1150" w:type="pct"/>
                  <w:gridSpan w:val="2"/>
                  <w:tcBorders>
                    <w:tl2br w:val="nil"/>
                    <w:tr2bl w:val="nil"/>
                  </w:tcBorders>
                  <w:noWrap w:val="0"/>
                  <w:vAlign w:val="center"/>
                </w:tcPr>
                <w:p w14:paraId="57805E6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土壤、地下水</w:t>
                  </w:r>
                </w:p>
              </w:tc>
              <w:tc>
                <w:tcPr>
                  <w:tcW w:w="2414" w:type="pct"/>
                  <w:tcBorders>
                    <w:tl2br w:val="nil"/>
                    <w:tr2bl w:val="nil"/>
                  </w:tcBorders>
                  <w:noWrap w:val="0"/>
                  <w:vAlign w:val="center"/>
                </w:tcPr>
                <w:p w14:paraId="0963492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分区防渗措施</w:t>
                  </w:r>
                </w:p>
              </w:tc>
              <w:tc>
                <w:tcPr>
                  <w:tcW w:w="980" w:type="pct"/>
                  <w:tcBorders>
                    <w:tl2br w:val="nil"/>
                    <w:tr2bl w:val="nil"/>
                  </w:tcBorders>
                  <w:noWrap w:val="0"/>
                  <w:vAlign w:val="center"/>
                </w:tcPr>
                <w:p w14:paraId="6D9F88C7">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r>
            <w:tr w14:paraId="2EB8A1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54" w:type="pct"/>
                  <w:tcBorders>
                    <w:tl2br w:val="nil"/>
                    <w:tr2bl w:val="nil"/>
                  </w:tcBorders>
                  <w:shd w:val="clear" w:color="auto" w:fill="auto"/>
                  <w:noWrap w:val="0"/>
                  <w:vAlign w:val="center"/>
                </w:tcPr>
                <w:p w14:paraId="58CD610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1150" w:type="pct"/>
                  <w:gridSpan w:val="2"/>
                  <w:tcBorders>
                    <w:tl2br w:val="nil"/>
                    <w:tr2bl w:val="nil"/>
                  </w:tcBorders>
                  <w:noWrap w:val="0"/>
                  <w:vAlign w:val="center"/>
                </w:tcPr>
                <w:p w14:paraId="0BDAFF6A">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风险</w:t>
                  </w:r>
                </w:p>
              </w:tc>
              <w:tc>
                <w:tcPr>
                  <w:tcW w:w="2414" w:type="pct"/>
                  <w:tcBorders>
                    <w:tl2br w:val="nil"/>
                    <w:tr2bl w:val="nil"/>
                  </w:tcBorders>
                  <w:noWrap w:val="0"/>
                  <w:vAlign w:val="center"/>
                </w:tcPr>
                <w:p w14:paraId="297BA066">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应急事故池（</w:t>
                  </w:r>
                  <w:r>
                    <w:rPr>
                      <w:rFonts w:hint="eastAsia" w:cs="Times New Roman"/>
                      <w:color w:val="auto"/>
                      <w:lang w:val="en-US" w:eastAsia="zh-CN"/>
                    </w:rPr>
                    <w:t>2</w:t>
                  </w:r>
                  <w:r>
                    <w:rPr>
                      <w:rFonts w:hint="default" w:ascii="Times New Roman" w:hAnsi="Times New Roman" w:cs="Times New Roman"/>
                      <w:color w:val="auto"/>
                      <w:lang w:val="en-US" w:eastAsia="zh-CN"/>
                    </w:rPr>
                    <w:t>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w:t>
                  </w:r>
                </w:p>
              </w:tc>
              <w:tc>
                <w:tcPr>
                  <w:tcW w:w="980" w:type="pct"/>
                  <w:tcBorders>
                    <w:tl2br w:val="nil"/>
                    <w:tr2bl w:val="nil"/>
                  </w:tcBorders>
                  <w:noWrap w:val="0"/>
                  <w:vAlign w:val="center"/>
                </w:tcPr>
                <w:p w14:paraId="746259C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r>
            <w:tr w14:paraId="172E63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019" w:type="pct"/>
                  <w:gridSpan w:val="4"/>
                  <w:tcBorders>
                    <w:tl2br w:val="nil"/>
                    <w:tr2bl w:val="nil"/>
                  </w:tcBorders>
                  <w:noWrap w:val="0"/>
                  <w:vAlign w:val="center"/>
                </w:tcPr>
                <w:p w14:paraId="18B9ADD1">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总计</w:t>
                  </w:r>
                </w:p>
              </w:tc>
              <w:tc>
                <w:tcPr>
                  <w:tcW w:w="980" w:type="pct"/>
                  <w:tcBorders>
                    <w:tl2br w:val="nil"/>
                    <w:tr2bl w:val="nil"/>
                  </w:tcBorders>
                  <w:noWrap w:val="0"/>
                  <w:vAlign w:val="center"/>
                </w:tcPr>
                <w:p w14:paraId="6A2CFA1D">
                  <w:pPr>
                    <w:pStyle w:val="61"/>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480</w:t>
                  </w:r>
                </w:p>
              </w:tc>
            </w:tr>
          </w:tbl>
          <w:p w14:paraId="5EAE1CEC">
            <w:pPr>
              <w:pStyle w:val="78"/>
              <w:keepNext w:val="0"/>
              <w:keepLines w:val="0"/>
              <w:numPr>
                <w:ilvl w:val="0"/>
                <w:numId w:val="0"/>
              </w:numPr>
              <w:suppressLineNumbers w:val="0"/>
              <w:spacing w:before="0" w:beforeAutospacing="0" w:after="0" w:afterAutospacing="0"/>
              <w:ind w:left="0" w:leftChars="0" w:right="0" w:rightChars="0" w:firstLine="480" w:firstLineChars="200"/>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注：</w:t>
            </w:r>
            <w:r>
              <w:rPr>
                <w:rFonts w:hint="default" w:ascii="Times New Roman" w:hAnsi="Times New Roman" w:cs="Times New Roman"/>
                <w:color w:val="auto"/>
                <w:lang w:val="en-US" w:eastAsia="zh-CN"/>
              </w:rPr>
              <w:t>沉淀、过滤废气</w:t>
            </w:r>
            <w:r>
              <w:rPr>
                <w:rFonts w:hint="eastAsia" w:cs="Times New Roman"/>
                <w:color w:val="auto"/>
                <w:lang w:val="en-US" w:eastAsia="zh-CN"/>
              </w:rPr>
              <w:t>、</w:t>
            </w:r>
            <w:r>
              <w:rPr>
                <w:rFonts w:hint="default" w:ascii="Times New Roman" w:hAnsi="Times New Roman" w:cs="Times New Roman"/>
                <w:color w:val="auto"/>
                <w:lang w:val="en-US" w:eastAsia="zh-CN"/>
              </w:rPr>
              <w:t>冷凝废气</w:t>
            </w:r>
            <w:r>
              <w:rPr>
                <w:rFonts w:hint="eastAsia" w:cs="Times New Roman"/>
                <w:color w:val="auto"/>
                <w:lang w:val="en-US" w:eastAsia="zh-CN"/>
              </w:rPr>
              <w:t>共用一套三级水喷淋装置。</w:t>
            </w:r>
          </w:p>
          <w:p w14:paraId="13E7D221">
            <w:pPr>
              <w:pStyle w:val="78"/>
              <w:keepNext w:val="0"/>
              <w:keepLines w:val="0"/>
              <w:numPr>
                <w:ilvl w:val="0"/>
                <w:numId w:val="0"/>
              </w:numPr>
              <w:suppressLineNumbers w:val="0"/>
              <w:spacing w:before="0" w:beforeAutospacing="0" w:after="0" w:afterAutospacing="0"/>
              <w:ind w:left="0" w:leftChars="0" w:right="0" w:rightChars="0" w:firstLine="482" w:firstLineChars="200"/>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kern w:val="2"/>
                <w:sz w:val="24"/>
                <w:szCs w:val="24"/>
                <w:lang w:val="en-US" w:eastAsia="zh-CN" w:bidi="ar-SA"/>
              </w:rPr>
              <w:t>9、</w:t>
            </w:r>
            <w:r>
              <w:rPr>
                <w:rFonts w:hint="default" w:ascii="Times New Roman" w:hAnsi="Times New Roman" w:cs="Times New Roman"/>
                <w:b/>
                <w:bCs/>
                <w:color w:val="auto"/>
                <w:lang w:val="en-US" w:eastAsia="zh-CN"/>
              </w:rPr>
              <w:t>排污口设置</w:t>
            </w:r>
          </w:p>
          <w:p w14:paraId="25FDC764">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本项目</w:t>
            </w:r>
            <w:r>
              <w:rPr>
                <w:rFonts w:hint="default" w:ascii="Times New Roman" w:hAnsi="Times New Roman" w:eastAsia="宋体" w:cs="Times New Roman"/>
                <w:color w:val="auto"/>
                <w:lang w:val="en-US" w:eastAsia="zh-CN"/>
              </w:rPr>
              <w:t>废气排放口、固定噪声源、</w:t>
            </w:r>
            <w:r>
              <w:rPr>
                <w:rFonts w:hint="default" w:ascii="Times New Roman" w:hAnsi="Times New Roman" w:cs="Times New Roman"/>
                <w:color w:val="auto"/>
                <w:lang w:val="en-US" w:eastAsia="zh-CN"/>
              </w:rPr>
              <w:t>危险废物暂存间</w:t>
            </w:r>
            <w:r>
              <w:rPr>
                <w:rFonts w:hint="default" w:ascii="Times New Roman" w:hAnsi="Times New Roman" w:eastAsia="宋体" w:cs="Times New Roman"/>
                <w:color w:val="auto"/>
                <w:lang w:val="en-US" w:eastAsia="zh-CN"/>
              </w:rPr>
              <w:t>等必须按照《江西省排污口设置与规范化整治管理办法》进行建设，应符合“一明显、二合理、三便于”的要求，即环保标志明显，排污口设置合理，便于采集样品、便于监测计量。同时要求按照《环境保护图形标志实施细则（试行）》的规定，设置与排污口相应的图形标志牌。</w:t>
            </w:r>
          </w:p>
          <w:p w14:paraId="2E65BBB7">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建设单位应在各个排污口处</w:t>
            </w:r>
            <w:r>
              <w:rPr>
                <w:rFonts w:hint="default" w:ascii="Times New Roman" w:hAnsi="Times New Roman" w:cs="Times New Roman"/>
                <w:color w:val="auto"/>
                <w:lang w:val="en-US" w:eastAsia="zh-CN"/>
              </w:rPr>
              <w:t>竖立标志牌</w:t>
            </w:r>
            <w:r>
              <w:rPr>
                <w:rFonts w:hint="default" w:ascii="Times New Roman" w:hAnsi="Times New Roman" w:eastAsia="宋体" w:cs="Times New Roman"/>
                <w:color w:val="auto"/>
                <w:lang w:val="en-US" w:eastAsia="zh-CN"/>
              </w:rPr>
              <w:t>，并如实填写《中华人民共和国规范化排污口标记登记证》，由生态环境主管签发。生态环境主管部门和建设单位可分别按以下内容建立排污口管理的专门档案：排污口性质和编号；位置；排放主要污染物种类、数量、浓度；排放去向；达标情况。</w:t>
            </w:r>
          </w:p>
          <w:p w14:paraId="32B3F584">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环境环保图形标志的现状及颜色表</w:t>
            </w:r>
          </w:p>
          <w:tbl>
            <w:tblPr>
              <w:tblStyle w:val="29"/>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1943"/>
              <w:gridCol w:w="1941"/>
              <w:gridCol w:w="2030"/>
            </w:tblGrid>
            <w:tr w14:paraId="7A6D6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36" w:type="pct"/>
                  <w:vAlign w:val="center"/>
                </w:tcPr>
                <w:p w14:paraId="6194507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分类</w:t>
                  </w:r>
                </w:p>
              </w:tc>
              <w:tc>
                <w:tcPr>
                  <w:tcW w:w="1236" w:type="pct"/>
                  <w:vAlign w:val="center"/>
                </w:tcPr>
                <w:p w14:paraId="3B4A452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形状</w:t>
                  </w:r>
                </w:p>
              </w:tc>
              <w:tc>
                <w:tcPr>
                  <w:tcW w:w="1235" w:type="pct"/>
                  <w:vAlign w:val="center"/>
                </w:tcPr>
                <w:p w14:paraId="49E1B13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背景颜色</w:t>
                  </w:r>
                </w:p>
              </w:tc>
              <w:tc>
                <w:tcPr>
                  <w:tcW w:w="1291" w:type="pct"/>
                  <w:vAlign w:val="center"/>
                </w:tcPr>
                <w:p w14:paraId="26A044E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图形颜色</w:t>
                  </w:r>
                </w:p>
              </w:tc>
            </w:tr>
            <w:tr w14:paraId="25F0D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36" w:type="pct"/>
                  <w:vAlign w:val="center"/>
                </w:tcPr>
                <w:p w14:paraId="1AC33A1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警告标志</w:t>
                  </w:r>
                </w:p>
              </w:tc>
              <w:tc>
                <w:tcPr>
                  <w:tcW w:w="1236" w:type="pct"/>
                  <w:vAlign w:val="center"/>
                </w:tcPr>
                <w:p w14:paraId="2805081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三角形边框</w:t>
                  </w:r>
                </w:p>
              </w:tc>
              <w:tc>
                <w:tcPr>
                  <w:tcW w:w="1235" w:type="pct"/>
                  <w:vAlign w:val="center"/>
                </w:tcPr>
                <w:p w14:paraId="6356F117">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黄色</w:t>
                  </w:r>
                </w:p>
              </w:tc>
              <w:tc>
                <w:tcPr>
                  <w:tcW w:w="1291" w:type="pct"/>
                  <w:vAlign w:val="center"/>
                </w:tcPr>
                <w:p w14:paraId="4AEAFBB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黑色</w:t>
                  </w:r>
                </w:p>
              </w:tc>
            </w:tr>
            <w:tr w14:paraId="2109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36" w:type="pct"/>
                  <w:vAlign w:val="center"/>
                </w:tcPr>
                <w:p w14:paraId="74A341A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提示标志</w:t>
                  </w:r>
                </w:p>
              </w:tc>
              <w:tc>
                <w:tcPr>
                  <w:tcW w:w="1236" w:type="pct"/>
                  <w:vAlign w:val="center"/>
                </w:tcPr>
                <w:p w14:paraId="0086E6A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正方形边框</w:t>
                  </w:r>
                </w:p>
              </w:tc>
              <w:tc>
                <w:tcPr>
                  <w:tcW w:w="1235" w:type="pct"/>
                  <w:vAlign w:val="center"/>
                </w:tcPr>
                <w:p w14:paraId="3722711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绿色</w:t>
                  </w:r>
                </w:p>
              </w:tc>
              <w:tc>
                <w:tcPr>
                  <w:tcW w:w="1291" w:type="pct"/>
                  <w:vAlign w:val="center"/>
                </w:tcPr>
                <w:p w14:paraId="7AC4729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白色</w:t>
                  </w:r>
                </w:p>
              </w:tc>
            </w:tr>
          </w:tbl>
          <w:p w14:paraId="4CD961E2">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环境保护图形标志一览表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1305"/>
              <w:gridCol w:w="1901"/>
              <w:gridCol w:w="1305"/>
              <w:gridCol w:w="2747"/>
            </w:tblGrid>
            <w:tr w14:paraId="4A7B9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Align w:val="center"/>
                </w:tcPr>
                <w:p w14:paraId="13660E5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830" w:type="pct"/>
                  <w:vAlign w:val="center"/>
                </w:tcPr>
                <w:p w14:paraId="77CFBCF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分类</w:t>
                  </w:r>
                </w:p>
              </w:tc>
              <w:tc>
                <w:tcPr>
                  <w:tcW w:w="1209" w:type="pct"/>
                  <w:vAlign w:val="center"/>
                </w:tcPr>
                <w:p w14:paraId="17B6408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图形符号</w:t>
                  </w:r>
                </w:p>
              </w:tc>
              <w:tc>
                <w:tcPr>
                  <w:tcW w:w="830" w:type="pct"/>
                  <w:vAlign w:val="center"/>
                </w:tcPr>
                <w:p w14:paraId="4D29C33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名称</w:t>
                  </w:r>
                </w:p>
              </w:tc>
              <w:tc>
                <w:tcPr>
                  <w:tcW w:w="1747" w:type="pct"/>
                  <w:vAlign w:val="center"/>
                </w:tcPr>
                <w:p w14:paraId="5F08627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功能</w:t>
                  </w:r>
                </w:p>
              </w:tc>
            </w:tr>
            <w:tr w14:paraId="311B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Align w:val="center"/>
                </w:tcPr>
                <w:p w14:paraId="3AA29DB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830" w:type="pct"/>
                  <w:vMerge w:val="restart"/>
                  <w:vAlign w:val="center"/>
                </w:tcPr>
                <w:p w14:paraId="29F6E7F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提示图形符号</w:t>
                  </w:r>
                </w:p>
              </w:tc>
              <w:tc>
                <w:tcPr>
                  <w:tcW w:w="1209" w:type="pct"/>
                  <w:vAlign w:val="center"/>
                </w:tcPr>
                <w:p w14:paraId="52B42F9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drawing>
                      <wp:anchor distT="0" distB="0" distL="0" distR="0" simplePos="0" relativeHeight="251660288" behindDoc="0" locked="0" layoutInCell="1" allowOverlap="1">
                        <wp:simplePos x="0" y="0"/>
                        <wp:positionH relativeFrom="column">
                          <wp:posOffset>87630</wp:posOffset>
                        </wp:positionH>
                        <wp:positionV relativeFrom="paragraph">
                          <wp:posOffset>128270</wp:posOffset>
                        </wp:positionV>
                        <wp:extent cx="866775" cy="860425"/>
                        <wp:effectExtent l="0" t="0" r="1905" b="8255"/>
                        <wp:wrapSquare wrapText="bothSides"/>
                        <wp:docPr id="1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866775" cy="860425"/>
                                </a:xfrm>
                                <a:prstGeom prst="rect">
                                  <a:avLst/>
                                </a:prstGeom>
                                <a:noFill/>
                                <a:ln>
                                  <a:noFill/>
                                </a:ln>
                                <a:effectLst/>
                              </pic:spPr>
                            </pic:pic>
                          </a:graphicData>
                        </a:graphic>
                      </wp:anchor>
                    </w:drawing>
                  </w:r>
                </w:p>
              </w:tc>
              <w:tc>
                <w:tcPr>
                  <w:tcW w:w="830" w:type="pct"/>
                  <w:vAlign w:val="center"/>
                </w:tcPr>
                <w:p w14:paraId="0E2F365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废水排放口</w:t>
                  </w:r>
                </w:p>
              </w:tc>
              <w:tc>
                <w:tcPr>
                  <w:tcW w:w="1747" w:type="pct"/>
                  <w:vAlign w:val="center"/>
                </w:tcPr>
                <w:p w14:paraId="2444BEA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表示废水排向水体</w:t>
                  </w:r>
                </w:p>
              </w:tc>
            </w:tr>
            <w:tr w14:paraId="4D5D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Align w:val="center"/>
                </w:tcPr>
                <w:p w14:paraId="6AB9B2D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830" w:type="pct"/>
                  <w:vMerge w:val="continue"/>
                  <w:vAlign w:val="center"/>
                </w:tcPr>
                <w:p w14:paraId="1DE35BC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1209" w:type="pct"/>
                  <w:vAlign w:val="center"/>
                </w:tcPr>
                <w:p w14:paraId="4FF4C54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drawing>
                      <wp:anchor distT="0" distB="0" distL="0" distR="0" simplePos="0" relativeHeight="251661312" behindDoc="0" locked="0" layoutInCell="1" allowOverlap="1">
                        <wp:simplePos x="0" y="0"/>
                        <wp:positionH relativeFrom="column">
                          <wp:posOffset>94615</wp:posOffset>
                        </wp:positionH>
                        <wp:positionV relativeFrom="paragraph">
                          <wp:posOffset>69850</wp:posOffset>
                        </wp:positionV>
                        <wp:extent cx="838835" cy="838835"/>
                        <wp:effectExtent l="0" t="0" r="14605" b="14605"/>
                        <wp:wrapSquare wrapText="bothSides"/>
                        <wp:docPr id="2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838835" cy="838835"/>
                                </a:xfrm>
                                <a:prstGeom prst="rect">
                                  <a:avLst/>
                                </a:prstGeom>
                                <a:noFill/>
                                <a:ln>
                                  <a:noFill/>
                                </a:ln>
                                <a:effectLst/>
                              </pic:spPr>
                            </pic:pic>
                          </a:graphicData>
                        </a:graphic>
                      </wp:anchor>
                    </w:drawing>
                  </w:r>
                </w:p>
              </w:tc>
              <w:tc>
                <w:tcPr>
                  <w:tcW w:w="830" w:type="pct"/>
                  <w:vAlign w:val="center"/>
                </w:tcPr>
                <w:p w14:paraId="71B76EA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废气排放口</w:t>
                  </w:r>
                </w:p>
              </w:tc>
              <w:tc>
                <w:tcPr>
                  <w:tcW w:w="1747" w:type="pct"/>
                  <w:vAlign w:val="center"/>
                </w:tcPr>
                <w:p w14:paraId="4BF9810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表示废气向大气环境排放</w:t>
                  </w:r>
                </w:p>
              </w:tc>
            </w:tr>
            <w:tr w14:paraId="0A97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3" w:type="pct"/>
                  <w:vAlign w:val="center"/>
                </w:tcPr>
                <w:p w14:paraId="77D8CB4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830" w:type="pct"/>
                  <w:vMerge w:val="continue"/>
                  <w:vAlign w:val="center"/>
                </w:tcPr>
                <w:p w14:paraId="2F3AB8B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1209" w:type="pct"/>
                  <w:vAlign w:val="center"/>
                </w:tcPr>
                <w:p w14:paraId="17074A5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drawing>
                      <wp:anchor distT="0" distB="0" distL="0" distR="0" simplePos="0" relativeHeight="251662336" behindDoc="0" locked="0" layoutInCell="1" allowOverlap="1">
                        <wp:simplePos x="0" y="0"/>
                        <wp:positionH relativeFrom="column">
                          <wp:posOffset>109220</wp:posOffset>
                        </wp:positionH>
                        <wp:positionV relativeFrom="paragraph">
                          <wp:posOffset>87630</wp:posOffset>
                        </wp:positionV>
                        <wp:extent cx="918210" cy="904240"/>
                        <wp:effectExtent l="0" t="0" r="11430" b="10160"/>
                        <wp:wrapSquare wrapText="bothSides"/>
                        <wp:docPr id="2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918210" cy="904240"/>
                                </a:xfrm>
                                <a:prstGeom prst="rect">
                                  <a:avLst/>
                                </a:prstGeom>
                                <a:noFill/>
                                <a:ln>
                                  <a:noFill/>
                                </a:ln>
                                <a:effectLst/>
                              </pic:spPr>
                            </pic:pic>
                          </a:graphicData>
                        </a:graphic>
                      </wp:anchor>
                    </w:drawing>
                  </w:r>
                </w:p>
              </w:tc>
              <w:tc>
                <w:tcPr>
                  <w:tcW w:w="830" w:type="pct"/>
                  <w:vAlign w:val="center"/>
                </w:tcPr>
                <w:p w14:paraId="3FA6EC9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噪声排放源</w:t>
                  </w:r>
                </w:p>
              </w:tc>
              <w:tc>
                <w:tcPr>
                  <w:tcW w:w="1747" w:type="pct"/>
                  <w:vAlign w:val="center"/>
                </w:tcPr>
                <w:p w14:paraId="1B54DB1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表示噪声向外环境排放</w:t>
                  </w:r>
                </w:p>
              </w:tc>
            </w:tr>
            <w:tr w14:paraId="2DE78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Align w:val="center"/>
                </w:tcPr>
                <w:p w14:paraId="03A0038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830" w:type="pct"/>
                  <w:vMerge w:val="continue"/>
                  <w:vAlign w:val="center"/>
                </w:tcPr>
                <w:p w14:paraId="6C5FD5A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1209" w:type="pct"/>
                  <w:vAlign w:val="center"/>
                </w:tcPr>
                <w:p w14:paraId="58F37D9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drawing>
                      <wp:anchor distT="0" distB="0" distL="0" distR="0" simplePos="0" relativeHeight="251663360" behindDoc="0" locked="0" layoutInCell="1" allowOverlap="1">
                        <wp:simplePos x="0" y="0"/>
                        <wp:positionH relativeFrom="column">
                          <wp:posOffset>97790</wp:posOffset>
                        </wp:positionH>
                        <wp:positionV relativeFrom="paragraph">
                          <wp:posOffset>87630</wp:posOffset>
                        </wp:positionV>
                        <wp:extent cx="881380" cy="887730"/>
                        <wp:effectExtent l="0" t="0" r="2540" b="11430"/>
                        <wp:wrapSquare wrapText="bothSides"/>
                        <wp:docPr id="2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881380" cy="887730"/>
                                </a:xfrm>
                                <a:prstGeom prst="rect">
                                  <a:avLst/>
                                </a:prstGeom>
                                <a:noFill/>
                                <a:ln>
                                  <a:noFill/>
                                </a:ln>
                                <a:effectLst/>
                              </pic:spPr>
                            </pic:pic>
                          </a:graphicData>
                        </a:graphic>
                      </wp:anchor>
                    </w:drawing>
                  </w:r>
                </w:p>
              </w:tc>
              <w:tc>
                <w:tcPr>
                  <w:tcW w:w="830" w:type="pct"/>
                  <w:vAlign w:val="center"/>
                </w:tcPr>
                <w:p w14:paraId="14DD680A">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一般固体废物</w:t>
                  </w:r>
                </w:p>
              </w:tc>
              <w:tc>
                <w:tcPr>
                  <w:tcW w:w="1747" w:type="pct"/>
                  <w:vAlign w:val="center"/>
                </w:tcPr>
                <w:p w14:paraId="2587E12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表示一般固体废物贮存、处置场</w:t>
                  </w:r>
                </w:p>
              </w:tc>
            </w:tr>
            <w:tr w14:paraId="2CC30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3" w:type="pct"/>
                  <w:vAlign w:val="center"/>
                </w:tcPr>
                <w:p w14:paraId="47FE0EA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830" w:type="pct"/>
                  <w:vAlign w:val="center"/>
                </w:tcPr>
                <w:p w14:paraId="2FC95F0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警示图形符号</w:t>
                  </w:r>
                </w:p>
              </w:tc>
              <w:tc>
                <w:tcPr>
                  <w:tcW w:w="1209" w:type="pct"/>
                  <w:vAlign w:val="center"/>
                </w:tcPr>
                <w:p w14:paraId="14F18C0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drawing>
                      <wp:anchor distT="0" distB="0" distL="0" distR="0" simplePos="0" relativeHeight="251664384" behindDoc="0" locked="0" layoutInCell="1" allowOverlap="1">
                        <wp:simplePos x="0" y="0"/>
                        <wp:positionH relativeFrom="column">
                          <wp:posOffset>6350</wp:posOffset>
                        </wp:positionH>
                        <wp:positionV relativeFrom="paragraph">
                          <wp:posOffset>69850</wp:posOffset>
                        </wp:positionV>
                        <wp:extent cx="1055370" cy="1005840"/>
                        <wp:effectExtent l="0" t="0" r="11430" b="3810"/>
                        <wp:wrapSquare wrapText="bothSides"/>
                        <wp:docPr id="2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1055370" cy="1005840"/>
                                </a:xfrm>
                                <a:prstGeom prst="rect">
                                  <a:avLst/>
                                </a:prstGeom>
                                <a:noFill/>
                                <a:ln>
                                  <a:noFill/>
                                </a:ln>
                                <a:effectLst/>
                              </pic:spPr>
                            </pic:pic>
                          </a:graphicData>
                        </a:graphic>
                      </wp:anchor>
                    </w:drawing>
                  </w:r>
                </w:p>
              </w:tc>
              <w:tc>
                <w:tcPr>
                  <w:tcW w:w="830" w:type="pct"/>
                  <w:vAlign w:val="center"/>
                </w:tcPr>
                <w:p w14:paraId="79E9C66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w:t>
                  </w:r>
                </w:p>
              </w:tc>
              <w:tc>
                <w:tcPr>
                  <w:tcW w:w="1747" w:type="pct"/>
                  <w:vAlign w:val="center"/>
                </w:tcPr>
                <w:p w14:paraId="285F396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表示危险废物贮存、处置场</w:t>
                  </w:r>
                </w:p>
              </w:tc>
            </w:tr>
          </w:tbl>
          <w:p w14:paraId="51B19D93">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单位如实填写《中华人民共和国规范化排污口登记证》的有关内容，由生态环境主管部门签发登记证。建设单位应把有关排污情况如排污口的性质、编号、排污口位置以及主要排放的污染物种类、数量、浓度、排放规律、排放走向及污染治理设施的运行情况建</w:t>
            </w:r>
            <w:r>
              <w:rPr>
                <w:rFonts w:hint="default" w:ascii="Times New Roman" w:hAnsi="Times New Roman" w:cs="Times New Roman"/>
                <w:color w:val="auto"/>
                <w:lang w:val="en-US" w:eastAsia="zh-CN"/>
              </w:rPr>
              <w:t>立档案</w:t>
            </w:r>
            <w:r>
              <w:rPr>
                <w:rFonts w:hint="default" w:ascii="Times New Roman" w:hAnsi="Times New Roman" w:eastAsia="宋体" w:cs="Times New Roman"/>
                <w:color w:val="auto"/>
                <w:lang w:val="en-US" w:eastAsia="zh-CN"/>
              </w:rPr>
              <w:t>管理，并报送生态环境主管部门备案。</w:t>
            </w:r>
          </w:p>
          <w:p w14:paraId="3621CB0E">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10、技改前后污染物排放情况</w:t>
            </w:r>
          </w:p>
          <w:p w14:paraId="3916A26E">
            <w:pPr>
              <w:pStyle w:val="42"/>
              <w:keepNext w:val="0"/>
              <w:keepLines w:val="0"/>
              <w:numPr>
                <w:ilvl w:val="0"/>
                <w:numId w:val="11"/>
              </w:numPr>
              <w:suppressLineNumbers w:val="0"/>
              <w:bidi w:val="0"/>
              <w:spacing w:before="0" w:beforeAutospacing="0" w:after="0" w:afterAutospacing="0" w:line="240" w:lineRule="auto"/>
              <w:ind w:left="0" w:leftChars="0" w:right="0" w:firstLine="0" w:firstLineChars="0"/>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cs="Times New Roman"/>
                <w:b/>
                <w:color w:val="auto"/>
                <w:kern w:val="0"/>
                <w:sz w:val="24"/>
                <w:szCs w:val="24"/>
                <w:lang w:val="en-US" w:eastAsia="zh-CN" w:bidi="ar-SA"/>
              </w:rPr>
              <w:t>技改前后</w:t>
            </w:r>
            <w:r>
              <w:rPr>
                <w:rFonts w:hint="default" w:ascii="Times New Roman" w:hAnsi="Times New Roman" w:eastAsia="宋体" w:cs="Times New Roman"/>
                <w:b/>
                <w:color w:val="auto"/>
                <w:kern w:val="0"/>
                <w:sz w:val="24"/>
                <w:szCs w:val="24"/>
                <w:lang w:val="en-US" w:eastAsia="zh-CN" w:bidi="ar-SA"/>
              </w:rPr>
              <w:t>项目污染物排放分析表</w:t>
            </w:r>
          </w:p>
          <w:tbl>
            <w:tblPr>
              <w:tblStyle w:val="29"/>
              <w:tblW w:w="500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
              <w:gridCol w:w="814"/>
              <w:gridCol w:w="479"/>
              <w:gridCol w:w="1027"/>
              <w:gridCol w:w="1276"/>
              <w:gridCol w:w="1098"/>
              <w:gridCol w:w="1401"/>
              <w:gridCol w:w="1347"/>
            </w:tblGrid>
            <w:tr w14:paraId="06249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458" w:type="pct"/>
                  <w:tcBorders>
                    <w:tl2br w:val="nil"/>
                    <w:tr2bl w:val="nil"/>
                  </w:tcBorders>
                  <w:noWrap w:val="0"/>
                  <w:vAlign w:val="center"/>
                </w:tcPr>
                <w:p w14:paraId="6D9BA10E">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污染物名称</w:t>
                  </w:r>
                </w:p>
              </w:tc>
              <w:tc>
                <w:tcPr>
                  <w:tcW w:w="765" w:type="pct"/>
                  <w:tcBorders>
                    <w:tl2br w:val="nil"/>
                    <w:tr2bl w:val="nil"/>
                  </w:tcBorders>
                  <w:noWrap w:val="0"/>
                  <w:vAlign w:val="center"/>
                </w:tcPr>
                <w:p w14:paraId="12FC4136">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污染物</w:t>
                  </w:r>
                </w:p>
              </w:tc>
              <w:tc>
                <w:tcPr>
                  <w:tcW w:w="718" w:type="pct"/>
                  <w:tcBorders>
                    <w:tl2br w:val="nil"/>
                    <w:tr2bl w:val="nil"/>
                  </w:tcBorders>
                  <w:noWrap w:val="0"/>
                  <w:vAlign w:val="center"/>
                </w:tcPr>
                <w:p w14:paraId="0B28F43A">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单位</w:t>
                  </w:r>
                </w:p>
              </w:tc>
              <w:tc>
                <w:tcPr>
                  <w:tcW w:w="592" w:type="pct"/>
                  <w:tcBorders>
                    <w:tl2br w:val="nil"/>
                    <w:tr2bl w:val="nil"/>
                  </w:tcBorders>
                  <w:noWrap w:val="0"/>
                  <w:vAlign w:val="center"/>
                </w:tcPr>
                <w:p w14:paraId="093E5FA2">
                  <w:pPr>
                    <w:pStyle w:val="13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lang w:val="en-US" w:eastAsia="zh-CN"/>
                    </w:rPr>
                    <w:t>现有项目排放量</w:t>
                  </w:r>
                </w:p>
              </w:tc>
              <w:tc>
                <w:tcPr>
                  <w:tcW w:w="572" w:type="pct"/>
                  <w:tcBorders>
                    <w:tl2br w:val="nil"/>
                    <w:tr2bl w:val="nil"/>
                  </w:tcBorders>
                  <w:noWrap w:val="0"/>
                  <w:vAlign w:val="center"/>
                </w:tcPr>
                <w:p w14:paraId="0848EB7D">
                  <w:pPr>
                    <w:pStyle w:val="13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lang w:val="en-US" w:eastAsia="zh-CN"/>
                    </w:rPr>
                    <w:t>本项目排放量</w:t>
                  </w:r>
                </w:p>
              </w:tc>
              <w:tc>
                <w:tcPr>
                  <w:tcW w:w="683" w:type="pct"/>
                  <w:tcBorders>
                    <w:tl2br w:val="nil"/>
                    <w:tr2bl w:val="nil"/>
                  </w:tcBorders>
                  <w:noWrap w:val="0"/>
                  <w:vAlign w:val="center"/>
                </w:tcPr>
                <w:p w14:paraId="24BEC031">
                  <w:pPr>
                    <w:pStyle w:val="13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lang w:val="en-US" w:eastAsia="zh-CN"/>
                    </w:rPr>
                    <w:t>“以新带老”削减量</w:t>
                  </w:r>
                </w:p>
              </w:tc>
              <w:tc>
                <w:tcPr>
                  <w:tcW w:w="591" w:type="pct"/>
                  <w:tcBorders>
                    <w:tl2br w:val="nil"/>
                    <w:tr2bl w:val="nil"/>
                  </w:tcBorders>
                  <w:noWrap w:val="0"/>
                  <w:vAlign w:val="center"/>
                </w:tcPr>
                <w:p w14:paraId="2163C26A">
                  <w:pPr>
                    <w:pStyle w:val="13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lang w:val="en-US" w:eastAsia="zh-CN"/>
                    </w:rPr>
                    <w:t>全厂排放量</w:t>
                  </w:r>
                </w:p>
              </w:tc>
              <w:tc>
                <w:tcPr>
                  <w:tcW w:w="616" w:type="pct"/>
                  <w:tcBorders>
                    <w:tl2br w:val="nil"/>
                    <w:tr2bl w:val="nil"/>
                  </w:tcBorders>
                  <w:noWrap w:val="0"/>
                  <w:vAlign w:val="center"/>
                </w:tcPr>
                <w:p w14:paraId="3FD0CA87">
                  <w:pPr>
                    <w:pStyle w:val="13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lang w:val="en-US" w:eastAsia="zh-CN"/>
                    </w:rPr>
                    <w:t>增减量</w:t>
                  </w:r>
                </w:p>
              </w:tc>
            </w:tr>
            <w:tr w14:paraId="4A649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458" w:type="pct"/>
                  <w:vMerge w:val="restart"/>
                  <w:tcBorders>
                    <w:tl2br w:val="nil"/>
                    <w:tr2bl w:val="nil"/>
                  </w:tcBorders>
                  <w:noWrap w:val="0"/>
                  <w:vAlign w:val="center"/>
                </w:tcPr>
                <w:p w14:paraId="7DBAC21C">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大气污染物</w:t>
                  </w:r>
                </w:p>
              </w:tc>
              <w:tc>
                <w:tcPr>
                  <w:tcW w:w="765" w:type="pct"/>
                  <w:tcBorders>
                    <w:tl2br w:val="nil"/>
                    <w:tr2bl w:val="nil"/>
                  </w:tcBorders>
                  <w:noWrap w:val="0"/>
                  <w:vAlign w:val="center"/>
                </w:tcPr>
                <w:p w14:paraId="209F700E">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颗粒物</w:t>
                  </w:r>
                </w:p>
              </w:tc>
              <w:tc>
                <w:tcPr>
                  <w:tcW w:w="718" w:type="pct"/>
                  <w:tcBorders>
                    <w:tl2br w:val="nil"/>
                    <w:tr2bl w:val="nil"/>
                  </w:tcBorders>
                  <w:noWrap w:val="0"/>
                  <w:vAlign w:val="center"/>
                </w:tcPr>
                <w:p w14:paraId="56A50616">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t/a</w:t>
                  </w:r>
                </w:p>
              </w:tc>
              <w:tc>
                <w:tcPr>
                  <w:tcW w:w="931" w:type="dxa"/>
                  <w:tcBorders>
                    <w:tl2br w:val="nil"/>
                    <w:tr2bl w:val="nil"/>
                  </w:tcBorders>
                  <w:noWrap w:val="0"/>
                  <w:vAlign w:val="center"/>
                </w:tcPr>
                <w:p w14:paraId="106F0D89">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0.096</w:t>
                  </w:r>
                </w:p>
              </w:tc>
              <w:tc>
                <w:tcPr>
                  <w:tcW w:w="900" w:type="dxa"/>
                  <w:tcBorders>
                    <w:tl2br w:val="nil"/>
                    <w:tr2bl w:val="nil"/>
                  </w:tcBorders>
                  <w:noWrap w:val="0"/>
                  <w:vAlign w:val="center"/>
                </w:tcPr>
                <w:p w14:paraId="5C72F2CD">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1.6</w:t>
                  </w:r>
                </w:p>
              </w:tc>
              <w:tc>
                <w:tcPr>
                  <w:tcW w:w="1074" w:type="dxa"/>
                  <w:tcBorders>
                    <w:tl2br w:val="nil"/>
                    <w:tr2bl w:val="nil"/>
                  </w:tcBorders>
                  <w:noWrap w:val="0"/>
                  <w:vAlign w:val="center"/>
                </w:tcPr>
                <w:p w14:paraId="7D01758E">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-0.005</w:t>
                  </w:r>
                </w:p>
              </w:tc>
              <w:tc>
                <w:tcPr>
                  <w:tcW w:w="929" w:type="dxa"/>
                  <w:tcBorders>
                    <w:tl2br w:val="nil"/>
                    <w:tr2bl w:val="nil"/>
                  </w:tcBorders>
                  <w:noWrap w:val="0"/>
                  <w:vAlign w:val="center"/>
                </w:tcPr>
                <w:p w14:paraId="29C49F33">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1.691</w:t>
                  </w:r>
                </w:p>
              </w:tc>
              <w:tc>
                <w:tcPr>
                  <w:tcW w:w="969" w:type="dxa"/>
                  <w:tcBorders>
                    <w:tl2br w:val="nil"/>
                    <w:tr2bl w:val="nil"/>
                  </w:tcBorders>
                  <w:noWrap w:val="0"/>
                  <w:vAlign w:val="center"/>
                </w:tcPr>
                <w:p w14:paraId="3FF6E549">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1.595</w:t>
                  </w:r>
                </w:p>
              </w:tc>
            </w:tr>
            <w:tr w14:paraId="7E421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58" w:type="pct"/>
                  <w:vMerge w:val="continue"/>
                  <w:tcBorders>
                    <w:tl2br w:val="nil"/>
                    <w:tr2bl w:val="nil"/>
                  </w:tcBorders>
                  <w:noWrap w:val="0"/>
                  <w:vAlign w:val="center"/>
                </w:tcPr>
                <w:p w14:paraId="43696B1E">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78ABFE29">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lang w:val="en-US" w:eastAsia="zh-CN"/>
                    </w:rPr>
                    <w:t>SO</w:t>
                  </w:r>
                  <w:r>
                    <w:rPr>
                      <w:rFonts w:hint="default" w:ascii="Times New Roman" w:hAnsi="Times New Roman" w:cs="Times New Roman"/>
                      <w:color w:val="auto"/>
                      <w:vertAlign w:val="subscript"/>
                      <w:lang w:val="en-US" w:eastAsia="zh-CN"/>
                    </w:rPr>
                    <w:t>2</w:t>
                  </w:r>
                </w:p>
              </w:tc>
              <w:tc>
                <w:tcPr>
                  <w:tcW w:w="718" w:type="pct"/>
                  <w:tcBorders>
                    <w:tl2br w:val="nil"/>
                    <w:tr2bl w:val="nil"/>
                  </w:tcBorders>
                  <w:noWrap w:val="0"/>
                  <w:vAlign w:val="center"/>
                </w:tcPr>
                <w:p w14:paraId="3E75AB40">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t/a</w:t>
                  </w:r>
                </w:p>
              </w:tc>
              <w:tc>
                <w:tcPr>
                  <w:tcW w:w="931" w:type="dxa"/>
                  <w:tcBorders>
                    <w:tl2br w:val="nil"/>
                    <w:tr2bl w:val="nil"/>
                  </w:tcBorders>
                  <w:noWrap w:val="0"/>
                  <w:vAlign w:val="center"/>
                </w:tcPr>
                <w:p w14:paraId="23B08095">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6.53</w:t>
                  </w:r>
                </w:p>
              </w:tc>
              <w:tc>
                <w:tcPr>
                  <w:tcW w:w="899" w:type="dxa"/>
                  <w:tcBorders>
                    <w:tl2br w:val="nil"/>
                    <w:tr2bl w:val="nil"/>
                  </w:tcBorders>
                  <w:noWrap w:val="0"/>
                  <w:vAlign w:val="center"/>
                </w:tcPr>
                <w:p w14:paraId="4149376A">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0.13</w:t>
                  </w:r>
                </w:p>
              </w:tc>
              <w:tc>
                <w:tcPr>
                  <w:tcW w:w="1074" w:type="dxa"/>
                  <w:tcBorders>
                    <w:tl2br w:val="nil"/>
                    <w:tr2bl w:val="nil"/>
                  </w:tcBorders>
                  <w:noWrap w:val="0"/>
                  <w:vAlign w:val="center"/>
                </w:tcPr>
                <w:p w14:paraId="7ADBBDE2">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-0.33</w:t>
                  </w:r>
                </w:p>
              </w:tc>
              <w:tc>
                <w:tcPr>
                  <w:tcW w:w="929" w:type="dxa"/>
                  <w:tcBorders>
                    <w:tl2br w:val="nil"/>
                    <w:tr2bl w:val="nil"/>
                  </w:tcBorders>
                  <w:noWrap w:val="0"/>
                  <w:vAlign w:val="center"/>
                </w:tcPr>
                <w:p w14:paraId="7AD04CEE">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6.33</w:t>
                  </w:r>
                </w:p>
              </w:tc>
              <w:tc>
                <w:tcPr>
                  <w:tcW w:w="969" w:type="dxa"/>
                  <w:tcBorders>
                    <w:tl2br w:val="nil"/>
                    <w:tr2bl w:val="nil"/>
                  </w:tcBorders>
                  <w:noWrap w:val="0"/>
                  <w:vAlign w:val="center"/>
                </w:tcPr>
                <w:p w14:paraId="187B80F7">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-0.2</w:t>
                  </w:r>
                </w:p>
              </w:tc>
            </w:tr>
            <w:tr w14:paraId="108CD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58" w:type="pct"/>
                  <w:vMerge w:val="continue"/>
                  <w:tcBorders>
                    <w:tl2br w:val="nil"/>
                    <w:tr2bl w:val="nil"/>
                  </w:tcBorders>
                  <w:noWrap w:val="0"/>
                  <w:vAlign w:val="center"/>
                </w:tcPr>
                <w:p w14:paraId="7D9FDFE6">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5760A68F">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NOx</w:t>
                  </w:r>
                </w:p>
              </w:tc>
              <w:tc>
                <w:tcPr>
                  <w:tcW w:w="718" w:type="pct"/>
                  <w:tcBorders>
                    <w:tl2br w:val="nil"/>
                    <w:tr2bl w:val="nil"/>
                  </w:tcBorders>
                  <w:noWrap w:val="0"/>
                  <w:vAlign w:val="center"/>
                </w:tcPr>
                <w:p w14:paraId="55990D88">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t/a</w:t>
                  </w:r>
                </w:p>
              </w:tc>
              <w:tc>
                <w:tcPr>
                  <w:tcW w:w="931" w:type="dxa"/>
                  <w:tcBorders>
                    <w:tl2br w:val="nil"/>
                    <w:tr2bl w:val="nil"/>
                  </w:tcBorders>
                  <w:noWrap w:val="0"/>
                  <w:vAlign w:val="center"/>
                </w:tcPr>
                <w:p w14:paraId="6193DFF1">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19.58</w:t>
                  </w:r>
                </w:p>
              </w:tc>
              <w:tc>
                <w:tcPr>
                  <w:tcW w:w="899" w:type="dxa"/>
                  <w:tcBorders>
                    <w:tl2br w:val="nil"/>
                    <w:tr2bl w:val="nil"/>
                  </w:tcBorders>
                  <w:noWrap w:val="0"/>
                  <w:vAlign w:val="center"/>
                </w:tcPr>
                <w:p w14:paraId="15ED49C8">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0.39</w:t>
                  </w:r>
                </w:p>
              </w:tc>
              <w:tc>
                <w:tcPr>
                  <w:tcW w:w="1074" w:type="dxa"/>
                  <w:tcBorders>
                    <w:tl2br w:val="nil"/>
                    <w:tr2bl w:val="nil"/>
                  </w:tcBorders>
                  <w:noWrap w:val="0"/>
                  <w:vAlign w:val="center"/>
                </w:tcPr>
                <w:p w14:paraId="1EB1A6E2">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-0.98</w:t>
                  </w:r>
                </w:p>
              </w:tc>
              <w:tc>
                <w:tcPr>
                  <w:tcW w:w="929" w:type="dxa"/>
                  <w:tcBorders>
                    <w:tl2br w:val="nil"/>
                    <w:tr2bl w:val="nil"/>
                  </w:tcBorders>
                  <w:noWrap w:val="0"/>
                  <w:vAlign w:val="center"/>
                </w:tcPr>
                <w:p w14:paraId="2A2D09E0">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18.99</w:t>
                  </w:r>
                </w:p>
              </w:tc>
              <w:tc>
                <w:tcPr>
                  <w:tcW w:w="969" w:type="dxa"/>
                  <w:tcBorders>
                    <w:tl2br w:val="nil"/>
                    <w:tr2bl w:val="nil"/>
                  </w:tcBorders>
                  <w:noWrap w:val="0"/>
                  <w:vAlign w:val="center"/>
                </w:tcPr>
                <w:p w14:paraId="5085C573">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-0.59</w:t>
                  </w:r>
                </w:p>
              </w:tc>
            </w:tr>
            <w:tr w14:paraId="0573F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58" w:type="pct"/>
                  <w:vMerge w:val="continue"/>
                  <w:tcBorders>
                    <w:tl2br w:val="nil"/>
                    <w:tr2bl w:val="nil"/>
                  </w:tcBorders>
                  <w:noWrap w:val="0"/>
                  <w:vAlign w:val="center"/>
                </w:tcPr>
                <w:p w14:paraId="22AC494B">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6646518D">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TVOC</w:t>
                  </w:r>
                </w:p>
              </w:tc>
              <w:tc>
                <w:tcPr>
                  <w:tcW w:w="718" w:type="pct"/>
                  <w:tcBorders>
                    <w:tl2br w:val="nil"/>
                    <w:tr2bl w:val="nil"/>
                  </w:tcBorders>
                  <w:noWrap w:val="0"/>
                  <w:vAlign w:val="center"/>
                </w:tcPr>
                <w:p w14:paraId="027ABB68">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t/a</w:t>
                  </w:r>
                </w:p>
              </w:tc>
              <w:tc>
                <w:tcPr>
                  <w:tcW w:w="931" w:type="dxa"/>
                  <w:tcBorders>
                    <w:tl2br w:val="nil"/>
                    <w:tr2bl w:val="nil"/>
                  </w:tcBorders>
                  <w:noWrap w:val="0"/>
                  <w:vAlign w:val="center"/>
                </w:tcPr>
                <w:p w14:paraId="017BF8CE">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w:t>
                  </w:r>
                </w:p>
              </w:tc>
              <w:tc>
                <w:tcPr>
                  <w:tcW w:w="900" w:type="dxa"/>
                  <w:tcBorders>
                    <w:tl2br w:val="nil"/>
                    <w:tr2bl w:val="nil"/>
                  </w:tcBorders>
                  <w:noWrap w:val="0"/>
                  <w:vAlign w:val="center"/>
                </w:tcPr>
                <w:p w14:paraId="605BF292">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1.323</w:t>
                  </w:r>
                </w:p>
              </w:tc>
              <w:tc>
                <w:tcPr>
                  <w:tcW w:w="1074" w:type="dxa"/>
                  <w:tcBorders>
                    <w:tl2br w:val="nil"/>
                    <w:tr2bl w:val="nil"/>
                  </w:tcBorders>
                  <w:noWrap w:val="0"/>
                  <w:vAlign w:val="center"/>
                </w:tcPr>
                <w:p w14:paraId="1F0BFBD6">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0</w:t>
                  </w:r>
                </w:p>
              </w:tc>
              <w:tc>
                <w:tcPr>
                  <w:tcW w:w="929" w:type="dxa"/>
                  <w:tcBorders>
                    <w:tl2br w:val="nil"/>
                    <w:tr2bl w:val="nil"/>
                  </w:tcBorders>
                  <w:noWrap w:val="0"/>
                  <w:vAlign w:val="center"/>
                </w:tcPr>
                <w:p w14:paraId="297EC481">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1.323</w:t>
                  </w:r>
                </w:p>
              </w:tc>
              <w:tc>
                <w:tcPr>
                  <w:tcW w:w="969" w:type="dxa"/>
                  <w:tcBorders>
                    <w:tl2br w:val="nil"/>
                    <w:tr2bl w:val="nil"/>
                  </w:tcBorders>
                  <w:noWrap w:val="0"/>
                  <w:vAlign w:val="center"/>
                </w:tcPr>
                <w:p w14:paraId="355C755A">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spacing w:val="0"/>
                      <w:kern w:val="0"/>
                      <w:sz w:val="21"/>
                      <w:szCs w:val="21"/>
                      <w:lang w:val="en-US" w:eastAsia="zh-CN" w:bidi="ar-SA"/>
                    </w:rPr>
                    <w:t>1.323</w:t>
                  </w:r>
                </w:p>
              </w:tc>
            </w:tr>
            <w:tr w14:paraId="78E26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58" w:type="pct"/>
                  <w:vMerge w:val="restart"/>
                  <w:tcBorders>
                    <w:tl2br w:val="nil"/>
                    <w:tr2bl w:val="nil"/>
                  </w:tcBorders>
                  <w:noWrap w:val="0"/>
                  <w:vAlign w:val="center"/>
                </w:tcPr>
                <w:p w14:paraId="5B843C1F">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水污染物</w:t>
                  </w:r>
                </w:p>
              </w:tc>
              <w:tc>
                <w:tcPr>
                  <w:tcW w:w="765" w:type="pct"/>
                  <w:tcBorders>
                    <w:tl2br w:val="nil"/>
                    <w:tr2bl w:val="nil"/>
                  </w:tcBorders>
                  <w:noWrap w:val="0"/>
                  <w:vAlign w:val="center"/>
                </w:tcPr>
                <w:p w14:paraId="36FDB8D1">
                  <w:pPr>
                    <w:pStyle w:val="132"/>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kern w:val="2"/>
                      <w:sz w:val="21"/>
                      <w:szCs w:val="21"/>
                      <w:lang w:val="en-US" w:eastAsia="zh-CN" w:bidi="ar-SA"/>
                    </w:rPr>
                    <w:t>废水</w:t>
                  </w:r>
                </w:p>
              </w:tc>
              <w:tc>
                <w:tcPr>
                  <w:tcW w:w="718" w:type="pct"/>
                  <w:tcBorders>
                    <w:tl2br w:val="nil"/>
                    <w:tr2bl w:val="nil"/>
                  </w:tcBorders>
                  <w:noWrap w:val="0"/>
                  <w:vAlign w:val="center"/>
                </w:tcPr>
                <w:p w14:paraId="031511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万t/a</w:t>
                  </w:r>
                </w:p>
              </w:tc>
              <w:tc>
                <w:tcPr>
                  <w:tcW w:w="931" w:type="dxa"/>
                  <w:tcBorders>
                    <w:tl2br w:val="nil"/>
                    <w:tr2bl w:val="nil"/>
                  </w:tcBorders>
                  <w:noWrap w:val="0"/>
                  <w:vAlign w:val="center"/>
                </w:tcPr>
                <w:p w14:paraId="0589C28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62</w:t>
                  </w:r>
                  <w:r>
                    <w:rPr>
                      <w:rFonts w:hint="eastAsia" w:cs="Times New Roman"/>
                      <w:color w:val="auto"/>
                      <w:lang w:val="en-US" w:eastAsia="zh-CN"/>
                    </w:rPr>
                    <w:t>.</w:t>
                  </w:r>
                  <w:r>
                    <w:rPr>
                      <w:rFonts w:hint="default" w:ascii="Times New Roman" w:hAnsi="Times New Roman" w:eastAsia="宋体" w:cs="Times New Roman"/>
                      <w:color w:val="auto"/>
                      <w:lang w:val="en-US" w:eastAsia="zh-CN"/>
                    </w:rPr>
                    <w:t>8896</w:t>
                  </w:r>
                </w:p>
              </w:tc>
              <w:tc>
                <w:tcPr>
                  <w:tcW w:w="900" w:type="dxa"/>
                  <w:tcBorders>
                    <w:tl2br w:val="nil"/>
                    <w:tr2bl w:val="nil"/>
                  </w:tcBorders>
                  <w:shd w:val="clear" w:color="auto" w:fill="auto"/>
                  <w:noWrap w:val="0"/>
                  <w:vAlign w:val="center"/>
                </w:tcPr>
                <w:p w14:paraId="481045E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lang w:val="en-US" w:eastAsia="zh-CN"/>
                    </w:rPr>
                    <w:t>0.0</w:t>
                  </w:r>
                  <w:r>
                    <w:rPr>
                      <w:rFonts w:hint="default" w:ascii="Times New Roman" w:hAnsi="Times New Roman" w:eastAsia="宋体" w:cs="Times New Roman"/>
                      <w:color w:val="auto"/>
                      <w:lang w:val="en-US" w:eastAsia="zh-CN"/>
                    </w:rPr>
                    <w:t>890752</w:t>
                  </w:r>
                </w:p>
              </w:tc>
              <w:tc>
                <w:tcPr>
                  <w:tcW w:w="1074" w:type="dxa"/>
                  <w:tcBorders>
                    <w:tl2br w:val="nil"/>
                    <w:tr2bl w:val="nil"/>
                  </w:tcBorders>
                  <w:noWrap w:val="0"/>
                  <w:vAlign w:val="center"/>
                </w:tcPr>
                <w:p w14:paraId="5CE7923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-8</w:t>
                  </w:r>
                  <w:r>
                    <w:rPr>
                      <w:rFonts w:hint="eastAsia" w:cs="Times New Roman"/>
                      <w:color w:val="auto"/>
                      <w:lang w:val="en-US" w:eastAsia="zh-CN"/>
                    </w:rPr>
                    <w:t>.</w:t>
                  </w:r>
                  <w:r>
                    <w:rPr>
                      <w:rFonts w:hint="default" w:ascii="Times New Roman" w:hAnsi="Times New Roman" w:eastAsia="宋体" w:cs="Times New Roman"/>
                      <w:color w:val="auto"/>
                      <w:lang w:val="en-US" w:eastAsia="zh-CN"/>
                    </w:rPr>
                    <w:t>27376</w:t>
                  </w:r>
                </w:p>
              </w:tc>
              <w:tc>
                <w:tcPr>
                  <w:tcW w:w="929" w:type="dxa"/>
                  <w:tcBorders>
                    <w:tl2br w:val="nil"/>
                    <w:tr2bl w:val="nil"/>
                  </w:tcBorders>
                  <w:noWrap w:val="0"/>
                  <w:vAlign w:val="center"/>
                </w:tcPr>
                <w:p w14:paraId="140C734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54</w:t>
                  </w:r>
                  <w:r>
                    <w:rPr>
                      <w:rFonts w:hint="eastAsia" w:cs="Times New Roman"/>
                      <w:color w:val="auto"/>
                      <w:lang w:val="en-US" w:eastAsia="zh-CN"/>
                    </w:rPr>
                    <w:t>.</w:t>
                  </w:r>
                  <w:r>
                    <w:rPr>
                      <w:rFonts w:hint="default" w:ascii="Times New Roman" w:hAnsi="Times New Roman" w:eastAsia="宋体" w:cs="Times New Roman"/>
                      <w:color w:val="auto"/>
                      <w:lang w:val="en-US" w:eastAsia="zh-CN"/>
                    </w:rPr>
                    <w:t>7049152</w:t>
                  </w:r>
                </w:p>
              </w:tc>
              <w:tc>
                <w:tcPr>
                  <w:tcW w:w="969" w:type="dxa"/>
                  <w:tcBorders>
                    <w:tl2br w:val="nil"/>
                    <w:tr2bl w:val="nil"/>
                  </w:tcBorders>
                  <w:noWrap w:val="0"/>
                  <w:vAlign w:val="center"/>
                </w:tcPr>
                <w:p w14:paraId="553360C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-81</w:t>
                  </w:r>
                  <w:r>
                    <w:rPr>
                      <w:rFonts w:hint="eastAsia" w:cs="Times New Roman"/>
                      <w:color w:val="auto"/>
                      <w:lang w:val="en-US" w:eastAsia="zh-CN"/>
                    </w:rPr>
                    <w:t>.</w:t>
                  </w:r>
                  <w:r>
                    <w:rPr>
                      <w:rFonts w:hint="default" w:ascii="Times New Roman" w:hAnsi="Times New Roman" w:eastAsia="宋体" w:cs="Times New Roman"/>
                      <w:color w:val="auto"/>
                      <w:lang w:val="en-US" w:eastAsia="zh-CN"/>
                    </w:rPr>
                    <w:t>846848</w:t>
                  </w:r>
                </w:p>
              </w:tc>
            </w:tr>
            <w:tr w14:paraId="7E504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03E1BCE3">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63CDFF0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r>
                    <w:rPr>
                      <w:rFonts w:hint="default" w:ascii="Times New Roman" w:hAnsi="Times New Roman" w:eastAsia="宋体" w:cs="Times New Roman"/>
                      <w:color w:val="auto"/>
                      <w:vertAlign w:val="subscript"/>
                      <w:lang w:val="en-US" w:eastAsia="zh-CN"/>
                    </w:rPr>
                    <w:t>cr</w:t>
                  </w:r>
                </w:p>
              </w:tc>
              <w:tc>
                <w:tcPr>
                  <w:tcW w:w="718" w:type="pct"/>
                  <w:tcBorders>
                    <w:tl2br w:val="nil"/>
                    <w:tr2bl w:val="nil"/>
                  </w:tcBorders>
                  <w:noWrap w:val="0"/>
                  <w:vAlign w:val="center"/>
                </w:tcPr>
                <w:p w14:paraId="5BE8C8B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0277AE8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59.75</w:t>
                  </w:r>
                </w:p>
              </w:tc>
              <w:tc>
                <w:tcPr>
                  <w:tcW w:w="900" w:type="dxa"/>
                  <w:tcBorders>
                    <w:tl2br w:val="nil"/>
                    <w:tr2bl w:val="nil"/>
                  </w:tcBorders>
                  <w:shd w:val="clear" w:color="auto" w:fill="auto"/>
                  <w:noWrap w:val="0"/>
                  <w:vAlign w:val="center"/>
                </w:tcPr>
                <w:p w14:paraId="42CD483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0.085</w:t>
                  </w:r>
                </w:p>
              </w:tc>
              <w:tc>
                <w:tcPr>
                  <w:tcW w:w="1074" w:type="dxa"/>
                  <w:tcBorders>
                    <w:tl2br w:val="nil"/>
                    <w:tr2bl w:val="nil"/>
                  </w:tcBorders>
                  <w:shd w:val="clear" w:color="auto" w:fill="auto"/>
                  <w:noWrap w:val="0"/>
                  <w:vAlign w:val="center"/>
                </w:tcPr>
                <w:p w14:paraId="78DD569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-7.86</w:t>
                  </w:r>
                </w:p>
              </w:tc>
              <w:tc>
                <w:tcPr>
                  <w:tcW w:w="929" w:type="dxa"/>
                  <w:tcBorders>
                    <w:tl2br w:val="nil"/>
                    <w:tr2bl w:val="nil"/>
                  </w:tcBorders>
                  <w:noWrap w:val="0"/>
                  <w:vAlign w:val="center"/>
                </w:tcPr>
                <w:p w14:paraId="1E9FBEB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51.975</w:t>
                  </w:r>
                </w:p>
              </w:tc>
              <w:tc>
                <w:tcPr>
                  <w:tcW w:w="969" w:type="dxa"/>
                  <w:tcBorders>
                    <w:tl2br w:val="nil"/>
                    <w:tr2bl w:val="nil"/>
                  </w:tcBorders>
                  <w:noWrap w:val="0"/>
                  <w:vAlign w:val="center"/>
                </w:tcPr>
                <w:p w14:paraId="736422D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-7.775</w:t>
                  </w:r>
                </w:p>
              </w:tc>
            </w:tr>
            <w:tr w14:paraId="1D522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8" w:type="pct"/>
                  <w:vMerge w:val="continue"/>
                  <w:tcBorders>
                    <w:tl2br w:val="nil"/>
                    <w:tr2bl w:val="nil"/>
                  </w:tcBorders>
                  <w:noWrap w:val="0"/>
                  <w:vAlign w:val="center"/>
                </w:tcPr>
                <w:p w14:paraId="761A5000">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7665292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BOD</w:t>
                  </w:r>
                  <w:r>
                    <w:rPr>
                      <w:rFonts w:hint="default" w:ascii="Times New Roman" w:hAnsi="Times New Roman" w:cs="Times New Roman"/>
                      <w:color w:val="auto"/>
                      <w:vertAlign w:val="subscript"/>
                      <w:lang w:val="en-US" w:eastAsia="zh-CN"/>
                    </w:rPr>
                    <w:t>5</w:t>
                  </w:r>
                </w:p>
              </w:tc>
              <w:tc>
                <w:tcPr>
                  <w:tcW w:w="718" w:type="pct"/>
                  <w:tcBorders>
                    <w:tl2br w:val="nil"/>
                    <w:tr2bl w:val="nil"/>
                  </w:tcBorders>
                  <w:noWrap w:val="0"/>
                  <w:vAlign w:val="center"/>
                </w:tcPr>
                <w:p w14:paraId="170113F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455870D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5.35</w:t>
                  </w:r>
                </w:p>
              </w:tc>
              <w:tc>
                <w:tcPr>
                  <w:tcW w:w="900" w:type="dxa"/>
                  <w:tcBorders>
                    <w:tl2br w:val="nil"/>
                    <w:tr2bl w:val="nil"/>
                  </w:tcBorders>
                  <w:shd w:val="clear" w:color="auto" w:fill="auto"/>
                  <w:noWrap w:val="0"/>
                  <w:vAlign w:val="center"/>
                </w:tcPr>
                <w:p w14:paraId="655203F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0.0076</w:t>
                  </w:r>
                </w:p>
              </w:tc>
              <w:tc>
                <w:tcPr>
                  <w:tcW w:w="1074" w:type="dxa"/>
                  <w:tcBorders>
                    <w:tl2br w:val="nil"/>
                    <w:tr2bl w:val="nil"/>
                  </w:tcBorders>
                  <w:shd w:val="clear" w:color="auto" w:fill="auto"/>
                  <w:noWrap w:val="0"/>
                  <w:vAlign w:val="center"/>
                </w:tcPr>
                <w:p w14:paraId="22ACC5E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-0.71</w:t>
                  </w:r>
                </w:p>
              </w:tc>
              <w:tc>
                <w:tcPr>
                  <w:tcW w:w="929" w:type="dxa"/>
                  <w:tcBorders>
                    <w:tl2br w:val="nil"/>
                    <w:tr2bl w:val="nil"/>
                  </w:tcBorders>
                  <w:noWrap w:val="0"/>
                  <w:vAlign w:val="center"/>
                </w:tcPr>
                <w:p w14:paraId="2B0DE92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4.6476</w:t>
                  </w:r>
                </w:p>
              </w:tc>
              <w:tc>
                <w:tcPr>
                  <w:tcW w:w="969" w:type="dxa"/>
                  <w:tcBorders>
                    <w:tl2br w:val="nil"/>
                    <w:tr2bl w:val="nil"/>
                  </w:tcBorders>
                  <w:noWrap w:val="0"/>
                  <w:vAlign w:val="center"/>
                </w:tcPr>
                <w:p w14:paraId="39F8AF9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-0.7024</w:t>
                  </w:r>
                </w:p>
              </w:tc>
            </w:tr>
            <w:tr w14:paraId="43CEC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8" w:type="pct"/>
                  <w:vMerge w:val="continue"/>
                  <w:tcBorders>
                    <w:tl2br w:val="nil"/>
                    <w:tr2bl w:val="nil"/>
                  </w:tcBorders>
                  <w:noWrap w:val="0"/>
                  <w:vAlign w:val="center"/>
                </w:tcPr>
                <w:p w14:paraId="2CB96A98">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27123FF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SS</w:t>
                  </w:r>
                </w:p>
              </w:tc>
              <w:tc>
                <w:tcPr>
                  <w:tcW w:w="718" w:type="pct"/>
                  <w:tcBorders>
                    <w:tl2br w:val="nil"/>
                    <w:tr2bl w:val="nil"/>
                  </w:tcBorders>
                  <w:noWrap w:val="0"/>
                  <w:vAlign w:val="center"/>
                </w:tcPr>
                <w:p w14:paraId="050442B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15E8632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13.21</w:t>
                  </w:r>
                </w:p>
              </w:tc>
              <w:tc>
                <w:tcPr>
                  <w:tcW w:w="900" w:type="dxa"/>
                  <w:tcBorders>
                    <w:tl2br w:val="nil"/>
                    <w:tr2bl w:val="nil"/>
                  </w:tcBorders>
                  <w:shd w:val="clear" w:color="auto" w:fill="auto"/>
                  <w:noWrap w:val="0"/>
                  <w:vAlign w:val="center"/>
                </w:tcPr>
                <w:p w14:paraId="3642C6E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0.019</w:t>
                  </w:r>
                </w:p>
              </w:tc>
              <w:tc>
                <w:tcPr>
                  <w:tcW w:w="1074" w:type="dxa"/>
                  <w:tcBorders>
                    <w:tl2br w:val="nil"/>
                    <w:tr2bl w:val="nil"/>
                  </w:tcBorders>
                  <w:shd w:val="clear" w:color="auto" w:fill="auto"/>
                  <w:noWrap w:val="0"/>
                  <w:vAlign w:val="center"/>
                </w:tcPr>
                <w:p w14:paraId="1EF79A3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-1.74</w:t>
                  </w:r>
                </w:p>
              </w:tc>
              <w:tc>
                <w:tcPr>
                  <w:tcW w:w="929" w:type="dxa"/>
                  <w:tcBorders>
                    <w:tl2br w:val="nil"/>
                    <w:tr2bl w:val="nil"/>
                  </w:tcBorders>
                  <w:noWrap w:val="0"/>
                  <w:vAlign w:val="center"/>
                </w:tcPr>
                <w:p w14:paraId="0D218D2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11.489</w:t>
                  </w:r>
                </w:p>
              </w:tc>
              <w:tc>
                <w:tcPr>
                  <w:tcW w:w="969" w:type="dxa"/>
                  <w:tcBorders>
                    <w:tl2br w:val="nil"/>
                    <w:tr2bl w:val="nil"/>
                  </w:tcBorders>
                  <w:noWrap w:val="0"/>
                  <w:vAlign w:val="center"/>
                </w:tcPr>
                <w:p w14:paraId="5F6E230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-1.721</w:t>
                  </w:r>
                </w:p>
              </w:tc>
            </w:tr>
            <w:tr w14:paraId="672D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8" w:type="pct"/>
                  <w:vMerge w:val="continue"/>
                  <w:tcBorders>
                    <w:tl2br w:val="nil"/>
                    <w:tr2bl w:val="nil"/>
                  </w:tcBorders>
                  <w:noWrap w:val="0"/>
                  <w:vAlign w:val="center"/>
                </w:tcPr>
                <w:p w14:paraId="61D6FD06">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304B262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TP</w:t>
                  </w:r>
                </w:p>
              </w:tc>
              <w:tc>
                <w:tcPr>
                  <w:tcW w:w="718" w:type="pct"/>
                  <w:tcBorders>
                    <w:tl2br w:val="nil"/>
                    <w:tr2bl w:val="nil"/>
                  </w:tcBorders>
                  <w:noWrap w:val="0"/>
                  <w:vAlign w:val="center"/>
                </w:tcPr>
                <w:p w14:paraId="1326D80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3EFDDE0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0.113</w:t>
                  </w:r>
                </w:p>
              </w:tc>
              <w:tc>
                <w:tcPr>
                  <w:tcW w:w="900" w:type="dxa"/>
                  <w:tcBorders>
                    <w:tl2br w:val="nil"/>
                    <w:tr2bl w:val="nil"/>
                  </w:tcBorders>
                  <w:shd w:val="clear" w:color="auto" w:fill="auto"/>
                  <w:noWrap w:val="0"/>
                  <w:vAlign w:val="center"/>
                </w:tcPr>
                <w:p w14:paraId="0D9D350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0.0002</w:t>
                  </w:r>
                </w:p>
              </w:tc>
              <w:tc>
                <w:tcPr>
                  <w:tcW w:w="1074" w:type="dxa"/>
                  <w:tcBorders>
                    <w:tl2br w:val="nil"/>
                    <w:tr2bl w:val="nil"/>
                  </w:tcBorders>
                  <w:shd w:val="clear" w:color="auto" w:fill="auto"/>
                  <w:noWrap w:val="0"/>
                  <w:vAlign w:val="center"/>
                </w:tcPr>
                <w:p w14:paraId="20ADE01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-0.015</w:t>
                  </w:r>
                </w:p>
              </w:tc>
              <w:tc>
                <w:tcPr>
                  <w:tcW w:w="929" w:type="dxa"/>
                  <w:tcBorders>
                    <w:tl2br w:val="nil"/>
                    <w:tr2bl w:val="nil"/>
                  </w:tcBorders>
                  <w:noWrap w:val="0"/>
                  <w:vAlign w:val="center"/>
                </w:tcPr>
                <w:p w14:paraId="20217E3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0.0982</w:t>
                  </w:r>
                </w:p>
              </w:tc>
              <w:tc>
                <w:tcPr>
                  <w:tcW w:w="969" w:type="dxa"/>
                  <w:tcBorders>
                    <w:tl2br w:val="nil"/>
                    <w:tr2bl w:val="nil"/>
                  </w:tcBorders>
                  <w:noWrap w:val="0"/>
                  <w:vAlign w:val="center"/>
                </w:tcPr>
                <w:p w14:paraId="1542E83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-0.0148</w:t>
                  </w:r>
                </w:p>
              </w:tc>
            </w:tr>
            <w:tr w14:paraId="1FBF8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8" w:type="pct"/>
                  <w:vMerge w:val="continue"/>
                  <w:tcBorders>
                    <w:tl2br w:val="nil"/>
                    <w:tr2bl w:val="nil"/>
                  </w:tcBorders>
                  <w:noWrap w:val="0"/>
                  <w:vAlign w:val="center"/>
                </w:tcPr>
                <w:p w14:paraId="66C006C7">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31EACAF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TN</w:t>
                  </w:r>
                </w:p>
              </w:tc>
              <w:tc>
                <w:tcPr>
                  <w:tcW w:w="718" w:type="pct"/>
                  <w:tcBorders>
                    <w:tl2br w:val="nil"/>
                    <w:tr2bl w:val="nil"/>
                  </w:tcBorders>
                  <w:noWrap w:val="0"/>
                  <w:vAlign w:val="center"/>
                </w:tcPr>
                <w:p w14:paraId="1AEE3BC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2FB4100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3.72</w:t>
                  </w:r>
                </w:p>
              </w:tc>
              <w:tc>
                <w:tcPr>
                  <w:tcW w:w="900" w:type="dxa"/>
                  <w:tcBorders>
                    <w:tl2br w:val="nil"/>
                    <w:tr2bl w:val="nil"/>
                  </w:tcBorders>
                  <w:shd w:val="clear" w:color="auto" w:fill="auto"/>
                  <w:noWrap w:val="0"/>
                  <w:vAlign w:val="center"/>
                </w:tcPr>
                <w:p w14:paraId="64F777A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0.0053</w:t>
                  </w:r>
                </w:p>
              </w:tc>
              <w:tc>
                <w:tcPr>
                  <w:tcW w:w="1074" w:type="dxa"/>
                  <w:tcBorders>
                    <w:tl2br w:val="nil"/>
                    <w:tr2bl w:val="nil"/>
                  </w:tcBorders>
                  <w:shd w:val="clear" w:color="auto" w:fill="auto"/>
                  <w:noWrap w:val="0"/>
                  <w:vAlign w:val="center"/>
                </w:tcPr>
                <w:p w14:paraId="0505B98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-0.49</w:t>
                  </w:r>
                </w:p>
              </w:tc>
              <w:tc>
                <w:tcPr>
                  <w:tcW w:w="929" w:type="dxa"/>
                  <w:tcBorders>
                    <w:tl2br w:val="nil"/>
                    <w:tr2bl w:val="nil"/>
                  </w:tcBorders>
                  <w:noWrap w:val="0"/>
                  <w:vAlign w:val="center"/>
                </w:tcPr>
                <w:p w14:paraId="1C3F5DC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3.2353</w:t>
                  </w:r>
                </w:p>
              </w:tc>
              <w:tc>
                <w:tcPr>
                  <w:tcW w:w="969" w:type="dxa"/>
                  <w:tcBorders>
                    <w:tl2br w:val="nil"/>
                    <w:tr2bl w:val="nil"/>
                  </w:tcBorders>
                  <w:noWrap w:val="0"/>
                  <w:vAlign w:val="center"/>
                </w:tcPr>
                <w:p w14:paraId="2642D0F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-0.4847</w:t>
                  </w:r>
                </w:p>
              </w:tc>
            </w:tr>
            <w:tr w14:paraId="227EC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8" w:type="pct"/>
                  <w:vMerge w:val="continue"/>
                  <w:tcBorders>
                    <w:tl2br w:val="nil"/>
                    <w:tr2bl w:val="nil"/>
                  </w:tcBorders>
                  <w:noWrap w:val="0"/>
                  <w:vAlign w:val="center"/>
                </w:tcPr>
                <w:p w14:paraId="7931DB11">
                  <w:pPr>
                    <w:keepNext w:val="0"/>
                    <w:keepLines w:val="0"/>
                    <w:widowControl/>
                    <w:suppressLineNumbers w:val="0"/>
                    <w:adjustRightInd w:val="0"/>
                    <w:snapToGrid w:val="0"/>
                    <w:spacing w:before="39" w:beforeLines="12" w:beforeAutospacing="0" w:after="39" w:afterLines="12" w:afterAutospacing="0" w:line="240" w:lineRule="auto"/>
                    <w:ind w:left="0" w:right="0" w:firstLine="0" w:firstLineChars="0"/>
                    <w:jc w:val="center"/>
                    <w:rPr>
                      <w:rFonts w:hint="default" w:ascii="Times New Roman" w:hAnsi="Times New Roman" w:eastAsia="宋体" w:cs="Times New Roman"/>
                      <w:color w:val="auto"/>
                      <w:spacing w:val="4"/>
                      <w:kern w:val="2"/>
                      <w:sz w:val="21"/>
                      <w:szCs w:val="21"/>
                      <w:lang w:val="en-US" w:eastAsia="zh-CN" w:bidi="ar-SA"/>
                    </w:rPr>
                  </w:pPr>
                </w:p>
              </w:tc>
              <w:tc>
                <w:tcPr>
                  <w:tcW w:w="765" w:type="pct"/>
                  <w:tcBorders>
                    <w:tl2br w:val="nil"/>
                    <w:tr2bl w:val="nil"/>
                  </w:tcBorders>
                  <w:noWrap w:val="0"/>
                  <w:vAlign w:val="center"/>
                </w:tcPr>
                <w:p w14:paraId="221DC16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718" w:type="pct"/>
                  <w:tcBorders>
                    <w:tl2br w:val="nil"/>
                    <w:tr2bl w:val="nil"/>
                  </w:tcBorders>
                  <w:noWrap w:val="0"/>
                  <w:vAlign w:val="center"/>
                </w:tcPr>
                <w:p w14:paraId="74416C3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931" w:type="dxa"/>
                  <w:tcBorders>
                    <w:tl2br w:val="nil"/>
                    <w:tr2bl w:val="nil"/>
                  </w:tcBorders>
                  <w:noWrap w:val="0"/>
                  <w:vAlign w:val="center"/>
                </w:tcPr>
                <w:p w14:paraId="1087BD6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0.849</w:t>
                  </w:r>
                </w:p>
              </w:tc>
              <w:tc>
                <w:tcPr>
                  <w:tcW w:w="900" w:type="dxa"/>
                  <w:tcBorders>
                    <w:tl2br w:val="nil"/>
                    <w:tr2bl w:val="nil"/>
                  </w:tcBorders>
                  <w:shd w:val="clear" w:color="auto" w:fill="auto"/>
                  <w:noWrap w:val="0"/>
                  <w:vAlign w:val="center"/>
                </w:tcPr>
                <w:p w14:paraId="4D82400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0.0012</w:t>
                  </w:r>
                </w:p>
              </w:tc>
              <w:tc>
                <w:tcPr>
                  <w:tcW w:w="1074" w:type="dxa"/>
                  <w:tcBorders>
                    <w:tl2br w:val="nil"/>
                    <w:tr2bl w:val="nil"/>
                  </w:tcBorders>
                  <w:shd w:val="clear" w:color="auto" w:fill="auto"/>
                  <w:noWrap w:val="0"/>
                  <w:vAlign w:val="center"/>
                </w:tcPr>
                <w:p w14:paraId="1586419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-0.112</w:t>
                  </w:r>
                </w:p>
              </w:tc>
              <w:tc>
                <w:tcPr>
                  <w:tcW w:w="929" w:type="dxa"/>
                  <w:tcBorders>
                    <w:tl2br w:val="nil"/>
                    <w:tr2bl w:val="nil"/>
                  </w:tcBorders>
                  <w:noWrap w:val="0"/>
                  <w:vAlign w:val="center"/>
                </w:tcPr>
                <w:p w14:paraId="7940CDD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0.7382</w:t>
                  </w:r>
                </w:p>
              </w:tc>
              <w:tc>
                <w:tcPr>
                  <w:tcW w:w="969" w:type="dxa"/>
                  <w:tcBorders>
                    <w:tl2br w:val="nil"/>
                    <w:tr2bl w:val="nil"/>
                  </w:tcBorders>
                  <w:noWrap w:val="0"/>
                  <w:vAlign w:val="center"/>
                </w:tcPr>
                <w:p w14:paraId="00067DC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-0.1108</w:t>
                  </w:r>
                </w:p>
              </w:tc>
            </w:tr>
            <w:tr w14:paraId="5371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restart"/>
                  <w:tcBorders>
                    <w:tl2br w:val="nil"/>
                    <w:tr2bl w:val="nil"/>
                  </w:tcBorders>
                  <w:noWrap w:val="0"/>
                  <w:vAlign w:val="center"/>
                </w:tcPr>
                <w:p w14:paraId="3A1692D7">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固废</w:t>
                  </w:r>
                </w:p>
              </w:tc>
              <w:tc>
                <w:tcPr>
                  <w:tcW w:w="765" w:type="pct"/>
                  <w:tcBorders>
                    <w:tl2br w:val="nil"/>
                    <w:tr2bl w:val="nil"/>
                  </w:tcBorders>
                  <w:noWrap w:val="0"/>
                  <w:vAlign w:val="center"/>
                </w:tcPr>
                <w:p w14:paraId="211811B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中碎米其他成分</w:t>
                  </w:r>
                </w:p>
              </w:tc>
              <w:tc>
                <w:tcPr>
                  <w:tcW w:w="718" w:type="pct"/>
                  <w:tcBorders>
                    <w:tl2br w:val="nil"/>
                    <w:tr2bl w:val="nil"/>
                  </w:tcBorders>
                  <w:noWrap w:val="0"/>
                  <w:vAlign w:val="center"/>
                </w:tcPr>
                <w:p w14:paraId="229A278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2E1896F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12049</w:t>
                  </w:r>
                </w:p>
              </w:tc>
              <w:tc>
                <w:tcPr>
                  <w:tcW w:w="572" w:type="pct"/>
                  <w:tcBorders>
                    <w:tl2br w:val="nil"/>
                    <w:tr2bl w:val="nil"/>
                  </w:tcBorders>
                  <w:noWrap w:val="0"/>
                  <w:vAlign w:val="center"/>
                </w:tcPr>
                <w:p w14:paraId="43EB6A9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683" w:type="pct"/>
                  <w:tcBorders>
                    <w:tl2br w:val="nil"/>
                    <w:tr2bl w:val="nil"/>
                  </w:tcBorders>
                  <w:noWrap w:val="0"/>
                  <w:vAlign w:val="center"/>
                </w:tcPr>
                <w:p w14:paraId="4602038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2ED3432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12049</w:t>
                  </w:r>
                </w:p>
              </w:tc>
              <w:tc>
                <w:tcPr>
                  <w:tcW w:w="616" w:type="pct"/>
                  <w:tcBorders>
                    <w:tl2br w:val="nil"/>
                    <w:tr2bl w:val="nil"/>
                  </w:tcBorders>
                  <w:shd w:val="clear" w:color="auto" w:fill="auto"/>
                  <w:noWrap w:val="0"/>
                  <w:vAlign w:val="center"/>
                </w:tcPr>
                <w:p w14:paraId="3FFF90C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14:paraId="6DD80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70BE7E63">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3C82844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收集粉尘</w:t>
                  </w:r>
                </w:p>
              </w:tc>
              <w:tc>
                <w:tcPr>
                  <w:tcW w:w="718" w:type="pct"/>
                  <w:tcBorders>
                    <w:tl2br w:val="nil"/>
                    <w:tr2bl w:val="nil"/>
                  </w:tcBorders>
                  <w:noWrap w:val="0"/>
                  <w:vAlign w:val="center"/>
                </w:tcPr>
                <w:p w14:paraId="6AB49B7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63DDADF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17CDF0F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c>
                <w:tcPr>
                  <w:tcW w:w="683" w:type="pct"/>
                  <w:tcBorders>
                    <w:tl2br w:val="nil"/>
                    <w:tr2bl w:val="nil"/>
                  </w:tcBorders>
                  <w:noWrap w:val="0"/>
                  <w:vAlign w:val="center"/>
                </w:tcPr>
                <w:p w14:paraId="1D1EDF3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18D07F1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c>
                <w:tcPr>
                  <w:tcW w:w="616" w:type="pct"/>
                  <w:tcBorders>
                    <w:tl2br w:val="nil"/>
                    <w:tr2bl w:val="nil"/>
                  </w:tcBorders>
                  <w:shd w:val="clear" w:color="auto" w:fill="auto"/>
                  <w:noWrap w:val="0"/>
                  <w:vAlign w:val="center"/>
                </w:tcPr>
                <w:p w14:paraId="14D097B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r>
            <w:tr w14:paraId="7017E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58" w:type="pct"/>
                  <w:vMerge w:val="continue"/>
                  <w:tcBorders>
                    <w:tl2br w:val="nil"/>
                    <w:tr2bl w:val="nil"/>
                  </w:tcBorders>
                  <w:noWrap w:val="0"/>
                  <w:vAlign w:val="center"/>
                </w:tcPr>
                <w:p w14:paraId="03516F67">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1ADF41F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炉渣</w:t>
                  </w:r>
                </w:p>
              </w:tc>
              <w:tc>
                <w:tcPr>
                  <w:tcW w:w="718" w:type="pct"/>
                  <w:tcBorders>
                    <w:tl2br w:val="nil"/>
                    <w:tr2bl w:val="nil"/>
                  </w:tcBorders>
                  <w:noWrap w:val="0"/>
                  <w:vAlign w:val="center"/>
                </w:tcPr>
                <w:p w14:paraId="26283BF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2F24607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3840</w:t>
                  </w:r>
                </w:p>
              </w:tc>
              <w:tc>
                <w:tcPr>
                  <w:tcW w:w="572" w:type="pct"/>
                  <w:tcBorders>
                    <w:tl2br w:val="nil"/>
                    <w:tr2bl w:val="nil"/>
                  </w:tcBorders>
                  <w:noWrap w:val="0"/>
                  <w:vAlign w:val="center"/>
                </w:tcPr>
                <w:p w14:paraId="1C13D3B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76.8</w:t>
                  </w:r>
                </w:p>
              </w:tc>
              <w:tc>
                <w:tcPr>
                  <w:tcW w:w="683" w:type="pct"/>
                  <w:tcBorders>
                    <w:tl2br w:val="nil"/>
                    <w:tr2bl w:val="nil"/>
                  </w:tcBorders>
                  <w:noWrap w:val="0"/>
                  <w:vAlign w:val="center"/>
                </w:tcPr>
                <w:p w14:paraId="0A8A0FC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192</w:t>
                  </w:r>
                </w:p>
              </w:tc>
              <w:tc>
                <w:tcPr>
                  <w:tcW w:w="591" w:type="pct"/>
                  <w:tcBorders>
                    <w:tl2br w:val="nil"/>
                    <w:tr2bl w:val="nil"/>
                  </w:tcBorders>
                  <w:shd w:val="clear" w:color="auto" w:fill="auto"/>
                  <w:noWrap w:val="0"/>
                  <w:vAlign w:val="center"/>
                </w:tcPr>
                <w:p w14:paraId="1D02CC8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3724.8</w:t>
                  </w:r>
                </w:p>
              </w:tc>
              <w:tc>
                <w:tcPr>
                  <w:tcW w:w="616" w:type="pct"/>
                  <w:tcBorders>
                    <w:tl2br w:val="nil"/>
                    <w:tr2bl w:val="nil"/>
                  </w:tcBorders>
                  <w:shd w:val="clear" w:color="auto" w:fill="auto"/>
                  <w:noWrap w:val="0"/>
                  <w:vAlign w:val="center"/>
                </w:tcPr>
                <w:p w14:paraId="793350E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115.2</w:t>
                  </w:r>
                </w:p>
              </w:tc>
            </w:tr>
            <w:tr w14:paraId="0E2D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58" w:type="pct"/>
                  <w:vMerge w:val="continue"/>
                  <w:tcBorders>
                    <w:tl2br w:val="nil"/>
                    <w:tr2bl w:val="nil"/>
                  </w:tcBorders>
                  <w:noWrap w:val="0"/>
                  <w:vAlign w:val="center"/>
                </w:tcPr>
                <w:p w14:paraId="6C86DE2C">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5FBAED3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污泥</w:t>
                  </w:r>
                </w:p>
              </w:tc>
              <w:tc>
                <w:tcPr>
                  <w:tcW w:w="718" w:type="pct"/>
                  <w:tcBorders>
                    <w:tl2br w:val="nil"/>
                    <w:tr2bl w:val="nil"/>
                  </w:tcBorders>
                  <w:noWrap w:val="0"/>
                  <w:vAlign w:val="center"/>
                </w:tcPr>
                <w:p w14:paraId="6A9BC2D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2957C4D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955.3</w:t>
                  </w:r>
                </w:p>
              </w:tc>
              <w:tc>
                <w:tcPr>
                  <w:tcW w:w="572" w:type="pct"/>
                  <w:tcBorders>
                    <w:tl2br w:val="nil"/>
                    <w:tr2bl w:val="nil"/>
                  </w:tcBorders>
                  <w:noWrap w:val="0"/>
                  <w:vAlign w:val="center"/>
                </w:tcPr>
                <w:p w14:paraId="05C2C11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0.27</w:t>
                  </w:r>
                </w:p>
              </w:tc>
              <w:tc>
                <w:tcPr>
                  <w:tcW w:w="683" w:type="pct"/>
                  <w:tcBorders>
                    <w:tl2br w:val="nil"/>
                    <w:tr2bl w:val="nil"/>
                  </w:tcBorders>
                  <w:noWrap w:val="0"/>
                  <w:vAlign w:val="center"/>
                </w:tcPr>
                <w:p w14:paraId="4FC3A55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-125.68</w:t>
                  </w:r>
                </w:p>
              </w:tc>
              <w:tc>
                <w:tcPr>
                  <w:tcW w:w="591" w:type="pct"/>
                  <w:tcBorders>
                    <w:tl2br w:val="nil"/>
                    <w:tr2bl w:val="nil"/>
                  </w:tcBorders>
                  <w:shd w:val="clear" w:color="auto" w:fill="auto"/>
                  <w:noWrap w:val="0"/>
                  <w:vAlign w:val="center"/>
                </w:tcPr>
                <w:p w14:paraId="3371808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829.89</w:t>
                  </w:r>
                </w:p>
              </w:tc>
              <w:tc>
                <w:tcPr>
                  <w:tcW w:w="616" w:type="pct"/>
                  <w:tcBorders>
                    <w:tl2br w:val="nil"/>
                    <w:tr2bl w:val="nil"/>
                  </w:tcBorders>
                  <w:shd w:val="clear" w:color="auto" w:fill="auto"/>
                  <w:noWrap w:val="0"/>
                  <w:vAlign w:val="center"/>
                </w:tcPr>
                <w:p w14:paraId="12FFF1D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-125.41</w:t>
                  </w:r>
                </w:p>
              </w:tc>
            </w:tr>
            <w:tr w14:paraId="3E6F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3A263374">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03EB883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不合格品</w:t>
                  </w:r>
                </w:p>
              </w:tc>
              <w:tc>
                <w:tcPr>
                  <w:tcW w:w="718" w:type="pct"/>
                  <w:tcBorders>
                    <w:tl2br w:val="nil"/>
                    <w:tr2bl w:val="nil"/>
                  </w:tcBorders>
                  <w:noWrap w:val="0"/>
                  <w:vAlign w:val="center"/>
                </w:tcPr>
                <w:p w14:paraId="3F4B0E0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412674C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5F4C2C8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w:t>
                  </w:r>
                </w:p>
              </w:tc>
              <w:tc>
                <w:tcPr>
                  <w:tcW w:w="683" w:type="pct"/>
                  <w:tcBorders>
                    <w:tl2br w:val="nil"/>
                    <w:tr2bl w:val="nil"/>
                  </w:tcBorders>
                  <w:noWrap w:val="0"/>
                  <w:vAlign w:val="center"/>
                </w:tcPr>
                <w:p w14:paraId="7F7E79A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4998E69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w:t>
                  </w:r>
                </w:p>
              </w:tc>
              <w:tc>
                <w:tcPr>
                  <w:tcW w:w="616" w:type="pct"/>
                  <w:tcBorders>
                    <w:tl2br w:val="nil"/>
                    <w:tr2bl w:val="nil"/>
                  </w:tcBorders>
                  <w:shd w:val="clear" w:color="auto" w:fill="auto"/>
                  <w:noWrap w:val="0"/>
                  <w:vAlign w:val="center"/>
                </w:tcPr>
                <w:p w14:paraId="7C027A2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w:t>
                  </w:r>
                </w:p>
              </w:tc>
            </w:tr>
            <w:tr w14:paraId="310C1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3F4D985C">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0DAC3E1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废包装袋</w:t>
                  </w:r>
                </w:p>
              </w:tc>
              <w:tc>
                <w:tcPr>
                  <w:tcW w:w="718" w:type="pct"/>
                  <w:tcBorders>
                    <w:tl2br w:val="nil"/>
                    <w:tr2bl w:val="nil"/>
                  </w:tcBorders>
                  <w:noWrap w:val="0"/>
                  <w:vAlign w:val="center"/>
                </w:tcPr>
                <w:p w14:paraId="2E0350C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6E3FEF5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45FB01F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683" w:type="pct"/>
                  <w:tcBorders>
                    <w:tl2br w:val="nil"/>
                    <w:tr2bl w:val="nil"/>
                  </w:tcBorders>
                  <w:noWrap w:val="0"/>
                  <w:vAlign w:val="center"/>
                </w:tcPr>
                <w:p w14:paraId="601B370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2761976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616" w:type="pct"/>
                  <w:tcBorders>
                    <w:tl2br w:val="nil"/>
                    <w:tr2bl w:val="nil"/>
                  </w:tcBorders>
                  <w:shd w:val="clear" w:color="auto" w:fill="auto"/>
                  <w:noWrap w:val="0"/>
                  <w:vAlign w:val="center"/>
                </w:tcPr>
                <w:p w14:paraId="41FB92E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r>
            <w:tr w14:paraId="1FB25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58" w:type="pct"/>
                  <w:vMerge w:val="continue"/>
                  <w:tcBorders>
                    <w:tl2br w:val="nil"/>
                    <w:tr2bl w:val="nil"/>
                  </w:tcBorders>
                  <w:noWrap w:val="0"/>
                  <w:vAlign w:val="center"/>
                </w:tcPr>
                <w:p w14:paraId="693B9CE9">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1FE1E77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铁屑</w:t>
                  </w:r>
                </w:p>
              </w:tc>
              <w:tc>
                <w:tcPr>
                  <w:tcW w:w="718" w:type="pct"/>
                  <w:tcBorders>
                    <w:tl2br w:val="nil"/>
                    <w:tr2bl w:val="nil"/>
                  </w:tcBorders>
                  <w:noWrap w:val="0"/>
                  <w:vAlign w:val="center"/>
                </w:tcPr>
                <w:p w14:paraId="1D6F29B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238A101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327F2F2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c>
                <w:tcPr>
                  <w:tcW w:w="683" w:type="pct"/>
                  <w:tcBorders>
                    <w:tl2br w:val="nil"/>
                    <w:tr2bl w:val="nil"/>
                  </w:tcBorders>
                  <w:noWrap w:val="0"/>
                  <w:vAlign w:val="center"/>
                </w:tcPr>
                <w:p w14:paraId="2C4C577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3F6BE0A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c>
                <w:tcPr>
                  <w:tcW w:w="616" w:type="pct"/>
                  <w:tcBorders>
                    <w:tl2br w:val="nil"/>
                    <w:tr2bl w:val="nil"/>
                  </w:tcBorders>
                  <w:shd w:val="clear" w:color="auto" w:fill="auto"/>
                  <w:noWrap w:val="0"/>
                  <w:vAlign w:val="center"/>
                </w:tcPr>
                <w:p w14:paraId="4DA5F27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r>
            <w:tr w14:paraId="4C0F1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58" w:type="pct"/>
                  <w:vMerge w:val="continue"/>
                  <w:tcBorders>
                    <w:tl2br w:val="nil"/>
                    <w:tr2bl w:val="nil"/>
                  </w:tcBorders>
                  <w:noWrap w:val="0"/>
                  <w:vAlign w:val="center"/>
                </w:tcPr>
                <w:p w14:paraId="485115C6">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472EE29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废布袋</w:t>
                  </w:r>
                </w:p>
              </w:tc>
              <w:tc>
                <w:tcPr>
                  <w:tcW w:w="718" w:type="pct"/>
                  <w:tcBorders>
                    <w:tl2br w:val="nil"/>
                    <w:tr2bl w:val="nil"/>
                  </w:tcBorders>
                  <w:noWrap w:val="0"/>
                  <w:vAlign w:val="center"/>
                </w:tcPr>
                <w:p w14:paraId="12F370B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76C70B7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180BF2E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w:t>
                  </w:r>
                </w:p>
              </w:tc>
              <w:tc>
                <w:tcPr>
                  <w:tcW w:w="683" w:type="pct"/>
                  <w:tcBorders>
                    <w:tl2br w:val="nil"/>
                    <w:tr2bl w:val="nil"/>
                  </w:tcBorders>
                  <w:noWrap w:val="0"/>
                  <w:vAlign w:val="center"/>
                </w:tcPr>
                <w:p w14:paraId="17932A1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3B94304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w:t>
                  </w:r>
                </w:p>
              </w:tc>
              <w:tc>
                <w:tcPr>
                  <w:tcW w:w="616" w:type="pct"/>
                  <w:tcBorders>
                    <w:tl2br w:val="nil"/>
                    <w:tr2bl w:val="nil"/>
                  </w:tcBorders>
                  <w:shd w:val="clear" w:color="auto" w:fill="auto"/>
                  <w:noWrap w:val="0"/>
                  <w:vAlign w:val="center"/>
                </w:tcPr>
                <w:p w14:paraId="63ED977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w:t>
                  </w:r>
                </w:p>
              </w:tc>
            </w:tr>
            <w:tr w14:paraId="7E52A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6FF7307E">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50F404C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生活垃圾</w:t>
                  </w:r>
                </w:p>
              </w:tc>
              <w:tc>
                <w:tcPr>
                  <w:tcW w:w="718" w:type="pct"/>
                  <w:tcBorders>
                    <w:tl2br w:val="nil"/>
                    <w:tr2bl w:val="nil"/>
                  </w:tcBorders>
                  <w:noWrap w:val="0"/>
                  <w:vAlign w:val="center"/>
                </w:tcPr>
                <w:p w14:paraId="55E4FF4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344556F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17.6</w:t>
                  </w:r>
                </w:p>
              </w:tc>
              <w:tc>
                <w:tcPr>
                  <w:tcW w:w="572" w:type="pct"/>
                  <w:tcBorders>
                    <w:tl2br w:val="nil"/>
                    <w:tr2bl w:val="nil"/>
                  </w:tcBorders>
                  <w:noWrap w:val="0"/>
                  <w:vAlign w:val="center"/>
                </w:tcPr>
                <w:p w14:paraId="082525A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0.64</w:t>
                  </w:r>
                </w:p>
              </w:tc>
              <w:tc>
                <w:tcPr>
                  <w:tcW w:w="683" w:type="pct"/>
                  <w:tcBorders>
                    <w:tl2br w:val="nil"/>
                    <w:tr2bl w:val="nil"/>
                  </w:tcBorders>
                  <w:noWrap w:val="0"/>
                  <w:vAlign w:val="center"/>
                </w:tcPr>
                <w:p w14:paraId="7B2F7EF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695645B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18.24</w:t>
                  </w:r>
                </w:p>
              </w:tc>
              <w:tc>
                <w:tcPr>
                  <w:tcW w:w="616" w:type="pct"/>
                  <w:tcBorders>
                    <w:tl2br w:val="nil"/>
                    <w:tr2bl w:val="nil"/>
                  </w:tcBorders>
                  <w:shd w:val="clear" w:color="auto" w:fill="auto"/>
                  <w:noWrap w:val="0"/>
                  <w:vAlign w:val="center"/>
                </w:tcPr>
                <w:p w14:paraId="2BCF0C7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0.64</w:t>
                  </w:r>
                </w:p>
              </w:tc>
            </w:tr>
            <w:tr w14:paraId="2FC7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458" w:type="pct"/>
                  <w:vMerge w:val="continue"/>
                  <w:tcBorders>
                    <w:tl2br w:val="nil"/>
                    <w:tr2bl w:val="nil"/>
                  </w:tcBorders>
                  <w:noWrap w:val="0"/>
                  <w:vAlign w:val="center"/>
                </w:tcPr>
                <w:p w14:paraId="529F9B4A">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53CBC5B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脱色废活性炭</w:t>
                  </w:r>
                </w:p>
              </w:tc>
              <w:tc>
                <w:tcPr>
                  <w:tcW w:w="718" w:type="pct"/>
                  <w:tcBorders>
                    <w:tl2br w:val="nil"/>
                    <w:tr2bl w:val="nil"/>
                  </w:tcBorders>
                  <w:noWrap w:val="0"/>
                  <w:vAlign w:val="center"/>
                </w:tcPr>
                <w:p w14:paraId="79857FA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1F81D17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240</w:t>
                  </w:r>
                </w:p>
              </w:tc>
              <w:tc>
                <w:tcPr>
                  <w:tcW w:w="572" w:type="pct"/>
                  <w:tcBorders>
                    <w:tl2br w:val="nil"/>
                    <w:tr2bl w:val="nil"/>
                  </w:tcBorders>
                  <w:noWrap w:val="0"/>
                  <w:vAlign w:val="center"/>
                </w:tcPr>
                <w:p w14:paraId="4C90B85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683" w:type="pct"/>
                  <w:tcBorders>
                    <w:tl2br w:val="nil"/>
                    <w:tr2bl w:val="nil"/>
                  </w:tcBorders>
                  <w:noWrap w:val="0"/>
                  <w:vAlign w:val="center"/>
                </w:tcPr>
                <w:p w14:paraId="7137B41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-12</w:t>
                  </w:r>
                </w:p>
              </w:tc>
              <w:tc>
                <w:tcPr>
                  <w:tcW w:w="591" w:type="pct"/>
                  <w:tcBorders>
                    <w:tl2br w:val="nil"/>
                    <w:tr2bl w:val="nil"/>
                  </w:tcBorders>
                  <w:shd w:val="clear" w:color="auto" w:fill="auto"/>
                  <w:noWrap w:val="0"/>
                  <w:vAlign w:val="center"/>
                </w:tcPr>
                <w:p w14:paraId="43DCFD0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228</w:t>
                  </w:r>
                </w:p>
              </w:tc>
              <w:tc>
                <w:tcPr>
                  <w:tcW w:w="616" w:type="pct"/>
                  <w:tcBorders>
                    <w:tl2br w:val="nil"/>
                    <w:tr2bl w:val="nil"/>
                  </w:tcBorders>
                  <w:shd w:val="clear" w:color="auto" w:fill="auto"/>
                  <w:noWrap w:val="0"/>
                  <w:vAlign w:val="center"/>
                </w:tcPr>
                <w:p w14:paraId="0908BA7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-12</w:t>
                  </w:r>
                </w:p>
              </w:tc>
            </w:tr>
            <w:tr w14:paraId="224B1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760FA60E">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5F3DF12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废树脂</w:t>
                  </w:r>
                </w:p>
              </w:tc>
              <w:tc>
                <w:tcPr>
                  <w:tcW w:w="718" w:type="pct"/>
                  <w:tcBorders>
                    <w:tl2br w:val="nil"/>
                    <w:tr2bl w:val="nil"/>
                  </w:tcBorders>
                  <w:noWrap w:val="0"/>
                  <w:vAlign w:val="center"/>
                </w:tcPr>
                <w:p w14:paraId="0E9DBA5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3B599B1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9.552</w:t>
                  </w:r>
                </w:p>
              </w:tc>
              <w:tc>
                <w:tcPr>
                  <w:tcW w:w="572" w:type="pct"/>
                  <w:tcBorders>
                    <w:tl2br w:val="nil"/>
                    <w:tr2bl w:val="nil"/>
                  </w:tcBorders>
                  <w:noWrap w:val="0"/>
                  <w:vAlign w:val="center"/>
                </w:tcPr>
                <w:p w14:paraId="448A744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683" w:type="pct"/>
                  <w:tcBorders>
                    <w:tl2br w:val="nil"/>
                    <w:tr2bl w:val="nil"/>
                  </w:tcBorders>
                  <w:noWrap w:val="0"/>
                  <w:vAlign w:val="center"/>
                </w:tcPr>
                <w:p w14:paraId="589C48E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40A9FF1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9.552</w:t>
                  </w:r>
                </w:p>
              </w:tc>
              <w:tc>
                <w:tcPr>
                  <w:tcW w:w="616" w:type="pct"/>
                  <w:tcBorders>
                    <w:tl2br w:val="nil"/>
                    <w:tr2bl w:val="nil"/>
                  </w:tcBorders>
                  <w:shd w:val="clear" w:color="auto" w:fill="auto"/>
                  <w:noWrap w:val="0"/>
                  <w:vAlign w:val="center"/>
                </w:tcPr>
                <w:p w14:paraId="00CE13B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14:paraId="6183B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8" w:type="pct"/>
                  <w:vMerge w:val="continue"/>
                  <w:tcBorders>
                    <w:tl2br w:val="nil"/>
                    <w:tr2bl w:val="nil"/>
                  </w:tcBorders>
                  <w:noWrap w:val="0"/>
                  <w:vAlign w:val="center"/>
                </w:tcPr>
                <w:p w14:paraId="30E53BFC">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7572D27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实验室废液</w:t>
                  </w:r>
                </w:p>
              </w:tc>
              <w:tc>
                <w:tcPr>
                  <w:tcW w:w="718" w:type="pct"/>
                  <w:tcBorders>
                    <w:tl2br w:val="nil"/>
                    <w:tr2bl w:val="nil"/>
                  </w:tcBorders>
                  <w:noWrap w:val="0"/>
                  <w:vAlign w:val="center"/>
                </w:tcPr>
                <w:p w14:paraId="1A79430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154317C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2.56</w:t>
                  </w:r>
                </w:p>
              </w:tc>
              <w:tc>
                <w:tcPr>
                  <w:tcW w:w="572" w:type="pct"/>
                  <w:tcBorders>
                    <w:tl2br w:val="nil"/>
                    <w:tr2bl w:val="nil"/>
                  </w:tcBorders>
                  <w:noWrap w:val="0"/>
                  <w:vAlign w:val="center"/>
                </w:tcPr>
                <w:p w14:paraId="687041E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0.51</w:t>
                  </w:r>
                  <w:r>
                    <w:rPr>
                      <w:rFonts w:hint="eastAsia" w:cs="Times New Roman"/>
                      <w:color w:val="auto"/>
                      <w:lang w:val="en-US" w:eastAsia="zh-CN"/>
                    </w:rPr>
                    <w:t>2</w:t>
                  </w:r>
                </w:p>
              </w:tc>
              <w:tc>
                <w:tcPr>
                  <w:tcW w:w="683" w:type="pct"/>
                  <w:tcBorders>
                    <w:tl2br w:val="nil"/>
                    <w:tr2bl w:val="nil"/>
                  </w:tcBorders>
                  <w:noWrap w:val="0"/>
                  <w:vAlign w:val="center"/>
                </w:tcPr>
                <w:p w14:paraId="507823C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5C1110F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3.07</w:t>
                  </w:r>
                  <w:r>
                    <w:rPr>
                      <w:rFonts w:hint="eastAsia" w:cs="Times New Roman"/>
                      <w:color w:val="auto"/>
                      <w:lang w:val="en-US" w:eastAsia="zh-CN"/>
                    </w:rPr>
                    <w:t>2</w:t>
                  </w:r>
                </w:p>
              </w:tc>
              <w:tc>
                <w:tcPr>
                  <w:tcW w:w="616" w:type="pct"/>
                  <w:tcBorders>
                    <w:tl2br w:val="nil"/>
                    <w:tr2bl w:val="nil"/>
                  </w:tcBorders>
                  <w:shd w:val="clear" w:color="auto" w:fill="auto"/>
                  <w:noWrap w:val="0"/>
                  <w:vAlign w:val="center"/>
                </w:tcPr>
                <w:p w14:paraId="73C2B83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0.51</w:t>
                  </w:r>
                  <w:r>
                    <w:rPr>
                      <w:rFonts w:hint="eastAsia" w:cs="Times New Roman"/>
                      <w:color w:val="auto"/>
                      <w:lang w:val="en-US" w:eastAsia="zh-CN"/>
                    </w:rPr>
                    <w:t>2</w:t>
                  </w:r>
                </w:p>
              </w:tc>
            </w:tr>
            <w:tr w14:paraId="3CCA8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458" w:type="pct"/>
                  <w:vMerge w:val="continue"/>
                  <w:tcBorders>
                    <w:tl2br w:val="nil"/>
                    <w:tr2bl w:val="nil"/>
                  </w:tcBorders>
                  <w:noWrap w:val="0"/>
                  <w:vAlign w:val="center"/>
                </w:tcPr>
                <w:p w14:paraId="77E211FF">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3E783F7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实验室废试剂空瓶</w:t>
                  </w:r>
                </w:p>
              </w:tc>
              <w:tc>
                <w:tcPr>
                  <w:tcW w:w="718" w:type="pct"/>
                  <w:tcBorders>
                    <w:tl2br w:val="nil"/>
                    <w:tr2bl w:val="nil"/>
                  </w:tcBorders>
                  <w:noWrap w:val="0"/>
                  <w:vAlign w:val="center"/>
                </w:tcPr>
                <w:p w14:paraId="0C01ECD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55FAC8E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c>
                <w:tcPr>
                  <w:tcW w:w="572" w:type="pct"/>
                  <w:tcBorders>
                    <w:tl2br w:val="nil"/>
                    <w:tr2bl w:val="nil"/>
                  </w:tcBorders>
                  <w:noWrap w:val="0"/>
                  <w:vAlign w:val="center"/>
                </w:tcPr>
                <w:p w14:paraId="54DA4D7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w:t>
                  </w:r>
                </w:p>
              </w:tc>
              <w:tc>
                <w:tcPr>
                  <w:tcW w:w="683" w:type="pct"/>
                  <w:tcBorders>
                    <w:tl2br w:val="nil"/>
                    <w:tr2bl w:val="nil"/>
                  </w:tcBorders>
                  <w:noWrap w:val="0"/>
                  <w:vAlign w:val="center"/>
                </w:tcPr>
                <w:p w14:paraId="5370242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209D4F3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0.025</w:t>
                  </w:r>
                </w:p>
              </w:tc>
              <w:tc>
                <w:tcPr>
                  <w:tcW w:w="616" w:type="pct"/>
                  <w:tcBorders>
                    <w:tl2br w:val="nil"/>
                    <w:tr2bl w:val="nil"/>
                  </w:tcBorders>
                  <w:shd w:val="clear" w:color="auto" w:fill="auto"/>
                  <w:noWrap w:val="0"/>
                  <w:vAlign w:val="center"/>
                </w:tcPr>
                <w:p w14:paraId="788FCF4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w:t>
                  </w:r>
                </w:p>
              </w:tc>
            </w:tr>
            <w:tr w14:paraId="3778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8" w:type="pct"/>
                  <w:vMerge w:val="continue"/>
                  <w:tcBorders>
                    <w:tl2br w:val="nil"/>
                    <w:tr2bl w:val="nil"/>
                  </w:tcBorders>
                  <w:noWrap w:val="0"/>
                  <w:vAlign w:val="center"/>
                </w:tcPr>
                <w:p w14:paraId="71B43D67">
                  <w:pPr>
                    <w:pStyle w:val="24"/>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765" w:type="pct"/>
                  <w:tcBorders>
                    <w:tl2br w:val="nil"/>
                    <w:tr2bl w:val="nil"/>
                  </w:tcBorders>
                  <w:noWrap w:val="0"/>
                  <w:vAlign w:val="center"/>
                </w:tcPr>
                <w:p w14:paraId="04831D2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废液</w:t>
                  </w:r>
                </w:p>
              </w:tc>
              <w:tc>
                <w:tcPr>
                  <w:tcW w:w="718" w:type="pct"/>
                  <w:tcBorders>
                    <w:tl2br w:val="nil"/>
                    <w:tr2bl w:val="nil"/>
                  </w:tcBorders>
                  <w:noWrap w:val="0"/>
                  <w:vAlign w:val="center"/>
                </w:tcPr>
                <w:p w14:paraId="3593805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t/a</w:t>
                  </w:r>
                </w:p>
              </w:tc>
              <w:tc>
                <w:tcPr>
                  <w:tcW w:w="592" w:type="pct"/>
                  <w:tcBorders>
                    <w:tl2br w:val="nil"/>
                    <w:tr2bl w:val="nil"/>
                  </w:tcBorders>
                  <w:shd w:val="clear" w:color="auto" w:fill="auto"/>
                  <w:noWrap w:val="0"/>
                  <w:vAlign w:val="center"/>
                </w:tcPr>
                <w:p w14:paraId="2B13276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72" w:type="pct"/>
                  <w:tcBorders>
                    <w:tl2br w:val="nil"/>
                    <w:tr2bl w:val="nil"/>
                  </w:tcBorders>
                  <w:noWrap w:val="0"/>
                  <w:vAlign w:val="center"/>
                </w:tcPr>
                <w:p w14:paraId="7364D87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358.527</w:t>
                  </w:r>
                </w:p>
              </w:tc>
              <w:tc>
                <w:tcPr>
                  <w:tcW w:w="683" w:type="pct"/>
                  <w:tcBorders>
                    <w:tl2br w:val="nil"/>
                    <w:tr2bl w:val="nil"/>
                  </w:tcBorders>
                  <w:noWrap w:val="0"/>
                  <w:vAlign w:val="center"/>
                </w:tcPr>
                <w:p w14:paraId="460BD9D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591" w:type="pct"/>
                  <w:tcBorders>
                    <w:tl2br w:val="nil"/>
                    <w:tr2bl w:val="nil"/>
                  </w:tcBorders>
                  <w:shd w:val="clear" w:color="auto" w:fill="auto"/>
                  <w:noWrap w:val="0"/>
                  <w:vAlign w:val="center"/>
                </w:tcPr>
                <w:p w14:paraId="00E31EF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358.527</w:t>
                  </w:r>
                </w:p>
              </w:tc>
              <w:tc>
                <w:tcPr>
                  <w:tcW w:w="616" w:type="pct"/>
                  <w:tcBorders>
                    <w:tl2br w:val="nil"/>
                    <w:tr2bl w:val="nil"/>
                  </w:tcBorders>
                  <w:shd w:val="clear" w:color="auto" w:fill="auto"/>
                  <w:noWrap w:val="0"/>
                  <w:vAlign w:val="center"/>
                </w:tcPr>
                <w:p w14:paraId="02D1A39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358.527</w:t>
                  </w:r>
                </w:p>
              </w:tc>
            </w:tr>
          </w:tbl>
          <w:p w14:paraId="129AE5BB">
            <w:pPr>
              <w:pStyle w:val="7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p>
        </w:tc>
      </w:tr>
    </w:tbl>
    <w:p w14:paraId="26E8B952">
      <w:pPr>
        <w:adjustRightInd w:val="0"/>
        <w:snapToGrid w:val="0"/>
        <w:spacing w:line="360" w:lineRule="auto"/>
        <w:rPr>
          <w:rFonts w:hint="eastAsia" w:ascii="宋体" w:cs="宋体"/>
          <w:b/>
          <w:color w:val="auto"/>
          <w:kern w:val="0"/>
          <w:sz w:val="28"/>
          <w:szCs w:val="28"/>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4D627B0D">
      <w:pPr>
        <w:pStyle w:val="25"/>
        <w:jc w:val="center"/>
        <w:outlineLvl w:val="0"/>
        <w:rPr>
          <w:rFonts w:ascii="黑体" w:hAnsi="黑体" w:eastAsia="黑体"/>
          <w:snapToGrid w:val="0"/>
          <w:color w:val="auto"/>
          <w:sz w:val="30"/>
          <w:szCs w:val="30"/>
        </w:rPr>
      </w:pPr>
      <w:bookmarkStart w:id="35" w:name="_Toc3337"/>
      <w:r>
        <w:rPr>
          <w:rFonts w:hint="eastAsia" w:ascii="黑体" w:hAnsi="黑体" w:eastAsia="黑体"/>
          <w:snapToGrid w:val="0"/>
          <w:color w:val="auto"/>
          <w:sz w:val="30"/>
          <w:szCs w:val="30"/>
        </w:rPr>
        <w:t>五、</w:t>
      </w:r>
      <w:bookmarkStart w:id="36" w:name="_Hlk54167917"/>
      <w:r>
        <w:rPr>
          <w:rFonts w:hint="eastAsia" w:ascii="黑体" w:hAnsi="黑体" w:eastAsia="黑体"/>
          <w:snapToGrid w:val="0"/>
          <w:color w:val="auto"/>
          <w:sz w:val="30"/>
          <w:szCs w:val="30"/>
        </w:rPr>
        <w:t>环境保护措施监督检查清单</w:t>
      </w:r>
      <w:bookmarkEnd w:id="35"/>
      <w:bookmarkEnd w:id="36"/>
    </w:p>
    <w:tbl>
      <w:tblPr>
        <w:tblStyle w:val="29"/>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52"/>
        <w:gridCol w:w="1304"/>
        <w:gridCol w:w="1427"/>
        <w:gridCol w:w="2279"/>
        <w:gridCol w:w="3060"/>
      </w:tblGrid>
      <w:tr w14:paraId="4E3BBF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04" w:hRule="atLeast"/>
          <w:jc w:val="center"/>
        </w:trPr>
        <w:tc>
          <w:tcPr>
            <w:tcW w:w="265" w:type="pct"/>
            <w:noWrap w:val="0"/>
            <w:vAlign w:val="top"/>
            <mc:AlternateContent>
              <mc:Choice Requires="wpsCustomData">
                <wpsCustomData:diagonals>
                  <wpsCustomData:diagonal from="10000" to="30000">
                    <wpsCustomData:border w:val="single" w:color="auto" w:sz="2" w:space="0"/>
                  </wpsCustomData:diagonal>
                </wpsCustomData:diagonals>
              </mc:Choice>
            </mc:AlternateContent>
          </w:tcPr>
          <w:p w14:paraId="56E9A3F2">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p>
          <w:p w14:paraId="15D66583">
            <w:pPr>
              <w:pStyle w:val="61"/>
              <w:keepNext w:val="0"/>
              <w:keepLines w:val="0"/>
              <w:suppressLineNumbers w:val="0"/>
              <w:bidi w:val="0"/>
              <w:spacing w:before="0" w:beforeAutospacing="0" w:after="0" w:afterAutospacing="0"/>
              <w:ind w:left="0" w:right="0"/>
              <mc:AlternateContent>
                <mc:Choice Requires="wpsCustomData">
                  <wpsCustomData:diagonalParaType/>
                </mc:Choice>
              </mc:AlternateContent>
              <w:rPr>
                <w:rFonts w:hint="eastAsia" w:cs="Times New Roman"/>
                <w:color w:val="auto"/>
                <w:sz w:val="24"/>
                <w:szCs w:val="24"/>
                <w:lang w:val="en-US" w:eastAsia="zh-CN"/>
              </w:rPr>
            </w:pPr>
            <w:r>
              <w:rPr>
                <w:rFonts w:hint="eastAsia" w:cs="Times New Roman"/>
                <w:color w:val="auto"/>
                <w:sz w:val="24"/>
                <w:szCs w:val="24"/>
                <w:lang w:val="en-US" w:eastAsia="zh-CN"/>
              </w:rPr>
              <w:t>要素</w:t>
            </w:r>
          </w:p>
          <w:p w14:paraId="04A97D6A">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内容</w:t>
            </w:r>
          </w:p>
          <w:p w14:paraId="0BB9B2EC">
            <w:pPr>
              <w:pStyle w:val="61"/>
              <w:keepNext w:val="0"/>
              <w:keepLines w:val="0"/>
              <w:suppressLineNumbers w:val="0"/>
              <w:bidi w:val="0"/>
              <w:spacing w:before="0" w:beforeAutospacing="0" w:after="0" w:afterAutospacing="0"/>
              <w:ind w:left="0" w:right="0"/>
              <w:rPr>
                <w:rFonts w:hint="default" w:cs="Times New Roman"/>
                <w:color w:val="auto"/>
                <w:sz w:val="24"/>
                <w:szCs w:val="24"/>
              </w:rPr>
            </w:pPr>
          </w:p>
        </w:tc>
        <w:tc>
          <w:tcPr>
            <w:tcW w:w="765" w:type="pct"/>
            <w:noWrap w:val="0"/>
            <w:vAlign w:val="center"/>
          </w:tcPr>
          <w:p w14:paraId="4531373F">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排放口</w:t>
            </w:r>
            <w:r>
              <w:rPr>
                <w:rFonts w:hint="eastAsia" w:cs="Times New Roman"/>
                <w:color w:val="auto"/>
                <w:sz w:val="24"/>
                <w:szCs w:val="24"/>
                <w:lang w:eastAsia="zh-CN"/>
              </w:rPr>
              <w:t>（</w:t>
            </w:r>
            <w:r>
              <w:rPr>
                <w:rFonts w:hint="default" w:cs="Times New Roman"/>
                <w:color w:val="auto"/>
                <w:sz w:val="24"/>
                <w:szCs w:val="24"/>
              </w:rPr>
              <w:t>编号、</w:t>
            </w:r>
          </w:p>
          <w:p w14:paraId="23E3BC16">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名称</w:t>
            </w:r>
            <w:r>
              <w:rPr>
                <w:rFonts w:hint="eastAsia" w:cs="Times New Roman"/>
                <w:color w:val="auto"/>
                <w:sz w:val="24"/>
                <w:szCs w:val="24"/>
                <w:lang w:eastAsia="zh-CN"/>
              </w:rPr>
              <w:t>）</w:t>
            </w:r>
            <w:r>
              <w:rPr>
                <w:rFonts w:hint="default" w:cs="Times New Roman"/>
                <w:color w:val="auto"/>
                <w:sz w:val="24"/>
                <w:szCs w:val="24"/>
              </w:rPr>
              <w:t>/污染源</w:t>
            </w:r>
          </w:p>
        </w:tc>
        <w:tc>
          <w:tcPr>
            <w:tcW w:w="837" w:type="pct"/>
            <w:noWrap w:val="0"/>
            <w:vAlign w:val="center"/>
          </w:tcPr>
          <w:p w14:paraId="328DDEF1">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污染物</w:t>
            </w:r>
          </w:p>
          <w:p w14:paraId="1B546AEA">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项目</w:t>
            </w:r>
          </w:p>
        </w:tc>
        <w:tc>
          <w:tcPr>
            <w:tcW w:w="1337" w:type="pct"/>
            <w:noWrap w:val="0"/>
            <w:vAlign w:val="center"/>
          </w:tcPr>
          <w:p w14:paraId="2D5AD470">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环境保护措施</w:t>
            </w:r>
          </w:p>
        </w:tc>
        <w:tc>
          <w:tcPr>
            <w:tcW w:w="1795" w:type="pct"/>
            <w:noWrap w:val="0"/>
            <w:vAlign w:val="center"/>
          </w:tcPr>
          <w:p w14:paraId="4DD1E362">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执行标准</w:t>
            </w:r>
          </w:p>
        </w:tc>
      </w:tr>
      <w:tr w14:paraId="2EFC79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restart"/>
            <w:noWrap w:val="0"/>
            <w:vAlign w:val="center"/>
          </w:tcPr>
          <w:p w14:paraId="3E432D02">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大气环境</w:t>
            </w:r>
          </w:p>
        </w:tc>
        <w:tc>
          <w:tcPr>
            <w:tcW w:w="765" w:type="pct"/>
            <w:vMerge w:val="restart"/>
            <w:noWrap w:val="0"/>
            <w:vAlign w:val="center"/>
          </w:tcPr>
          <w:p w14:paraId="25E5B968">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cs="Times New Roman"/>
                <w:color w:val="auto"/>
                <w:sz w:val="24"/>
                <w:szCs w:val="24"/>
                <w:lang w:val="en-US" w:eastAsia="zh-CN"/>
              </w:rPr>
              <w:t>冷凝</w:t>
            </w:r>
          </w:p>
        </w:tc>
        <w:tc>
          <w:tcPr>
            <w:tcW w:w="837" w:type="pct"/>
            <w:noWrap w:val="0"/>
            <w:vAlign w:val="center"/>
          </w:tcPr>
          <w:p w14:paraId="388165C5">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cs="Times New Roman"/>
                <w:color w:val="auto"/>
                <w:sz w:val="24"/>
                <w:szCs w:val="24"/>
                <w:lang w:val="en-US" w:eastAsia="zh-CN"/>
              </w:rPr>
              <w:t>颗粒物</w:t>
            </w:r>
          </w:p>
        </w:tc>
        <w:tc>
          <w:tcPr>
            <w:tcW w:w="1337" w:type="pct"/>
            <w:vMerge w:val="restart"/>
            <w:noWrap w:val="0"/>
            <w:vAlign w:val="center"/>
          </w:tcPr>
          <w:p w14:paraId="5EBD2F1A">
            <w:pPr>
              <w:pStyle w:val="58"/>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pacing w:val="0"/>
                <w:kern w:val="0"/>
                <w:sz w:val="24"/>
                <w:szCs w:val="24"/>
                <w:lang w:val="en-US" w:eastAsia="zh-CN" w:bidi="ar-SA"/>
              </w:rPr>
            </w:pPr>
            <w:r>
              <w:rPr>
                <w:rFonts w:hint="eastAsia" w:ascii="Times New Roman" w:hAnsi="Times New Roman" w:eastAsia="宋体" w:cs="Times New Roman"/>
                <w:color w:val="auto"/>
                <w:spacing w:val="0"/>
                <w:kern w:val="0"/>
                <w:sz w:val="24"/>
                <w:szCs w:val="24"/>
                <w:lang w:val="en-US" w:eastAsia="zh-CN" w:bidi="ar-SA"/>
              </w:rPr>
              <w:t>布袋除尘器+</w:t>
            </w:r>
            <w:r>
              <w:rPr>
                <w:rFonts w:hint="eastAsia" w:cs="Times New Roman"/>
                <w:color w:val="auto"/>
                <w:spacing w:val="0"/>
                <w:kern w:val="0"/>
                <w:sz w:val="24"/>
                <w:szCs w:val="24"/>
                <w:lang w:val="en-US" w:eastAsia="zh-CN" w:bidi="ar-SA"/>
              </w:rPr>
              <w:t>三级水喷淋装置</w:t>
            </w:r>
            <w:r>
              <w:rPr>
                <w:rFonts w:hint="default" w:ascii="Times New Roman" w:hAnsi="Times New Roman" w:eastAsia="宋体" w:cs="Times New Roman"/>
                <w:color w:val="auto"/>
                <w:spacing w:val="0"/>
                <w:kern w:val="0"/>
                <w:sz w:val="24"/>
                <w:szCs w:val="24"/>
                <w:lang w:val="en-US" w:eastAsia="zh-CN" w:bidi="ar-SA"/>
              </w:rPr>
              <w:t>+15m的排气筒排放（DA002）</w:t>
            </w:r>
          </w:p>
        </w:tc>
        <w:tc>
          <w:tcPr>
            <w:tcW w:w="1795" w:type="pct"/>
            <w:noWrap w:val="0"/>
            <w:vAlign w:val="center"/>
          </w:tcPr>
          <w:p w14:paraId="6814636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pacing w:val="0"/>
                <w:kern w:val="0"/>
                <w:sz w:val="24"/>
                <w:szCs w:val="24"/>
                <w:lang w:val="en-US" w:eastAsia="zh-CN" w:bidi="ar-SA"/>
              </w:rPr>
            </w:pPr>
            <w:r>
              <w:rPr>
                <w:rFonts w:hint="default" w:ascii="Times New Roman" w:hAnsi="Times New Roman" w:eastAsia="宋体" w:cs="Times New Roman"/>
                <w:color w:val="auto"/>
                <w:spacing w:val="0"/>
                <w:kern w:val="0"/>
                <w:sz w:val="24"/>
                <w:szCs w:val="24"/>
                <w:lang w:val="en-US" w:eastAsia="zh-CN" w:bidi="ar-SA"/>
              </w:rPr>
              <w:t>《大气污染物综合排放标准》（GB16297-1996）</w:t>
            </w:r>
          </w:p>
        </w:tc>
      </w:tr>
      <w:tr w14:paraId="319649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continue"/>
            <w:noWrap w:val="0"/>
            <w:vAlign w:val="center"/>
          </w:tcPr>
          <w:p w14:paraId="0D8D30E4">
            <w:pPr>
              <w:pStyle w:val="61"/>
              <w:keepNext w:val="0"/>
              <w:keepLines w:val="0"/>
              <w:suppressLineNumbers w:val="0"/>
              <w:bidi w:val="0"/>
              <w:spacing w:before="0" w:beforeAutospacing="0" w:after="0" w:afterAutospacing="0"/>
              <w:ind w:left="0" w:right="0"/>
              <w:rPr>
                <w:rFonts w:hint="default"/>
                <w:color w:val="auto"/>
              </w:rPr>
            </w:pPr>
          </w:p>
        </w:tc>
        <w:tc>
          <w:tcPr>
            <w:tcW w:w="765" w:type="pct"/>
            <w:vMerge w:val="continue"/>
            <w:noWrap w:val="0"/>
            <w:vAlign w:val="center"/>
          </w:tcPr>
          <w:p w14:paraId="67F483A5">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p>
        </w:tc>
        <w:tc>
          <w:tcPr>
            <w:tcW w:w="837" w:type="pct"/>
            <w:noWrap w:val="0"/>
            <w:vAlign w:val="center"/>
          </w:tcPr>
          <w:p w14:paraId="5A68F938">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cs="Times New Roman"/>
                <w:color w:val="auto"/>
                <w:sz w:val="24"/>
                <w:szCs w:val="24"/>
                <w:lang w:val="en-US" w:eastAsia="zh-CN"/>
              </w:rPr>
              <w:t>TVOC</w:t>
            </w:r>
          </w:p>
        </w:tc>
        <w:tc>
          <w:tcPr>
            <w:tcW w:w="1337" w:type="pct"/>
            <w:vMerge w:val="continue"/>
            <w:noWrap w:val="0"/>
            <w:vAlign w:val="center"/>
          </w:tcPr>
          <w:p w14:paraId="7313479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pacing w:val="0"/>
                <w:kern w:val="0"/>
                <w:sz w:val="24"/>
                <w:szCs w:val="24"/>
                <w:lang w:val="en-US" w:eastAsia="zh-CN" w:bidi="ar-SA"/>
              </w:rPr>
            </w:pPr>
          </w:p>
        </w:tc>
        <w:tc>
          <w:tcPr>
            <w:tcW w:w="1795" w:type="pct"/>
            <w:vMerge w:val="restart"/>
            <w:noWrap w:val="0"/>
            <w:vAlign w:val="center"/>
          </w:tcPr>
          <w:p w14:paraId="00E7000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pacing w:val="0"/>
                <w:kern w:val="0"/>
                <w:sz w:val="24"/>
                <w:szCs w:val="24"/>
                <w:lang w:val="en-US" w:eastAsia="zh-CN" w:bidi="ar-SA"/>
              </w:rPr>
            </w:pPr>
            <w:r>
              <w:rPr>
                <w:rFonts w:hint="eastAsia" w:cs="Times New Roman"/>
                <w:color w:val="auto"/>
                <w:spacing w:val="0"/>
                <w:kern w:val="0"/>
                <w:sz w:val="24"/>
                <w:szCs w:val="24"/>
                <w:lang w:val="en-US" w:eastAsia="zh-CN" w:bidi="ar-SA"/>
              </w:rPr>
              <w:t>执行《挥发性有机物综合排放控制标准（试行）》（DB36/2186-2025）（2026年07月01实施）</w:t>
            </w:r>
          </w:p>
        </w:tc>
      </w:tr>
      <w:tr w14:paraId="4D729B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continue"/>
            <w:noWrap w:val="0"/>
            <w:vAlign w:val="center"/>
          </w:tcPr>
          <w:p w14:paraId="71117197">
            <w:pPr>
              <w:pStyle w:val="61"/>
              <w:keepNext w:val="0"/>
              <w:keepLines w:val="0"/>
              <w:suppressLineNumbers w:val="0"/>
              <w:bidi w:val="0"/>
              <w:spacing w:before="0" w:beforeAutospacing="0" w:after="0" w:afterAutospacing="0"/>
              <w:ind w:left="0" w:right="0"/>
              <w:rPr>
                <w:rFonts w:hint="default"/>
                <w:color w:val="auto"/>
              </w:rPr>
            </w:pPr>
          </w:p>
        </w:tc>
        <w:tc>
          <w:tcPr>
            <w:tcW w:w="765" w:type="pct"/>
            <w:noWrap w:val="0"/>
            <w:vAlign w:val="center"/>
          </w:tcPr>
          <w:p w14:paraId="356CC374">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lang w:val="en-US" w:eastAsia="zh-CN"/>
              </w:rPr>
              <w:t>沉淀、过滤</w:t>
            </w:r>
          </w:p>
        </w:tc>
        <w:tc>
          <w:tcPr>
            <w:tcW w:w="837" w:type="pct"/>
            <w:noWrap w:val="0"/>
            <w:vAlign w:val="center"/>
          </w:tcPr>
          <w:p w14:paraId="423DB5F4">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lang w:val="en-US" w:eastAsia="zh-CN"/>
              </w:rPr>
              <w:t>TVOC</w:t>
            </w:r>
          </w:p>
        </w:tc>
        <w:tc>
          <w:tcPr>
            <w:tcW w:w="1337" w:type="pct"/>
            <w:noWrap w:val="0"/>
            <w:vAlign w:val="center"/>
          </w:tcPr>
          <w:p w14:paraId="0733930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pacing w:val="0"/>
                <w:kern w:val="0"/>
                <w:sz w:val="24"/>
                <w:szCs w:val="24"/>
                <w:lang w:val="en-US" w:eastAsia="zh-CN" w:bidi="ar-SA"/>
              </w:rPr>
            </w:pPr>
            <w:r>
              <w:rPr>
                <w:rFonts w:hint="eastAsia" w:cs="Times New Roman"/>
                <w:color w:val="auto"/>
                <w:spacing w:val="0"/>
                <w:kern w:val="0"/>
                <w:sz w:val="24"/>
                <w:szCs w:val="24"/>
                <w:lang w:val="en-US" w:eastAsia="zh-CN" w:bidi="ar-SA"/>
              </w:rPr>
              <w:t>三级水喷淋装置</w:t>
            </w:r>
            <w:r>
              <w:rPr>
                <w:rFonts w:hint="default" w:ascii="Times New Roman" w:hAnsi="Times New Roman" w:eastAsia="宋体" w:cs="Times New Roman"/>
                <w:color w:val="auto"/>
                <w:spacing w:val="0"/>
                <w:kern w:val="0"/>
                <w:sz w:val="24"/>
                <w:szCs w:val="24"/>
                <w:lang w:val="en-US" w:eastAsia="zh-CN" w:bidi="ar-SA"/>
              </w:rPr>
              <w:t>+15m的排气筒排放（DA002）</w:t>
            </w:r>
          </w:p>
        </w:tc>
        <w:tc>
          <w:tcPr>
            <w:tcW w:w="1795" w:type="pct"/>
            <w:vMerge w:val="continue"/>
            <w:noWrap w:val="0"/>
            <w:vAlign w:val="center"/>
          </w:tcPr>
          <w:p w14:paraId="78D5A43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pacing w:val="0"/>
                <w:kern w:val="0"/>
                <w:sz w:val="24"/>
                <w:szCs w:val="24"/>
                <w:lang w:val="en-US" w:eastAsia="zh-CN" w:bidi="ar-SA"/>
              </w:rPr>
            </w:pPr>
          </w:p>
        </w:tc>
      </w:tr>
      <w:tr w14:paraId="104557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continue"/>
            <w:noWrap w:val="0"/>
            <w:vAlign w:val="center"/>
          </w:tcPr>
          <w:p w14:paraId="21389208">
            <w:pPr>
              <w:pStyle w:val="61"/>
              <w:keepNext w:val="0"/>
              <w:keepLines w:val="0"/>
              <w:suppressLineNumbers w:val="0"/>
              <w:bidi w:val="0"/>
              <w:spacing w:before="0" w:beforeAutospacing="0" w:after="0" w:afterAutospacing="0"/>
              <w:ind w:left="0" w:right="0"/>
              <w:rPr>
                <w:rFonts w:hint="default"/>
                <w:color w:val="auto"/>
              </w:rPr>
            </w:pPr>
          </w:p>
        </w:tc>
        <w:tc>
          <w:tcPr>
            <w:tcW w:w="765" w:type="pct"/>
            <w:vMerge w:val="restart"/>
            <w:noWrap w:val="0"/>
            <w:vAlign w:val="center"/>
          </w:tcPr>
          <w:p w14:paraId="4E901F0F">
            <w:pPr>
              <w:pStyle w:val="61"/>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sz w:val="24"/>
                <w:szCs w:val="24"/>
                <w:lang w:val="en-US" w:eastAsia="zh-CN"/>
              </w:rPr>
            </w:pPr>
            <w:r>
              <w:rPr>
                <w:rFonts w:hint="eastAsia" w:cs="Times New Roman"/>
                <w:color w:val="auto"/>
                <w:sz w:val="24"/>
                <w:szCs w:val="24"/>
                <w:lang w:val="en-US" w:eastAsia="zh-CN"/>
              </w:rPr>
              <w:t>锅炉烟气</w:t>
            </w:r>
          </w:p>
        </w:tc>
        <w:tc>
          <w:tcPr>
            <w:tcW w:w="837" w:type="pct"/>
            <w:noWrap w:val="0"/>
            <w:vAlign w:val="center"/>
          </w:tcPr>
          <w:p w14:paraId="79B48607">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4"/>
                <w:szCs w:val="24"/>
                <w:lang w:val="en-US" w:eastAsia="zh-CN"/>
              </w:rPr>
            </w:pPr>
            <w:r>
              <w:rPr>
                <w:rFonts w:hint="eastAsia" w:cs="Times New Roman"/>
                <w:color w:val="auto"/>
                <w:sz w:val="24"/>
                <w:szCs w:val="24"/>
                <w:lang w:val="en-US" w:eastAsia="zh-CN"/>
              </w:rPr>
              <w:t>颗粒物</w:t>
            </w:r>
          </w:p>
        </w:tc>
        <w:tc>
          <w:tcPr>
            <w:tcW w:w="1337" w:type="pct"/>
            <w:vMerge w:val="restart"/>
            <w:noWrap w:val="0"/>
            <w:vAlign w:val="center"/>
          </w:tcPr>
          <w:p w14:paraId="3DECF989">
            <w:pPr>
              <w:pStyle w:val="61"/>
              <w:keepNext w:val="0"/>
              <w:keepLines w:val="0"/>
              <w:suppressLineNumbers w:val="0"/>
              <w:bidi w:val="0"/>
              <w:spacing w:before="0" w:beforeAutospacing="0" w:after="0" w:afterAutospacing="0"/>
              <w:ind w:left="0" w:right="0"/>
              <w:rPr>
                <w:rFonts w:hint="default"/>
                <w:color w:val="auto"/>
              </w:rPr>
            </w:pPr>
            <w:r>
              <w:rPr>
                <w:rFonts w:hint="eastAsia" w:cs="Times New Roman"/>
                <w:color w:val="auto"/>
                <w:sz w:val="24"/>
                <w:szCs w:val="24"/>
                <w:lang w:val="en-US" w:eastAsia="zh-CN"/>
              </w:rPr>
              <w:t>布袋除尘器</w:t>
            </w:r>
            <w:r>
              <w:rPr>
                <w:rFonts w:hint="default" w:cs="Times New Roman"/>
                <w:color w:val="auto"/>
                <w:sz w:val="24"/>
                <w:szCs w:val="24"/>
                <w:lang w:val="en-US" w:eastAsia="zh-CN"/>
              </w:rPr>
              <w:t>+</w:t>
            </w:r>
            <w:r>
              <w:rPr>
                <w:rFonts w:hint="eastAsia" w:cs="Times New Roman"/>
                <w:color w:val="auto"/>
                <w:sz w:val="24"/>
                <w:szCs w:val="24"/>
                <w:lang w:val="en-US" w:eastAsia="zh-CN"/>
              </w:rPr>
              <w:t>40</w:t>
            </w:r>
            <w:r>
              <w:rPr>
                <w:rFonts w:hint="default" w:cs="Times New Roman"/>
                <w:color w:val="auto"/>
                <w:sz w:val="24"/>
                <w:szCs w:val="24"/>
                <w:lang w:val="en-US" w:eastAsia="zh-CN"/>
              </w:rPr>
              <w:t>m的排气筒排放（DA00</w:t>
            </w:r>
            <w:r>
              <w:rPr>
                <w:rFonts w:hint="eastAsia" w:cs="Times New Roman"/>
                <w:color w:val="auto"/>
                <w:sz w:val="24"/>
                <w:szCs w:val="24"/>
                <w:lang w:val="en-US" w:eastAsia="zh-CN"/>
              </w:rPr>
              <w:t>1</w:t>
            </w:r>
            <w:r>
              <w:rPr>
                <w:rFonts w:hint="default" w:cs="Times New Roman"/>
                <w:color w:val="auto"/>
                <w:sz w:val="24"/>
                <w:szCs w:val="24"/>
                <w:lang w:val="en-US" w:eastAsia="zh-CN"/>
              </w:rPr>
              <w:t>）</w:t>
            </w:r>
          </w:p>
        </w:tc>
        <w:tc>
          <w:tcPr>
            <w:tcW w:w="1795" w:type="pct"/>
            <w:vMerge w:val="restart"/>
            <w:noWrap w:val="0"/>
            <w:vAlign w:val="center"/>
          </w:tcPr>
          <w:p w14:paraId="1FFCCB45">
            <w:pPr>
              <w:pStyle w:val="61"/>
              <w:keepNext w:val="0"/>
              <w:keepLines w:val="0"/>
              <w:suppressLineNumbers w:val="0"/>
              <w:bidi w:val="0"/>
              <w:spacing w:before="0" w:beforeAutospacing="0" w:after="0" w:afterAutospacing="0"/>
              <w:ind w:left="0" w:right="0"/>
              <w:rPr>
                <w:rFonts w:hint="eastAsia" w:cs="Times New Roman"/>
                <w:color w:val="auto"/>
                <w:spacing w:val="0"/>
                <w:kern w:val="0"/>
                <w:sz w:val="21"/>
                <w:szCs w:val="21"/>
                <w:lang w:val="en-US" w:eastAsia="zh-CN" w:bidi="ar-SA"/>
              </w:rPr>
            </w:pPr>
            <w:r>
              <w:rPr>
                <w:rFonts w:hint="default"/>
                <w:color w:val="auto"/>
              </w:rPr>
              <w:t>《</w:t>
            </w:r>
            <w:r>
              <w:rPr>
                <w:rFonts w:hint="default" w:cs="Times New Roman"/>
                <w:color w:val="auto"/>
                <w:sz w:val="24"/>
                <w:szCs w:val="24"/>
                <w:lang w:val="en-US" w:eastAsia="zh-CN"/>
              </w:rPr>
              <w:t>锅炉大气污染物排放标准》（</w:t>
            </w:r>
            <w:r>
              <w:rPr>
                <w:rFonts w:hint="eastAsia" w:cs="Times New Roman"/>
                <w:color w:val="auto"/>
                <w:sz w:val="24"/>
                <w:szCs w:val="24"/>
                <w:lang w:val="en-US" w:eastAsia="zh-CN"/>
              </w:rPr>
              <w:t>GB13271-2014）</w:t>
            </w:r>
          </w:p>
        </w:tc>
      </w:tr>
      <w:tr w14:paraId="3AFDE9A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continue"/>
            <w:noWrap w:val="0"/>
            <w:vAlign w:val="center"/>
          </w:tcPr>
          <w:p w14:paraId="182C3497">
            <w:pPr>
              <w:pStyle w:val="61"/>
              <w:keepNext w:val="0"/>
              <w:keepLines w:val="0"/>
              <w:suppressLineNumbers w:val="0"/>
              <w:bidi w:val="0"/>
              <w:spacing w:before="0" w:beforeAutospacing="0" w:after="0" w:afterAutospacing="0"/>
              <w:ind w:left="0" w:right="0"/>
              <w:rPr>
                <w:rFonts w:hint="default"/>
                <w:color w:val="auto"/>
              </w:rPr>
            </w:pPr>
          </w:p>
        </w:tc>
        <w:tc>
          <w:tcPr>
            <w:tcW w:w="765" w:type="pct"/>
            <w:vMerge w:val="continue"/>
            <w:noWrap w:val="0"/>
            <w:vAlign w:val="center"/>
          </w:tcPr>
          <w:p w14:paraId="1099D1DE">
            <w:pPr>
              <w:pStyle w:val="61"/>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sz w:val="24"/>
                <w:szCs w:val="24"/>
                <w:lang w:val="en-US" w:eastAsia="zh-CN"/>
              </w:rPr>
            </w:pPr>
          </w:p>
        </w:tc>
        <w:tc>
          <w:tcPr>
            <w:tcW w:w="837" w:type="pct"/>
            <w:noWrap w:val="0"/>
            <w:vAlign w:val="center"/>
          </w:tcPr>
          <w:p w14:paraId="3BE19C99">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4"/>
                <w:szCs w:val="24"/>
                <w:lang w:val="en-US" w:eastAsia="zh-CN"/>
              </w:rPr>
            </w:pPr>
            <w:r>
              <w:rPr>
                <w:rFonts w:hint="default"/>
                <w:color w:val="auto"/>
                <w:sz w:val="24"/>
                <w:szCs w:val="24"/>
              </w:rPr>
              <w:t>SO₂</w:t>
            </w:r>
          </w:p>
        </w:tc>
        <w:tc>
          <w:tcPr>
            <w:tcW w:w="1337" w:type="pct"/>
            <w:vMerge w:val="continue"/>
            <w:noWrap w:val="0"/>
            <w:vAlign w:val="center"/>
          </w:tcPr>
          <w:p w14:paraId="406ADFA4">
            <w:pPr>
              <w:pStyle w:val="61"/>
              <w:keepNext w:val="0"/>
              <w:keepLines w:val="0"/>
              <w:suppressLineNumbers w:val="0"/>
              <w:bidi w:val="0"/>
              <w:spacing w:before="0" w:beforeAutospacing="0" w:after="0" w:afterAutospacing="0"/>
              <w:ind w:left="0" w:right="0"/>
              <w:rPr>
                <w:rFonts w:hint="default"/>
                <w:color w:val="auto"/>
              </w:rPr>
            </w:pPr>
          </w:p>
        </w:tc>
        <w:tc>
          <w:tcPr>
            <w:tcW w:w="1795" w:type="pct"/>
            <w:vMerge w:val="continue"/>
            <w:noWrap w:val="0"/>
            <w:vAlign w:val="center"/>
          </w:tcPr>
          <w:p w14:paraId="47C77D44">
            <w:pPr>
              <w:pStyle w:val="61"/>
              <w:keepNext w:val="0"/>
              <w:keepLines w:val="0"/>
              <w:suppressLineNumbers w:val="0"/>
              <w:bidi w:val="0"/>
              <w:spacing w:before="0" w:beforeAutospacing="0" w:after="0" w:afterAutospacing="0"/>
              <w:ind w:left="0" w:right="0"/>
              <w:rPr>
                <w:rFonts w:hint="eastAsia" w:cs="Times New Roman"/>
                <w:color w:val="auto"/>
                <w:spacing w:val="0"/>
                <w:kern w:val="0"/>
                <w:sz w:val="21"/>
                <w:szCs w:val="21"/>
                <w:lang w:val="en-US" w:eastAsia="zh-CN" w:bidi="ar-SA"/>
              </w:rPr>
            </w:pPr>
          </w:p>
        </w:tc>
      </w:tr>
      <w:tr w14:paraId="49F064B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jc w:val="center"/>
        </w:trPr>
        <w:tc>
          <w:tcPr>
            <w:tcW w:w="265" w:type="pct"/>
            <w:vMerge w:val="continue"/>
            <w:noWrap w:val="0"/>
            <w:vAlign w:val="center"/>
          </w:tcPr>
          <w:p w14:paraId="2F4B9C24">
            <w:pPr>
              <w:pStyle w:val="61"/>
              <w:keepNext w:val="0"/>
              <w:keepLines w:val="0"/>
              <w:suppressLineNumbers w:val="0"/>
              <w:bidi w:val="0"/>
              <w:spacing w:before="0" w:beforeAutospacing="0" w:after="0" w:afterAutospacing="0"/>
              <w:ind w:left="0" w:right="0"/>
              <w:rPr>
                <w:rFonts w:hint="default"/>
                <w:color w:val="auto"/>
              </w:rPr>
            </w:pPr>
          </w:p>
        </w:tc>
        <w:tc>
          <w:tcPr>
            <w:tcW w:w="765" w:type="pct"/>
            <w:vMerge w:val="continue"/>
            <w:noWrap w:val="0"/>
            <w:vAlign w:val="center"/>
          </w:tcPr>
          <w:p w14:paraId="04A41A48">
            <w:pPr>
              <w:pStyle w:val="61"/>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sz w:val="24"/>
                <w:szCs w:val="24"/>
                <w:lang w:val="en-US" w:eastAsia="zh-CN"/>
              </w:rPr>
            </w:pPr>
          </w:p>
        </w:tc>
        <w:tc>
          <w:tcPr>
            <w:tcW w:w="837" w:type="pct"/>
            <w:noWrap w:val="0"/>
            <w:vAlign w:val="center"/>
          </w:tcPr>
          <w:p w14:paraId="06AACDB8">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4"/>
                <w:szCs w:val="24"/>
                <w:lang w:val="en-US" w:eastAsia="zh-CN"/>
              </w:rPr>
            </w:pPr>
            <w:r>
              <w:rPr>
                <w:rFonts w:hint="eastAsia"/>
                <w:color w:val="auto"/>
                <w:sz w:val="24"/>
                <w:szCs w:val="24"/>
                <w:lang w:val="en-US" w:eastAsia="zh-CN"/>
              </w:rPr>
              <w:t>NOx</w:t>
            </w:r>
          </w:p>
        </w:tc>
        <w:tc>
          <w:tcPr>
            <w:tcW w:w="1337" w:type="pct"/>
            <w:vMerge w:val="continue"/>
            <w:noWrap w:val="0"/>
            <w:vAlign w:val="center"/>
          </w:tcPr>
          <w:p w14:paraId="763C0D81">
            <w:pPr>
              <w:pStyle w:val="61"/>
              <w:keepNext w:val="0"/>
              <w:keepLines w:val="0"/>
              <w:suppressLineNumbers w:val="0"/>
              <w:bidi w:val="0"/>
              <w:spacing w:before="0" w:beforeAutospacing="0" w:after="0" w:afterAutospacing="0"/>
              <w:ind w:left="0" w:right="0"/>
              <w:rPr>
                <w:rFonts w:hint="default"/>
                <w:color w:val="auto"/>
              </w:rPr>
            </w:pPr>
          </w:p>
        </w:tc>
        <w:tc>
          <w:tcPr>
            <w:tcW w:w="1795" w:type="pct"/>
            <w:vMerge w:val="continue"/>
            <w:noWrap w:val="0"/>
            <w:vAlign w:val="center"/>
          </w:tcPr>
          <w:p w14:paraId="0B3C7C7C">
            <w:pPr>
              <w:pStyle w:val="61"/>
              <w:keepNext w:val="0"/>
              <w:keepLines w:val="0"/>
              <w:suppressLineNumbers w:val="0"/>
              <w:bidi w:val="0"/>
              <w:spacing w:before="0" w:beforeAutospacing="0" w:after="0" w:afterAutospacing="0"/>
              <w:ind w:left="0" w:right="0"/>
              <w:rPr>
                <w:rFonts w:hint="eastAsia" w:cs="Times New Roman"/>
                <w:color w:val="auto"/>
                <w:spacing w:val="0"/>
                <w:kern w:val="0"/>
                <w:sz w:val="21"/>
                <w:szCs w:val="21"/>
                <w:lang w:val="en-US" w:eastAsia="zh-CN" w:bidi="ar-SA"/>
              </w:rPr>
            </w:pPr>
          </w:p>
        </w:tc>
      </w:tr>
      <w:tr w14:paraId="14915E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65" w:type="pct"/>
            <w:vMerge w:val="continue"/>
            <w:noWrap w:val="0"/>
            <w:vAlign w:val="center"/>
          </w:tcPr>
          <w:p w14:paraId="3820A1B4">
            <w:pPr>
              <w:pStyle w:val="61"/>
              <w:keepNext w:val="0"/>
              <w:keepLines w:val="0"/>
              <w:suppressLineNumbers w:val="0"/>
              <w:bidi w:val="0"/>
              <w:spacing w:before="0" w:beforeAutospacing="0" w:after="0" w:afterAutospacing="0"/>
              <w:ind w:left="0" w:right="0"/>
              <w:rPr>
                <w:rFonts w:hint="default" w:cs="Times New Roman"/>
                <w:color w:val="auto"/>
                <w:sz w:val="24"/>
                <w:szCs w:val="24"/>
              </w:rPr>
            </w:pPr>
          </w:p>
        </w:tc>
        <w:tc>
          <w:tcPr>
            <w:tcW w:w="765" w:type="pct"/>
            <w:noWrap w:val="0"/>
            <w:vAlign w:val="center"/>
          </w:tcPr>
          <w:p w14:paraId="0EA6ACEB">
            <w:pPr>
              <w:pStyle w:val="61"/>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sz w:val="24"/>
                <w:szCs w:val="24"/>
                <w:lang w:val="en-US" w:eastAsia="zh-CN"/>
              </w:rPr>
            </w:pPr>
            <w:r>
              <w:rPr>
                <w:rFonts w:hint="eastAsia" w:cs="Times New Roman"/>
                <w:color w:val="auto"/>
                <w:sz w:val="24"/>
                <w:szCs w:val="24"/>
                <w:lang w:val="en-US" w:eastAsia="zh-CN"/>
              </w:rPr>
              <w:t>破碎</w:t>
            </w:r>
          </w:p>
        </w:tc>
        <w:tc>
          <w:tcPr>
            <w:tcW w:w="837" w:type="pct"/>
            <w:noWrap w:val="0"/>
            <w:vAlign w:val="center"/>
          </w:tcPr>
          <w:p w14:paraId="291B461D">
            <w:pPr>
              <w:pStyle w:val="61"/>
              <w:keepNext w:val="0"/>
              <w:keepLines w:val="0"/>
              <w:suppressLineNumbers w:val="0"/>
              <w:bidi w:val="0"/>
              <w:spacing w:before="0" w:beforeAutospacing="0" w:after="0" w:afterAutospacing="0"/>
              <w:ind w:left="0" w:right="0"/>
              <w:rPr>
                <w:rFonts w:hint="eastAsia" w:eastAsia="宋体" w:cs="Times New Roman"/>
                <w:color w:val="auto"/>
                <w:sz w:val="24"/>
                <w:szCs w:val="24"/>
                <w:lang w:val="en-US" w:eastAsia="zh-CN"/>
              </w:rPr>
            </w:pPr>
            <w:r>
              <w:rPr>
                <w:rFonts w:hint="eastAsia" w:cs="Times New Roman"/>
                <w:color w:val="auto"/>
                <w:sz w:val="24"/>
                <w:szCs w:val="24"/>
                <w:lang w:val="en-US" w:eastAsia="zh-CN"/>
              </w:rPr>
              <w:t>颗粒物</w:t>
            </w:r>
          </w:p>
        </w:tc>
        <w:tc>
          <w:tcPr>
            <w:tcW w:w="1337" w:type="pct"/>
            <w:noWrap w:val="0"/>
            <w:vAlign w:val="center"/>
          </w:tcPr>
          <w:p w14:paraId="5954C228">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lang w:val="en-US" w:eastAsia="zh-CN"/>
              </w:rPr>
              <w:t>布袋除尘（无组织排放）</w:t>
            </w:r>
          </w:p>
        </w:tc>
        <w:tc>
          <w:tcPr>
            <w:tcW w:w="1795" w:type="pct"/>
            <w:vMerge w:val="restart"/>
            <w:noWrap w:val="0"/>
            <w:vAlign w:val="center"/>
          </w:tcPr>
          <w:p w14:paraId="6DB1458E">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cs="Times New Roman"/>
                <w:color w:val="auto"/>
                <w:sz w:val="24"/>
                <w:szCs w:val="24"/>
                <w:lang w:val="en-US" w:eastAsia="zh-CN"/>
              </w:rPr>
              <w:t>《大气污染物综合排放标准》（GB16297-1996）</w:t>
            </w:r>
          </w:p>
        </w:tc>
      </w:tr>
      <w:tr w14:paraId="6A1E96B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65" w:type="pct"/>
            <w:vMerge w:val="continue"/>
            <w:noWrap w:val="0"/>
            <w:vAlign w:val="center"/>
          </w:tcPr>
          <w:p w14:paraId="07B357A5">
            <w:pPr>
              <w:pStyle w:val="61"/>
              <w:keepNext w:val="0"/>
              <w:keepLines w:val="0"/>
              <w:suppressLineNumbers w:val="0"/>
              <w:bidi w:val="0"/>
              <w:spacing w:before="0" w:beforeAutospacing="0" w:after="0" w:afterAutospacing="0"/>
              <w:ind w:left="0" w:right="0"/>
              <w:rPr>
                <w:rFonts w:hint="default" w:cs="Times New Roman"/>
                <w:color w:val="auto"/>
                <w:sz w:val="24"/>
                <w:szCs w:val="24"/>
              </w:rPr>
            </w:pPr>
          </w:p>
        </w:tc>
        <w:tc>
          <w:tcPr>
            <w:tcW w:w="765" w:type="pct"/>
            <w:noWrap w:val="0"/>
            <w:vAlign w:val="center"/>
          </w:tcPr>
          <w:p w14:paraId="71CA8662">
            <w:pPr>
              <w:pStyle w:val="61"/>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sz w:val="24"/>
                <w:szCs w:val="24"/>
                <w:lang w:val="en-US" w:eastAsia="zh-CN"/>
              </w:rPr>
            </w:pPr>
            <w:r>
              <w:rPr>
                <w:rFonts w:hint="eastAsia" w:cs="Times New Roman"/>
                <w:color w:val="auto"/>
                <w:sz w:val="24"/>
                <w:szCs w:val="24"/>
                <w:lang w:val="en-US" w:eastAsia="zh-CN"/>
              </w:rPr>
              <w:t>上料</w:t>
            </w:r>
          </w:p>
        </w:tc>
        <w:tc>
          <w:tcPr>
            <w:tcW w:w="837" w:type="pct"/>
            <w:noWrap w:val="0"/>
            <w:vAlign w:val="center"/>
          </w:tcPr>
          <w:p w14:paraId="4DB3848F">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lang w:val="en-US" w:eastAsia="zh-CN"/>
              </w:rPr>
              <w:t>颗粒物</w:t>
            </w:r>
          </w:p>
        </w:tc>
        <w:tc>
          <w:tcPr>
            <w:tcW w:w="1337" w:type="pct"/>
            <w:noWrap w:val="0"/>
            <w:vAlign w:val="center"/>
          </w:tcPr>
          <w:p w14:paraId="4026DB09">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default" w:cs="Times New Roman"/>
                <w:color w:val="auto"/>
                <w:sz w:val="24"/>
                <w:szCs w:val="24"/>
                <w:lang w:val="en-US" w:eastAsia="zh-CN"/>
              </w:rPr>
              <w:t>布袋除尘（无组织排放）</w:t>
            </w:r>
          </w:p>
        </w:tc>
        <w:tc>
          <w:tcPr>
            <w:tcW w:w="1795" w:type="pct"/>
            <w:vMerge w:val="continue"/>
            <w:noWrap w:val="0"/>
            <w:vAlign w:val="center"/>
          </w:tcPr>
          <w:p w14:paraId="4F118ED2">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p>
        </w:tc>
      </w:tr>
      <w:tr w14:paraId="70B7B3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jc w:val="center"/>
        </w:trPr>
        <w:tc>
          <w:tcPr>
            <w:tcW w:w="265" w:type="pct"/>
            <w:vMerge w:val="continue"/>
            <w:noWrap w:val="0"/>
            <w:vAlign w:val="center"/>
          </w:tcPr>
          <w:p w14:paraId="3D711CC9">
            <w:pPr>
              <w:pStyle w:val="61"/>
              <w:keepNext w:val="0"/>
              <w:keepLines w:val="0"/>
              <w:suppressLineNumbers w:val="0"/>
              <w:bidi w:val="0"/>
              <w:spacing w:before="0" w:beforeAutospacing="0" w:after="0" w:afterAutospacing="0"/>
              <w:ind w:left="0" w:right="0"/>
              <w:rPr>
                <w:rFonts w:hint="default" w:cs="Times New Roman"/>
                <w:color w:val="auto"/>
                <w:sz w:val="24"/>
                <w:szCs w:val="24"/>
              </w:rPr>
            </w:pPr>
          </w:p>
        </w:tc>
        <w:tc>
          <w:tcPr>
            <w:tcW w:w="765" w:type="pct"/>
            <w:vMerge w:val="restart"/>
            <w:noWrap w:val="0"/>
            <w:vAlign w:val="center"/>
          </w:tcPr>
          <w:p w14:paraId="3332DF71">
            <w:pPr>
              <w:pStyle w:val="61"/>
              <w:keepNext w:val="0"/>
              <w:keepLines w:val="0"/>
              <w:suppressLineNumbers w:val="0"/>
              <w:bidi w:val="0"/>
              <w:spacing w:before="0" w:beforeAutospacing="0" w:after="0" w:afterAutospacing="0"/>
              <w:ind w:left="0" w:right="0"/>
              <w:rPr>
                <w:rFonts w:hint="default" w:eastAsia="宋体" w:cs="Times New Roman"/>
                <w:color w:val="auto"/>
                <w:sz w:val="24"/>
                <w:szCs w:val="24"/>
                <w:lang w:val="en-US" w:eastAsia="zh-CN"/>
              </w:rPr>
            </w:pPr>
            <w:r>
              <w:rPr>
                <w:rFonts w:hint="eastAsia" w:cs="Times New Roman"/>
                <w:color w:val="auto"/>
                <w:sz w:val="24"/>
                <w:szCs w:val="24"/>
                <w:lang w:val="en-US" w:eastAsia="zh-CN"/>
              </w:rPr>
              <w:t>沉淀、过滤、冷凝</w:t>
            </w:r>
          </w:p>
        </w:tc>
        <w:tc>
          <w:tcPr>
            <w:tcW w:w="837" w:type="pct"/>
            <w:noWrap w:val="0"/>
            <w:vAlign w:val="center"/>
          </w:tcPr>
          <w:p w14:paraId="1F5EED44">
            <w:pPr>
              <w:pStyle w:val="61"/>
              <w:keepNext w:val="0"/>
              <w:keepLines w:val="0"/>
              <w:suppressLineNumbers w:val="0"/>
              <w:bidi w:val="0"/>
              <w:spacing w:before="0" w:beforeAutospacing="0" w:after="0" w:afterAutospacing="0"/>
              <w:ind w:left="0" w:right="0"/>
              <w:rPr>
                <w:rFonts w:hint="default"/>
                <w:color w:val="auto"/>
                <w:sz w:val="24"/>
                <w:szCs w:val="24"/>
                <w:lang w:val="en-US" w:eastAsia="zh-CN"/>
              </w:rPr>
            </w:pPr>
            <w:r>
              <w:rPr>
                <w:rFonts w:hint="default" w:cs="Times New Roman"/>
                <w:color w:val="auto"/>
                <w:sz w:val="24"/>
                <w:szCs w:val="24"/>
              </w:rPr>
              <w:t>颗粒物</w:t>
            </w:r>
          </w:p>
        </w:tc>
        <w:tc>
          <w:tcPr>
            <w:tcW w:w="1337" w:type="pct"/>
            <w:vMerge w:val="restart"/>
            <w:noWrap w:val="0"/>
            <w:vAlign w:val="center"/>
          </w:tcPr>
          <w:p w14:paraId="4668D1DC">
            <w:pPr>
              <w:pStyle w:val="61"/>
              <w:keepNext w:val="0"/>
              <w:keepLines w:val="0"/>
              <w:suppressLineNumbers w:val="0"/>
              <w:bidi w:val="0"/>
              <w:spacing w:before="0" w:beforeAutospacing="0" w:after="0" w:afterAutospacing="0"/>
              <w:ind w:left="0" w:right="0"/>
              <w:rPr>
                <w:rFonts w:hint="default" w:eastAsia="宋体" w:cs="Times New Roman"/>
                <w:color w:val="auto"/>
                <w:sz w:val="24"/>
                <w:szCs w:val="24"/>
                <w:lang w:val="en-US" w:eastAsia="zh-CN"/>
              </w:rPr>
            </w:pPr>
            <w:r>
              <w:rPr>
                <w:rFonts w:hint="default" w:cs="Times New Roman"/>
                <w:color w:val="auto"/>
                <w:sz w:val="24"/>
                <w:szCs w:val="24"/>
              </w:rPr>
              <w:t>通风</w:t>
            </w:r>
            <w:r>
              <w:rPr>
                <w:rFonts w:hint="eastAsia" w:cs="Times New Roman"/>
                <w:color w:val="auto"/>
                <w:sz w:val="24"/>
                <w:szCs w:val="24"/>
                <w:lang w:val="en-US" w:eastAsia="zh-CN"/>
              </w:rPr>
              <w:t>、自然沉降</w:t>
            </w:r>
          </w:p>
        </w:tc>
        <w:tc>
          <w:tcPr>
            <w:tcW w:w="1795" w:type="pct"/>
            <w:noWrap w:val="0"/>
            <w:vAlign w:val="center"/>
          </w:tcPr>
          <w:p w14:paraId="12ABBC1F">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default" w:cs="Times New Roman"/>
                <w:color w:val="auto"/>
                <w:sz w:val="24"/>
                <w:szCs w:val="24"/>
                <w:lang w:val="en-US" w:eastAsia="zh-CN"/>
              </w:rPr>
              <w:t>《大气污染物综合排放标准》（GB16297-1996）</w:t>
            </w:r>
          </w:p>
        </w:tc>
      </w:tr>
      <w:tr w14:paraId="71E1551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jc w:val="center"/>
        </w:trPr>
        <w:tc>
          <w:tcPr>
            <w:tcW w:w="265" w:type="pct"/>
            <w:vMerge w:val="continue"/>
            <w:noWrap w:val="0"/>
            <w:vAlign w:val="center"/>
          </w:tcPr>
          <w:p w14:paraId="472DF43A">
            <w:pPr>
              <w:pStyle w:val="61"/>
              <w:keepNext w:val="0"/>
              <w:keepLines w:val="0"/>
              <w:suppressLineNumbers w:val="0"/>
              <w:bidi w:val="0"/>
              <w:spacing w:before="0" w:beforeAutospacing="0" w:after="0" w:afterAutospacing="0"/>
              <w:ind w:left="0" w:right="0"/>
              <w:rPr>
                <w:rFonts w:hint="default"/>
                <w:color w:val="auto"/>
              </w:rPr>
            </w:pPr>
          </w:p>
        </w:tc>
        <w:tc>
          <w:tcPr>
            <w:tcW w:w="765" w:type="pct"/>
            <w:vMerge w:val="continue"/>
            <w:noWrap w:val="0"/>
            <w:vAlign w:val="center"/>
          </w:tcPr>
          <w:p w14:paraId="584F61B1">
            <w:pPr>
              <w:pStyle w:val="61"/>
              <w:keepNext w:val="0"/>
              <w:keepLines w:val="0"/>
              <w:suppressLineNumbers w:val="0"/>
              <w:bidi w:val="0"/>
              <w:spacing w:before="0" w:beforeAutospacing="0" w:after="0" w:afterAutospacing="0"/>
              <w:ind w:left="0" w:right="0"/>
              <w:rPr>
                <w:rFonts w:hint="default"/>
                <w:color w:val="auto"/>
              </w:rPr>
            </w:pPr>
          </w:p>
        </w:tc>
        <w:tc>
          <w:tcPr>
            <w:tcW w:w="837" w:type="pct"/>
            <w:noWrap w:val="0"/>
            <w:vAlign w:val="center"/>
          </w:tcPr>
          <w:p w14:paraId="6529FC2A">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lang w:val="en-US" w:eastAsia="zh-CN"/>
              </w:rPr>
              <w:t>TVOC</w:t>
            </w:r>
          </w:p>
        </w:tc>
        <w:tc>
          <w:tcPr>
            <w:tcW w:w="1337" w:type="pct"/>
            <w:vMerge w:val="continue"/>
            <w:noWrap w:val="0"/>
            <w:vAlign w:val="center"/>
          </w:tcPr>
          <w:p w14:paraId="228BD864">
            <w:pPr>
              <w:pStyle w:val="61"/>
              <w:keepNext w:val="0"/>
              <w:keepLines w:val="0"/>
              <w:suppressLineNumbers w:val="0"/>
              <w:bidi w:val="0"/>
              <w:spacing w:before="0" w:beforeAutospacing="0" w:after="0" w:afterAutospacing="0"/>
              <w:ind w:left="0" w:right="0"/>
              <w:rPr>
                <w:rFonts w:hint="default" w:cs="Times New Roman"/>
                <w:color w:val="auto"/>
                <w:sz w:val="24"/>
                <w:szCs w:val="24"/>
              </w:rPr>
            </w:pPr>
          </w:p>
        </w:tc>
        <w:tc>
          <w:tcPr>
            <w:tcW w:w="1795" w:type="pct"/>
            <w:vMerge w:val="restart"/>
            <w:noWrap w:val="0"/>
            <w:vAlign w:val="center"/>
          </w:tcPr>
          <w:p w14:paraId="3A49D96F">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执行《挥发性有机物综合排放控制标准（试行）》（DB36/2186-2025）（2026年07月01实施）</w:t>
            </w:r>
          </w:p>
        </w:tc>
      </w:tr>
      <w:tr w14:paraId="7B839C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 w:hRule="atLeast"/>
          <w:jc w:val="center"/>
        </w:trPr>
        <w:tc>
          <w:tcPr>
            <w:tcW w:w="265" w:type="pct"/>
            <w:vMerge w:val="continue"/>
            <w:noWrap w:val="0"/>
            <w:vAlign w:val="center"/>
          </w:tcPr>
          <w:p w14:paraId="354DAEC9">
            <w:pPr>
              <w:pStyle w:val="61"/>
              <w:keepNext w:val="0"/>
              <w:keepLines w:val="0"/>
              <w:suppressLineNumbers w:val="0"/>
              <w:bidi w:val="0"/>
              <w:spacing w:before="0" w:beforeAutospacing="0" w:after="0" w:afterAutospacing="0"/>
              <w:ind w:left="0" w:right="0"/>
              <w:rPr>
                <w:rFonts w:hint="default"/>
                <w:color w:val="auto"/>
              </w:rPr>
            </w:pPr>
          </w:p>
        </w:tc>
        <w:tc>
          <w:tcPr>
            <w:tcW w:w="765" w:type="pct"/>
            <w:noWrap w:val="0"/>
            <w:vAlign w:val="center"/>
          </w:tcPr>
          <w:p w14:paraId="25E2962C">
            <w:pPr>
              <w:pStyle w:val="61"/>
              <w:keepNext w:val="0"/>
              <w:keepLines w:val="0"/>
              <w:suppressLineNumbers w:val="0"/>
              <w:bidi w:val="0"/>
              <w:spacing w:before="0" w:beforeAutospacing="0" w:after="0" w:afterAutospacing="0"/>
              <w:ind w:left="0" w:right="0"/>
              <w:rPr>
                <w:rFonts w:hint="eastAsia" w:eastAsia="宋体"/>
                <w:color w:val="auto"/>
                <w:lang w:val="en-US" w:eastAsia="zh-CN"/>
              </w:rPr>
            </w:pPr>
            <w:r>
              <w:rPr>
                <w:rFonts w:hint="eastAsia"/>
                <w:color w:val="auto"/>
                <w:lang w:val="en-US" w:eastAsia="zh-CN"/>
              </w:rPr>
              <w:t>储罐</w:t>
            </w:r>
          </w:p>
        </w:tc>
        <w:tc>
          <w:tcPr>
            <w:tcW w:w="837" w:type="pct"/>
            <w:noWrap w:val="0"/>
            <w:vAlign w:val="center"/>
          </w:tcPr>
          <w:p w14:paraId="763FE0C6">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lang w:val="en-US" w:eastAsia="zh-CN"/>
              </w:rPr>
              <w:t>TVOC</w:t>
            </w:r>
          </w:p>
        </w:tc>
        <w:tc>
          <w:tcPr>
            <w:tcW w:w="1337" w:type="pct"/>
            <w:noWrap w:val="0"/>
            <w:vAlign w:val="center"/>
          </w:tcPr>
          <w:p w14:paraId="3E4E4C81">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通风</w:t>
            </w:r>
            <w:r>
              <w:rPr>
                <w:rFonts w:hint="eastAsia" w:cs="Times New Roman"/>
                <w:color w:val="auto"/>
                <w:sz w:val="24"/>
                <w:szCs w:val="24"/>
                <w:lang w:val="en-US" w:eastAsia="zh-CN"/>
              </w:rPr>
              <w:t>、自然沉降</w:t>
            </w:r>
          </w:p>
        </w:tc>
        <w:tc>
          <w:tcPr>
            <w:tcW w:w="1795" w:type="pct"/>
            <w:vMerge w:val="continue"/>
            <w:noWrap w:val="0"/>
            <w:vAlign w:val="center"/>
          </w:tcPr>
          <w:p w14:paraId="68872C37">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p>
        </w:tc>
      </w:tr>
      <w:tr w14:paraId="0B2F5F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27" w:hRule="atLeast"/>
          <w:jc w:val="center"/>
        </w:trPr>
        <w:tc>
          <w:tcPr>
            <w:tcW w:w="265" w:type="pct"/>
            <w:noWrap w:val="0"/>
            <w:vAlign w:val="center"/>
          </w:tcPr>
          <w:p w14:paraId="51F1D00F">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地表水环境</w:t>
            </w:r>
          </w:p>
        </w:tc>
        <w:tc>
          <w:tcPr>
            <w:tcW w:w="765" w:type="pct"/>
            <w:noWrap w:val="0"/>
            <w:vAlign w:val="center"/>
          </w:tcPr>
          <w:p w14:paraId="09FD0192">
            <w:pPr>
              <w:pStyle w:val="61"/>
              <w:keepNext w:val="0"/>
              <w:keepLines w:val="0"/>
              <w:suppressLineNumbers w:val="0"/>
              <w:bidi w:val="0"/>
              <w:spacing w:before="0" w:beforeAutospacing="0" w:after="0" w:afterAutospacing="0"/>
              <w:ind w:left="0" w:right="0"/>
              <w:jc w:val="both"/>
              <w:rPr>
                <w:rFonts w:hint="default" w:cs="Times New Roman"/>
                <w:color w:val="auto"/>
                <w:sz w:val="24"/>
                <w:szCs w:val="24"/>
                <w:lang w:val="en-US" w:eastAsia="zh-CN"/>
              </w:rPr>
            </w:pPr>
            <w:r>
              <w:rPr>
                <w:rFonts w:hint="eastAsia" w:cs="Times New Roman"/>
                <w:color w:val="auto"/>
                <w:sz w:val="24"/>
                <w:szCs w:val="24"/>
                <w:lang w:val="en-US" w:eastAsia="zh-CN"/>
              </w:rPr>
              <w:t>综合废水</w:t>
            </w:r>
          </w:p>
        </w:tc>
        <w:tc>
          <w:tcPr>
            <w:tcW w:w="837" w:type="pct"/>
            <w:noWrap w:val="0"/>
            <w:vAlign w:val="center"/>
          </w:tcPr>
          <w:p w14:paraId="42CA5F0F">
            <w:pPr>
              <w:pStyle w:val="6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rPr>
              <w:t>pH</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COD</w:t>
            </w:r>
            <w:r>
              <w:rPr>
                <w:rFonts w:hint="eastAsia" w:ascii="Times New Roman" w:hAnsi="Times New Roman" w:eastAsia="宋体" w:cs="Times New Roman"/>
                <w:color w:val="auto"/>
                <w:sz w:val="24"/>
                <w:szCs w:val="24"/>
                <w:lang w:val="en-US" w:eastAsia="zh-CN"/>
              </w:rPr>
              <w:t>cr</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TP</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TN</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w:t>
            </w:r>
            <w:r>
              <w:rPr>
                <w:rFonts w:hint="eastAsia" w:cs="Times New Roman"/>
                <w:color w:val="auto"/>
                <w:sz w:val="24"/>
                <w:szCs w:val="24"/>
                <w:lang w:eastAsia="zh-CN"/>
              </w:rPr>
              <w:t>、</w:t>
            </w:r>
            <w:r>
              <w:rPr>
                <w:rFonts w:hint="eastAsia" w:ascii="Times New Roman" w:hAnsi="Times New Roman" w:eastAsia="宋体" w:cs="Times New Roman"/>
                <w:color w:val="auto"/>
                <w:sz w:val="24"/>
                <w:szCs w:val="24"/>
                <w:lang w:val="en-US" w:eastAsia="zh-CN"/>
              </w:rPr>
              <w:t>BOD</w:t>
            </w:r>
            <w:r>
              <w:rPr>
                <w:rFonts w:hint="eastAsia" w:ascii="Times New Roman" w:hAnsi="Times New Roman" w:eastAsia="宋体" w:cs="Times New Roman"/>
                <w:color w:val="auto"/>
                <w:sz w:val="24"/>
                <w:szCs w:val="24"/>
                <w:vertAlign w:val="subscript"/>
                <w:lang w:val="en-US" w:eastAsia="zh-CN"/>
              </w:rPr>
              <w:t>5</w:t>
            </w:r>
            <w:r>
              <w:rPr>
                <w:rFonts w:hint="eastAsia" w:ascii="Times New Roman" w:hAnsi="Times New Roman" w:eastAsia="宋体" w:cs="Times New Roman"/>
                <w:color w:val="auto"/>
                <w:sz w:val="24"/>
                <w:szCs w:val="24"/>
                <w:lang w:val="en-US" w:eastAsia="zh-CN"/>
              </w:rPr>
              <w:t>、SS</w:t>
            </w:r>
          </w:p>
        </w:tc>
        <w:tc>
          <w:tcPr>
            <w:tcW w:w="1337" w:type="pct"/>
            <w:noWrap w:val="0"/>
            <w:vAlign w:val="center"/>
          </w:tcPr>
          <w:p w14:paraId="7905D056">
            <w:pPr>
              <w:pStyle w:val="6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污水处理站</w:t>
            </w:r>
          </w:p>
        </w:tc>
        <w:tc>
          <w:tcPr>
            <w:tcW w:w="1795" w:type="pct"/>
            <w:noWrap w:val="0"/>
            <w:vAlign w:val="center"/>
          </w:tcPr>
          <w:p w14:paraId="3859834C">
            <w:pPr>
              <w:pStyle w:val="61"/>
              <w:keepNext w:val="0"/>
              <w:keepLines w:val="0"/>
              <w:suppressLineNumbers w:val="0"/>
              <w:bidi w:val="0"/>
              <w:spacing w:before="0" w:beforeAutospacing="0" w:after="0" w:afterAutospacing="0"/>
              <w:ind w:left="0" w:right="0"/>
              <w:rPr>
                <w:rFonts w:hint="default" w:cs="Times New Roman"/>
                <w:color w:val="auto"/>
                <w:sz w:val="24"/>
                <w:szCs w:val="24"/>
                <w:lang w:val="en-US" w:eastAsia="zh-CN"/>
              </w:rPr>
            </w:pPr>
            <w:r>
              <w:rPr>
                <w:rFonts w:hint="eastAsia" w:cs="Times New Roman"/>
                <w:color w:val="auto"/>
                <w:sz w:val="24"/>
                <w:szCs w:val="24"/>
                <w:lang w:val="en-US" w:eastAsia="zh-CN"/>
              </w:rPr>
              <w:t>《淀粉工业水污染物排放标准》（GB 25461-2010）中表2直接排放标准限值</w:t>
            </w:r>
          </w:p>
        </w:tc>
      </w:tr>
      <w:tr w14:paraId="62B323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99" w:hRule="atLeast"/>
          <w:jc w:val="center"/>
        </w:trPr>
        <w:tc>
          <w:tcPr>
            <w:tcW w:w="265" w:type="pct"/>
            <w:noWrap w:val="0"/>
            <w:vAlign w:val="center"/>
          </w:tcPr>
          <w:p w14:paraId="4936D131">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声环境</w:t>
            </w:r>
          </w:p>
        </w:tc>
        <w:tc>
          <w:tcPr>
            <w:tcW w:w="765" w:type="pct"/>
            <w:noWrap w:val="0"/>
            <w:vAlign w:val="center"/>
          </w:tcPr>
          <w:p w14:paraId="2B87E61B">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rPr>
              <w:t>生产</w:t>
            </w:r>
            <w:r>
              <w:rPr>
                <w:rFonts w:hint="default" w:cs="Times New Roman"/>
                <w:color w:val="auto"/>
                <w:sz w:val="24"/>
                <w:szCs w:val="24"/>
              </w:rPr>
              <w:t>车间</w:t>
            </w:r>
          </w:p>
        </w:tc>
        <w:tc>
          <w:tcPr>
            <w:tcW w:w="837" w:type="pct"/>
            <w:noWrap w:val="0"/>
            <w:vAlign w:val="center"/>
          </w:tcPr>
          <w:p w14:paraId="7185F1C3">
            <w:pPr>
              <w:pStyle w:val="61"/>
              <w:keepNext w:val="0"/>
              <w:keepLines w:val="0"/>
              <w:suppressLineNumbers w:val="0"/>
              <w:bidi w:val="0"/>
              <w:spacing w:before="0" w:beforeAutospacing="0" w:after="0" w:afterAutospacing="0"/>
              <w:ind w:left="0" w:right="0"/>
              <w:rPr>
                <w:rFonts w:hint="eastAsia" w:cs="Times New Roman"/>
                <w:color w:val="auto"/>
                <w:sz w:val="24"/>
                <w:szCs w:val="24"/>
                <w:lang w:val="en-US" w:eastAsia="zh-CN"/>
              </w:rPr>
            </w:pPr>
            <w:r>
              <w:rPr>
                <w:rFonts w:hint="eastAsia" w:cs="Times New Roman"/>
                <w:color w:val="auto"/>
                <w:sz w:val="24"/>
                <w:szCs w:val="24"/>
              </w:rPr>
              <w:t>噪声</w:t>
            </w:r>
          </w:p>
        </w:tc>
        <w:tc>
          <w:tcPr>
            <w:tcW w:w="1337" w:type="pct"/>
            <w:noWrap w:val="0"/>
            <w:vAlign w:val="center"/>
          </w:tcPr>
          <w:p w14:paraId="15C8026D">
            <w:pPr>
              <w:pStyle w:val="61"/>
              <w:keepNext w:val="0"/>
              <w:keepLines w:val="0"/>
              <w:suppressLineNumbers w:val="0"/>
              <w:bidi w:val="0"/>
              <w:spacing w:before="0" w:beforeAutospacing="0" w:after="0" w:afterAutospacing="0"/>
              <w:ind w:left="0" w:right="0"/>
              <w:rPr>
                <w:rFonts w:hint="eastAsia" w:cs="Times New Roman"/>
                <w:color w:val="auto"/>
                <w:sz w:val="24"/>
                <w:szCs w:val="24"/>
              </w:rPr>
            </w:pPr>
            <w:r>
              <w:rPr>
                <w:rFonts w:hint="eastAsia" w:cs="Times New Roman"/>
                <w:color w:val="auto"/>
                <w:sz w:val="24"/>
                <w:szCs w:val="24"/>
                <w:lang w:val="en-US" w:eastAsia="zh-CN"/>
              </w:rPr>
              <w:t>隔声罩</w:t>
            </w:r>
            <w:r>
              <w:rPr>
                <w:rFonts w:hint="eastAsia" w:cs="Times New Roman"/>
                <w:color w:val="auto"/>
                <w:sz w:val="24"/>
                <w:szCs w:val="24"/>
              </w:rPr>
              <w:t>+吸声棉+底座减振弹性垫+</w:t>
            </w:r>
            <w:r>
              <w:rPr>
                <w:rFonts w:hint="default" w:cs="Times New Roman"/>
                <w:color w:val="auto"/>
                <w:sz w:val="24"/>
                <w:szCs w:val="24"/>
              </w:rPr>
              <w:t>车间墙体门窗阻隔</w:t>
            </w:r>
          </w:p>
        </w:tc>
        <w:tc>
          <w:tcPr>
            <w:tcW w:w="1795" w:type="pct"/>
            <w:noWrap w:val="0"/>
            <w:vAlign w:val="center"/>
          </w:tcPr>
          <w:p w14:paraId="14417708">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rPr>
              <w:t>《工业企业厂界环境噪声排放标准》（GB12348-2008）</w:t>
            </w:r>
            <w:r>
              <w:rPr>
                <w:rFonts w:hint="eastAsia" w:cs="Times New Roman"/>
                <w:color w:val="auto"/>
                <w:sz w:val="24"/>
                <w:szCs w:val="24"/>
                <w:lang w:val="en-US" w:eastAsia="zh-CN"/>
              </w:rPr>
              <w:t>2</w:t>
            </w:r>
            <w:r>
              <w:rPr>
                <w:rFonts w:hint="eastAsia" w:cs="Times New Roman"/>
                <w:color w:val="auto"/>
                <w:sz w:val="24"/>
                <w:szCs w:val="24"/>
              </w:rPr>
              <w:t>类功能区标准</w:t>
            </w:r>
          </w:p>
        </w:tc>
      </w:tr>
      <w:tr w14:paraId="6A57D5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5" w:hRule="atLeast"/>
          <w:jc w:val="center"/>
        </w:trPr>
        <w:tc>
          <w:tcPr>
            <w:tcW w:w="265" w:type="pct"/>
            <w:noWrap w:val="0"/>
            <w:vAlign w:val="center"/>
          </w:tcPr>
          <w:p w14:paraId="2869C77E">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电磁辐射</w:t>
            </w:r>
          </w:p>
        </w:tc>
        <w:tc>
          <w:tcPr>
            <w:tcW w:w="765" w:type="pct"/>
            <w:noWrap w:val="0"/>
            <w:vAlign w:val="center"/>
          </w:tcPr>
          <w:p w14:paraId="71802FC8">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rPr>
              <w:t>/</w:t>
            </w:r>
          </w:p>
        </w:tc>
        <w:tc>
          <w:tcPr>
            <w:tcW w:w="837" w:type="pct"/>
            <w:noWrap w:val="0"/>
            <w:vAlign w:val="center"/>
          </w:tcPr>
          <w:p w14:paraId="0EFE5529">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rPr>
              <w:t>/</w:t>
            </w:r>
          </w:p>
        </w:tc>
        <w:tc>
          <w:tcPr>
            <w:tcW w:w="1337" w:type="pct"/>
            <w:noWrap w:val="0"/>
            <w:vAlign w:val="center"/>
          </w:tcPr>
          <w:p w14:paraId="4EA0A7AD">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rPr>
              <w:t>/</w:t>
            </w:r>
          </w:p>
        </w:tc>
        <w:tc>
          <w:tcPr>
            <w:tcW w:w="1795" w:type="pct"/>
            <w:noWrap w:val="0"/>
            <w:vAlign w:val="center"/>
          </w:tcPr>
          <w:p w14:paraId="535327E1">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eastAsia" w:cs="Times New Roman"/>
                <w:color w:val="auto"/>
                <w:sz w:val="24"/>
                <w:szCs w:val="24"/>
              </w:rPr>
              <w:t>/</w:t>
            </w:r>
          </w:p>
        </w:tc>
      </w:tr>
      <w:tr w14:paraId="4AFA99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265" w:type="pct"/>
            <w:noWrap w:val="0"/>
            <w:vAlign w:val="center"/>
          </w:tcPr>
          <w:p w14:paraId="7E20FB0E">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固体废物</w:t>
            </w:r>
          </w:p>
        </w:tc>
        <w:tc>
          <w:tcPr>
            <w:tcW w:w="4734" w:type="pct"/>
            <w:gridSpan w:val="4"/>
            <w:noWrap w:val="0"/>
            <w:vAlign w:val="center"/>
          </w:tcPr>
          <w:p w14:paraId="540ED2C4">
            <w:pPr>
              <w:pStyle w:val="61"/>
              <w:keepNext w:val="0"/>
              <w:keepLines w:val="0"/>
              <w:suppressLineNumbers w:val="0"/>
              <w:bidi w:val="0"/>
              <w:spacing w:before="0" w:beforeAutospacing="0" w:after="0" w:afterAutospacing="0"/>
              <w:ind w:left="0" w:right="0"/>
              <w:rPr>
                <w:rFonts w:hint="eastAsia" w:cs="Times New Roman"/>
                <w:color w:val="auto"/>
                <w:sz w:val="24"/>
                <w:szCs w:val="24"/>
              </w:rPr>
            </w:pPr>
            <w:r>
              <w:rPr>
                <w:rFonts w:hint="default" w:cs="Times New Roman"/>
                <w:color w:val="auto"/>
                <w:sz w:val="24"/>
                <w:szCs w:val="24"/>
                <w:lang w:val="en-US" w:eastAsia="zh-CN"/>
              </w:rPr>
              <w:t>设置一般固废暂存区</w:t>
            </w:r>
            <w:r>
              <w:rPr>
                <w:rFonts w:hint="eastAsia" w:cs="Times New Roman"/>
                <w:color w:val="auto"/>
                <w:sz w:val="24"/>
                <w:szCs w:val="24"/>
                <w:lang w:val="en-US" w:eastAsia="zh-CN"/>
              </w:rPr>
              <w:t>，</w:t>
            </w:r>
            <w:r>
              <w:rPr>
                <w:rFonts w:hint="default" w:cs="Times New Roman"/>
                <w:color w:val="auto"/>
                <w:sz w:val="24"/>
                <w:szCs w:val="24"/>
                <w:lang w:val="en-US" w:eastAsia="zh-CN"/>
              </w:rPr>
              <w:t>面积为</w:t>
            </w:r>
            <w:r>
              <w:rPr>
                <w:rFonts w:hint="default" w:ascii="Times New Roman" w:hAnsi="Times New Roman" w:cs="Times New Roman"/>
                <w:color w:val="auto"/>
                <w:sz w:val="24"/>
                <w:szCs w:val="24"/>
                <w:lang w:val="en-US" w:eastAsia="zh-CN"/>
              </w:rPr>
              <w:t>50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危险废物暂存间，</w:t>
            </w:r>
            <w:r>
              <w:rPr>
                <w:rFonts w:hint="default" w:ascii="Times New Roman" w:hAnsi="Times New Roman" w:cs="Times New Roman"/>
                <w:color w:val="auto"/>
                <w:sz w:val="24"/>
                <w:szCs w:val="24"/>
                <w:lang w:val="en-US" w:eastAsia="zh-CN"/>
              </w:rPr>
              <w:t>面积为</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cs="Times New Roman"/>
                <w:color w:val="auto"/>
                <w:sz w:val="24"/>
                <w:szCs w:val="24"/>
                <w:lang w:val="en-US" w:eastAsia="zh-CN"/>
              </w:rPr>
              <w:t>。</w:t>
            </w:r>
          </w:p>
        </w:tc>
      </w:tr>
      <w:tr w14:paraId="17C78A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265" w:type="pct"/>
            <w:noWrap w:val="0"/>
            <w:vAlign w:val="center"/>
          </w:tcPr>
          <w:p w14:paraId="62A5B462">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土壤及地下水污染防治措施</w:t>
            </w:r>
          </w:p>
        </w:tc>
        <w:tc>
          <w:tcPr>
            <w:tcW w:w="4734" w:type="pct"/>
            <w:gridSpan w:val="4"/>
            <w:noWrap w:val="0"/>
            <w:vAlign w:val="center"/>
          </w:tcPr>
          <w:p w14:paraId="37F13B6F">
            <w:pPr>
              <w:pStyle w:val="61"/>
              <w:keepNext w:val="0"/>
              <w:keepLines w:val="0"/>
              <w:suppressLineNumbers w:val="0"/>
              <w:bidi w:val="0"/>
              <w:spacing w:before="0" w:beforeAutospacing="0" w:after="0" w:afterAutospacing="0"/>
              <w:ind w:left="0" w:right="0"/>
              <w:jc w:val="left"/>
              <w:rPr>
                <w:rFonts w:hint="default" w:eastAsia="宋体" w:cs="Times New Roman"/>
                <w:color w:val="auto"/>
                <w:sz w:val="24"/>
                <w:szCs w:val="24"/>
                <w:lang w:val="en-US" w:eastAsia="zh-CN"/>
              </w:rPr>
            </w:pPr>
            <w:r>
              <w:rPr>
                <w:rFonts w:hint="eastAsia" w:cs="Times New Roman"/>
                <w:color w:val="auto"/>
                <w:sz w:val="24"/>
                <w:szCs w:val="24"/>
              </w:rPr>
              <w:t>加强管理</w:t>
            </w:r>
            <w:r>
              <w:rPr>
                <w:rFonts w:hint="eastAsia" w:cs="Times New Roman"/>
                <w:color w:val="auto"/>
                <w:sz w:val="24"/>
                <w:szCs w:val="24"/>
                <w:lang w:eastAsia="zh-CN"/>
              </w:rPr>
              <w:t>，</w:t>
            </w:r>
            <w:r>
              <w:rPr>
                <w:rFonts w:hint="eastAsia" w:cs="Times New Roman"/>
                <w:color w:val="auto"/>
                <w:sz w:val="24"/>
                <w:szCs w:val="24"/>
              </w:rPr>
              <w:t>防止污染物的跑、冒、滴、漏。</w:t>
            </w:r>
            <w:r>
              <w:rPr>
                <w:rFonts w:hint="eastAsia" w:cs="Times New Roman"/>
                <w:color w:val="auto"/>
                <w:sz w:val="24"/>
                <w:szCs w:val="24"/>
                <w:lang w:val="en-US" w:eastAsia="zh-CN"/>
              </w:rPr>
              <w:t>按报告要求落实分区防渗</w:t>
            </w:r>
            <w:r>
              <w:rPr>
                <w:rFonts w:hint="default" w:cs="Times New Roman"/>
                <w:color w:val="auto"/>
                <w:sz w:val="24"/>
                <w:szCs w:val="24"/>
              </w:rPr>
              <w:t>。</w:t>
            </w:r>
          </w:p>
        </w:tc>
      </w:tr>
      <w:tr w14:paraId="0FE6E1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04" w:hRule="atLeast"/>
          <w:jc w:val="center"/>
        </w:trPr>
        <w:tc>
          <w:tcPr>
            <w:tcW w:w="265" w:type="pct"/>
            <w:noWrap w:val="0"/>
            <w:vAlign w:val="center"/>
          </w:tcPr>
          <w:p w14:paraId="72E25FE7">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生态保护措施</w:t>
            </w:r>
          </w:p>
        </w:tc>
        <w:tc>
          <w:tcPr>
            <w:tcW w:w="4734" w:type="pct"/>
            <w:gridSpan w:val="4"/>
            <w:noWrap w:val="0"/>
            <w:vAlign w:val="center"/>
          </w:tcPr>
          <w:p w14:paraId="6BE80495">
            <w:pPr>
              <w:pStyle w:val="61"/>
              <w:keepNext w:val="0"/>
              <w:keepLines w:val="0"/>
              <w:suppressLineNumbers w:val="0"/>
              <w:bidi w:val="0"/>
              <w:spacing w:before="0" w:beforeAutospacing="0" w:after="0" w:afterAutospacing="0"/>
              <w:ind w:left="0" w:right="0"/>
              <w:rPr>
                <w:rFonts w:hint="eastAsia" w:cs="Times New Roman"/>
                <w:color w:val="auto"/>
                <w:sz w:val="24"/>
                <w:szCs w:val="24"/>
              </w:rPr>
            </w:pPr>
            <w:r>
              <w:rPr>
                <w:rFonts w:hint="eastAsia" w:ascii="Times New Roman" w:hAnsi="Times New Roman" w:eastAsia="宋体" w:cs="Times New Roman"/>
                <w:color w:val="auto"/>
                <w:sz w:val="24"/>
                <w:szCs w:val="24"/>
              </w:rPr>
              <w:t>厂区进行绿化</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推荐使用乡土树种</w:t>
            </w:r>
            <w:r>
              <w:rPr>
                <w:rFonts w:hint="eastAsia" w:cs="Times New Roman"/>
                <w:color w:val="auto"/>
                <w:sz w:val="24"/>
                <w:szCs w:val="24"/>
                <w:lang w:eastAsia="zh-CN"/>
              </w:rPr>
              <w:t>，</w:t>
            </w:r>
            <w:r>
              <w:rPr>
                <w:rFonts w:hint="eastAsia" w:ascii="Times New Roman" w:hAnsi="Times New Roman" w:eastAsia="宋体" w:cs="Times New Roman"/>
                <w:color w:val="auto"/>
                <w:sz w:val="24"/>
                <w:szCs w:val="24"/>
              </w:rPr>
              <w:t>禁止种植外来物种。</w:t>
            </w:r>
          </w:p>
        </w:tc>
      </w:tr>
      <w:tr w14:paraId="67172F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00" w:hRule="atLeast"/>
          <w:jc w:val="center"/>
        </w:trPr>
        <w:tc>
          <w:tcPr>
            <w:tcW w:w="265" w:type="pct"/>
            <w:noWrap w:val="0"/>
            <w:vAlign w:val="center"/>
          </w:tcPr>
          <w:p w14:paraId="77CCDE2A">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环境风险</w:t>
            </w:r>
          </w:p>
          <w:p w14:paraId="5473FA19">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防范措施</w:t>
            </w:r>
          </w:p>
        </w:tc>
        <w:tc>
          <w:tcPr>
            <w:tcW w:w="4734" w:type="pct"/>
            <w:gridSpan w:val="4"/>
            <w:noWrap w:val="0"/>
            <w:vAlign w:val="center"/>
          </w:tcPr>
          <w:p w14:paraId="73FF2A79">
            <w:pPr>
              <w:pStyle w:val="6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40" w:lineRule="exact"/>
              <w:ind w:left="0" w:right="0" w:firstLine="480" w:firstLineChars="200"/>
              <w:jc w:val="left"/>
              <w:textAlignment w:val="auto"/>
              <w:rPr>
                <w:rFonts w:hint="eastAsia" w:eastAsia="宋体" w:cs="Times New Roman"/>
                <w:color w:val="auto"/>
                <w:sz w:val="24"/>
                <w:szCs w:val="24"/>
                <w:lang w:val="en-US" w:eastAsia="zh-CN"/>
              </w:rPr>
            </w:pPr>
            <w:r>
              <w:rPr>
                <w:rFonts w:hint="eastAsia" w:cs="Times New Roman"/>
                <w:color w:val="auto"/>
                <w:sz w:val="24"/>
                <w:szCs w:val="24"/>
              </w:rPr>
              <w:t>易燃原辅料及</w:t>
            </w:r>
            <w:r>
              <w:rPr>
                <w:rFonts w:hint="eastAsia" w:cs="Times New Roman"/>
                <w:color w:val="auto"/>
                <w:sz w:val="24"/>
                <w:szCs w:val="24"/>
                <w:lang w:eastAsia="zh-CN"/>
              </w:rPr>
              <w:t>产</w:t>
            </w:r>
            <w:r>
              <w:rPr>
                <w:rFonts w:hint="eastAsia" w:cs="Times New Roman"/>
                <w:color w:val="auto"/>
                <w:sz w:val="24"/>
                <w:szCs w:val="24"/>
                <w:lang w:val="en-US" w:eastAsia="zh-CN"/>
              </w:rPr>
              <w:t>品</w:t>
            </w:r>
            <w:r>
              <w:rPr>
                <w:rFonts w:hint="eastAsia" w:cs="Times New Roman"/>
                <w:color w:val="auto"/>
                <w:sz w:val="24"/>
                <w:szCs w:val="24"/>
              </w:rPr>
              <w:t>必须设置专用场地进行分区管理</w:t>
            </w:r>
            <w:r>
              <w:rPr>
                <w:rFonts w:hint="eastAsia" w:cs="Times New Roman"/>
                <w:color w:val="auto"/>
                <w:sz w:val="24"/>
                <w:szCs w:val="24"/>
                <w:lang w:eastAsia="zh-CN"/>
              </w:rPr>
              <w:t>，</w:t>
            </w:r>
            <w:r>
              <w:rPr>
                <w:rFonts w:hint="eastAsia" w:cs="Times New Roman"/>
                <w:color w:val="auto"/>
                <w:sz w:val="24"/>
                <w:szCs w:val="24"/>
              </w:rPr>
              <w:t>并设置专人管理</w:t>
            </w:r>
            <w:r>
              <w:rPr>
                <w:rFonts w:hint="eastAsia" w:cs="Times New Roman"/>
                <w:color w:val="auto"/>
                <w:sz w:val="24"/>
                <w:szCs w:val="24"/>
                <w:lang w:eastAsia="zh-CN"/>
              </w:rPr>
              <w:t>，</w:t>
            </w:r>
            <w:r>
              <w:rPr>
                <w:rFonts w:hint="eastAsia" w:cs="Times New Roman"/>
                <w:color w:val="auto"/>
                <w:sz w:val="24"/>
                <w:szCs w:val="24"/>
              </w:rPr>
              <w:t>原辅料进出场必须进行核查登记</w:t>
            </w:r>
            <w:r>
              <w:rPr>
                <w:rFonts w:hint="eastAsia" w:cs="Times New Roman"/>
                <w:color w:val="auto"/>
                <w:sz w:val="24"/>
                <w:szCs w:val="24"/>
                <w:lang w:eastAsia="zh-CN"/>
              </w:rPr>
              <w:t>，</w:t>
            </w:r>
            <w:r>
              <w:rPr>
                <w:rFonts w:hint="eastAsia" w:cs="Times New Roman"/>
                <w:color w:val="auto"/>
                <w:sz w:val="24"/>
                <w:szCs w:val="24"/>
              </w:rPr>
              <w:t>并定期检查库存；配备消防栓等灭火装置</w:t>
            </w:r>
            <w:r>
              <w:rPr>
                <w:rFonts w:hint="eastAsia" w:cs="Times New Roman"/>
                <w:color w:val="auto"/>
                <w:sz w:val="24"/>
                <w:szCs w:val="24"/>
                <w:lang w:eastAsia="zh-CN"/>
              </w:rPr>
              <w:t>，</w:t>
            </w:r>
            <w:r>
              <w:rPr>
                <w:rFonts w:hint="eastAsia" w:cs="Times New Roman"/>
                <w:color w:val="auto"/>
                <w:sz w:val="24"/>
                <w:szCs w:val="24"/>
              </w:rPr>
              <w:t>预留安全疏散通道；建议建设单位委托专业机构编制环境突发事件应急预案</w:t>
            </w:r>
            <w:r>
              <w:rPr>
                <w:rFonts w:hint="eastAsia" w:cs="Times New Roman"/>
                <w:color w:val="auto"/>
                <w:sz w:val="24"/>
                <w:szCs w:val="24"/>
                <w:lang w:eastAsia="zh-CN"/>
              </w:rPr>
              <w:t>，</w:t>
            </w:r>
            <w:r>
              <w:rPr>
                <w:rFonts w:hint="eastAsia" w:cs="Times New Roman"/>
                <w:color w:val="auto"/>
                <w:sz w:val="24"/>
                <w:szCs w:val="24"/>
              </w:rPr>
              <w:t>并与当地政府</w:t>
            </w:r>
            <w:r>
              <w:rPr>
                <w:rFonts w:hint="eastAsia" w:cs="Times New Roman"/>
                <w:color w:val="auto"/>
                <w:sz w:val="24"/>
                <w:szCs w:val="24"/>
                <w:lang w:val="en-US" w:eastAsia="zh-CN"/>
              </w:rPr>
              <w:t>联动</w:t>
            </w:r>
            <w:r>
              <w:rPr>
                <w:rFonts w:hint="eastAsia" w:cs="Times New Roman"/>
                <w:color w:val="auto"/>
                <w:sz w:val="24"/>
                <w:szCs w:val="24"/>
                <w:lang w:eastAsia="zh-CN"/>
              </w:rPr>
              <w:t>。</w:t>
            </w:r>
            <w:r>
              <w:rPr>
                <w:rFonts w:hint="eastAsia" w:cs="Times New Roman"/>
                <w:color w:val="auto"/>
                <w:sz w:val="24"/>
                <w:szCs w:val="24"/>
                <w:lang w:val="en-US" w:eastAsia="zh-CN"/>
              </w:rPr>
              <w:t>应急事故池（200</w:t>
            </w:r>
            <w:r>
              <w:rPr>
                <w:rFonts w:hint="default"/>
                <w:color w:val="auto"/>
                <w:sz w:val="24"/>
                <w:szCs w:val="24"/>
                <w:lang w:val="en-US" w:eastAsia="zh-CN"/>
              </w:rPr>
              <w:t>m</w:t>
            </w:r>
            <w:r>
              <w:rPr>
                <w:rFonts w:hint="default"/>
                <w:color w:val="auto"/>
                <w:sz w:val="24"/>
                <w:szCs w:val="24"/>
                <w:vertAlign w:val="superscript"/>
                <w:lang w:val="en-US" w:eastAsia="zh-CN"/>
              </w:rPr>
              <w:t>3</w:t>
            </w:r>
            <w:r>
              <w:rPr>
                <w:rFonts w:hint="eastAsia" w:cs="Times New Roman"/>
                <w:color w:val="auto"/>
                <w:sz w:val="24"/>
                <w:szCs w:val="24"/>
                <w:lang w:val="en-US" w:eastAsia="zh-CN"/>
              </w:rPr>
              <w:t>）</w:t>
            </w:r>
          </w:p>
        </w:tc>
      </w:tr>
      <w:tr w14:paraId="4474DCF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2" w:hRule="atLeast"/>
          <w:jc w:val="center"/>
        </w:trPr>
        <w:tc>
          <w:tcPr>
            <w:tcW w:w="265" w:type="pct"/>
            <w:noWrap w:val="0"/>
            <w:vAlign w:val="center"/>
          </w:tcPr>
          <w:p w14:paraId="7D066C29">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其他环境</w:t>
            </w:r>
          </w:p>
          <w:p w14:paraId="67E3DDA7">
            <w:pPr>
              <w:pStyle w:val="61"/>
              <w:keepNext w:val="0"/>
              <w:keepLines w:val="0"/>
              <w:suppressLineNumbers w:val="0"/>
              <w:bidi w:val="0"/>
              <w:spacing w:before="0" w:beforeAutospacing="0" w:after="0" w:afterAutospacing="0"/>
              <w:ind w:left="0" w:right="0"/>
              <w:rPr>
                <w:rFonts w:hint="default" w:cs="Times New Roman"/>
                <w:color w:val="auto"/>
                <w:sz w:val="24"/>
                <w:szCs w:val="24"/>
              </w:rPr>
            </w:pPr>
            <w:r>
              <w:rPr>
                <w:rFonts w:hint="default" w:cs="Times New Roman"/>
                <w:color w:val="auto"/>
                <w:sz w:val="24"/>
                <w:szCs w:val="24"/>
              </w:rPr>
              <w:t>管理要求</w:t>
            </w:r>
          </w:p>
        </w:tc>
        <w:tc>
          <w:tcPr>
            <w:tcW w:w="4734" w:type="pct"/>
            <w:gridSpan w:val="4"/>
            <w:noWrap w:val="0"/>
            <w:vAlign w:val="center"/>
          </w:tcPr>
          <w:p w14:paraId="4696381D">
            <w:pPr>
              <w:keepNext w:val="0"/>
              <w:keepLines w:val="0"/>
              <w:suppressLineNumbers w:val="0"/>
              <w:bidi w:val="0"/>
              <w:spacing w:before="0" w:beforeAutospacing="0" w:after="0" w:afterAutospacing="0"/>
              <w:ind w:left="0" w:right="0"/>
              <w:rPr>
                <w:rFonts w:hint="default" w:eastAsia="宋体" w:cs="Times New Roman"/>
                <w:b/>
                <w:bCs/>
                <w:color w:val="auto"/>
                <w:sz w:val="24"/>
                <w:szCs w:val="24"/>
                <w:shd w:val="clear" w:color="auto" w:fill="auto"/>
                <w:lang w:val="en-US" w:eastAsia="zh-CN"/>
              </w:rPr>
            </w:pPr>
            <w:r>
              <w:rPr>
                <w:rFonts w:hint="eastAsia" w:cs="Times New Roman"/>
                <w:b/>
                <w:bCs/>
                <w:color w:val="auto"/>
                <w:sz w:val="24"/>
                <w:szCs w:val="24"/>
                <w:shd w:val="clear" w:color="auto" w:fill="auto"/>
                <w:lang w:val="en-US" w:eastAsia="zh-CN"/>
              </w:rPr>
              <w:t>1）自行监测计划</w:t>
            </w:r>
          </w:p>
          <w:p w14:paraId="653897C4">
            <w:pPr>
              <w:keepNext w:val="0"/>
              <w:keepLines w:val="0"/>
              <w:suppressLineNumbers w:val="0"/>
              <w:bidi w:val="0"/>
              <w:spacing w:before="0" w:beforeAutospacing="0" w:after="0" w:afterAutospacing="0"/>
              <w:ind w:left="0" w:right="0"/>
              <w:rPr>
                <w:rFonts w:hint="eastAsia" w:eastAsia="宋体" w:cs="Times New Roman"/>
                <w:color w:val="auto"/>
                <w:sz w:val="24"/>
                <w:szCs w:val="24"/>
                <w:lang w:eastAsia="zh-CN"/>
              </w:rPr>
            </w:pPr>
            <w:r>
              <w:rPr>
                <w:rFonts w:hint="eastAsia" w:ascii="Times New Roman" w:hAnsi="Times New Roman" w:eastAsia="宋体" w:cs="Times New Roman"/>
                <w:color w:val="auto"/>
                <w:shd w:val="clear" w:color="auto" w:fill="auto"/>
                <w:lang w:val="zh-CN" w:eastAsia="zh-CN"/>
              </w:rPr>
              <w:t>根据</w:t>
            </w:r>
            <w:r>
              <w:rPr>
                <w:rFonts w:hint="default" w:ascii="Times New Roman" w:hAnsi="Times New Roman" w:eastAsia="宋体" w:cs="Times New Roman"/>
                <w:color w:val="auto"/>
                <w:shd w:val="clear" w:color="auto" w:fill="auto"/>
                <w:lang w:val="en-US" w:eastAsia="zh-CN"/>
              </w:rPr>
              <w:t>《</w:t>
            </w:r>
            <w:r>
              <w:rPr>
                <w:rFonts w:hint="eastAsia" w:ascii="Times New Roman" w:hAnsi="Times New Roman" w:eastAsia="宋体" w:cs="Times New Roman"/>
                <w:color w:val="auto"/>
                <w:shd w:val="clear" w:color="auto" w:fill="auto"/>
                <w:lang w:val="en-US" w:eastAsia="zh-CN"/>
              </w:rPr>
              <w:t>排污许可证申请与核发技术规范 农副食品加工工业-淀粉工业</w:t>
            </w:r>
            <w:r>
              <w:rPr>
                <w:rFonts w:hint="default" w:ascii="Times New Roman" w:hAnsi="Times New Roman" w:eastAsia="宋体" w:cs="Times New Roman"/>
                <w:color w:val="auto"/>
                <w:shd w:val="clear" w:color="auto" w:fill="auto"/>
                <w:lang w:val="en-US" w:eastAsia="zh-CN"/>
              </w:rPr>
              <w:t>》（HJ</w:t>
            </w:r>
            <w:r>
              <w:rPr>
                <w:rFonts w:hint="eastAsia" w:ascii="Times New Roman" w:hAnsi="Times New Roman" w:eastAsia="宋体" w:cs="Times New Roman"/>
                <w:color w:val="auto"/>
                <w:shd w:val="clear" w:color="auto" w:fill="auto"/>
                <w:lang w:val="en-US" w:eastAsia="zh-CN"/>
              </w:rPr>
              <w:t xml:space="preserve"> 860.2</w:t>
            </w:r>
            <w:r>
              <w:rPr>
                <w:rFonts w:hint="default" w:ascii="Times New Roman" w:hAnsi="Times New Roman" w:eastAsia="宋体" w:cs="Times New Roman"/>
                <w:color w:val="auto"/>
                <w:shd w:val="clear" w:color="auto" w:fill="auto"/>
                <w:lang w:val="en-US" w:eastAsia="zh-CN"/>
              </w:rPr>
              <w:t>-201</w:t>
            </w:r>
            <w:r>
              <w:rPr>
                <w:rFonts w:hint="eastAsia" w:ascii="Times New Roman" w:hAnsi="Times New Roman" w:eastAsia="宋体" w:cs="Times New Roman"/>
                <w:color w:val="auto"/>
                <w:shd w:val="clear" w:color="auto" w:fill="auto"/>
                <w:lang w:val="en-US" w:eastAsia="zh-CN"/>
              </w:rPr>
              <w:t>8</w:t>
            </w:r>
            <w:r>
              <w:rPr>
                <w:rFonts w:hint="default" w:ascii="Times New Roman" w:hAnsi="Times New Roman" w:eastAsia="宋体" w:cs="Times New Roman"/>
                <w:color w:val="auto"/>
                <w:shd w:val="clear" w:color="auto" w:fill="auto"/>
                <w:lang w:val="en-US" w:eastAsia="zh-CN"/>
              </w:rPr>
              <w:t>）</w:t>
            </w:r>
            <w:r>
              <w:rPr>
                <w:rFonts w:hint="eastAsia" w:ascii="Times New Roman" w:hAnsi="Times New Roman" w:eastAsia="宋体" w:cs="Times New Roman"/>
                <w:color w:val="auto"/>
                <w:shd w:val="clear" w:color="auto" w:fill="auto"/>
                <w:lang w:val="zh-CN" w:eastAsia="zh-CN"/>
              </w:rPr>
              <w:t xml:space="preserve">、《排污许可证申请与核发技术规范-锅炉》（HJ </w:t>
            </w:r>
            <w:r>
              <w:rPr>
                <w:rFonts w:hint="eastAsia" w:ascii="Times New Roman" w:hAnsi="Times New Roman" w:eastAsia="宋体" w:cs="Times New Roman"/>
                <w:color w:val="auto"/>
                <w:shd w:val="clear" w:color="auto" w:fill="auto"/>
                <w:lang w:val="en-US" w:eastAsia="zh-CN"/>
              </w:rPr>
              <w:t>953</w:t>
            </w:r>
            <w:r>
              <w:rPr>
                <w:rFonts w:hint="eastAsia" w:ascii="Times New Roman" w:hAnsi="Times New Roman" w:eastAsia="宋体" w:cs="Times New Roman"/>
                <w:color w:val="auto"/>
                <w:shd w:val="clear" w:color="auto" w:fill="auto"/>
                <w:lang w:val="zh-CN" w:eastAsia="zh-CN"/>
              </w:rPr>
              <w:t>-201</w:t>
            </w:r>
            <w:r>
              <w:rPr>
                <w:rFonts w:hint="eastAsia" w:ascii="Times New Roman" w:hAnsi="Times New Roman" w:eastAsia="宋体" w:cs="Times New Roman"/>
                <w:color w:val="auto"/>
                <w:shd w:val="clear" w:color="auto" w:fill="auto"/>
                <w:lang w:val="en-US" w:eastAsia="zh-CN"/>
              </w:rPr>
              <w:t>8</w:t>
            </w:r>
            <w:r>
              <w:rPr>
                <w:rFonts w:hint="eastAsia" w:ascii="Times New Roman" w:hAnsi="Times New Roman" w:eastAsia="宋体" w:cs="Times New Roman"/>
                <w:color w:val="auto"/>
                <w:shd w:val="clear" w:color="auto" w:fill="auto"/>
                <w:lang w:val="zh-CN" w:eastAsia="zh-CN"/>
              </w:rPr>
              <w:t>）</w:t>
            </w:r>
            <w:r>
              <w:rPr>
                <w:rFonts w:hint="eastAsia" w:ascii="Times New Roman" w:hAnsi="Times New Roman" w:eastAsia="宋体" w:cs="Times New Roman"/>
                <w:color w:val="auto"/>
                <w:shd w:val="clear" w:color="auto" w:fill="auto"/>
                <w:lang w:val="en-US" w:eastAsia="zh-CN"/>
              </w:rPr>
              <w:t>，</w:t>
            </w:r>
            <w:r>
              <w:rPr>
                <w:rFonts w:hint="eastAsia" w:ascii="Times New Roman" w:hAnsi="Times New Roman" w:eastAsia="宋体" w:cs="Times New Roman"/>
                <w:color w:val="auto"/>
                <w:shd w:val="clear" w:color="auto" w:fill="auto"/>
                <w:lang w:val="zh-CN" w:eastAsia="zh-CN"/>
              </w:rPr>
              <w:t>项目废气、</w:t>
            </w:r>
            <w:r>
              <w:rPr>
                <w:rFonts w:hint="eastAsia" w:ascii="Times New Roman" w:hAnsi="Times New Roman" w:eastAsia="宋体" w:cs="Times New Roman"/>
                <w:color w:val="auto"/>
                <w:shd w:val="clear" w:color="auto" w:fill="auto"/>
                <w:lang w:val="en-US" w:eastAsia="zh-CN"/>
              </w:rPr>
              <w:t>废水</w:t>
            </w:r>
            <w:r>
              <w:rPr>
                <w:rFonts w:hint="eastAsia" w:ascii="Times New Roman" w:hAnsi="Times New Roman" w:eastAsia="宋体" w:cs="Times New Roman"/>
                <w:color w:val="auto"/>
                <w:shd w:val="clear" w:color="auto" w:fill="auto"/>
                <w:lang w:val="zh-CN" w:eastAsia="zh-CN"/>
              </w:rPr>
              <w:t>、噪声监测方案见</w:t>
            </w:r>
            <w:r>
              <w:rPr>
                <w:rFonts w:hint="eastAsia" w:cs="Times New Roman"/>
                <w:color w:val="auto"/>
                <w:sz w:val="24"/>
                <w:szCs w:val="24"/>
                <w:lang w:eastAsia="zh-CN"/>
              </w:rPr>
              <w:t>下表。</w:t>
            </w:r>
          </w:p>
          <w:p w14:paraId="7B8312DA">
            <w:pPr>
              <w:pStyle w:val="114"/>
              <w:keepNext w:val="0"/>
              <w:keepLines w:val="0"/>
              <w:numPr>
                <w:ilvl w:val="0"/>
                <w:numId w:val="0"/>
              </w:numPr>
              <w:suppressLineNumbers w:val="0"/>
              <w:tabs>
                <w:tab w:val="left" w:pos="0"/>
              </w:tabs>
              <w:bidi w:val="0"/>
              <w:spacing w:before="0" w:beforeAutospacing="0" w:after="0" w:afterAutospacing="0"/>
              <w:ind w:left="0" w:leftChars="0" w:right="0" w:rightChars="0" w:firstLine="0" w:firstLineChars="0"/>
              <w:rPr>
                <w:rFonts w:hint="default" w:cs="Times New Roman"/>
                <w:color w:val="auto"/>
                <w:sz w:val="24"/>
                <w:szCs w:val="24"/>
              </w:rPr>
            </w:pPr>
            <w:r>
              <w:rPr>
                <w:rFonts w:hint="default" w:ascii="Times New Roman" w:hAnsi="Times New Roman" w:eastAsia="宋体" w:cs="Times New Roman"/>
                <w:b/>
                <w:color w:val="auto"/>
                <w:kern w:val="2"/>
                <w:sz w:val="24"/>
                <w:szCs w:val="24"/>
                <w:lang w:val="en-US" w:eastAsia="zh-CN" w:bidi="ar-SA"/>
              </w:rPr>
              <w:t xml:space="preserve">表5-1 </w:t>
            </w:r>
            <w:r>
              <w:rPr>
                <w:rFonts w:hint="eastAsia" w:cs="Times New Roman"/>
                <w:color w:val="auto"/>
                <w:sz w:val="24"/>
                <w:szCs w:val="24"/>
              </w:rPr>
              <w:t>本项目</w:t>
            </w:r>
            <w:r>
              <w:rPr>
                <w:rFonts w:hint="default" w:cs="Times New Roman"/>
                <w:color w:val="auto"/>
                <w:sz w:val="24"/>
                <w:szCs w:val="24"/>
              </w:rPr>
              <w:t>自行监测计划表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15" w:type="dxa"/>
                <w:left w:w="15" w:type="dxa"/>
                <w:bottom w:w="15" w:type="dxa"/>
                <w:right w:w="15" w:type="dxa"/>
              </w:tblCellMar>
            </w:tblPr>
            <w:tblGrid>
              <w:gridCol w:w="1313"/>
              <w:gridCol w:w="1463"/>
              <w:gridCol w:w="2730"/>
              <w:gridCol w:w="2332"/>
            </w:tblGrid>
            <w:tr w14:paraId="5BF7979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18" w:hRule="atLeast"/>
                <w:jc w:val="center"/>
              </w:trPr>
              <w:tc>
                <w:tcPr>
                  <w:tcW w:w="837" w:type="pct"/>
                  <w:tcBorders>
                    <w:tl2br w:val="nil"/>
                    <w:tr2bl w:val="nil"/>
                  </w:tcBorders>
                  <w:noWrap w:val="0"/>
                  <w:vAlign w:val="center"/>
                </w:tcPr>
                <w:p w14:paraId="00EE5120">
                  <w:pPr>
                    <w:pStyle w:val="61"/>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污染源</w:t>
                  </w:r>
                </w:p>
              </w:tc>
              <w:tc>
                <w:tcPr>
                  <w:tcW w:w="933" w:type="pct"/>
                  <w:tcBorders>
                    <w:tl2br w:val="nil"/>
                    <w:tr2bl w:val="nil"/>
                  </w:tcBorders>
                  <w:noWrap w:val="0"/>
                  <w:vAlign w:val="center"/>
                </w:tcPr>
                <w:p w14:paraId="75921450">
                  <w:pPr>
                    <w:pStyle w:val="61"/>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监测点位</w:t>
                  </w:r>
                </w:p>
              </w:tc>
              <w:tc>
                <w:tcPr>
                  <w:tcW w:w="1741" w:type="pct"/>
                  <w:tcBorders>
                    <w:tl2br w:val="nil"/>
                    <w:tr2bl w:val="nil"/>
                  </w:tcBorders>
                  <w:noWrap w:val="0"/>
                  <w:vAlign w:val="center"/>
                </w:tcPr>
                <w:p w14:paraId="74847108">
                  <w:pPr>
                    <w:pStyle w:val="61"/>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监测指标</w:t>
                  </w:r>
                </w:p>
              </w:tc>
              <w:tc>
                <w:tcPr>
                  <w:tcW w:w="1487" w:type="pct"/>
                  <w:tcBorders>
                    <w:tl2br w:val="nil"/>
                    <w:tr2bl w:val="nil"/>
                  </w:tcBorders>
                  <w:noWrap w:val="0"/>
                  <w:vAlign w:val="center"/>
                </w:tcPr>
                <w:p w14:paraId="0A78692E">
                  <w:pPr>
                    <w:pStyle w:val="61"/>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监测频次</w:t>
                  </w:r>
                </w:p>
              </w:tc>
            </w:tr>
            <w:tr w14:paraId="2435DD1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373" w:hRule="atLeast"/>
                <w:jc w:val="center"/>
              </w:trPr>
              <w:tc>
                <w:tcPr>
                  <w:tcW w:w="837" w:type="pct"/>
                  <w:vMerge w:val="restart"/>
                  <w:tcBorders>
                    <w:tl2br w:val="nil"/>
                    <w:tr2bl w:val="nil"/>
                  </w:tcBorders>
                  <w:noWrap w:val="0"/>
                  <w:vAlign w:val="center"/>
                </w:tcPr>
                <w:p w14:paraId="5579D766">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废气</w:t>
                  </w:r>
                </w:p>
              </w:tc>
              <w:tc>
                <w:tcPr>
                  <w:tcW w:w="933" w:type="pct"/>
                  <w:tcBorders>
                    <w:tl2br w:val="nil"/>
                    <w:tr2bl w:val="nil"/>
                  </w:tcBorders>
                  <w:noWrap w:val="0"/>
                  <w:vAlign w:val="center"/>
                </w:tcPr>
                <w:p w14:paraId="44217A30">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DA002</w:t>
                  </w:r>
                </w:p>
              </w:tc>
              <w:tc>
                <w:tcPr>
                  <w:tcW w:w="1741" w:type="pct"/>
                  <w:tcBorders>
                    <w:tl2br w:val="nil"/>
                    <w:tr2bl w:val="nil"/>
                  </w:tcBorders>
                  <w:noWrap w:val="0"/>
                  <w:vAlign w:val="center"/>
                </w:tcPr>
                <w:p w14:paraId="08136CDC">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TVOC、颗粒物</w:t>
                  </w:r>
                </w:p>
              </w:tc>
              <w:tc>
                <w:tcPr>
                  <w:tcW w:w="1487" w:type="pct"/>
                  <w:tcBorders>
                    <w:tl2br w:val="nil"/>
                    <w:tr2bl w:val="nil"/>
                  </w:tcBorders>
                  <w:noWrap w:val="0"/>
                  <w:vAlign w:val="center"/>
                </w:tcPr>
                <w:p w14:paraId="607FD6AE">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1次/半年</w:t>
                  </w:r>
                </w:p>
              </w:tc>
            </w:tr>
            <w:tr w14:paraId="30ADB93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373" w:hRule="atLeast"/>
                <w:jc w:val="center"/>
              </w:trPr>
              <w:tc>
                <w:tcPr>
                  <w:tcW w:w="837" w:type="pct"/>
                  <w:vMerge w:val="continue"/>
                  <w:tcBorders>
                    <w:tl2br w:val="nil"/>
                    <w:tr2bl w:val="nil"/>
                  </w:tcBorders>
                  <w:noWrap w:val="0"/>
                  <w:vAlign w:val="center"/>
                </w:tcPr>
                <w:p w14:paraId="07C10944">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p>
              </w:tc>
              <w:tc>
                <w:tcPr>
                  <w:tcW w:w="933" w:type="pct"/>
                  <w:tcBorders>
                    <w:tl2br w:val="nil"/>
                    <w:tr2bl w:val="nil"/>
                  </w:tcBorders>
                  <w:noWrap w:val="0"/>
                  <w:vAlign w:val="center"/>
                </w:tcPr>
                <w:p w14:paraId="2EE60846">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DA001</w:t>
                  </w:r>
                </w:p>
              </w:tc>
              <w:tc>
                <w:tcPr>
                  <w:tcW w:w="1741" w:type="pct"/>
                  <w:tcBorders>
                    <w:tl2br w:val="nil"/>
                    <w:tr2bl w:val="nil"/>
                  </w:tcBorders>
                  <w:noWrap w:val="0"/>
                  <w:vAlign w:val="center"/>
                </w:tcPr>
                <w:p w14:paraId="78AEEFA9">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olor w:val="auto"/>
                      <w:kern w:val="0"/>
                      <w:sz w:val="21"/>
                      <w:szCs w:val="21"/>
                      <w:lang w:val="en-US" w:eastAsia="zh-CN"/>
                    </w:rPr>
                    <w:t>颗粒物</w:t>
                  </w:r>
                  <w:r>
                    <w:rPr>
                      <w:rFonts w:hint="eastAsia" w:cs="Times New Roman"/>
                      <w:color w:val="auto"/>
                      <w:sz w:val="21"/>
                      <w:szCs w:val="21"/>
                      <w:lang w:val="en-US" w:eastAsia="zh-CN"/>
                    </w:rPr>
                    <w:t>、</w:t>
                  </w:r>
                  <w:r>
                    <w:rPr>
                      <w:rFonts w:hint="eastAsia"/>
                      <w:color w:val="auto"/>
                      <w:lang w:val="en-US" w:eastAsia="zh-CN"/>
                    </w:rPr>
                    <w:t>SO</w:t>
                  </w:r>
                  <w:r>
                    <w:rPr>
                      <w:rFonts w:hint="eastAsia"/>
                      <w:color w:val="auto"/>
                      <w:vertAlign w:val="subscript"/>
                      <w:lang w:val="en-US" w:eastAsia="zh-CN"/>
                    </w:rPr>
                    <w:t>2</w:t>
                  </w:r>
                  <w:r>
                    <w:rPr>
                      <w:rFonts w:hint="eastAsia" w:cs="Times New Roman"/>
                      <w:color w:val="auto"/>
                      <w:sz w:val="21"/>
                      <w:szCs w:val="21"/>
                      <w:lang w:val="en-US" w:eastAsia="zh-CN"/>
                    </w:rPr>
                    <w:t>、</w:t>
                  </w:r>
                  <w:r>
                    <w:rPr>
                      <w:rFonts w:hint="eastAsia"/>
                      <w:color w:val="auto"/>
                      <w:kern w:val="0"/>
                      <w:sz w:val="21"/>
                      <w:szCs w:val="21"/>
                      <w:lang w:val="en-US" w:eastAsia="zh-CN"/>
                    </w:rPr>
                    <w:t>NOx</w:t>
                  </w:r>
                </w:p>
              </w:tc>
              <w:tc>
                <w:tcPr>
                  <w:tcW w:w="1487" w:type="pct"/>
                  <w:tcBorders>
                    <w:tl2br w:val="nil"/>
                    <w:tr2bl w:val="nil"/>
                  </w:tcBorders>
                  <w:noWrap w:val="0"/>
                  <w:vAlign w:val="center"/>
                </w:tcPr>
                <w:p w14:paraId="79364AD4">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default" w:ascii="Times New Roman" w:hAnsi="Times New Roman" w:eastAsia="宋体" w:cs="Times New Roman"/>
                      <w:color w:val="auto"/>
                      <w:spacing w:val="0"/>
                      <w:kern w:val="0"/>
                      <w:sz w:val="21"/>
                      <w:szCs w:val="21"/>
                      <w:lang w:val="en-US" w:eastAsia="zh-CN" w:bidi="ar-SA"/>
                    </w:rPr>
                    <w:t>1次/</w:t>
                  </w:r>
                  <w:r>
                    <w:rPr>
                      <w:rFonts w:hint="eastAsia" w:ascii="Times New Roman" w:hAnsi="Times New Roman" w:eastAsia="宋体" w:cs="Times New Roman"/>
                      <w:color w:val="auto"/>
                      <w:spacing w:val="0"/>
                      <w:kern w:val="0"/>
                      <w:sz w:val="21"/>
                      <w:szCs w:val="21"/>
                      <w:lang w:val="en-US" w:eastAsia="zh-CN" w:bidi="ar-SA"/>
                    </w:rPr>
                    <w:t>年</w:t>
                  </w:r>
                </w:p>
              </w:tc>
            </w:tr>
            <w:tr w14:paraId="5E53531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vMerge w:val="continue"/>
                  <w:tcBorders>
                    <w:tl2br w:val="nil"/>
                    <w:tr2bl w:val="nil"/>
                  </w:tcBorders>
                  <w:noWrap w:val="0"/>
                  <w:vAlign w:val="center"/>
                </w:tcPr>
                <w:p w14:paraId="52B26A28">
                  <w:pPr>
                    <w:pStyle w:val="61"/>
                    <w:keepNext w:val="0"/>
                    <w:keepLines w:val="0"/>
                    <w:suppressLineNumbers w:val="0"/>
                    <w:bidi w:val="0"/>
                    <w:spacing w:before="0" w:beforeAutospacing="0" w:after="0" w:afterAutospacing="0"/>
                    <w:ind w:left="0" w:right="0"/>
                    <w:rPr>
                      <w:rFonts w:hint="default" w:cs="Times New Roman"/>
                      <w:color w:val="auto"/>
                      <w:sz w:val="21"/>
                      <w:szCs w:val="21"/>
                    </w:rPr>
                  </w:pPr>
                </w:p>
              </w:tc>
              <w:tc>
                <w:tcPr>
                  <w:tcW w:w="933" w:type="pct"/>
                  <w:tcBorders>
                    <w:tl2br w:val="nil"/>
                    <w:tr2bl w:val="nil"/>
                  </w:tcBorders>
                  <w:noWrap w:val="0"/>
                  <w:vAlign w:val="center"/>
                </w:tcPr>
                <w:p w14:paraId="79F98448">
                  <w:pPr>
                    <w:pStyle w:val="61"/>
                    <w:keepNext w:val="0"/>
                    <w:keepLines w:val="0"/>
                    <w:suppressLineNumbers w:val="0"/>
                    <w:bidi w:val="0"/>
                    <w:spacing w:before="0" w:beforeAutospacing="0" w:after="0" w:afterAutospacing="0"/>
                    <w:ind w:left="0" w:right="0"/>
                    <w:rPr>
                      <w:rFonts w:hint="eastAsia" w:cs="Times New Roman"/>
                      <w:color w:val="auto"/>
                      <w:sz w:val="21"/>
                      <w:szCs w:val="21"/>
                    </w:rPr>
                  </w:pPr>
                  <w:r>
                    <w:rPr>
                      <w:rFonts w:hint="default" w:cs="Times New Roman"/>
                      <w:color w:val="auto"/>
                      <w:sz w:val="21"/>
                      <w:szCs w:val="21"/>
                    </w:rPr>
                    <w:t>厂界</w:t>
                  </w:r>
                </w:p>
              </w:tc>
              <w:tc>
                <w:tcPr>
                  <w:tcW w:w="1741" w:type="pct"/>
                  <w:tcBorders>
                    <w:tl2br w:val="nil"/>
                    <w:tr2bl w:val="nil"/>
                  </w:tcBorders>
                  <w:noWrap w:val="0"/>
                  <w:vAlign w:val="center"/>
                </w:tcPr>
                <w:p w14:paraId="4E613C43">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TVOC、颗粒物</w:t>
                  </w:r>
                </w:p>
              </w:tc>
              <w:tc>
                <w:tcPr>
                  <w:tcW w:w="1487" w:type="pct"/>
                  <w:tcBorders>
                    <w:tl2br w:val="nil"/>
                    <w:tr2bl w:val="nil"/>
                  </w:tcBorders>
                  <w:noWrap w:val="0"/>
                  <w:vAlign w:val="center"/>
                </w:tcPr>
                <w:p w14:paraId="6B408810">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1次/半年</w:t>
                  </w:r>
                </w:p>
              </w:tc>
            </w:tr>
            <w:tr w14:paraId="3C2C768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1118" w:hRule="atLeast"/>
                <w:jc w:val="center"/>
              </w:trPr>
              <w:tc>
                <w:tcPr>
                  <w:tcW w:w="837" w:type="pct"/>
                  <w:vMerge w:val="restart"/>
                  <w:tcBorders>
                    <w:tl2br w:val="nil"/>
                    <w:tr2bl w:val="nil"/>
                  </w:tcBorders>
                  <w:noWrap w:val="0"/>
                  <w:vAlign w:val="center"/>
                </w:tcPr>
                <w:p w14:paraId="4325BD40">
                  <w:pPr>
                    <w:pStyle w:val="61"/>
                    <w:keepNext w:val="0"/>
                    <w:keepLines w:val="0"/>
                    <w:suppressLineNumbers w:val="0"/>
                    <w:bidi w:val="0"/>
                    <w:spacing w:before="0" w:beforeAutospacing="0" w:after="0" w:afterAutospacing="0"/>
                    <w:ind w:left="0" w:right="0"/>
                    <w:rPr>
                      <w:rFonts w:hint="default" w:eastAsia="宋体" w:cs="Times New Roman"/>
                      <w:color w:val="auto"/>
                      <w:sz w:val="21"/>
                      <w:szCs w:val="21"/>
                      <w:lang w:val="en-US" w:eastAsia="zh-CN"/>
                    </w:rPr>
                  </w:pPr>
                  <w:r>
                    <w:rPr>
                      <w:rFonts w:hint="eastAsia" w:cs="Times New Roman"/>
                      <w:color w:val="auto"/>
                      <w:sz w:val="21"/>
                      <w:szCs w:val="21"/>
                      <w:lang w:val="en-US" w:eastAsia="zh-CN"/>
                    </w:rPr>
                    <w:t>综合废水</w:t>
                  </w:r>
                </w:p>
              </w:tc>
              <w:tc>
                <w:tcPr>
                  <w:tcW w:w="933" w:type="pct"/>
                  <w:vMerge w:val="restart"/>
                  <w:tcBorders>
                    <w:tl2br w:val="nil"/>
                    <w:tr2bl w:val="nil"/>
                  </w:tcBorders>
                  <w:noWrap w:val="0"/>
                  <w:vAlign w:val="center"/>
                </w:tcPr>
                <w:p w14:paraId="4361080E">
                  <w:pPr>
                    <w:pStyle w:val="61"/>
                    <w:keepNext w:val="0"/>
                    <w:keepLines w:val="0"/>
                    <w:suppressLineNumbers w:val="0"/>
                    <w:bidi w:val="0"/>
                    <w:spacing w:before="0" w:beforeAutospacing="0" w:after="0" w:afterAutospacing="0"/>
                    <w:ind w:left="0" w:right="0"/>
                    <w:rPr>
                      <w:rFonts w:hint="default" w:eastAsia="宋体" w:cs="Times New Roman"/>
                      <w:color w:val="auto"/>
                      <w:sz w:val="21"/>
                      <w:szCs w:val="21"/>
                      <w:lang w:val="en-US" w:eastAsia="zh-CN"/>
                    </w:rPr>
                  </w:pPr>
                  <w:r>
                    <w:rPr>
                      <w:rFonts w:hint="eastAsia" w:cs="Times New Roman"/>
                      <w:color w:val="auto"/>
                      <w:sz w:val="21"/>
                      <w:szCs w:val="21"/>
                      <w:lang w:val="en-US" w:eastAsia="zh-CN"/>
                    </w:rPr>
                    <w:t>DW001</w:t>
                  </w:r>
                </w:p>
              </w:tc>
              <w:tc>
                <w:tcPr>
                  <w:tcW w:w="1741" w:type="pct"/>
                  <w:tcBorders>
                    <w:tl2br w:val="nil"/>
                    <w:tr2bl w:val="nil"/>
                  </w:tcBorders>
                  <w:noWrap w:val="0"/>
                  <w:vAlign w:val="center"/>
                </w:tcPr>
                <w:p w14:paraId="132914BF">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olor w:val="auto"/>
                      <w:sz w:val="21"/>
                      <w:szCs w:val="21"/>
                      <w:lang w:val="en-US" w:eastAsia="zh-CN"/>
                    </w:rPr>
                    <w:t>pH、</w:t>
                  </w:r>
                  <w:r>
                    <w:rPr>
                      <w:rFonts w:hint="default"/>
                      <w:color w:val="auto"/>
                      <w:sz w:val="21"/>
                      <w:szCs w:val="21"/>
                      <w:lang w:val="en-US" w:eastAsia="zh-CN"/>
                    </w:rPr>
                    <w:t>COD</w:t>
                  </w:r>
                  <w:r>
                    <w:rPr>
                      <w:rFonts w:hint="eastAsia"/>
                      <w:color w:val="auto"/>
                      <w:sz w:val="21"/>
                      <w:szCs w:val="21"/>
                      <w:lang w:val="en-US" w:eastAsia="zh-CN"/>
                    </w:rPr>
                    <w:t>cr、</w:t>
                  </w:r>
                  <w:r>
                    <w:rPr>
                      <w:rFonts w:hint="default"/>
                      <w:color w:val="auto"/>
                      <w:sz w:val="21"/>
                      <w:szCs w:val="21"/>
                    </w:rPr>
                    <w:t>氨氮</w:t>
                  </w:r>
                  <w:r>
                    <w:rPr>
                      <w:rFonts w:hint="eastAsia"/>
                      <w:color w:val="auto"/>
                      <w:sz w:val="21"/>
                      <w:szCs w:val="21"/>
                      <w:lang w:val="en-US" w:eastAsia="zh-CN"/>
                    </w:rPr>
                    <w:t>、TP、TN</w:t>
                  </w:r>
                </w:p>
              </w:tc>
              <w:tc>
                <w:tcPr>
                  <w:tcW w:w="2332" w:type="dxa"/>
                  <w:tcBorders>
                    <w:tl2br w:val="nil"/>
                    <w:tr2bl w:val="nil"/>
                  </w:tcBorders>
                  <w:noWrap w:val="0"/>
                  <w:vAlign w:val="center"/>
                </w:tcPr>
                <w:p w14:paraId="240B7C24">
                  <w:pPr>
                    <w:pStyle w:val="132"/>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21"/>
                      <w:szCs w:val="21"/>
                      <w:lang w:val="en-US" w:eastAsia="zh-CN"/>
                    </w:rPr>
                  </w:pPr>
                  <w:r>
                    <w:rPr>
                      <w:rFonts w:hint="eastAsia"/>
                      <w:color w:val="auto"/>
                      <w:lang w:val="en-US" w:eastAsia="zh-CN"/>
                    </w:rPr>
                    <w:t>在线监测</w:t>
                  </w:r>
                </w:p>
              </w:tc>
            </w:tr>
            <w:tr w14:paraId="0E5442A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1118" w:hRule="atLeast"/>
                <w:jc w:val="center"/>
              </w:trPr>
              <w:tc>
                <w:tcPr>
                  <w:tcW w:w="837" w:type="pct"/>
                  <w:vMerge w:val="continue"/>
                  <w:tcBorders>
                    <w:tl2br w:val="nil"/>
                    <w:tr2bl w:val="nil"/>
                  </w:tcBorders>
                  <w:noWrap w:val="0"/>
                  <w:vAlign w:val="center"/>
                </w:tcPr>
                <w:p w14:paraId="1E957756">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p>
              </w:tc>
              <w:tc>
                <w:tcPr>
                  <w:tcW w:w="933" w:type="pct"/>
                  <w:vMerge w:val="continue"/>
                  <w:tcBorders>
                    <w:tl2br w:val="nil"/>
                    <w:tr2bl w:val="nil"/>
                  </w:tcBorders>
                  <w:noWrap w:val="0"/>
                  <w:vAlign w:val="center"/>
                </w:tcPr>
                <w:p w14:paraId="235C509A">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p>
              </w:tc>
              <w:tc>
                <w:tcPr>
                  <w:tcW w:w="1741" w:type="pct"/>
                  <w:tcBorders>
                    <w:tl2br w:val="nil"/>
                    <w:tr2bl w:val="nil"/>
                  </w:tcBorders>
                  <w:noWrap w:val="0"/>
                  <w:vAlign w:val="center"/>
                </w:tcPr>
                <w:p w14:paraId="0C0E523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五日生化需氧量、悬浮物</w:t>
                  </w:r>
                </w:p>
              </w:tc>
              <w:tc>
                <w:tcPr>
                  <w:tcW w:w="2332" w:type="dxa"/>
                  <w:tcBorders>
                    <w:tl2br w:val="nil"/>
                    <w:tr2bl w:val="nil"/>
                  </w:tcBorders>
                  <w:noWrap w:val="0"/>
                  <w:vAlign w:val="center"/>
                </w:tcPr>
                <w:p w14:paraId="5BBF1DE4">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1次/</w:t>
                  </w:r>
                  <w:r>
                    <w:rPr>
                      <w:rFonts w:hint="eastAsia" w:ascii="Times New Roman" w:hAnsi="Times New Roman" w:eastAsia="宋体" w:cs="Times New Roman"/>
                      <w:color w:val="auto"/>
                      <w:sz w:val="21"/>
                      <w:szCs w:val="21"/>
                      <w:lang w:val="en-US" w:eastAsia="zh-CN"/>
                    </w:rPr>
                    <w:t>月</w:t>
                  </w:r>
                </w:p>
              </w:tc>
            </w:tr>
            <w:tr w14:paraId="7383876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tcBorders>
                    <w:tl2br w:val="nil"/>
                    <w:tr2bl w:val="nil"/>
                  </w:tcBorders>
                  <w:noWrap w:val="0"/>
                  <w:vAlign w:val="center"/>
                </w:tcPr>
                <w:p w14:paraId="5182C2E6">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噪声</w:t>
                  </w:r>
                </w:p>
              </w:tc>
              <w:tc>
                <w:tcPr>
                  <w:tcW w:w="933" w:type="pct"/>
                  <w:tcBorders>
                    <w:tl2br w:val="nil"/>
                    <w:tr2bl w:val="nil"/>
                  </w:tcBorders>
                  <w:noWrap w:val="0"/>
                  <w:vAlign w:val="center"/>
                </w:tcPr>
                <w:p w14:paraId="590D7EC0">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default" w:cs="Times New Roman"/>
                      <w:color w:val="auto"/>
                      <w:sz w:val="21"/>
                      <w:szCs w:val="21"/>
                    </w:rPr>
                    <w:t>厂界</w:t>
                  </w:r>
                  <w:r>
                    <w:rPr>
                      <w:rFonts w:hint="eastAsia" w:cs="Times New Roman"/>
                      <w:color w:val="auto"/>
                      <w:sz w:val="21"/>
                      <w:szCs w:val="21"/>
                      <w:lang w:val="en-US" w:eastAsia="zh-CN"/>
                    </w:rPr>
                    <w:t>昼夜</w:t>
                  </w:r>
                </w:p>
              </w:tc>
              <w:tc>
                <w:tcPr>
                  <w:tcW w:w="1741" w:type="pct"/>
                  <w:tcBorders>
                    <w:tl2br w:val="nil"/>
                    <w:tr2bl w:val="nil"/>
                  </w:tcBorders>
                  <w:noWrap w:val="0"/>
                  <w:vAlign w:val="center"/>
                </w:tcPr>
                <w:p w14:paraId="2AB664AF">
                  <w:pPr>
                    <w:pStyle w:val="61"/>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等效连续A声级</w:t>
                  </w:r>
                </w:p>
              </w:tc>
              <w:tc>
                <w:tcPr>
                  <w:tcW w:w="1487" w:type="pct"/>
                  <w:tcBorders>
                    <w:tl2br w:val="nil"/>
                    <w:tr2bl w:val="nil"/>
                  </w:tcBorders>
                  <w:noWrap w:val="0"/>
                  <w:vAlign w:val="center"/>
                </w:tcPr>
                <w:p w14:paraId="163B18B6">
                  <w:pPr>
                    <w:pStyle w:val="61"/>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1次/季</w:t>
                  </w:r>
                </w:p>
              </w:tc>
            </w:tr>
          </w:tbl>
          <w:p w14:paraId="60C13577">
            <w:pPr>
              <w:keepNext w:val="0"/>
              <w:keepLines w:val="0"/>
              <w:suppressLineNumbers w:val="0"/>
              <w:spacing w:before="0" w:beforeAutospacing="0" w:after="0" w:afterAutospacing="0"/>
              <w:ind w:left="0" w:right="0"/>
              <w:rPr>
                <w:rFonts w:hint="eastAsia" w:cs="Times New Roman"/>
                <w:color w:val="auto"/>
                <w:sz w:val="24"/>
                <w:szCs w:val="24"/>
                <w:lang w:eastAsia="zh-CN"/>
              </w:rPr>
            </w:pPr>
            <w:r>
              <w:rPr>
                <w:rFonts w:hint="eastAsia" w:cs="Times New Roman"/>
                <w:b/>
                <w:bCs/>
                <w:color w:val="auto"/>
                <w:sz w:val="24"/>
                <w:szCs w:val="24"/>
                <w:shd w:val="clear" w:color="auto" w:fill="auto"/>
                <w:lang w:val="en-US" w:eastAsia="zh-CN"/>
              </w:rPr>
              <w:t>2）环评与排污许可制度衔接相关工作</w:t>
            </w:r>
          </w:p>
          <w:p w14:paraId="255B888A">
            <w:pPr>
              <w:keepNext w:val="0"/>
              <w:keepLines w:val="0"/>
              <w:suppressLineNumbers w:val="0"/>
              <w:bidi w:val="0"/>
              <w:spacing w:before="0" w:beforeAutospacing="0" w:after="0" w:afterAutospacing="0"/>
              <w:ind w:left="0" w:right="0"/>
              <w:rPr>
                <w:rFonts w:hint="eastAsia" w:cs="Times New Roman"/>
                <w:color w:val="auto"/>
                <w:sz w:val="24"/>
                <w:szCs w:val="24"/>
                <w:shd w:val="clear" w:color="auto" w:fill="auto"/>
                <w:lang w:eastAsia="zh-CN"/>
              </w:rPr>
            </w:pPr>
            <w:r>
              <w:rPr>
                <w:rFonts w:hint="eastAsia" w:cs="Times New Roman"/>
                <w:color w:val="auto"/>
                <w:sz w:val="24"/>
                <w:szCs w:val="24"/>
                <w:shd w:val="clear" w:color="auto" w:fill="auto"/>
                <w:lang w:eastAsia="zh-CN"/>
              </w:rPr>
              <w:t>环评与排污许可制度衔接相关工作的通知，本项目在执行环境影响评价中的相关要求的同时，应按照生态环境部办公厅于2017年11月15日发布的《关于做好环境影响评价制度与排污许可制度衔接相关工作的通知》（环办环评〔2017〕84号）、《排污许可管理办法》（2024年7月1日起施行）、《固定污染源排污许可分类管理名录（2019年版）》以及《排污许可管理条例》（2021年3月1日实施）要求做好排污许可制度的衔接工作。本项目主要从事</w:t>
            </w:r>
            <w:r>
              <w:rPr>
                <w:rFonts w:hint="eastAsia" w:cs="Times New Roman"/>
                <w:color w:val="auto"/>
                <w:sz w:val="24"/>
                <w:szCs w:val="24"/>
                <w:shd w:val="clear" w:color="auto" w:fill="auto"/>
                <w:lang w:val="en-US" w:eastAsia="zh-CN"/>
              </w:rPr>
              <w:t>1499类 其他未列明食品制造</w:t>
            </w:r>
            <w:r>
              <w:rPr>
                <w:rFonts w:hint="eastAsia" w:cs="Times New Roman"/>
                <w:color w:val="auto"/>
                <w:sz w:val="24"/>
                <w:szCs w:val="24"/>
                <w:shd w:val="clear" w:color="auto" w:fill="auto"/>
                <w:lang w:eastAsia="zh-CN"/>
              </w:rPr>
              <w:t>，对照《固定污染源排污许可分类管理名录（2019版）》，属于“九、食品制造业14”—“其他”，按排污许可登记管理进行申报。</w:t>
            </w:r>
          </w:p>
          <w:p w14:paraId="79DDCB88">
            <w:pPr>
              <w:keepNext w:val="0"/>
              <w:keepLines w:val="0"/>
              <w:suppressLineNumbers w:val="0"/>
              <w:bidi w:val="0"/>
              <w:spacing w:before="0" w:beforeAutospacing="0" w:after="0" w:afterAutospacing="0"/>
              <w:ind w:left="0" w:right="0"/>
              <w:rPr>
                <w:rFonts w:hint="default" w:cs="Times New Roman"/>
                <w:color w:val="auto"/>
                <w:sz w:val="24"/>
                <w:szCs w:val="24"/>
                <w:shd w:val="clear" w:color="auto" w:fill="auto"/>
                <w:lang w:val="en-US" w:eastAsia="zh-CN"/>
              </w:rPr>
            </w:pPr>
            <w:r>
              <w:rPr>
                <w:rFonts w:hint="eastAsia" w:cs="Times New Roman"/>
                <w:color w:val="auto"/>
                <w:sz w:val="24"/>
                <w:szCs w:val="24"/>
                <w:shd w:val="clear" w:color="auto" w:fill="auto"/>
                <w:lang w:val="en-US" w:eastAsia="zh-CN"/>
              </w:rPr>
              <w:t>3）项目验收清单</w:t>
            </w:r>
          </w:p>
          <w:p w14:paraId="572EC412">
            <w:pPr>
              <w:pStyle w:val="114"/>
              <w:keepNext w:val="0"/>
              <w:keepLines w:val="0"/>
              <w:numPr>
                <w:ilvl w:val="0"/>
                <w:numId w:val="0"/>
              </w:numPr>
              <w:suppressLineNumbers w:val="0"/>
              <w:tabs>
                <w:tab w:val="left" w:pos="0"/>
              </w:tabs>
              <w:bidi w:val="0"/>
              <w:spacing w:before="0" w:beforeAutospacing="0" w:after="0" w:afterAutospacing="0"/>
              <w:ind w:left="0" w:leftChars="0" w:right="0" w:rightChars="0" w:firstLine="0" w:firstLineChars="0"/>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4"/>
                <w:szCs w:val="24"/>
                <w:lang w:val="en-US" w:eastAsia="zh-CN" w:bidi="ar-SA"/>
              </w:rPr>
              <w:t>表</w:t>
            </w:r>
            <w:r>
              <w:rPr>
                <w:rFonts w:hint="eastAsia" w:ascii="Times New Roman" w:hAnsi="Times New Roman" w:eastAsia="宋体" w:cs="Times New Roman"/>
                <w:b/>
                <w:color w:val="auto"/>
                <w:kern w:val="2"/>
                <w:sz w:val="24"/>
                <w:szCs w:val="24"/>
                <w:lang w:val="en-US" w:eastAsia="zh-CN" w:bidi="ar-SA"/>
              </w:rPr>
              <w:t>5-2</w:t>
            </w:r>
            <w:r>
              <w:rPr>
                <w:rFonts w:hint="default" w:ascii="Times New Roman" w:hAnsi="Times New Roman" w:eastAsia="宋体" w:cs="Times New Roman"/>
                <w:b/>
                <w:color w:val="auto"/>
                <w:kern w:val="2"/>
                <w:sz w:val="24"/>
                <w:szCs w:val="24"/>
                <w:lang w:val="en-US" w:eastAsia="zh-CN" w:bidi="ar-SA"/>
              </w:rPr>
              <w:t xml:space="preserve"> 项目</w:t>
            </w:r>
            <w:r>
              <w:rPr>
                <w:rFonts w:hint="eastAsia" w:ascii="Times New Roman" w:hAnsi="Times New Roman" w:eastAsia="宋体" w:cs="Times New Roman"/>
                <w:b/>
                <w:color w:val="auto"/>
                <w:kern w:val="2"/>
                <w:sz w:val="24"/>
                <w:szCs w:val="24"/>
                <w:lang w:val="en-US" w:eastAsia="zh-CN" w:bidi="ar-SA"/>
              </w:rPr>
              <w:t>废气</w:t>
            </w:r>
            <w:r>
              <w:rPr>
                <w:rFonts w:hint="default" w:ascii="Times New Roman" w:hAnsi="Times New Roman" w:eastAsia="宋体" w:cs="Times New Roman"/>
                <w:b/>
                <w:color w:val="auto"/>
                <w:kern w:val="2"/>
                <w:sz w:val="24"/>
                <w:szCs w:val="24"/>
                <w:lang w:val="en-US" w:eastAsia="zh-CN" w:bidi="ar-SA"/>
              </w:rPr>
              <w:t>竣工环保验收清单</w:t>
            </w:r>
          </w:p>
          <w:tbl>
            <w:tblPr>
              <w:tblStyle w:val="29"/>
              <w:tblW w:w="79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27"/>
              <w:gridCol w:w="2847"/>
              <w:gridCol w:w="1106"/>
              <w:gridCol w:w="2376"/>
            </w:tblGrid>
            <w:tr w14:paraId="0F6F2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627" w:type="dxa"/>
                  <w:tcBorders>
                    <w:tl2br w:val="nil"/>
                    <w:tr2bl w:val="nil"/>
                  </w:tcBorders>
                  <w:noWrap w:val="0"/>
                  <w:vAlign w:val="center"/>
                </w:tcPr>
                <w:p w14:paraId="2B15BD1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污染源</w:t>
                  </w:r>
                </w:p>
              </w:tc>
              <w:tc>
                <w:tcPr>
                  <w:tcW w:w="2847" w:type="dxa"/>
                  <w:tcBorders>
                    <w:tl2br w:val="nil"/>
                    <w:tr2bl w:val="nil"/>
                  </w:tcBorders>
                  <w:noWrap w:val="0"/>
                  <w:vAlign w:val="center"/>
                </w:tcPr>
                <w:p w14:paraId="5E7DC175">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措施</w:t>
                  </w:r>
                </w:p>
              </w:tc>
              <w:tc>
                <w:tcPr>
                  <w:tcW w:w="1106" w:type="dxa"/>
                  <w:tcBorders>
                    <w:tl2br w:val="nil"/>
                    <w:tr2bl w:val="nil"/>
                  </w:tcBorders>
                  <w:noWrap w:val="0"/>
                  <w:vAlign w:val="center"/>
                </w:tcPr>
                <w:p w14:paraId="1E57A9C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污染物名称</w:t>
                  </w:r>
                </w:p>
              </w:tc>
              <w:tc>
                <w:tcPr>
                  <w:tcW w:w="2376" w:type="dxa"/>
                  <w:tcBorders>
                    <w:tl2br w:val="nil"/>
                    <w:tr2bl w:val="nil"/>
                  </w:tcBorders>
                  <w:noWrap w:val="0"/>
                  <w:vAlign w:val="center"/>
                </w:tcPr>
                <w:p w14:paraId="5E956B7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环保要求及验收标准</w:t>
                  </w:r>
                </w:p>
              </w:tc>
            </w:tr>
            <w:tr w14:paraId="38123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627" w:type="dxa"/>
                  <w:tcBorders>
                    <w:tl2br w:val="nil"/>
                    <w:tr2bl w:val="nil"/>
                  </w:tcBorders>
                  <w:noWrap w:val="0"/>
                  <w:vAlign w:val="center"/>
                </w:tcPr>
                <w:p w14:paraId="0391C8D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沉淀、过滤、</w:t>
                  </w:r>
                </w:p>
              </w:tc>
              <w:tc>
                <w:tcPr>
                  <w:tcW w:w="2847" w:type="dxa"/>
                  <w:tcBorders>
                    <w:tl2br w:val="nil"/>
                    <w:tr2bl w:val="nil"/>
                  </w:tcBorders>
                  <w:noWrap w:val="0"/>
                  <w:vAlign w:val="center"/>
                </w:tcPr>
                <w:p w14:paraId="03FEF95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三级水喷淋装置</w:t>
                  </w:r>
                  <w:r>
                    <w:rPr>
                      <w:rFonts w:hint="default" w:ascii="Times New Roman" w:hAnsi="Times New Roman" w:eastAsia="宋体" w:cs="Times New Roman"/>
                      <w:color w:val="auto"/>
                      <w:lang w:val="en-US" w:eastAsia="zh-CN"/>
                    </w:rPr>
                    <w:t>+15m的排气筒排放（DA002）</w:t>
                  </w:r>
                </w:p>
              </w:tc>
              <w:tc>
                <w:tcPr>
                  <w:tcW w:w="1106" w:type="dxa"/>
                  <w:tcBorders>
                    <w:tl2br w:val="nil"/>
                    <w:tr2bl w:val="nil"/>
                  </w:tcBorders>
                  <w:noWrap w:val="0"/>
                  <w:vAlign w:val="center"/>
                </w:tcPr>
                <w:p w14:paraId="79BC42EA">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TVOC</w:t>
                  </w:r>
                </w:p>
              </w:tc>
              <w:tc>
                <w:tcPr>
                  <w:tcW w:w="2376" w:type="dxa"/>
                  <w:vMerge w:val="restart"/>
                  <w:tcBorders>
                    <w:tl2br w:val="nil"/>
                    <w:tr2bl w:val="nil"/>
                  </w:tcBorders>
                  <w:noWrap w:val="0"/>
                  <w:vAlign w:val="center"/>
                </w:tcPr>
                <w:p w14:paraId="27815E0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执行《挥发性有机物综合排放控制标准（试行）》（DB36/2186-2025）（2026年07月01实施）</w:t>
                  </w:r>
                </w:p>
              </w:tc>
            </w:tr>
            <w:tr w14:paraId="0F9FB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627" w:type="dxa"/>
                  <w:vMerge w:val="restart"/>
                  <w:tcBorders>
                    <w:tl2br w:val="nil"/>
                    <w:tr2bl w:val="nil"/>
                  </w:tcBorders>
                  <w:noWrap w:val="0"/>
                  <w:vAlign w:val="center"/>
                </w:tcPr>
                <w:p w14:paraId="3951EFD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冷凝</w:t>
                  </w:r>
                </w:p>
              </w:tc>
              <w:tc>
                <w:tcPr>
                  <w:tcW w:w="2847" w:type="dxa"/>
                  <w:vMerge w:val="restart"/>
                  <w:tcBorders>
                    <w:tl2br w:val="nil"/>
                    <w:tr2bl w:val="nil"/>
                  </w:tcBorders>
                  <w:noWrap w:val="0"/>
                  <w:vAlign w:val="center"/>
                </w:tcPr>
                <w:p w14:paraId="02FFFB55">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布袋除尘器+</w:t>
                  </w:r>
                  <w:r>
                    <w:rPr>
                      <w:rFonts w:hint="eastAsia" w:cs="Times New Roman"/>
                      <w:color w:val="auto"/>
                      <w:lang w:val="en-US" w:eastAsia="zh-CN"/>
                    </w:rPr>
                    <w:t>三级水喷淋装置</w:t>
                  </w:r>
                  <w:r>
                    <w:rPr>
                      <w:rFonts w:hint="default" w:ascii="Times New Roman" w:hAnsi="Times New Roman" w:eastAsia="宋体" w:cs="Times New Roman"/>
                      <w:color w:val="auto"/>
                      <w:lang w:val="en-US" w:eastAsia="zh-CN"/>
                    </w:rPr>
                    <w:t>+15m的排气筒排放（DA002）</w:t>
                  </w:r>
                </w:p>
              </w:tc>
              <w:tc>
                <w:tcPr>
                  <w:tcW w:w="1106" w:type="dxa"/>
                  <w:tcBorders>
                    <w:tl2br w:val="nil"/>
                    <w:tr2bl w:val="nil"/>
                  </w:tcBorders>
                  <w:noWrap w:val="0"/>
                  <w:vAlign w:val="center"/>
                </w:tcPr>
                <w:p w14:paraId="5202793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TVOC</w:t>
                  </w:r>
                </w:p>
              </w:tc>
              <w:tc>
                <w:tcPr>
                  <w:tcW w:w="2376" w:type="dxa"/>
                  <w:vMerge w:val="continue"/>
                  <w:tcBorders>
                    <w:tl2br w:val="nil"/>
                    <w:tr2bl w:val="nil"/>
                  </w:tcBorders>
                  <w:noWrap w:val="0"/>
                  <w:vAlign w:val="center"/>
                </w:tcPr>
                <w:p w14:paraId="497B635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6ACE1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jc w:val="center"/>
              </w:trPr>
              <w:tc>
                <w:tcPr>
                  <w:tcW w:w="1627" w:type="dxa"/>
                  <w:vMerge w:val="continue"/>
                  <w:tcBorders>
                    <w:tl2br w:val="nil"/>
                    <w:tr2bl w:val="nil"/>
                  </w:tcBorders>
                  <w:noWrap w:val="0"/>
                  <w:vAlign w:val="center"/>
                </w:tcPr>
                <w:p w14:paraId="6865678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3A42778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p>
              </w:tc>
              <w:tc>
                <w:tcPr>
                  <w:tcW w:w="1106" w:type="dxa"/>
                  <w:tcBorders>
                    <w:tl2br w:val="nil"/>
                    <w:tr2bl w:val="nil"/>
                  </w:tcBorders>
                  <w:noWrap w:val="0"/>
                  <w:vAlign w:val="center"/>
                </w:tcPr>
                <w:p w14:paraId="061E747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颗粒物</w:t>
                  </w:r>
                </w:p>
              </w:tc>
              <w:tc>
                <w:tcPr>
                  <w:tcW w:w="2376" w:type="dxa"/>
                  <w:vMerge w:val="restart"/>
                  <w:tcBorders>
                    <w:tl2br w:val="nil"/>
                    <w:tr2bl w:val="nil"/>
                  </w:tcBorders>
                  <w:noWrap w:val="0"/>
                  <w:vAlign w:val="center"/>
                </w:tcPr>
                <w:p w14:paraId="061B448F">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《大气污染物综合排放标准》（</w:t>
                  </w:r>
                  <w:r>
                    <w:rPr>
                      <w:rFonts w:hint="default" w:ascii="Times New Roman" w:hAnsi="Times New Roman" w:eastAsia="宋体" w:cs="Times New Roman"/>
                      <w:color w:val="auto"/>
                      <w:lang w:val="en-US" w:eastAsia="zh-CN"/>
                    </w:rPr>
                    <w:t>GB16297-1996</w:t>
                  </w:r>
                  <w:r>
                    <w:rPr>
                      <w:rFonts w:hint="eastAsia" w:ascii="Times New Roman" w:hAnsi="Times New Roman" w:eastAsia="宋体" w:cs="Times New Roman"/>
                      <w:color w:val="auto"/>
                      <w:lang w:val="en-US" w:eastAsia="zh-CN"/>
                    </w:rPr>
                    <w:t>）</w:t>
                  </w:r>
                </w:p>
              </w:tc>
            </w:tr>
            <w:tr w14:paraId="4FDF7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jc w:val="center"/>
              </w:trPr>
              <w:tc>
                <w:tcPr>
                  <w:tcW w:w="1627" w:type="dxa"/>
                  <w:tcBorders>
                    <w:tl2br w:val="nil"/>
                    <w:tr2bl w:val="nil"/>
                  </w:tcBorders>
                  <w:noWrap w:val="0"/>
                  <w:vAlign w:val="center"/>
                </w:tcPr>
                <w:p w14:paraId="3E39C72C">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破碎</w:t>
                  </w:r>
                </w:p>
              </w:tc>
              <w:tc>
                <w:tcPr>
                  <w:tcW w:w="2847" w:type="dxa"/>
                  <w:tcBorders>
                    <w:tl2br w:val="nil"/>
                    <w:tr2bl w:val="nil"/>
                  </w:tcBorders>
                  <w:noWrap w:val="0"/>
                  <w:vAlign w:val="center"/>
                </w:tcPr>
                <w:p w14:paraId="1C08794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布袋除尘器</w:t>
                  </w:r>
                </w:p>
              </w:tc>
              <w:tc>
                <w:tcPr>
                  <w:tcW w:w="1106" w:type="dxa"/>
                  <w:tcBorders>
                    <w:tl2br w:val="nil"/>
                    <w:tr2bl w:val="nil"/>
                  </w:tcBorders>
                  <w:noWrap w:val="0"/>
                  <w:vAlign w:val="center"/>
                </w:tcPr>
                <w:p w14:paraId="3282EA8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颗粒物</w:t>
                  </w:r>
                </w:p>
              </w:tc>
              <w:tc>
                <w:tcPr>
                  <w:tcW w:w="2376" w:type="dxa"/>
                  <w:vMerge w:val="continue"/>
                  <w:tcBorders>
                    <w:tl2br w:val="nil"/>
                    <w:tr2bl w:val="nil"/>
                  </w:tcBorders>
                  <w:noWrap w:val="0"/>
                  <w:vAlign w:val="center"/>
                </w:tcPr>
                <w:p w14:paraId="0CD04E7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7422C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tcBorders>
                    <w:tl2br w:val="nil"/>
                    <w:tr2bl w:val="nil"/>
                  </w:tcBorders>
                  <w:noWrap w:val="0"/>
                  <w:vAlign w:val="center"/>
                </w:tcPr>
                <w:p w14:paraId="201090A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上料</w:t>
                  </w:r>
                </w:p>
              </w:tc>
              <w:tc>
                <w:tcPr>
                  <w:tcW w:w="2847" w:type="dxa"/>
                  <w:tcBorders>
                    <w:tl2br w:val="nil"/>
                    <w:tr2bl w:val="nil"/>
                  </w:tcBorders>
                  <w:noWrap w:val="0"/>
                  <w:vAlign w:val="center"/>
                </w:tcPr>
                <w:p w14:paraId="6BB7C28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布袋除尘器</w:t>
                  </w:r>
                </w:p>
              </w:tc>
              <w:tc>
                <w:tcPr>
                  <w:tcW w:w="1106" w:type="dxa"/>
                  <w:tcBorders>
                    <w:tl2br w:val="nil"/>
                    <w:tr2bl w:val="nil"/>
                  </w:tcBorders>
                  <w:noWrap w:val="0"/>
                  <w:vAlign w:val="center"/>
                </w:tcPr>
                <w:p w14:paraId="0F3B94B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颗粒物</w:t>
                  </w:r>
                </w:p>
              </w:tc>
              <w:tc>
                <w:tcPr>
                  <w:tcW w:w="2376" w:type="dxa"/>
                  <w:vMerge w:val="continue"/>
                  <w:tcBorders>
                    <w:tl2br w:val="nil"/>
                    <w:tr2bl w:val="nil"/>
                  </w:tcBorders>
                  <w:noWrap w:val="0"/>
                  <w:vAlign w:val="center"/>
                </w:tcPr>
                <w:p w14:paraId="06DBC20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009283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restart"/>
                  <w:tcBorders>
                    <w:tl2br w:val="nil"/>
                    <w:tr2bl w:val="nil"/>
                  </w:tcBorders>
                  <w:noWrap w:val="0"/>
                  <w:vAlign w:val="center"/>
                </w:tcPr>
                <w:p w14:paraId="50D5996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锅炉烟气</w:t>
                  </w:r>
                </w:p>
              </w:tc>
              <w:tc>
                <w:tcPr>
                  <w:tcW w:w="2847" w:type="dxa"/>
                  <w:vMerge w:val="restart"/>
                  <w:tcBorders>
                    <w:tl2br w:val="nil"/>
                    <w:tr2bl w:val="nil"/>
                  </w:tcBorders>
                  <w:noWrap w:val="0"/>
                  <w:vAlign w:val="center"/>
                </w:tcPr>
                <w:p w14:paraId="5A487EB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布袋除尘器</w:t>
                  </w:r>
                  <w:r>
                    <w:rPr>
                      <w:rFonts w:hint="default" w:ascii="Times New Roman" w:hAnsi="Times New Roman" w:eastAsia="宋体" w:cs="Times New Roman"/>
                      <w:color w:val="auto"/>
                      <w:lang w:val="en-US" w:eastAsia="zh-CN"/>
                    </w:rPr>
                    <w:t>+</w:t>
                  </w:r>
                  <w:r>
                    <w:rPr>
                      <w:rFonts w:hint="eastAsia" w:cs="Times New Roman"/>
                      <w:color w:val="auto"/>
                      <w:lang w:val="en-US" w:eastAsia="zh-CN"/>
                    </w:rPr>
                    <w:t>40</w:t>
                  </w:r>
                  <w:r>
                    <w:rPr>
                      <w:rFonts w:hint="default" w:ascii="Times New Roman" w:hAnsi="Times New Roman" w:eastAsia="宋体" w:cs="Times New Roman"/>
                      <w:color w:val="auto"/>
                      <w:lang w:val="en-US" w:eastAsia="zh-CN"/>
                    </w:rPr>
                    <w:t>m的排气筒排放（DA00</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w:t>
                  </w:r>
                </w:p>
              </w:tc>
              <w:tc>
                <w:tcPr>
                  <w:tcW w:w="1106" w:type="dxa"/>
                  <w:tcBorders>
                    <w:tl2br w:val="nil"/>
                    <w:tr2bl w:val="nil"/>
                  </w:tcBorders>
                  <w:noWrap w:val="0"/>
                  <w:vAlign w:val="center"/>
                </w:tcPr>
                <w:p w14:paraId="22483CA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颗粒物</w:t>
                  </w:r>
                </w:p>
              </w:tc>
              <w:tc>
                <w:tcPr>
                  <w:tcW w:w="2376" w:type="dxa"/>
                  <w:vMerge w:val="restart"/>
                  <w:tcBorders>
                    <w:tl2br w:val="nil"/>
                    <w:tr2bl w:val="nil"/>
                  </w:tcBorders>
                  <w:noWrap w:val="0"/>
                  <w:vAlign w:val="center"/>
                </w:tcPr>
                <w:p w14:paraId="368F2A5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《锅炉大气污染物排放标准》（</w:t>
                  </w:r>
                  <w:r>
                    <w:rPr>
                      <w:rFonts w:hint="eastAsia" w:ascii="Times New Roman" w:hAnsi="Times New Roman" w:eastAsia="宋体" w:cs="Times New Roman"/>
                      <w:color w:val="auto"/>
                      <w:lang w:val="en-US" w:eastAsia="zh-CN"/>
                    </w:rPr>
                    <w:t>GB13271-2014）</w:t>
                  </w:r>
                </w:p>
              </w:tc>
            </w:tr>
            <w:tr w14:paraId="02856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3F05B83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37192EC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26E5A7C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SO₂</w:t>
                  </w:r>
                </w:p>
              </w:tc>
              <w:tc>
                <w:tcPr>
                  <w:tcW w:w="2376" w:type="dxa"/>
                  <w:vMerge w:val="continue"/>
                  <w:tcBorders>
                    <w:tl2br w:val="nil"/>
                    <w:tr2bl w:val="nil"/>
                  </w:tcBorders>
                  <w:noWrap w:val="0"/>
                  <w:vAlign w:val="center"/>
                </w:tcPr>
                <w:p w14:paraId="4B6127B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5A234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0F84D85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7865CDCB">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43C920C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NOx</w:t>
                  </w:r>
                </w:p>
              </w:tc>
              <w:tc>
                <w:tcPr>
                  <w:tcW w:w="2376" w:type="dxa"/>
                  <w:vMerge w:val="continue"/>
                  <w:tcBorders>
                    <w:tl2br w:val="nil"/>
                    <w:tr2bl w:val="nil"/>
                  </w:tcBorders>
                  <w:noWrap w:val="0"/>
                  <w:vAlign w:val="center"/>
                </w:tcPr>
                <w:p w14:paraId="677ED359">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1034E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restart"/>
                  <w:tcBorders>
                    <w:tl2br w:val="nil"/>
                    <w:tr2bl w:val="nil"/>
                  </w:tcBorders>
                  <w:noWrap w:val="0"/>
                  <w:vAlign w:val="center"/>
                </w:tcPr>
                <w:p w14:paraId="2D830C0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综合废水</w:t>
                  </w:r>
                </w:p>
              </w:tc>
              <w:tc>
                <w:tcPr>
                  <w:tcW w:w="2847" w:type="dxa"/>
                  <w:vMerge w:val="restart"/>
                  <w:tcBorders>
                    <w:tl2br w:val="nil"/>
                    <w:tr2bl w:val="nil"/>
                  </w:tcBorders>
                  <w:noWrap w:val="0"/>
                  <w:vAlign w:val="center"/>
                </w:tcPr>
                <w:p w14:paraId="1D3D886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污水处理站</w:t>
                  </w:r>
                </w:p>
              </w:tc>
              <w:tc>
                <w:tcPr>
                  <w:tcW w:w="1106" w:type="dxa"/>
                  <w:tcBorders>
                    <w:tl2br w:val="nil"/>
                    <w:tr2bl w:val="nil"/>
                  </w:tcBorders>
                  <w:noWrap w:val="0"/>
                  <w:vAlign w:val="center"/>
                </w:tcPr>
                <w:p w14:paraId="39ED598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pH</w:t>
                  </w:r>
                </w:p>
              </w:tc>
              <w:tc>
                <w:tcPr>
                  <w:tcW w:w="2376" w:type="dxa"/>
                  <w:vMerge w:val="restart"/>
                  <w:tcBorders>
                    <w:tl2br w:val="nil"/>
                    <w:tr2bl w:val="nil"/>
                  </w:tcBorders>
                  <w:noWrap w:val="0"/>
                  <w:vAlign w:val="center"/>
                </w:tcPr>
                <w:p w14:paraId="33F5132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《淀粉工业水污染物排放标准》（GB 25461-2010）中表2直接排放标准限值</w:t>
                  </w:r>
                </w:p>
              </w:tc>
            </w:tr>
            <w:tr w14:paraId="5772D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0F8C584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7819A7F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2152282F">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lang w:val="en-US" w:eastAsia="zh-CN"/>
                    </w:rPr>
                    <w:t>cr</w:t>
                  </w:r>
                </w:p>
              </w:tc>
              <w:tc>
                <w:tcPr>
                  <w:tcW w:w="2376" w:type="dxa"/>
                  <w:vMerge w:val="continue"/>
                  <w:tcBorders>
                    <w:tl2br w:val="nil"/>
                    <w:tr2bl w:val="nil"/>
                  </w:tcBorders>
                  <w:noWrap w:val="0"/>
                  <w:vAlign w:val="center"/>
                </w:tcPr>
                <w:p w14:paraId="3D72597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26D4B5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53F90A2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4D1CB33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7F513AB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TN</w:t>
                  </w:r>
                </w:p>
              </w:tc>
              <w:tc>
                <w:tcPr>
                  <w:tcW w:w="2376" w:type="dxa"/>
                  <w:vMerge w:val="continue"/>
                  <w:tcBorders>
                    <w:tl2br w:val="nil"/>
                    <w:tr2bl w:val="nil"/>
                  </w:tcBorders>
                  <w:noWrap w:val="0"/>
                  <w:vAlign w:val="center"/>
                </w:tcPr>
                <w:p w14:paraId="0CAFACD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400FD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2AADCD6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7752837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2BA62311">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TP</w:t>
                  </w:r>
                </w:p>
              </w:tc>
              <w:tc>
                <w:tcPr>
                  <w:tcW w:w="2376" w:type="dxa"/>
                  <w:vMerge w:val="continue"/>
                  <w:tcBorders>
                    <w:tl2br w:val="nil"/>
                    <w:tr2bl w:val="nil"/>
                  </w:tcBorders>
                  <w:noWrap w:val="0"/>
                  <w:vAlign w:val="center"/>
                </w:tcPr>
                <w:p w14:paraId="3825211F">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44C87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5E6FFCEC">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6A972E2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0084ABB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NH</w:t>
                  </w:r>
                  <w:r>
                    <w:rPr>
                      <w:rFonts w:hint="default" w:ascii="Times New Roman" w:hAnsi="Times New Roman" w:eastAsia="宋体" w:cs="Times New Roman"/>
                      <w:color w:val="auto"/>
                      <w:vertAlign w:val="subscript"/>
                      <w:lang w:val="en-US" w:eastAsia="zh-CN"/>
                    </w:rPr>
                    <w:t>3</w:t>
                  </w:r>
                  <w:r>
                    <w:rPr>
                      <w:rFonts w:hint="default" w:ascii="Times New Roman" w:hAnsi="Times New Roman" w:eastAsia="宋体" w:cs="Times New Roman"/>
                      <w:color w:val="auto"/>
                      <w:lang w:val="en-US" w:eastAsia="zh-CN"/>
                    </w:rPr>
                    <w:t>-N</w:t>
                  </w:r>
                </w:p>
              </w:tc>
              <w:tc>
                <w:tcPr>
                  <w:tcW w:w="2376" w:type="dxa"/>
                  <w:vMerge w:val="continue"/>
                  <w:tcBorders>
                    <w:tl2br w:val="nil"/>
                    <w:tr2bl w:val="nil"/>
                  </w:tcBorders>
                  <w:noWrap w:val="0"/>
                  <w:vAlign w:val="center"/>
                </w:tcPr>
                <w:p w14:paraId="5FF47DED">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r>
            <w:tr w14:paraId="55C0F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restart"/>
                  <w:tcBorders>
                    <w:tl2br w:val="nil"/>
                    <w:tr2bl w:val="nil"/>
                  </w:tcBorders>
                  <w:noWrap w:val="0"/>
                  <w:vAlign w:val="center"/>
                </w:tcPr>
                <w:p w14:paraId="376321C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一般固废</w:t>
                  </w:r>
                </w:p>
              </w:tc>
              <w:tc>
                <w:tcPr>
                  <w:tcW w:w="2847" w:type="dxa"/>
                  <w:vMerge w:val="restart"/>
                  <w:tcBorders>
                    <w:tl2br w:val="nil"/>
                    <w:tr2bl w:val="nil"/>
                  </w:tcBorders>
                  <w:noWrap w:val="0"/>
                  <w:vAlign w:val="center"/>
                </w:tcPr>
                <w:p w14:paraId="3E91C7A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一般固废暂存间</w:t>
                  </w:r>
                </w:p>
              </w:tc>
              <w:tc>
                <w:tcPr>
                  <w:tcW w:w="1106" w:type="dxa"/>
                  <w:tcBorders>
                    <w:tl2br w:val="nil"/>
                    <w:tr2bl w:val="nil"/>
                  </w:tcBorders>
                  <w:noWrap w:val="0"/>
                  <w:vAlign w:val="center"/>
                </w:tcPr>
                <w:p w14:paraId="1DA10D1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收集粉尘</w:t>
                  </w:r>
                </w:p>
              </w:tc>
              <w:tc>
                <w:tcPr>
                  <w:tcW w:w="2376" w:type="dxa"/>
                  <w:tcBorders>
                    <w:tl2br w:val="nil"/>
                    <w:tr2bl w:val="nil"/>
                  </w:tcBorders>
                  <w:noWrap w:val="0"/>
                  <w:vAlign w:val="center"/>
                </w:tcPr>
                <w:p w14:paraId="5361036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cs="Times New Roman"/>
                      <w:color w:val="auto"/>
                      <w:lang w:val="en-US" w:eastAsia="zh-CN"/>
                    </w:rPr>
                    <w:t>外售</w:t>
                  </w:r>
                </w:p>
              </w:tc>
            </w:tr>
            <w:tr w14:paraId="06B09E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431A69E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52B6A02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37C8DB1E">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废布袋</w:t>
                  </w:r>
                </w:p>
              </w:tc>
              <w:tc>
                <w:tcPr>
                  <w:tcW w:w="2376" w:type="dxa"/>
                  <w:tcBorders>
                    <w:tl2br w:val="nil"/>
                    <w:tr2bl w:val="nil"/>
                  </w:tcBorders>
                  <w:noWrap w:val="0"/>
                  <w:vAlign w:val="center"/>
                </w:tcPr>
                <w:p w14:paraId="3BE4748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厂家回收</w:t>
                  </w:r>
                </w:p>
              </w:tc>
            </w:tr>
            <w:tr w14:paraId="04563B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00060B3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34B5EB2B">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18AA967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废树脂</w:t>
                  </w:r>
                </w:p>
              </w:tc>
              <w:tc>
                <w:tcPr>
                  <w:tcW w:w="2376" w:type="dxa"/>
                  <w:tcBorders>
                    <w:tl2br w:val="nil"/>
                    <w:tr2bl w:val="nil"/>
                  </w:tcBorders>
                  <w:noWrap w:val="0"/>
                  <w:vAlign w:val="center"/>
                </w:tcPr>
                <w:p w14:paraId="36DDF35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厂家回收</w:t>
                  </w:r>
                </w:p>
              </w:tc>
            </w:tr>
            <w:tr w14:paraId="75191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4FD506FC">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3F5663D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573EBC5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脱色废活性炭</w:t>
                  </w:r>
                </w:p>
              </w:tc>
              <w:tc>
                <w:tcPr>
                  <w:tcW w:w="2376" w:type="dxa"/>
                  <w:tcBorders>
                    <w:tl2br w:val="nil"/>
                    <w:tr2bl w:val="nil"/>
                  </w:tcBorders>
                  <w:noWrap w:val="0"/>
                  <w:vAlign w:val="center"/>
                </w:tcPr>
                <w:p w14:paraId="318B9FC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厂家回收</w:t>
                  </w:r>
                </w:p>
              </w:tc>
            </w:tr>
            <w:tr w14:paraId="6E257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69B0F8E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151F5B3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3080EDDB">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不合格品</w:t>
                  </w:r>
                </w:p>
              </w:tc>
              <w:tc>
                <w:tcPr>
                  <w:tcW w:w="2376" w:type="dxa"/>
                  <w:tcBorders>
                    <w:tl2br w:val="nil"/>
                    <w:tr2bl w:val="nil"/>
                  </w:tcBorders>
                  <w:noWrap w:val="0"/>
                  <w:vAlign w:val="center"/>
                </w:tcPr>
                <w:p w14:paraId="00490BE0">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回用于生产</w:t>
                  </w:r>
                </w:p>
              </w:tc>
            </w:tr>
            <w:tr w14:paraId="28417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314D0F0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2B6B783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250FCA1F">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炉渣</w:t>
                  </w:r>
                </w:p>
              </w:tc>
              <w:tc>
                <w:tcPr>
                  <w:tcW w:w="2376" w:type="dxa"/>
                  <w:tcBorders>
                    <w:tl2br w:val="nil"/>
                    <w:tr2bl w:val="nil"/>
                  </w:tcBorders>
                  <w:noWrap w:val="0"/>
                  <w:vAlign w:val="center"/>
                </w:tcPr>
                <w:p w14:paraId="230B739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外售</w:t>
                  </w:r>
                </w:p>
              </w:tc>
            </w:tr>
            <w:tr w14:paraId="7C395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6869A89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3EF8564B">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2556A6E3">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废包装袋</w:t>
                  </w:r>
                </w:p>
              </w:tc>
              <w:tc>
                <w:tcPr>
                  <w:tcW w:w="2376" w:type="dxa"/>
                  <w:tcBorders>
                    <w:tl2br w:val="nil"/>
                    <w:tr2bl w:val="nil"/>
                  </w:tcBorders>
                  <w:noWrap w:val="0"/>
                  <w:vAlign w:val="center"/>
                </w:tcPr>
                <w:p w14:paraId="4532510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外售</w:t>
                  </w:r>
                </w:p>
              </w:tc>
            </w:tr>
            <w:tr w14:paraId="7110AD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31A2BD2E">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658CF16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771FA322">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cs="Times New Roman"/>
                      <w:color w:val="auto"/>
                      <w:lang w:val="en-US" w:eastAsia="zh-CN"/>
                    </w:rPr>
                    <w:t>污泥</w:t>
                  </w:r>
                </w:p>
              </w:tc>
              <w:tc>
                <w:tcPr>
                  <w:tcW w:w="2376" w:type="dxa"/>
                  <w:tcBorders>
                    <w:tl2br w:val="nil"/>
                    <w:tr2bl w:val="nil"/>
                  </w:tcBorders>
                  <w:noWrap w:val="0"/>
                  <w:vAlign w:val="center"/>
                </w:tcPr>
                <w:p w14:paraId="07B0FAA3">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外售</w:t>
                  </w:r>
                </w:p>
              </w:tc>
            </w:tr>
            <w:tr w14:paraId="5BD03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1075AAB8">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11F25946">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58F66982">
                  <w:pPr>
                    <w:pStyle w:val="61"/>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中碎米其他成分</w:t>
                  </w:r>
                </w:p>
              </w:tc>
              <w:tc>
                <w:tcPr>
                  <w:tcW w:w="2376" w:type="dxa"/>
                  <w:tcBorders>
                    <w:tl2br w:val="nil"/>
                    <w:tr2bl w:val="nil"/>
                  </w:tcBorders>
                  <w:noWrap w:val="0"/>
                  <w:vAlign w:val="center"/>
                </w:tcPr>
                <w:p w14:paraId="6C640434">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外售</w:t>
                  </w:r>
                </w:p>
              </w:tc>
            </w:tr>
            <w:tr w14:paraId="42290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14281AD9">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2847" w:type="dxa"/>
                  <w:vMerge w:val="continue"/>
                  <w:tcBorders>
                    <w:tl2br w:val="nil"/>
                    <w:tr2bl w:val="nil"/>
                  </w:tcBorders>
                  <w:noWrap w:val="0"/>
                  <w:vAlign w:val="center"/>
                </w:tcPr>
                <w:p w14:paraId="55A74E57">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tc>
              <w:tc>
                <w:tcPr>
                  <w:tcW w:w="1106" w:type="dxa"/>
                  <w:tcBorders>
                    <w:tl2br w:val="nil"/>
                    <w:tr2bl w:val="nil"/>
                  </w:tcBorders>
                  <w:noWrap w:val="0"/>
                  <w:vAlign w:val="center"/>
                </w:tcPr>
                <w:p w14:paraId="5803F7C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铁屑</w:t>
                  </w:r>
                </w:p>
              </w:tc>
              <w:tc>
                <w:tcPr>
                  <w:tcW w:w="2376" w:type="dxa"/>
                  <w:tcBorders>
                    <w:tl2br w:val="nil"/>
                    <w:tr2bl w:val="nil"/>
                  </w:tcBorders>
                  <w:noWrap w:val="0"/>
                  <w:vAlign w:val="center"/>
                </w:tcPr>
                <w:p w14:paraId="089FB531">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外售</w:t>
                  </w:r>
                </w:p>
              </w:tc>
            </w:tr>
            <w:tr w14:paraId="06450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restart"/>
                  <w:tcBorders>
                    <w:tl2br w:val="nil"/>
                    <w:tr2bl w:val="nil"/>
                  </w:tcBorders>
                  <w:noWrap w:val="0"/>
                  <w:vAlign w:val="center"/>
                </w:tcPr>
                <w:p w14:paraId="3FDF055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危险废物</w:t>
                  </w:r>
                </w:p>
              </w:tc>
              <w:tc>
                <w:tcPr>
                  <w:tcW w:w="2847" w:type="dxa"/>
                  <w:vMerge w:val="restart"/>
                  <w:tcBorders>
                    <w:tl2br w:val="nil"/>
                    <w:tr2bl w:val="nil"/>
                  </w:tcBorders>
                  <w:noWrap w:val="0"/>
                  <w:vAlign w:val="center"/>
                </w:tcPr>
                <w:p w14:paraId="0B712FB2">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危险废物暂存间</w:t>
                  </w:r>
                </w:p>
              </w:tc>
              <w:tc>
                <w:tcPr>
                  <w:tcW w:w="1106" w:type="dxa"/>
                  <w:tcBorders>
                    <w:tl2br w:val="nil"/>
                    <w:tr2bl w:val="nil"/>
                  </w:tcBorders>
                  <w:noWrap w:val="0"/>
                  <w:vAlign w:val="center"/>
                </w:tcPr>
                <w:p w14:paraId="2B29B036">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废液</w:t>
                  </w:r>
                </w:p>
              </w:tc>
              <w:tc>
                <w:tcPr>
                  <w:tcW w:w="2376" w:type="dxa"/>
                  <w:vMerge w:val="restart"/>
                  <w:tcBorders>
                    <w:tl2br w:val="nil"/>
                    <w:tr2bl w:val="nil"/>
                  </w:tcBorders>
                  <w:noWrap w:val="0"/>
                  <w:vAlign w:val="center"/>
                </w:tcPr>
                <w:p w14:paraId="336E0F8A">
                  <w:pPr>
                    <w:pStyle w:val="61"/>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交</w:t>
                  </w:r>
                  <w:r>
                    <w:rPr>
                      <w:rFonts w:hint="eastAsia" w:cs="Times New Roman"/>
                      <w:color w:val="auto"/>
                      <w:lang w:val="en-US" w:eastAsia="zh-CN"/>
                    </w:rPr>
                    <w:t>由</w:t>
                  </w:r>
                  <w:r>
                    <w:rPr>
                      <w:rFonts w:hint="default" w:ascii="Times New Roman" w:hAnsi="Times New Roman" w:eastAsia="宋体" w:cs="Times New Roman"/>
                      <w:color w:val="auto"/>
                      <w:lang w:val="en-US" w:eastAsia="zh-CN"/>
                    </w:rPr>
                    <w:t>有</w:t>
                  </w:r>
                  <w:r>
                    <w:rPr>
                      <w:rFonts w:hint="eastAsia" w:cs="Times New Roman"/>
                      <w:color w:val="auto"/>
                      <w:lang w:val="en-US" w:eastAsia="zh-CN"/>
                    </w:rPr>
                    <w:t>危险废物</w:t>
                  </w:r>
                  <w:r>
                    <w:rPr>
                      <w:rFonts w:hint="default" w:ascii="Times New Roman" w:hAnsi="Times New Roman" w:eastAsia="宋体" w:cs="Times New Roman"/>
                      <w:color w:val="auto"/>
                      <w:lang w:val="en-US" w:eastAsia="zh-CN"/>
                    </w:rPr>
                    <w:t>处置资质</w:t>
                  </w:r>
                  <w:r>
                    <w:rPr>
                      <w:rFonts w:hint="eastAsia" w:cs="Times New Roman"/>
                      <w:color w:val="auto"/>
                      <w:lang w:val="en-US" w:eastAsia="zh-CN"/>
                    </w:rPr>
                    <w:t>的</w:t>
                  </w:r>
                  <w:r>
                    <w:rPr>
                      <w:rFonts w:hint="default" w:ascii="Times New Roman" w:hAnsi="Times New Roman" w:eastAsia="宋体" w:cs="Times New Roman"/>
                      <w:color w:val="auto"/>
                      <w:lang w:val="en-US" w:eastAsia="zh-CN"/>
                    </w:rPr>
                    <w:t>单位处置</w:t>
                  </w:r>
                </w:p>
              </w:tc>
            </w:tr>
            <w:tr w14:paraId="40B1C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1627" w:type="dxa"/>
                  <w:vMerge w:val="continue"/>
                  <w:tcBorders>
                    <w:tl2br w:val="nil"/>
                    <w:tr2bl w:val="nil"/>
                  </w:tcBorders>
                  <w:noWrap w:val="0"/>
                  <w:vAlign w:val="center"/>
                </w:tcPr>
                <w:p w14:paraId="3BF08C69">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4"/>
                      <w:szCs w:val="24"/>
                      <w:lang w:val="en-US" w:eastAsia="zh-CN"/>
                    </w:rPr>
                  </w:pPr>
                </w:p>
              </w:tc>
              <w:tc>
                <w:tcPr>
                  <w:tcW w:w="2847" w:type="dxa"/>
                  <w:vMerge w:val="continue"/>
                  <w:tcBorders>
                    <w:tl2br w:val="nil"/>
                    <w:tr2bl w:val="nil"/>
                  </w:tcBorders>
                  <w:noWrap w:val="0"/>
                  <w:vAlign w:val="center"/>
                </w:tcPr>
                <w:p w14:paraId="62F782D0">
                  <w:pPr>
                    <w:pStyle w:val="61"/>
                    <w:keepNext w:val="0"/>
                    <w:keepLines w:val="0"/>
                    <w:suppressLineNumbers w:val="0"/>
                    <w:bidi w:val="0"/>
                    <w:spacing w:before="0" w:beforeAutospacing="0" w:after="0" w:afterAutospacing="0"/>
                    <w:ind w:left="0" w:right="0"/>
                    <w:rPr>
                      <w:rFonts w:hint="eastAsia"/>
                      <w:color w:val="auto"/>
                      <w:lang w:val="en-US" w:eastAsia="zh-CN"/>
                    </w:rPr>
                  </w:pPr>
                </w:p>
              </w:tc>
              <w:tc>
                <w:tcPr>
                  <w:tcW w:w="1106" w:type="dxa"/>
                  <w:tcBorders>
                    <w:tl2br w:val="nil"/>
                    <w:tr2bl w:val="nil"/>
                  </w:tcBorders>
                  <w:noWrap w:val="0"/>
                  <w:vAlign w:val="center"/>
                </w:tcPr>
                <w:p w14:paraId="1792994D">
                  <w:pPr>
                    <w:pStyle w:val="133"/>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ascii="Times New Roman" w:hAnsi="Times New Roman" w:cs="Times New Roman"/>
                      <w:color w:val="auto"/>
                      <w:sz w:val="21"/>
                      <w:szCs w:val="21"/>
                      <w:lang w:eastAsia="zh-CN"/>
                    </w:rPr>
                    <w:t>实验室废液</w:t>
                  </w:r>
                </w:p>
              </w:tc>
              <w:tc>
                <w:tcPr>
                  <w:tcW w:w="2376" w:type="dxa"/>
                  <w:vMerge w:val="continue"/>
                  <w:tcBorders>
                    <w:tl2br w:val="nil"/>
                    <w:tr2bl w:val="nil"/>
                  </w:tcBorders>
                  <w:noWrap w:val="0"/>
                  <w:vAlign w:val="center"/>
                </w:tcPr>
                <w:p w14:paraId="2AB9162A">
                  <w:pPr>
                    <w:pStyle w:val="61"/>
                    <w:keepNext w:val="0"/>
                    <w:keepLines w:val="0"/>
                    <w:suppressLineNumbers w:val="0"/>
                    <w:bidi w:val="0"/>
                    <w:spacing w:before="0" w:beforeAutospacing="0" w:after="0" w:afterAutospacing="0"/>
                    <w:ind w:left="0" w:right="0"/>
                    <w:rPr>
                      <w:rFonts w:hint="eastAsia"/>
                      <w:color w:val="auto"/>
                      <w:lang w:val="en-US" w:eastAsia="zh-CN"/>
                    </w:rPr>
                  </w:pPr>
                </w:p>
              </w:tc>
            </w:tr>
            <w:tr w14:paraId="0F0A2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627" w:type="dxa"/>
                  <w:vMerge w:val="continue"/>
                  <w:tcBorders>
                    <w:tl2br w:val="nil"/>
                    <w:tr2bl w:val="nil"/>
                  </w:tcBorders>
                  <w:noWrap w:val="0"/>
                  <w:vAlign w:val="center"/>
                </w:tcPr>
                <w:p w14:paraId="62B213CA">
                  <w:pPr>
                    <w:pStyle w:val="61"/>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4"/>
                      <w:szCs w:val="24"/>
                      <w:lang w:val="en-US" w:eastAsia="zh-CN"/>
                    </w:rPr>
                  </w:pPr>
                </w:p>
              </w:tc>
              <w:tc>
                <w:tcPr>
                  <w:tcW w:w="2847" w:type="dxa"/>
                  <w:vMerge w:val="continue"/>
                  <w:tcBorders>
                    <w:tl2br w:val="nil"/>
                    <w:tr2bl w:val="nil"/>
                  </w:tcBorders>
                  <w:noWrap w:val="0"/>
                  <w:vAlign w:val="center"/>
                </w:tcPr>
                <w:p w14:paraId="2AEB8D36">
                  <w:pPr>
                    <w:pStyle w:val="61"/>
                    <w:keepNext w:val="0"/>
                    <w:keepLines w:val="0"/>
                    <w:suppressLineNumbers w:val="0"/>
                    <w:bidi w:val="0"/>
                    <w:spacing w:before="0" w:beforeAutospacing="0" w:after="0" w:afterAutospacing="0"/>
                    <w:ind w:left="0" w:right="0"/>
                    <w:rPr>
                      <w:rFonts w:hint="eastAsia"/>
                      <w:color w:val="auto"/>
                      <w:lang w:val="en-US" w:eastAsia="zh-CN"/>
                    </w:rPr>
                  </w:pPr>
                </w:p>
              </w:tc>
              <w:tc>
                <w:tcPr>
                  <w:tcW w:w="1106" w:type="dxa"/>
                  <w:tcBorders>
                    <w:tl2br w:val="nil"/>
                    <w:tr2bl w:val="nil"/>
                  </w:tcBorders>
                  <w:noWrap w:val="0"/>
                  <w:vAlign w:val="center"/>
                </w:tcPr>
                <w:p w14:paraId="75C83E48">
                  <w:pPr>
                    <w:pStyle w:val="61"/>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ascii="Times New Roman" w:hAnsi="Times New Roman" w:cs="Times New Roman"/>
                      <w:color w:val="auto"/>
                      <w:sz w:val="21"/>
                      <w:szCs w:val="21"/>
                      <w:lang w:eastAsia="zh-CN"/>
                    </w:rPr>
                    <w:t>实验室废试剂空瓶</w:t>
                  </w:r>
                </w:p>
              </w:tc>
              <w:tc>
                <w:tcPr>
                  <w:tcW w:w="2376" w:type="dxa"/>
                  <w:vMerge w:val="continue"/>
                  <w:tcBorders>
                    <w:tl2br w:val="nil"/>
                    <w:tr2bl w:val="nil"/>
                  </w:tcBorders>
                  <w:noWrap w:val="0"/>
                  <w:vAlign w:val="center"/>
                </w:tcPr>
                <w:p w14:paraId="24697589">
                  <w:pPr>
                    <w:pStyle w:val="61"/>
                    <w:keepNext w:val="0"/>
                    <w:keepLines w:val="0"/>
                    <w:suppressLineNumbers w:val="0"/>
                    <w:bidi w:val="0"/>
                    <w:spacing w:before="0" w:beforeAutospacing="0" w:after="0" w:afterAutospacing="0"/>
                    <w:ind w:left="0" w:right="0"/>
                    <w:rPr>
                      <w:rFonts w:hint="eastAsia"/>
                      <w:color w:val="auto"/>
                      <w:lang w:val="en-US" w:eastAsia="zh-CN"/>
                    </w:rPr>
                  </w:pPr>
                </w:p>
              </w:tc>
            </w:tr>
          </w:tbl>
          <w:p w14:paraId="223D712A">
            <w:pPr>
              <w:keepNext w:val="0"/>
              <w:keepLines w:val="0"/>
              <w:suppressLineNumbers w:val="0"/>
              <w:spacing w:before="0" w:beforeAutospacing="0" w:after="0" w:afterAutospacing="0"/>
              <w:ind w:left="0" w:right="0"/>
              <w:rPr>
                <w:rFonts w:hint="eastAsia" w:cs="Times New Roman"/>
                <w:color w:val="auto"/>
                <w:sz w:val="24"/>
                <w:szCs w:val="24"/>
                <w:lang w:eastAsia="zh-CN"/>
              </w:rPr>
            </w:pPr>
          </w:p>
          <w:p w14:paraId="27E9810E">
            <w:pPr>
              <w:keepNext w:val="0"/>
              <w:keepLines w:val="0"/>
              <w:suppressLineNumbers w:val="0"/>
              <w:spacing w:before="0" w:beforeAutospacing="0" w:after="0" w:afterAutospacing="0"/>
              <w:ind w:left="0" w:right="0"/>
              <w:rPr>
                <w:rFonts w:hint="eastAsia" w:cs="Times New Roman"/>
                <w:color w:val="auto"/>
                <w:sz w:val="24"/>
                <w:szCs w:val="24"/>
                <w:lang w:eastAsia="zh-CN"/>
              </w:rPr>
            </w:pPr>
          </w:p>
          <w:p w14:paraId="496499B9">
            <w:pPr>
              <w:keepNext w:val="0"/>
              <w:keepLines w:val="0"/>
              <w:suppressLineNumbers w:val="0"/>
              <w:spacing w:before="0" w:beforeAutospacing="0" w:after="0" w:afterAutospacing="0"/>
              <w:ind w:left="0" w:leftChars="0" w:right="0" w:firstLine="0" w:firstLineChars="0"/>
              <w:rPr>
                <w:rFonts w:hint="eastAsia" w:cs="Times New Roman"/>
                <w:color w:val="auto"/>
                <w:sz w:val="24"/>
                <w:szCs w:val="24"/>
                <w:lang w:eastAsia="zh-CN"/>
              </w:rPr>
            </w:pPr>
          </w:p>
        </w:tc>
      </w:tr>
    </w:tbl>
    <w:p w14:paraId="396D2C05">
      <w:pPr>
        <w:pStyle w:val="25"/>
        <w:jc w:val="center"/>
        <w:outlineLvl w:val="0"/>
        <w:rPr>
          <w:rFonts w:ascii="黑体" w:hAnsi="黑体" w:eastAsia="黑体"/>
          <w:snapToGrid w:val="0"/>
          <w:color w:val="auto"/>
          <w:sz w:val="30"/>
          <w:szCs w:val="30"/>
        </w:rPr>
        <w:sectPr>
          <w:footerReference r:id="rId6" w:type="default"/>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0BCC45F8">
      <w:pPr>
        <w:pStyle w:val="25"/>
        <w:jc w:val="center"/>
        <w:outlineLvl w:val="0"/>
        <w:rPr>
          <w:rFonts w:ascii="黑体" w:hAnsi="黑体" w:eastAsia="黑体"/>
          <w:snapToGrid w:val="0"/>
          <w:color w:val="auto"/>
          <w:sz w:val="30"/>
          <w:szCs w:val="30"/>
        </w:rPr>
      </w:pPr>
      <w:bookmarkStart w:id="37" w:name="_Toc9129"/>
      <w:r>
        <w:rPr>
          <w:rFonts w:hint="eastAsia" w:ascii="黑体" w:hAnsi="黑体" w:eastAsia="黑体"/>
          <w:snapToGrid w:val="0"/>
          <w:color w:val="auto"/>
          <w:sz w:val="30"/>
          <w:szCs w:val="30"/>
        </w:rPr>
        <w:t>六、结论</w:t>
      </w:r>
      <w:bookmarkEnd w:id="37"/>
    </w:p>
    <w:tbl>
      <w:tblPr>
        <w:tblStyle w:val="29"/>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522"/>
      </w:tblGrid>
      <w:tr w14:paraId="3B91ED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91" w:hRule="atLeast"/>
          <w:jc w:val="center"/>
        </w:trPr>
        <w:tc>
          <w:tcPr>
            <w:tcW w:w="5000" w:type="pct"/>
            <w:noWrap w:val="0"/>
            <w:vAlign w:val="top"/>
          </w:tcPr>
          <w:p w14:paraId="3BD4FAF7">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17E90718">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6F6628F3">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4459845A">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r>
              <w:rPr>
                <w:rFonts w:hint="eastAsia" w:ascii="宋体" w:cs="宋体"/>
                <w:color w:val="auto"/>
                <w:sz w:val="24"/>
              </w:rPr>
              <w:t>综上所述</w:t>
            </w:r>
            <w:r>
              <w:rPr>
                <w:rFonts w:hint="eastAsia" w:ascii="宋体" w:cs="宋体"/>
                <w:color w:val="auto"/>
                <w:sz w:val="24"/>
                <w:lang w:eastAsia="zh-CN"/>
              </w:rPr>
              <w:t>，</w:t>
            </w:r>
            <w:r>
              <w:rPr>
                <w:rFonts w:hint="eastAsia" w:ascii="宋体" w:cs="宋体"/>
                <w:color w:val="auto"/>
                <w:sz w:val="24"/>
              </w:rPr>
              <w:t>建设单位只要落实好本环评提出的污染治理措施</w:t>
            </w:r>
            <w:r>
              <w:rPr>
                <w:rFonts w:hint="eastAsia" w:ascii="宋体" w:cs="宋体"/>
                <w:color w:val="auto"/>
                <w:sz w:val="24"/>
                <w:lang w:eastAsia="zh-CN"/>
              </w:rPr>
              <w:t>，</w:t>
            </w:r>
            <w:r>
              <w:rPr>
                <w:rFonts w:hint="eastAsia" w:ascii="宋体" w:cs="宋体"/>
                <w:color w:val="auto"/>
                <w:sz w:val="24"/>
              </w:rPr>
              <w:t>严格管理</w:t>
            </w:r>
            <w:r>
              <w:rPr>
                <w:rFonts w:hint="eastAsia" w:ascii="宋体" w:cs="宋体"/>
                <w:color w:val="auto"/>
                <w:sz w:val="24"/>
                <w:lang w:eastAsia="zh-CN"/>
              </w:rPr>
              <w:t>，</w:t>
            </w:r>
            <w:r>
              <w:rPr>
                <w:rFonts w:hint="eastAsia" w:ascii="宋体" w:cs="宋体"/>
                <w:color w:val="auto"/>
                <w:sz w:val="24"/>
              </w:rPr>
              <w:t>从环保角度分析</w:t>
            </w:r>
            <w:r>
              <w:rPr>
                <w:rFonts w:hint="eastAsia" w:ascii="宋体" w:cs="宋体"/>
                <w:color w:val="auto"/>
                <w:sz w:val="24"/>
                <w:lang w:eastAsia="zh-CN"/>
              </w:rPr>
              <w:t>，</w:t>
            </w:r>
            <w:r>
              <w:rPr>
                <w:rFonts w:hint="eastAsia" w:ascii="宋体" w:cs="宋体"/>
                <w:color w:val="auto"/>
                <w:sz w:val="24"/>
              </w:rPr>
              <w:t>该项目建设可行。</w:t>
            </w:r>
          </w:p>
          <w:p w14:paraId="63969B7A">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420B7F20">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5C650D89">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6A4794FE">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2C8A8B89">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054D8DD1">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18DC6E39">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4893EA3C">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62D2BC71">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tc>
      </w:tr>
    </w:tbl>
    <w:p w14:paraId="0A2EDAD9">
      <w:pPr>
        <w:pStyle w:val="82"/>
        <w:rPr>
          <w:color w:val="auto"/>
        </w:rPr>
        <w:sectPr>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0C66F9C2">
      <w:pPr>
        <w:pStyle w:val="25"/>
        <w:adjustRightInd w:val="0"/>
        <w:snapToGrid w:val="0"/>
        <w:spacing w:before="0" w:beforeAutospacing="0" w:after="0" w:afterAutospacing="0" w:line="240" w:lineRule="auto"/>
        <w:jc w:val="left"/>
        <w:outlineLvl w:val="0"/>
        <w:rPr>
          <w:rFonts w:hint="eastAsia" w:ascii="方正小标宋_GBK" w:hAnsi="黑体" w:eastAsia="方正小标宋_GBK"/>
          <w:snapToGrid w:val="0"/>
          <w:color w:val="auto"/>
          <w:sz w:val="38"/>
          <w:szCs w:val="38"/>
          <w:lang w:eastAsia="zh-CN"/>
        </w:rPr>
      </w:pPr>
      <w:bookmarkStart w:id="38" w:name="_Toc29469"/>
      <w:bookmarkStart w:id="39" w:name="_Toc23106"/>
      <w:bookmarkStart w:id="40" w:name="_Toc27372"/>
      <w:bookmarkStart w:id="41" w:name="_Toc23288"/>
      <w:bookmarkStart w:id="42" w:name="_Toc9367"/>
      <w:r>
        <w:rPr>
          <w:rFonts w:hint="eastAsia" w:ascii="方正小标宋_GBK" w:hAnsi="黑体" w:eastAsia="方正小标宋_GBK"/>
          <w:snapToGrid w:val="0"/>
          <w:color w:val="auto"/>
          <w:sz w:val="38"/>
          <w:szCs w:val="38"/>
          <w:lang w:eastAsia="zh-CN"/>
        </w:rPr>
        <w:t>附表</w:t>
      </w:r>
      <w:bookmarkEnd w:id="38"/>
    </w:p>
    <w:p w14:paraId="7DD6C744">
      <w:pPr>
        <w:pStyle w:val="25"/>
        <w:adjustRightInd w:val="0"/>
        <w:snapToGrid w:val="0"/>
        <w:spacing w:before="0" w:beforeAutospacing="0" w:after="0" w:afterAutospacing="0" w:line="240" w:lineRule="auto"/>
        <w:jc w:val="center"/>
        <w:outlineLvl w:val="0"/>
        <w:rPr>
          <w:rFonts w:hint="default" w:ascii="Times New Roman" w:hAnsi="Times New Roman" w:eastAsia="宋体" w:cs="Times New Roman"/>
          <w:snapToGrid w:val="0"/>
          <w:color w:val="auto"/>
          <w:sz w:val="38"/>
          <w:szCs w:val="38"/>
          <w:lang w:val="en-US" w:eastAsia="zh-CN"/>
        </w:rPr>
      </w:pPr>
      <w:bookmarkStart w:id="43" w:name="_Toc14200"/>
      <w:r>
        <w:rPr>
          <w:rFonts w:hint="default" w:ascii="Times New Roman" w:hAnsi="Times New Roman" w:eastAsia="宋体" w:cs="Times New Roman"/>
          <w:snapToGrid w:val="0"/>
          <w:color w:val="auto"/>
          <w:sz w:val="38"/>
          <w:szCs w:val="38"/>
        </w:rPr>
        <w:t>建设项目污染物排放量汇总表</w:t>
      </w:r>
      <w:bookmarkEnd w:id="39"/>
      <w:bookmarkEnd w:id="40"/>
      <w:bookmarkEnd w:id="41"/>
      <w:bookmarkEnd w:id="42"/>
      <w:r>
        <w:rPr>
          <w:rFonts w:hint="default" w:ascii="Times New Roman" w:hAnsi="Times New Roman" w:eastAsia="宋体" w:cs="Times New Roman"/>
          <w:snapToGrid w:val="0"/>
          <w:color w:val="auto"/>
          <w:sz w:val="38"/>
          <w:szCs w:val="38"/>
          <w:lang w:eastAsia="zh-CN"/>
        </w:rPr>
        <w:t>（</w:t>
      </w:r>
      <w:r>
        <w:rPr>
          <w:rFonts w:hint="default" w:ascii="Times New Roman" w:hAnsi="Times New Roman" w:eastAsia="宋体" w:cs="Times New Roman"/>
          <w:snapToGrid w:val="0"/>
          <w:color w:val="auto"/>
          <w:sz w:val="38"/>
          <w:szCs w:val="38"/>
          <w:lang w:val="en-US" w:eastAsia="zh-CN"/>
        </w:rPr>
        <w:t>t/a）</w:t>
      </w:r>
      <w:bookmarkEnd w:id="43"/>
    </w:p>
    <w:tbl>
      <w:tblPr>
        <w:tblStyle w:val="29"/>
        <w:tblW w:w="1395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1502"/>
        <w:gridCol w:w="1903"/>
        <w:gridCol w:w="1320"/>
        <w:gridCol w:w="1714"/>
        <w:gridCol w:w="1595"/>
        <w:gridCol w:w="1871"/>
        <w:gridCol w:w="1756"/>
        <w:gridCol w:w="1063"/>
      </w:tblGrid>
      <w:tr w14:paraId="2C9D9D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tcBorders>
              <w:tl2br w:val="single" w:color="auto" w:sz="4" w:space="0"/>
            </w:tcBorders>
            <w:noWrap w:val="0"/>
            <w:tcMar>
              <w:left w:w="28" w:type="dxa"/>
              <w:right w:w="28" w:type="dxa"/>
            </w:tcMar>
            <w:vAlign w:val="center"/>
          </w:tcPr>
          <w:p w14:paraId="67E28266">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 xml:space="preserve">      </w:t>
            </w:r>
            <w:r>
              <w:rPr>
                <w:rFonts w:hint="default" w:cs="Times New Roman"/>
                <w:color w:val="auto"/>
              </w:rPr>
              <w:t>项目</w:t>
            </w:r>
          </w:p>
          <w:p w14:paraId="55C6D600">
            <w:pPr>
              <w:pStyle w:val="61"/>
              <w:keepNext w:val="0"/>
              <w:keepLines w:val="0"/>
              <w:suppressLineNumbers w:val="0"/>
              <w:bidi w:val="0"/>
              <w:spacing w:before="0" w:beforeAutospacing="0" w:after="0" w:afterAutospacing="0"/>
              <w:ind w:left="0" w:right="0"/>
              <w:jc w:val="both"/>
              <w:rPr>
                <w:rFonts w:hint="default" w:cs="Times New Roman"/>
                <w:color w:val="auto"/>
              </w:rPr>
            </w:pPr>
            <w:r>
              <w:rPr>
                <w:rFonts w:hint="default" w:cs="Times New Roman"/>
                <w:color w:val="auto"/>
              </w:rPr>
              <w:t>分类</w:t>
            </w:r>
          </w:p>
        </w:tc>
        <w:tc>
          <w:tcPr>
            <w:tcW w:w="1502" w:type="dxa"/>
            <w:noWrap w:val="0"/>
            <w:tcMar>
              <w:left w:w="28" w:type="dxa"/>
              <w:right w:w="28" w:type="dxa"/>
            </w:tcMar>
            <w:vAlign w:val="center"/>
          </w:tcPr>
          <w:p w14:paraId="6293A7B9">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污染物名称</w:t>
            </w:r>
          </w:p>
        </w:tc>
        <w:tc>
          <w:tcPr>
            <w:tcW w:w="1903" w:type="dxa"/>
            <w:noWrap w:val="0"/>
            <w:tcMar>
              <w:left w:w="28" w:type="dxa"/>
              <w:right w:w="28" w:type="dxa"/>
            </w:tcMar>
            <w:vAlign w:val="center"/>
          </w:tcPr>
          <w:p w14:paraId="24711FBF">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eastAsia="zh-CN"/>
              </w:rPr>
              <w:t>现有项目</w:t>
            </w:r>
          </w:p>
          <w:p w14:paraId="0D4B5D16">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1 \* GB3 \* MERGEFORMAT </w:instrText>
            </w:r>
            <w:r>
              <w:rPr>
                <w:rFonts w:hint="default" w:cs="Times New Roman"/>
                <w:color w:val="auto"/>
              </w:rPr>
              <w:fldChar w:fldCharType="separate"/>
            </w:r>
            <w:r>
              <w:rPr>
                <w:rFonts w:hint="default" w:cs="Times New Roman"/>
                <w:color w:val="auto"/>
              </w:rPr>
              <w:t>①</w:t>
            </w:r>
            <w:r>
              <w:rPr>
                <w:rFonts w:hint="default" w:cs="Times New Roman"/>
                <w:color w:val="auto"/>
              </w:rPr>
              <w:fldChar w:fldCharType="end"/>
            </w:r>
          </w:p>
        </w:tc>
        <w:tc>
          <w:tcPr>
            <w:tcW w:w="1320" w:type="dxa"/>
            <w:noWrap w:val="0"/>
            <w:tcMar>
              <w:left w:w="28" w:type="dxa"/>
              <w:right w:w="28" w:type="dxa"/>
            </w:tcMar>
            <w:vAlign w:val="center"/>
          </w:tcPr>
          <w:p w14:paraId="62869BAB">
            <w:pPr>
              <w:pStyle w:val="61"/>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eastAsia="zh-CN"/>
              </w:rPr>
              <w:t>现有项目</w:t>
            </w:r>
          </w:p>
          <w:p w14:paraId="72754587">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许可排放量</w:t>
            </w:r>
          </w:p>
          <w:p w14:paraId="03288AF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fldChar w:fldCharType="begin"/>
            </w:r>
            <w:r>
              <w:rPr>
                <w:rFonts w:hint="default" w:cs="Times New Roman"/>
                <w:color w:val="auto"/>
              </w:rPr>
              <w:instrText xml:space="preserve"> = 2 \* GB3 \* MERGEFORMAT </w:instrText>
            </w:r>
            <w:r>
              <w:rPr>
                <w:rFonts w:hint="default" w:cs="Times New Roman"/>
                <w:color w:val="auto"/>
              </w:rPr>
              <w:fldChar w:fldCharType="separate"/>
            </w:r>
            <w:r>
              <w:rPr>
                <w:rFonts w:hint="default" w:cs="Times New Roman"/>
                <w:color w:val="auto"/>
              </w:rPr>
              <w:t>②</w:t>
            </w:r>
            <w:r>
              <w:rPr>
                <w:rFonts w:hint="default" w:cs="Times New Roman"/>
                <w:color w:val="auto"/>
              </w:rPr>
              <w:fldChar w:fldCharType="end"/>
            </w:r>
          </w:p>
        </w:tc>
        <w:tc>
          <w:tcPr>
            <w:tcW w:w="1714" w:type="dxa"/>
            <w:noWrap w:val="0"/>
            <w:tcMar>
              <w:left w:w="28" w:type="dxa"/>
              <w:right w:w="28" w:type="dxa"/>
            </w:tcMar>
            <w:vAlign w:val="center"/>
          </w:tcPr>
          <w:p w14:paraId="3FFB206C">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在建工程</w:t>
            </w:r>
          </w:p>
          <w:p w14:paraId="116CD121">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3 \* GB3 \* MERGEFORMAT </w:instrText>
            </w:r>
            <w:r>
              <w:rPr>
                <w:rFonts w:hint="default" w:cs="Times New Roman"/>
                <w:color w:val="auto"/>
              </w:rPr>
              <w:fldChar w:fldCharType="separate"/>
            </w:r>
            <w:r>
              <w:rPr>
                <w:rFonts w:hint="default" w:cs="Times New Roman"/>
                <w:color w:val="auto"/>
              </w:rPr>
              <w:t>③</w:t>
            </w:r>
            <w:r>
              <w:rPr>
                <w:rFonts w:hint="default" w:cs="Times New Roman"/>
                <w:color w:val="auto"/>
              </w:rPr>
              <w:fldChar w:fldCharType="end"/>
            </w:r>
          </w:p>
        </w:tc>
        <w:tc>
          <w:tcPr>
            <w:tcW w:w="1595" w:type="dxa"/>
            <w:noWrap w:val="0"/>
            <w:tcMar>
              <w:left w:w="28" w:type="dxa"/>
              <w:right w:w="28" w:type="dxa"/>
            </w:tcMar>
            <w:vAlign w:val="center"/>
          </w:tcPr>
          <w:p w14:paraId="62BD1219">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本项目</w:t>
            </w:r>
          </w:p>
          <w:p w14:paraId="4BED593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4 \* GB3 \* MERGEFORMAT </w:instrText>
            </w:r>
            <w:r>
              <w:rPr>
                <w:rFonts w:hint="default" w:cs="Times New Roman"/>
                <w:color w:val="auto"/>
              </w:rPr>
              <w:fldChar w:fldCharType="separate"/>
            </w:r>
            <w:r>
              <w:rPr>
                <w:rFonts w:hint="default" w:cs="Times New Roman"/>
                <w:color w:val="auto"/>
              </w:rPr>
              <w:t>④</w:t>
            </w:r>
            <w:r>
              <w:rPr>
                <w:rFonts w:hint="default" w:cs="Times New Roman"/>
                <w:color w:val="auto"/>
              </w:rPr>
              <w:fldChar w:fldCharType="end"/>
            </w:r>
          </w:p>
        </w:tc>
        <w:tc>
          <w:tcPr>
            <w:tcW w:w="1871" w:type="dxa"/>
            <w:noWrap w:val="0"/>
            <w:tcMar>
              <w:left w:w="28" w:type="dxa"/>
              <w:right w:w="28" w:type="dxa"/>
            </w:tcMar>
            <w:vAlign w:val="center"/>
          </w:tcPr>
          <w:p w14:paraId="7E802255">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以新带老削减量</w:t>
            </w:r>
          </w:p>
          <w:p w14:paraId="0D8786B2">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（新建项目不填）</w:t>
            </w:r>
            <w:r>
              <w:rPr>
                <w:rFonts w:hint="default" w:cs="Times New Roman"/>
                <w:color w:val="auto"/>
              </w:rPr>
              <w:fldChar w:fldCharType="begin"/>
            </w:r>
            <w:r>
              <w:rPr>
                <w:rFonts w:hint="default" w:cs="Times New Roman"/>
                <w:color w:val="auto"/>
              </w:rPr>
              <w:instrText xml:space="preserve"> = 5 \* GB3 \* MERGEFORMAT </w:instrText>
            </w:r>
            <w:r>
              <w:rPr>
                <w:rFonts w:hint="default" w:cs="Times New Roman"/>
                <w:color w:val="auto"/>
              </w:rPr>
              <w:fldChar w:fldCharType="separate"/>
            </w:r>
            <w:r>
              <w:rPr>
                <w:rFonts w:hint="default" w:cs="Times New Roman"/>
                <w:color w:val="auto"/>
              </w:rPr>
              <w:t>⑤</w:t>
            </w:r>
            <w:r>
              <w:rPr>
                <w:rFonts w:hint="default" w:cs="Times New Roman"/>
                <w:color w:val="auto"/>
              </w:rPr>
              <w:fldChar w:fldCharType="end"/>
            </w:r>
          </w:p>
        </w:tc>
        <w:tc>
          <w:tcPr>
            <w:tcW w:w="1756" w:type="dxa"/>
            <w:noWrap w:val="0"/>
            <w:tcMar>
              <w:left w:w="28" w:type="dxa"/>
              <w:right w:w="28" w:type="dxa"/>
            </w:tcMar>
            <w:vAlign w:val="center"/>
          </w:tcPr>
          <w:p w14:paraId="54029B2F">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本项目建成后</w:t>
            </w:r>
          </w:p>
          <w:p w14:paraId="40A7EA17">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全厂排放量（固体废物产生量）</w:t>
            </w:r>
            <w:r>
              <w:rPr>
                <w:rFonts w:hint="default" w:cs="Times New Roman"/>
                <w:color w:val="auto"/>
              </w:rPr>
              <w:fldChar w:fldCharType="begin"/>
            </w:r>
            <w:r>
              <w:rPr>
                <w:rFonts w:hint="default" w:cs="Times New Roman"/>
                <w:color w:val="auto"/>
              </w:rPr>
              <w:instrText xml:space="preserve"> = 6 \* GB3 \* MERGEFORMAT </w:instrText>
            </w:r>
            <w:r>
              <w:rPr>
                <w:rFonts w:hint="default" w:cs="Times New Roman"/>
                <w:color w:val="auto"/>
              </w:rPr>
              <w:fldChar w:fldCharType="separate"/>
            </w:r>
            <w:r>
              <w:rPr>
                <w:rFonts w:hint="default" w:cs="Times New Roman"/>
                <w:color w:val="auto"/>
              </w:rPr>
              <w:t>⑥</w:t>
            </w:r>
            <w:r>
              <w:rPr>
                <w:rFonts w:hint="default" w:cs="Times New Roman"/>
                <w:color w:val="auto"/>
              </w:rPr>
              <w:fldChar w:fldCharType="end"/>
            </w:r>
          </w:p>
        </w:tc>
        <w:tc>
          <w:tcPr>
            <w:tcW w:w="1063" w:type="dxa"/>
            <w:noWrap w:val="0"/>
            <w:tcMar>
              <w:left w:w="28" w:type="dxa"/>
              <w:right w:w="28" w:type="dxa"/>
            </w:tcMar>
            <w:vAlign w:val="center"/>
          </w:tcPr>
          <w:p w14:paraId="7D0F3048">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变化量</w:t>
            </w:r>
          </w:p>
          <w:p w14:paraId="53A0A124">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fldChar w:fldCharType="begin"/>
            </w:r>
            <w:r>
              <w:rPr>
                <w:rFonts w:hint="default" w:cs="Times New Roman"/>
                <w:color w:val="auto"/>
              </w:rPr>
              <w:instrText xml:space="preserve"> = 7 \* GB3 \* MERGEFORMAT </w:instrText>
            </w:r>
            <w:r>
              <w:rPr>
                <w:rFonts w:hint="default" w:cs="Times New Roman"/>
                <w:color w:val="auto"/>
              </w:rPr>
              <w:fldChar w:fldCharType="separate"/>
            </w:r>
            <w:r>
              <w:rPr>
                <w:rFonts w:hint="default" w:cs="Times New Roman"/>
                <w:color w:val="auto"/>
              </w:rPr>
              <w:t>⑦</w:t>
            </w:r>
            <w:r>
              <w:rPr>
                <w:rFonts w:hint="default" w:cs="Times New Roman"/>
                <w:color w:val="auto"/>
              </w:rPr>
              <w:fldChar w:fldCharType="end"/>
            </w:r>
          </w:p>
        </w:tc>
      </w:tr>
      <w:tr w14:paraId="7F16E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232" w:type="dxa"/>
            <w:vMerge w:val="restart"/>
            <w:noWrap w:val="0"/>
            <w:vAlign w:val="center"/>
          </w:tcPr>
          <w:p w14:paraId="79232018">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废气</w:t>
            </w:r>
          </w:p>
        </w:tc>
        <w:tc>
          <w:tcPr>
            <w:tcW w:w="1502" w:type="dxa"/>
            <w:noWrap w:val="0"/>
            <w:vAlign w:val="center"/>
          </w:tcPr>
          <w:p w14:paraId="78A26ED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s="Times New Roman"/>
                <w:color w:val="auto"/>
                <w:lang w:eastAsia="zh-CN"/>
              </w:rPr>
            </w:pPr>
            <w:r>
              <w:rPr>
                <w:rFonts w:hint="eastAsia"/>
                <w:color w:val="auto"/>
                <w:kern w:val="0"/>
                <w:sz w:val="21"/>
                <w:szCs w:val="21"/>
                <w:lang w:val="en-US" w:eastAsia="zh-CN"/>
              </w:rPr>
              <w:t>颗粒物</w:t>
            </w:r>
          </w:p>
        </w:tc>
        <w:tc>
          <w:tcPr>
            <w:tcW w:w="1903" w:type="dxa"/>
            <w:noWrap w:val="0"/>
            <w:vAlign w:val="center"/>
          </w:tcPr>
          <w:p w14:paraId="0935061D">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0.096</w:t>
            </w:r>
          </w:p>
        </w:tc>
        <w:tc>
          <w:tcPr>
            <w:tcW w:w="1320" w:type="dxa"/>
            <w:noWrap w:val="0"/>
            <w:vAlign w:val="center"/>
          </w:tcPr>
          <w:p w14:paraId="498864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6580B46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051780B7">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1.6</w:t>
            </w:r>
          </w:p>
        </w:tc>
        <w:tc>
          <w:tcPr>
            <w:tcW w:w="1871" w:type="dxa"/>
            <w:noWrap w:val="0"/>
            <w:vAlign w:val="center"/>
          </w:tcPr>
          <w:p w14:paraId="7A251DB6">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-0.005</w:t>
            </w:r>
          </w:p>
        </w:tc>
        <w:tc>
          <w:tcPr>
            <w:tcW w:w="1756" w:type="dxa"/>
            <w:noWrap w:val="0"/>
            <w:vAlign w:val="center"/>
          </w:tcPr>
          <w:p w14:paraId="367FF529">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1.691</w:t>
            </w:r>
          </w:p>
        </w:tc>
        <w:tc>
          <w:tcPr>
            <w:tcW w:w="1063" w:type="dxa"/>
            <w:noWrap w:val="0"/>
            <w:vAlign w:val="center"/>
          </w:tcPr>
          <w:p w14:paraId="12660DA0">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1.595</w:t>
            </w:r>
          </w:p>
        </w:tc>
      </w:tr>
      <w:tr w14:paraId="59CF94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58773FC6">
            <w:pPr>
              <w:pStyle w:val="61"/>
              <w:keepNext w:val="0"/>
              <w:keepLines w:val="0"/>
              <w:suppressLineNumbers w:val="0"/>
              <w:bidi w:val="0"/>
              <w:spacing w:before="0" w:beforeAutospacing="0" w:after="0" w:afterAutospacing="0"/>
              <w:ind w:left="0" w:right="0"/>
              <w:rPr>
                <w:rFonts w:hint="default" w:cs="Times New Roman"/>
                <w:color w:val="auto"/>
                <w:sz w:val="21"/>
                <w:szCs w:val="21"/>
              </w:rPr>
            </w:pPr>
          </w:p>
        </w:tc>
        <w:tc>
          <w:tcPr>
            <w:tcW w:w="1502" w:type="dxa"/>
            <w:noWrap w:val="0"/>
            <w:vAlign w:val="center"/>
          </w:tcPr>
          <w:p w14:paraId="3DBBBB5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s="Times New Roman"/>
                <w:color w:val="auto"/>
                <w:sz w:val="21"/>
                <w:szCs w:val="21"/>
              </w:rPr>
            </w:pPr>
            <w:r>
              <w:rPr>
                <w:rFonts w:hint="eastAsia"/>
                <w:color w:val="auto"/>
                <w:lang w:val="en-US" w:eastAsia="zh-CN"/>
              </w:rPr>
              <w:t>SO</w:t>
            </w:r>
            <w:r>
              <w:rPr>
                <w:rFonts w:hint="eastAsia"/>
                <w:color w:val="auto"/>
                <w:vertAlign w:val="subscript"/>
                <w:lang w:val="en-US" w:eastAsia="zh-CN"/>
              </w:rPr>
              <w:t>2</w:t>
            </w:r>
          </w:p>
        </w:tc>
        <w:tc>
          <w:tcPr>
            <w:tcW w:w="1903" w:type="dxa"/>
            <w:noWrap w:val="0"/>
            <w:vAlign w:val="center"/>
          </w:tcPr>
          <w:p w14:paraId="0476B702">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6.53</w:t>
            </w:r>
          </w:p>
        </w:tc>
        <w:tc>
          <w:tcPr>
            <w:tcW w:w="1320" w:type="dxa"/>
            <w:noWrap w:val="0"/>
            <w:vAlign w:val="center"/>
          </w:tcPr>
          <w:p w14:paraId="3722A5F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1CB994E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34E6FE87">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0.13</w:t>
            </w:r>
          </w:p>
        </w:tc>
        <w:tc>
          <w:tcPr>
            <w:tcW w:w="1871" w:type="dxa"/>
            <w:noWrap w:val="0"/>
            <w:vAlign w:val="center"/>
          </w:tcPr>
          <w:p w14:paraId="12AACA00">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-0.33</w:t>
            </w:r>
          </w:p>
        </w:tc>
        <w:tc>
          <w:tcPr>
            <w:tcW w:w="1756" w:type="dxa"/>
            <w:noWrap w:val="0"/>
            <w:vAlign w:val="center"/>
          </w:tcPr>
          <w:p w14:paraId="5713E255">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6.33</w:t>
            </w:r>
          </w:p>
        </w:tc>
        <w:tc>
          <w:tcPr>
            <w:tcW w:w="1063" w:type="dxa"/>
            <w:noWrap w:val="0"/>
            <w:vAlign w:val="center"/>
          </w:tcPr>
          <w:p w14:paraId="75CABE16">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-0.2</w:t>
            </w:r>
          </w:p>
        </w:tc>
      </w:tr>
      <w:tr w14:paraId="2FF27C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51A633DC">
            <w:pPr>
              <w:pStyle w:val="61"/>
              <w:keepNext w:val="0"/>
              <w:keepLines w:val="0"/>
              <w:suppressLineNumbers w:val="0"/>
              <w:bidi w:val="0"/>
              <w:spacing w:before="0" w:beforeAutospacing="0" w:after="0" w:afterAutospacing="0"/>
              <w:ind w:left="0" w:right="0"/>
              <w:rPr>
                <w:rFonts w:hint="default" w:cs="Times New Roman"/>
                <w:color w:val="auto"/>
                <w:sz w:val="21"/>
                <w:szCs w:val="21"/>
              </w:rPr>
            </w:pPr>
          </w:p>
        </w:tc>
        <w:tc>
          <w:tcPr>
            <w:tcW w:w="1502" w:type="dxa"/>
            <w:noWrap w:val="0"/>
            <w:vAlign w:val="center"/>
          </w:tcPr>
          <w:p w14:paraId="2373047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s="Times New Roman"/>
                <w:color w:val="auto"/>
                <w:sz w:val="21"/>
                <w:szCs w:val="21"/>
              </w:rPr>
            </w:pPr>
            <w:r>
              <w:rPr>
                <w:rFonts w:hint="eastAsia"/>
                <w:color w:val="auto"/>
                <w:kern w:val="0"/>
                <w:sz w:val="21"/>
                <w:szCs w:val="21"/>
                <w:lang w:val="en-US" w:eastAsia="zh-CN"/>
              </w:rPr>
              <w:t>NOx</w:t>
            </w:r>
          </w:p>
        </w:tc>
        <w:tc>
          <w:tcPr>
            <w:tcW w:w="1903" w:type="dxa"/>
            <w:noWrap w:val="0"/>
            <w:vAlign w:val="center"/>
          </w:tcPr>
          <w:p w14:paraId="2A7FBE6D">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19.58</w:t>
            </w:r>
          </w:p>
        </w:tc>
        <w:tc>
          <w:tcPr>
            <w:tcW w:w="1320" w:type="dxa"/>
            <w:noWrap w:val="0"/>
            <w:vAlign w:val="center"/>
          </w:tcPr>
          <w:p w14:paraId="560A3B7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1B92DAF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0A1CC9B9">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0.39</w:t>
            </w:r>
          </w:p>
        </w:tc>
        <w:tc>
          <w:tcPr>
            <w:tcW w:w="1871" w:type="dxa"/>
            <w:noWrap w:val="0"/>
            <w:vAlign w:val="center"/>
          </w:tcPr>
          <w:p w14:paraId="40667894">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-0.98</w:t>
            </w:r>
          </w:p>
        </w:tc>
        <w:tc>
          <w:tcPr>
            <w:tcW w:w="1756" w:type="dxa"/>
            <w:noWrap w:val="0"/>
            <w:vAlign w:val="center"/>
          </w:tcPr>
          <w:p w14:paraId="20098049">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18.99</w:t>
            </w:r>
          </w:p>
        </w:tc>
        <w:tc>
          <w:tcPr>
            <w:tcW w:w="1063" w:type="dxa"/>
            <w:noWrap w:val="0"/>
            <w:vAlign w:val="center"/>
          </w:tcPr>
          <w:p w14:paraId="4EE9C946">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-0.59</w:t>
            </w:r>
          </w:p>
        </w:tc>
      </w:tr>
      <w:tr w14:paraId="41F57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232" w:type="dxa"/>
            <w:vMerge w:val="continue"/>
            <w:noWrap w:val="0"/>
            <w:vAlign w:val="center"/>
          </w:tcPr>
          <w:p w14:paraId="65C49A49">
            <w:pPr>
              <w:pStyle w:val="61"/>
              <w:keepNext w:val="0"/>
              <w:keepLines w:val="0"/>
              <w:suppressLineNumbers w:val="0"/>
              <w:bidi w:val="0"/>
              <w:spacing w:before="0" w:beforeAutospacing="0" w:after="0" w:afterAutospacing="0"/>
              <w:ind w:left="0" w:right="0"/>
              <w:rPr>
                <w:rFonts w:hint="default" w:cs="Times New Roman"/>
                <w:color w:val="auto"/>
                <w:sz w:val="21"/>
                <w:szCs w:val="21"/>
              </w:rPr>
            </w:pPr>
          </w:p>
        </w:tc>
        <w:tc>
          <w:tcPr>
            <w:tcW w:w="1502" w:type="dxa"/>
            <w:noWrap w:val="0"/>
            <w:vAlign w:val="center"/>
          </w:tcPr>
          <w:p w14:paraId="6C903984">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21"/>
                <w:szCs w:val="21"/>
                <w:lang w:val="en-US" w:eastAsia="zh-CN"/>
              </w:rPr>
            </w:pPr>
            <w:r>
              <w:rPr>
                <w:rFonts w:hint="eastAsia" w:cs="Times New Roman"/>
                <w:color w:val="auto"/>
                <w:sz w:val="21"/>
                <w:szCs w:val="21"/>
                <w:lang w:val="en-US" w:eastAsia="zh-CN"/>
              </w:rPr>
              <w:t>TVOC</w:t>
            </w:r>
          </w:p>
        </w:tc>
        <w:tc>
          <w:tcPr>
            <w:tcW w:w="1903" w:type="dxa"/>
            <w:noWrap w:val="0"/>
            <w:vAlign w:val="center"/>
          </w:tcPr>
          <w:p w14:paraId="51071080">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w:t>
            </w:r>
          </w:p>
        </w:tc>
        <w:tc>
          <w:tcPr>
            <w:tcW w:w="1320" w:type="dxa"/>
            <w:noWrap w:val="0"/>
            <w:vAlign w:val="center"/>
          </w:tcPr>
          <w:p w14:paraId="2BDA25C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5A33AE3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14E1FF8D">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1.323</w:t>
            </w:r>
          </w:p>
        </w:tc>
        <w:tc>
          <w:tcPr>
            <w:tcW w:w="1871" w:type="dxa"/>
            <w:noWrap w:val="0"/>
            <w:vAlign w:val="center"/>
          </w:tcPr>
          <w:p w14:paraId="44A9DC3F">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0</w:t>
            </w:r>
          </w:p>
        </w:tc>
        <w:tc>
          <w:tcPr>
            <w:tcW w:w="1756" w:type="dxa"/>
            <w:noWrap w:val="0"/>
            <w:vAlign w:val="center"/>
          </w:tcPr>
          <w:p w14:paraId="30A0122A">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1.323</w:t>
            </w:r>
          </w:p>
        </w:tc>
        <w:tc>
          <w:tcPr>
            <w:tcW w:w="1063" w:type="dxa"/>
            <w:noWrap w:val="0"/>
            <w:vAlign w:val="center"/>
          </w:tcPr>
          <w:p w14:paraId="0D46B7EC">
            <w:pPr>
              <w:keepNext w:val="0"/>
              <w:keepLines w:val="0"/>
              <w:widowControl/>
              <w:suppressLineNumbers w:val="0"/>
              <w:spacing w:before="0" w:beforeAutospacing="0" w:after="0" w:afterAutospacing="0"/>
              <w:ind w:left="0" w:leftChars="0" w:right="0" w:firstLine="0" w:firstLine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0"/>
                <w:sz w:val="21"/>
                <w:szCs w:val="21"/>
                <w:lang w:val="en-US" w:eastAsia="zh-CN" w:bidi="ar-SA"/>
              </w:rPr>
              <w:t>1.323</w:t>
            </w:r>
          </w:p>
        </w:tc>
      </w:tr>
      <w:tr w14:paraId="5A34E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restart"/>
            <w:noWrap w:val="0"/>
            <w:vAlign w:val="center"/>
          </w:tcPr>
          <w:p w14:paraId="1EF81B57">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废水</w:t>
            </w:r>
          </w:p>
        </w:tc>
        <w:tc>
          <w:tcPr>
            <w:tcW w:w="1502" w:type="dxa"/>
            <w:noWrap w:val="0"/>
            <w:vAlign w:val="center"/>
          </w:tcPr>
          <w:p w14:paraId="4B893560">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COD</w:t>
            </w:r>
            <w:r>
              <w:rPr>
                <w:rFonts w:hint="eastAsia" w:ascii="Times New Roman" w:hAnsi="Times New Roman" w:eastAsia="宋体" w:cs="Times New Roman"/>
                <w:color w:val="auto"/>
                <w:vertAlign w:val="subscript"/>
                <w:lang w:val="en-US" w:eastAsia="zh-CN"/>
              </w:rPr>
              <w:t>cr</w:t>
            </w:r>
          </w:p>
        </w:tc>
        <w:tc>
          <w:tcPr>
            <w:tcW w:w="1903" w:type="dxa"/>
            <w:noWrap w:val="0"/>
            <w:vAlign w:val="center"/>
          </w:tcPr>
          <w:p w14:paraId="3604D9A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59.75</w:t>
            </w:r>
          </w:p>
        </w:tc>
        <w:tc>
          <w:tcPr>
            <w:tcW w:w="1320" w:type="dxa"/>
            <w:noWrap w:val="0"/>
            <w:vAlign w:val="center"/>
          </w:tcPr>
          <w:p w14:paraId="7BC7988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49BDF7A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6B753606">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0.085</w:t>
            </w:r>
          </w:p>
        </w:tc>
        <w:tc>
          <w:tcPr>
            <w:tcW w:w="1871" w:type="dxa"/>
            <w:noWrap w:val="0"/>
            <w:vAlign w:val="center"/>
          </w:tcPr>
          <w:p w14:paraId="4AE790C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-7.86</w:t>
            </w:r>
          </w:p>
        </w:tc>
        <w:tc>
          <w:tcPr>
            <w:tcW w:w="1756" w:type="dxa"/>
            <w:noWrap w:val="0"/>
            <w:vAlign w:val="center"/>
          </w:tcPr>
          <w:p w14:paraId="2A06158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51.975</w:t>
            </w:r>
          </w:p>
        </w:tc>
        <w:tc>
          <w:tcPr>
            <w:tcW w:w="1063" w:type="dxa"/>
            <w:noWrap w:val="0"/>
            <w:vAlign w:val="center"/>
          </w:tcPr>
          <w:p w14:paraId="046328F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-7.775</w:t>
            </w:r>
          </w:p>
        </w:tc>
      </w:tr>
      <w:tr w14:paraId="39EA3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1" w:hRule="atLeast"/>
        </w:trPr>
        <w:tc>
          <w:tcPr>
            <w:tcW w:w="1232" w:type="dxa"/>
            <w:vMerge w:val="continue"/>
            <w:noWrap w:val="0"/>
            <w:vAlign w:val="center"/>
          </w:tcPr>
          <w:p w14:paraId="242457AC">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2317F1AD">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BOD</w:t>
            </w:r>
            <w:r>
              <w:rPr>
                <w:rFonts w:hint="eastAsia" w:cs="Times New Roman"/>
                <w:color w:val="auto"/>
                <w:vertAlign w:val="subscript"/>
                <w:lang w:val="en-US" w:eastAsia="zh-CN"/>
              </w:rPr>
              <w:t>5</w:t>
            </w:r>
          </w:p>
        </w:tc>
        <w:tc>
          <w:tcPr>
            <w:tcW w:w="1903" w:type="dxa"/>
            <w:noWrap w:val="0"/>
            <w:vAlign w:val="center"/>
          </w:tcPr>
          <w:p w14:paraId="5512EE0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5.35</w:t>
            </w:r>
          </w:p>
        </w:tc>
        <w:tc>
          <w:tcPr>
            <w:tcW w:w="1320" w:type="dxa"/>
            <w:noWrap w:val="0"/>
            <w:vAlign w:val="center"/>
          </w:tcPr>
          <w:p w14:paraId="3819337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35505FA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35082EF4">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0.0076</w:t>
            </w:r>
          </w:p>
        </w:tc>
        <w:tc>
          <w:tcPr>
            <w:tcW w:w="1871" w:type="dxa"/>
            <w:noWrap w:val="0"/>
            <w:vAlign w:val="center"/>
          </w:tcPr>
          <w:p w14:paraId="624B3E4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-0.71</w:t>
            </w:r>
          </w:p>
        </w:tc>
        <w:tc>
          <w:tcPr>
            <w:tcW w:w="1756" w:type="dxa"/>
            <w:noWrap w:val="0"/>
            <w:vAlign w:val="center"/>
          </w:tcPr>
          <w:p w14:paraId="3D324B5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4.6476</w:t>
            </w:r>
          </w:p>
        </w:tc>
        <w:tc>
          <w:tcPr>
            <w:tcW w:w="1063" w:type="dxa"/>
            <w:noWrap w:val="0"/>
            <w:vAlign w:val="center"/>
          </w:tcPr>
          <w:p w14:paraId="0FC92DA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-0.7024</w:t>
            </w:r>
          </w:p>
        </w:tc>
      </w:tr>
      <w:tr w14:paraId="026706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787CDF51">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68B0D94A">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SS</w:t>
            </w:r>
          </w:p>
        </w:tc>
        <w:tc>
          <w:tcPr>
            <w:tcW w:w="1903" w:type="dxa"/>
            <w:noWrap w:val="0"/>
            <w:vAlign w:val="center"/>
          </w:tcPr>
          <w:p w14:paraId="2281F94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13.21</w:t>
            </w:r>
          </w:p>
        </w:tc>
        <w:tc>
          <w:tcPr>
            <w:tcW w:w="1320" w:type="dxa"/>
            <w:noWrap w:val="0"/>
            <w:vAlign w:val="center"/>
          </w:tcPr>
          <w:p w14:paraId="5CA851F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08ACA36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67FCAC3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0.019</w:t>
            </w:r>
          </w:p>
        </w:tc>
        <w:tc>
          <w:tcPr>
            <w:tcW w:w="1871" w:type="dxa"/>
            <w:noWrap w:val="0"/>
            <w:vAlign w:val="center"/>
          </w:tcPr>
          <w:p w14:paraId="030AC6D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-1.74</w:t>
            </w:r>
          </w:p>
        </w:tc>
        <w:tc>
          <w:tcPr>
            <w:tcW w:w="1756" w:type="dxa"/>
            <w:noWrap w:val="0"/>
            <w:vAlign w:val="center"/>
          </w:tcPr>
          <w:p w14:paraId="6D8564A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11.489</w:t>
            </w:r>
          </w:p>
        </w:tc>
        <w:tc>
          <w:tcPr>
            <w:tcW w:w="1063" w:type="dxa"/>
            <w:noWrap w:val="0"/>
            <w:vAlign w:val="center"/>
          </w:tcPr>
          <w:p w14:paraId="6A58AF2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-1.721</w:t>
            </w:r>
          </w:p>
        </w:tc>
      </w:tr>
      <w:tr w14:paraId="2BEF6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16D624EE">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4BE53AC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TP</w:t>
            </w:r>
          </w:p>
        </w:tc>
        <w:tc>
          <w:tcPr>
            <w:tcW w:w="1903" w:type="dxa"/>
            <w:noWrap w:val="0"/>
            <w:vAlign w:val="center"/>
          </w:tcPr>
          <w:p w14:paraId="35B1A26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0.113</w:t>
            </w:r>
          </w:p>
        </w:tc>
        <w:tc>
          <w:tcPr>
            <w:tcW w:w="1320" w:type="dxa"/>
            <w:noWrap w:val="0"/>
            <w:vAlign w:val="center"/>
          </w:tcPr>
          <w:p w14:paraId="2F3BC73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0FDB247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3022DF5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0.0002</w:t>
            </w:r>
          </w:p>
        </w:tc>
        <w:tc>
          <w:tcPr>
            <w:tcW w:w="1871" w:type="dxa"/>
            <w:noWrap w:val="0"/>
            <w:vAlign w:val="center"/>
          </w:tcPr>
          <w:p w14:paraId="2574B1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-0.015</w:t>
            </w:r>
          </w:p>
        </w:tc>
        <w:tc>
          <w:tcPr>
            <w:tcW w:w="1756" w:type="dxa"/>
            <w:noWrap w:val="0"/>
            <w:vAlign w:val="center"/>
          </w:tcPr>
          <w:p w14:paraId="6C08AA2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0.0982</w:t>
            </w:r>
          </w:p>
        </w:tc>
        <w:tc>
          <w:tcPr>
            <w:tcW w:w="1063" w:type="dxa"/>
            <w:noWrap w:val="0"/>
            <w:vAlign w:val="center"/>
          </w:tcPr>
          <w:p w14:paraId="63DF65B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-0.0148</w:t>
            </w:r>
          </w:p>
        </w:tc>
      </w:tr>
      <w:tr w14:paraId="58C9B1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67853B13">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4CBA01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TN</w:t>
            </w:r>
          </w:p>
        </w:tc>
        <w:tc>
          <w:tcPr>
            <w:tcW w:w="1903" w:type="dxa"/>
            <w:noWrap w:val="0"/>
            <w:vAlign w:val="center"/>
          </w:tcPr>
          <w:p w14:paraId="447C830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3.72</w:t>
            </w:r>
          </w:p>
        </w:tc>
        <w:tc>
          <w:tcPr>
            <w:tcW w:w="1320" w:type="dxa"/>
            <w:noWrap w:val="0"/>
            <w:vAlign w:val="center"/>
          </w:tcPr>
          <w:p w14:paraId="44B6C2A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57A20B2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146B897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0.0053</w:t>
            </w:r>
          </w:p>
        </w:tc>
        <w:tc>
          <w:tcPr>
            <w:tcW w:w="1871" w:type="dxa"/>
            <w:noWrap w:val="0"/>
            <w:vAlign w:val="center"/>
          </w:tcPr>
          <w:p w14:paraId="1E9EB73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-0.49</w:t>
            </w:r>
          </w:p>
        </w:tc>
        <w:tc>
          <w:tcPr>
            <w:tcW w:w="1756" w:type="dxa"/>
            <w:noWrap w:val="0"/>
            <w:vAlign w:val="center"/>
          </w:tcPr>
          <w:p w14:paraId="4205E7A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3.2353</w:t>
            </w:r>
          </w:p>
        </w:tc>
        <w:tc>
          <w:tcPr>
            <w:tcW w:w="1063" w:type="dxa"/>
            <w:noWrap w:val="0"/>
            <w:vAlign w:val="center"/>
          </w:tcPr>
          <w:p w14:paraId="351BE4A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-0.4847</w:t>
            </w:r>
          </w:p>
        </w:tc>
      </w:tr>
      <w:tr w14:paraId="270943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1AA1EA38">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099241CF">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rPr>
              <w:t>NH</w:t>
            </w:r>
            <w:r>
              <w:rPr>
                <w:rFonts w:hint="default" w:ascii="Times New Roman" w:hAnsi="Times New Roman" w:eastAsia="宋体" w:cs="Times New Roman"/>
                <w:color w:val="auto"/>
                <w:vertAlign w:val="subscript"/>
              </w:rPr>
              <w:t>3</w:t>
            </w:r>
            <w:r>
              <w:rPr>
                <w:rFonts w:hint="default" w:ascii="Times New Roman" w:hAnsi="Times New Roman" w:eastAsia="宋体" w:cs="Times New Roman"/>
                <w:color w:val="auto"/>
              </w:rPr>
              <w:t>-N</w:t>
            </w:r>
          </w:p>
        </w:tc>
        <w:tc>
          <w:tcPr>
            <w:tcW w:w="1903" w:type="dxa"/>
            <w:noWrap w:val="0"/>
            <w:vAlign w:val="center"/>
          </w:tcPr>
          <w:p w14:paraId="33C9E8B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0.849</w:t>
            </w:r>
          </w:p>
        </w:tc>
        <w:tc>
          <w:tcPr>
            <w:tcW w:w="1320" w:type="dxa"/>
            <w:noWrap w:val="0"/>
            <w:vAlign w:val="center"/>
          </w:tcPr>
          <w:p w14:paraId="5D255FBE">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301B796B">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1BC4CB1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0.0012</w:t>
            </w:r>
          </w:p>
        </w:tc>
        <w:tc>
          <w:tcPr>
            <w:tcW w:w="1871" w:type="dxa"/>
            <w:noWrap w:val="0"/>
            <w:vAlign w:val="center"/>
          </w:tcPr>
          <w:p w14:paraId="212D49A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-0.112</w:t>
            </w:r>
          </w:p>
        </w:tc>
        <w:tc>
          <w:tcPr>
            <w:tcW w:w="1756" w:type="dxa"/>
            <w:noWrap w:val="0"/>
            <w:vAlign w:val="center"/>
          </w:tcPr>
          <w:p w14:paraId="1B86F6D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0.7382</w:t>
            </w:r>
          </w:p>
        </w:tc>
        <w:tc>
          <w:tcPr>
            <w:tcW w:w="1063" w:type="dxa"/>
            <w:noWrap w:val="0"/>
            <w:vAlign w:val="center"/>
          </w:tcPr>
          <w:p w14:paraId="781419E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-0.1108</w:t>
            </w:r>
          </w:p>
        </w:tc>
      </w:tr>
      <w:tr w14:paraId="39FA2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restart"/>
            <w:noWrap w:val="0"/>
            <w:vAlign w:val="center"/>
          </w:tcPr>
          <w:p w14:paraId="020605BC">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一般工业</w:t>
            </w:r>
          </w:p>
          <w:p w14:paraId="345AF234">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固体废物</w:t>
            </w:r>
          </w:p>
        </w:tc>
        <w:tc>
          <w:tcPr>
            <w:tcW w:w="1502" w:type="dxa"/>
            <w:noWrap w:val="0"/>
            <w:vAlign w:val="center"/>
          </w:tcPr>
          <w:p w14:paraId="1C415535">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ascii="Times New Roman" w:hAnsi="Times New Roman" w:eastAsia="宋体" w:cs="Times New Roman"/>
                <w:color w:val="auto"/>
                <w:lang w:val="en-US" w:eastAsia="zh-CN"/>
              </w:rPr>
              <w:t>中碎米其他成分</w:t>
            </w:r>
          </w:p>
        </w:tc>
        <w:tc>
          <w:tcPr>
            <w:tcW w:w="1903" w:type="dxa"/>
            <w:noWrap w:val="0"/>
            <w:vAlign w:val="center"/>
          </w:tcPr>
          <w:p w14:paraId="0CA8BB4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12049</w:t>
            </w:r>
          </w:p>
        </w:tc>
        <w:tc>
          <w:tcPr>
            <w:tcW w:w="1320" w:type="dxa"/>
            <w:noWrap w:val="0"/>
            <w:vAlign w:val="center"/>
          </w:tcPr>
          <w:p w14:paraId="3BE95FC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13E9B08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20AB7A32">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871" w:type="dxa"/>
            <w:noWrap w:val="0"/>
            <w:vAlign w:val="center"/>
          </w:tcPr>
          <w:p w14:paraId="148590A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56" w:type="dxa"/>
            <w:noWrap w:val="0"/>
            <w:vAlign w:val="center"/>
          </w:tcPr>
          <w:p w14:paraId="19F6B7B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12049</w:t>
            </w:r>
          </w:p>
        </w:tc>
        <w:tc>
          <w:tcPr>
            <w:tcW w:w="1063" w:type="dxa"/>
            <w:noWrap w:val="0"/>
            <w:vAlign w:val="center"/>
          </w:tcPr>
          <w:p w14:paraId="4F08EA0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r>
      <w:tr w14:paraId="16B30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3154FFDB">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29F0B0F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收集粉尘</w:t>
            </w:r>
          </w:p>
        </w:tc>
        <w:tc>
          <w:tcPr>
            <w:tcW w:w="1903" w:type="dxa"/>
            <w:noWrap w:val="0"/>
            <w:vAlign w:val="center"/>
          </w:tcPr>
          <w:p w14:paraId="0088E11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3CD154D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0A976A5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580C2CD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c>
          <w:tcPr>
            <w:tcW w:w="1871" w:type="dxa"/>
            <w:noWrap w:val="0"/>
            <w:vAlign w:val="center"/>
          </w:tcPr>
          <w:p w14:paraId="1456AE1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56" w:type="dxa"/>
            <w:noWrap w:val="0"/>
            <w:vAlign w:val="center"/>
          </w:tcPr>
          <w:p w14:paraId="2787E09A">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c>
          <w:tcPr>
            <w:tcW w:w="1063" w:type="dxa"/>
            <w:noWrap w:val="0"/>
            <w:vAlign w:val="center"/>
          </w:tcPr>
          <w:p w14:paraId="429150FD">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9.609</w:t>
            </w:r>
          </w:p>
        </w:tc>
      </w:tr>
      <w:tr w14:paraId="16916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555E5924">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0B20F1C8">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ascii="Times New Roman" w:hAnsi="Times New Roman" w:eastAsia="宋体" w:cs="Times New Roman"/>
                <w:color w:val="auto"/>
                <w:lang w:val="en-US" w:eastAsia="zh-CN"/>
              </w:rPr>
              <w:t>炉渣</w:t>
            </w:r>
          </w:p>
        </w:tc>
        <w:tc>
          <w:tcPr>
            <w:tcW w:w="1903" w:type="dxa"/>
            <w:noWrap w:val="0"/>
            <w:vAlign w:val="center"/>
          </w:tcPr>
          <w:p w14:paraId="01B8392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3840</w:t>
            </w:r>
          </w:p>
        </w:tc>
        <w:tc>
          <w:tcPr>
            <w:tcW w:w="1320" w:type="dxa"/>
            <w:noWrap w:val="0"/>
            <w:vAlign w:val="center"/>
          </w:tcPr>
          <w:p w14:paraId="120408E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7EC160C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3CF24C0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76.8</w:t>
            </w:r>
          </w:p>
        </w:tc>
        <w:tc>
          <w:tcPr>
            <w:tcW w:w="1871" w:type="dxa"/>
            <w:noWrap w:val="0"/>
            <w:vAlign w:val="center"/>
          </w:tcPr>
          <w:p w14:paraId="2D69E66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192</w:t>
            </w:r>
          </w:p>
        </w:tc>
        <w:tc>
          <w:tcPr>
            <w:tcW w:w="1756" w:type="dxa"/>
            <w:noWrap w:val="0"/>
            <w:vAlign w:val="center"/>
          </w:tcPr>
          <w:p w14:paraId="3C9B775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3724.8</w:t>
            </w:r>
          </w:p>
        </w:tc>
        <w:tc>
          <w:tcPr>
            <w:tcW w:w="1063" w:type="dxa"/>
            <w:noWrap w:val="0"/>
            <w:vAlign w:val="center"/>
          </w:tcPr>
          <w:p w14:paraId="77EBDBD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r>
              <w:rPr>
                <w:rFonts w:hint="eastAsia" w:cs="Times New Roman"/>
                <w:color w:val="auto"/>
                <w:lang w:val="en-US" w:eastAsia="zh-CN"/>
              </w:rPr>
              <w:t>115.2</w:t>
            </w:r>
          </w:p>
        </w:tc>
      </w:tr>
      <w:tr w14:paraId="47FB0F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28B81666">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4F5E0E42">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ascii="Times New Roman" w:hAnsi="Times New Roman" w:eastAsia="宋体" w:cs="Times New Roman"/>
                <w:color w:val="auto"/>
                <w:lang w:val="en-US" w:eastAsia="zh-CN"/>
              </w:rPr>
              <w:t>污泥</w:t>
            </w:r>
          </w:p>
        </w:tc>
        <w:tc>
          <w:tcPr>
            <w:tcW w:w="1903" w:type="dxa"/>
            <w:noWrap w:val="0"/>
            <w:vAlign w:val="center"/>
          </w:tcPr>
          <w:p w14:paraId="1F5F610D">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955.3</w:t>
            </w:r>
          </w:p>
        </w:tc>
        <w:tc>
          <w:tcPr>
            <w:tcW w:w="1320" w:type="dxa"/>
            <w:noWrap w:val="0"/>
            <w:vAlign w:val="center"/>
          </w:tcPr>
          <w:p w14:paraId="60E8013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5AAD0C6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4AD05DF5">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0.27</w:t>
            </w:r>
          </w:p>
        </w:tc>
        <w:tc>
          <w:tcPr>
            <w:tcW w:w="1871" w:type="dxa"/>
            <w:noWrap w:val="0"/>
            <w:vAlign w:val="center"/>
          </w:tcPr>
          <w:p w14:paraId="56936BB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-125.68</w:t>
            </w:r>
          </w:p>
        </w:tc>
        <w:tc>
          <w:tcPr>
            <w:tcW w:w="1756" w:type="dxa"/>
            <w:noWrap w:val="0"/>
            <w:vAlign w:val="center"/>
          </w:tcPr>
          <w:p w14:paraId="3B38F66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829.89</w:t>
            </w:r>
          </w:p>
        </w:tc>
        <w:tc>
          <w:tcPr>
            <w:tcW w:w="1063" w:type="dxa"/>
            <w:noWrap w:val="0"/>
            <w:vAlign w:val="center"/>
          </w:tcPr>
          <w:p w14:paraId="376608C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-125.41</w:t>
            </w:r>
          </w:p>
        </w:tc>
      </w:tr>
      <w:tr w14:paraId="53CA6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2C3428F3">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5A230F6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不合格品</w:t>
            </w:r>
          </w:p>
        </w:tc>
        <w:tc>
          <w:tcPr>
            <w:tcW w:w="1903" w:type="dxa"/>
            <w:noWrap w:val="0"/>
            <w:vAlign w:val="center"/>
          </w:tcPr>
          <w:p w14:paraId="2F69BDDA">
            <w:pPr>
              <w:pStyle w:val="6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0E29606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714" w:type="dxa"/>
            <w:noWrap w:val="0"/>
            <w:vAlign w:val="center"/>
          </w:tcPr>
          <w:p w14:paraId="3FBF441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595" w:type="dxa"/>
            <w:noWrap w:val="0"/>
            <w:vAlign w:val="center"/>
          </w:tcPr>
          <w:p w14:paraId="1D02E6A3">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1.13</w:t>
            </w:r>
          </w:p>
        </w:tc>
        <w:tc>
          <w:tcPr>
            <w:tcW w:w="1871" w:type="dxa"/>
            <w:noWrap w:val="0"/>
            <w:vAlign w:val="center"/>
          </w:tcPr>
          <w:p w14:paraId="30E5116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56" w:type="dxa"/>
            <w:noWrap w:val="0"/>
            <w:vAlign w:val="center"/>
          </w:tcPr>
          <w:p w14:paraId="3C511C39">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w:t>
            </w:r>
          </w:p>
        </w:tc>
        <w:tc>
          <w:tcPr>
            <w:tcW w:w="1063" w:type="dxa"/>
            <w:noWrap w:val="0"/>
            <w:vAlign w:val="center"/>
          </w:tcPr>
          <w:p w14:paraId="266A6A21">
            <w:pPr>
              <w:pStyle w:val="6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1.13</w:t>
            </w:r>
          </w:p>
        </w:tc>
      </w:tr>
      <w:tr w14:paraId="5EBC58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71ED7484">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688CA91">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ascii="Times New Roman" w:hAnsi="Times New Roman" w:eastAsia="宋体" w:cs="Times New Roman"/>
                <w:color w:val="auto"/>
                <w:lang w:val="en-US" w:eastAsia="zh-CN"/>
              </w:rPr>
              <w:t>废包装袋</w:t>
            </w:r>
          </w:p>
        </w:tc>
        <w:tc>
          <w:tcPr>
            <w:tcW w:w="1903" w:type="dxa"/>
            <w:noWrap w:val="0"/>
            <w:vAlign w:val="center"/>
          </w:tcPr>
          <w:p w14:paraId="6CE32A11">
            <w:pPr>
              <w:pStyle w:val="6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0E1A9246">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714" w:type="dxa"/>
            <w:noWrap w:val="0"/>
            <w:vAlign w:val="center"/>
          </w:tcPr>
          <w:p w14:paraId="02EF93A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w:t>
            </w:r>
          </w:p>
        </w:tc>
        <w:tc>
          <w:tcPr>
            <w:tcW w:w="1595" w:type="dxa"/>
            <w:noWrap w:val="0"/>
            <w:vAlign w:val="center"/>
          </w:tcPr>
          <w:p w14:paraId="3FD2A349">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0.2</w:t>
            </w:r>
          </w:p>
        </w:tc>
        <w:tc>
          <w:tcPr>
            <w:tcW w:w="1871" w:type="dxa"/>
            <w:noWrap w:val="0"/>
            <w:vAlign w:val="center"/>
          </w:tcPr>
          <w:p w14:paraId="66E0B4FE">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w:t>
            </w:r>
          </w:p>
        </w:tc>
        <w:tc>
          <w:tcPr>
            <w:tcW w:w="1756" w:type="dxa"/>
            <w:noWrap w:val="0"/>
            <w:vAlign w:val="center"/>
          </w:tcPr>
          <w:p w14:paraId="6AB668D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c>
          <w:tcPr>
            <w:tcW w:w="1063" w:type="dxa"/>
            <w:noWrap w:val="0"/>
            <w:vAlign w:val="center"/>
          </w:tcPr>
          <w:p w14:paraId="04452E4C">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0.2</w:t>
            </w:r>
          </w:p>
        </w:tc>
      </w:tr>
      <w:tr w14:paraId="451A9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5F43A7CA">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93204D1">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eastAsia" w:ascii="Times New Roman" w:hAnsi="Times New Roman" w:eastAsia="宋体" w:cs="Times New Roman"/>
                <w:color w:val="auto"/>
                <w:lang w:val="en-US" w:eastAsia="zh-CN"/>
              </w:rPr>
              <w:t>铁屑</w:t>
            </w:r>
          </w:p>
        </w:tc>
        <w:tc>
          <w:tcPr>
            <w:tcW w:w="1903" w:type="dxa"/>
            <w:noWrap w:val="0"/>
            <w:vAlign w:val="center"/>
          </w:tcPr>
          <w:p w14:paraId="7F450927">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6726B4E4">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5551D1F8">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594EF7D5">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0.001</w:t>
            </w:r>
          </w:p>
        </w:tc>
        <w:tc>
          <w:tcPr>
            <w:tcW w:w="1871" w:type="dxa"/>
            <w:noWrap w:val="0"/>
            <w:vAlign w:val="center"/>
          </w:tcPr>
          <w:p w14:paraId="157197B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4C893606">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ascii="Times New Roman" w:hAnsi="Times New Roman" w:eastAsia="宋体" w:cs="Times New Roman"/>
                <w:color w:val="auto"/>
                <w:lang w:val="en-US" w:eastAsia="zh-CN"/>
              </w:rPr>
              <w:t>0.001</w:t>
            </w:r>
          </w:p>
        </w:tc>
        <w:tc>
          <w:tcPr>
            <w:tcW w:w="1063" w:type="dxa"/>
            <w:noWrap w:val="0"/>
            <w:vAlign w:val="center"/>
          </w:tcPr>
          <w:p w14:paraId="169B1E6B">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rPr>
            </w:pPr>
            <w:r>
              <w:rPr>
                <w:rFonts w:hint="default" w:ascii="Times New Roman" w:hAnsi="Times New Roman" w:eastAsia="宋体" w:cs="Times New Roman"/>
                <w:color w:val="auto"/>
                <w:lang w:val="en-US" w:eastAsia="zh-CN"/>
              </w:rPr>
              <w:t>0.001</w:t>
            </w:r>
          </w:p>
        </w:tc>
      </w:tr>
      <w:tr w14:paraId="5B20C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2686B698">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57127BC">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eastAsia" w:ascii="Times New Roman" w:hAnsi="Times New Roman" w:eastAsia="宋体" w:cs="Times New Roman"/>
                <w:color w:val="auto"/>
                <w:lang w:val="en-US" w:eastAsia="zh-CN"/>
              </w:rPr>
              <w:t>废布袋</w:t>
            </w:r>
          </w:p>
        </w:tc>
        <w:tc>
          <w:tcPr>
            <w:tcW w:w="1903" w:type="dxa"/>
            <w:noWrap w:val="0"/>
            <w:vAlign w:val="center"/>
          </w:tcPr>
          <w:p w14:paraId="49F91DBB">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734072B1">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2F47372C">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0C34E913">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0.5</w:t>
            </w:r>
          </w:p>
        </w:tc>
        <w:tc>
          <w:tcPr>
            <w:tcW w:w="1871" w:type="dxa"/>
            <w:noWrap w:val="0"/>
            <w:vAlign w:val="center"/>
          </w:tcPr>
          <w:p w14:paraId="36D2BF2C">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61059BCA">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ascii="Times New Roman" w:hAnsi="Times New Roman" w:eastAsia="宋体" w:cs="Times New Roman"/>
                <w:color w:val="auto"/>
                <w:lang w:val="en-US" w:eastAsia="zh-CN"/>
              </w:rPr>
              <w:t>0.5</w:t>
            </w:r>
          </w:p>
        </w:tc>
        <w:tc>
          <w:tcPr>
            <w:tcW w:w="1063" w:type="dxa"/>
            <w:noWrap w:val="0"/>
            <w:vAlign w:val="center"/>
          </w:tcPr>
          <w:p w14:paraId="0DA58FA3">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0.5</w:t>
            </w:r>
          </w:p>
        </w:tc>
      </w:tr>
      <w:tr w14:paraId="01696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0CB3DAFC">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7EEF0D22">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eastAsia" w:ascii="Times New Roman" w:hAnsi="Times New Roman" w:eastAsia="宋体" w:cs="Times New Roman"/>
                <w:color w:val="auto"/>
                <w:lang w:val="en-US" w:eastAsia="zh-CN"/>
              </w:rPr>
              <w:t>生活垃圾</w:t>
            </w:r>
          </w:p>
        </w:tc>
        <w:tc>
          <w:tcPr>
            <w:tcW w:w="1903" w:type="dxa"/>
            <w:noWrap w:val="0"/>
            <w:vAlign w:val="center"/>
          </w:tcPr>
          <w:p w14:paraId="5BABC688">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17.6</w:t>
            </w:r>
          </w:p>
        </w:tc>
        <w:tc>
          <w:tcPr>
            <w:tcW w:w="1320" w:type="dxa"/>
            <w:noWrap w:val="0"/>
            <w:vAlign w:val="center"/>
          </w:tcPr>
          <w:p w14:paraId="29E2EC37">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39F1FC7E">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25189D17">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0.64</w:t>
            </w:r>
          </w:p>
        </w:tc>
        <w:tc>
          <w:tcPr>
            <w:tcW w:w="1871" w:type="dxa"/>
            <w:noWrap w:val="0"/>
            <w:vAlign w:val="center"/>
          </w:tcPr>
          <w:p w14:paraId="7C8E9878">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20172975">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ascii="Times New Roman" w:hAnsi="Times New Roman" w:eastAsia="宋体" w:cs="Times New Roman"/>
                <w:color w:val="auto"/>
                <w:lang w:val="en-US" w:eastAsia="zh-CN"/>
              </w:rPr>
              <w:t>18.24</w:t>
            </w:r>
          </w:p>
        </w:tc>
        <w:tc>
          <w:tcPr>
            <w:tcW w:w="1063" w:type="dxa"/>
            <w:noWrap w:val="0"/>
            <w:vAlign w:val="center"/>
          </w:tcPr>
          <w:p w14:paraId="40708241">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rPr>
            </w:pPr>
            <w:r>
              <w:rPr>
                <w:rFonts w:hint="default" w:ascii="Times New Roman" w:hAnsi="Times New Roman" w:eastAsia="宋体" w:cs="Times New Roman"/>
                <w:color w:val="auto"/>
                <w:lang w:val="en-US" w:eastAsia="zh-CN"/>
              </w:rPr>
              <w:t>0.64</w:t>
            </w:r>
          </w:p>
        </w:tc>
      </w:tr>
      <w:tr w14:paraId="7B944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9368EBC">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751E4F60">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eastAsia" w:ascii="Times New Roman" w:hAnsi="Times New Roman" w:eastAsia="宋体" w:cs="Times New Roman"/>
                <w:color w:val="auto"/>
                <w:lang w:val="en-US" w:eastAsia="zh-CN"/>
              </w:rPr>
              <w:t>脱色废活性炭</w:t>
            </w:r>
          </w:p>
        </w:tc>
        <w:tc>
          <w:tcPr>
            <w:tcW w:w="1903" w:type="dxa"/>
            <w:noWrap w:val="0"/>
            <w:vAlign w:val="center"/>
          </w:tcPr>
          <w:p w14:paraId="2AAFAFF9">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240</w:t>
            </w:r>
          </w:p>
        </w:tc>
        <w:tc>
          <w:tcPr>
            <w:tcW w:w="1320" w:type="dxa"/>
            <w:noWrap w:val="0"/>
            <w:vAlign w:val="center"/>
          </w:tcPr>
          <w:p w14:paraId="7581FCE6">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37EAC509">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2C1F65C6">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0</w:t>
            </w:r>
          </w:p>
        </w:tc>
        <w:tc>
          <w:tcPr>
            <w:tcW w:w="1871" w:type="dxa"/>
            <w:noWrap w:val="0"/>
            <w:vAlign w:val="center"/>
          </w:tcPr>
          <w:p w14:paraId="2057BB35">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rPr>
            </w:pPr>
            <w:r>
              <w:rPr>
                <w:rFonts w:hint="eastAsia" w:ascii="Times New Roman" w:hAnsi="Times New Roman" w:cs="Times New Roman"/>
                <w:color w:val="auto"/>
                <w:lang w:val="en-US" w:eastAsia="zh-CN"/>
              </w:rPr>
              <w:t>-12</w:t>
            </w:r>
          </w:p>
        </w:tc>
        <w:tc>
          <w:tcPr>
            <w:tcW w:w="1756" w:type="dxa"/>
            <w:noWrap w:val="0"/>
            <w:vAlign w:val="center"/>
          </w:tcPr>
          <w:p w14:paraId="61C62C78">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eastAsia" w:ascii="Times New Roman" w:hAnsi="Times New Roman" w:cs="Times New Roman"/>
                <w:color w:val="auto"/>
                <w:lang w:val="en-US" w:eastAsia="zh-CN"/>
              </w:rPr>
              <w:t>228</w:t>
            </w:r>
          </w:p>
        </w:tc>
        <w:tc>
          <w:tcPr>
            <w:tcW w:w="1063" w:type="dxa"/>
            <w:noWrap w:val="0"/>
            <w:vAlign w:val="center"/>
          </w:tcPr>
          <w:p w14:paraId="6F0D4548">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eastAsia" w:ascii="Times New Roman" w:hAnsi="Times New Roman" w:cs="Times New Roman"/>
                <w:color w:val="auto"/>
                <w:lang w:val="en-US" w:eastAsia="zh-CN"/>
              </w:rPr>
              <w:t>-12</w:t>
            </w:r>
          </w:p>
        </w:tc>
      </w:tr>
      <w:tr w14:paraId="657E8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49D2DEB7">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2FDDFD47">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eastAsia" w:ascii="Times New Roman" w:hAnsi="Times New Roman" w:eastAsia="宋体" w:cs="Times New Roman"/>
                <w:color w:val="auto"/>
                <w:lang w:val="en-US" w:eastAsia="zh-CN"/>
              </w:rPr>
              <w:t>废树脂</w:t>
            </w:r>
          </w:p>
        </w:tc>
        <w:tc>
          <w:tcPr>
            <w:tcW w:w="1903" w:type="dxa"/>
            <w:noWrap w:val="0"/>
            <w:vAlign w:val="center"/>
          </w:tcPr>
          <w:p w14:paraId="11CF3B96">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9.552</w:t>
            </w:r>
          </w:p>
        </w:tc>
        <w:tc>
          <w:tcPr>
            <w:tcW w:w="1320" w:type="dxa"/>
            <w:noWrap w:val="0"/>
            <w:vAlign w:val="center"/>
          </w:tcPr>
          <w:p w14:paraId="608B4CF7">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7B2610FF">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65C4A408">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w:t>
            </w:r>
          </w:p>
        </w:tc>
        <w:tc>
          <w:tcPr>
            <w:tcW w:w="1871" w:type="dxa"/>
            <w:noWrap w:val="0"/>
            <w:vAlign w:val="center"/>
          </w:tcPr>
          <w:p w14:paraId="7AD45618">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3378E6D5">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ascii="Times New Roman" w:hAnsi="Times New Roman" w:eastAsia="宋体" w:cs="Times New Roman"/>
                <w:color w:val="auto"/>
                <w:lang w:val="en-US" w:eastAsia="zh-CN"/>
              </w:rPr>
              <w:t>9.552</w:t>
            </w:r>
          </w:p>
        </w:tc>
        <w:tc>
          <w:tcPr>
            <w:tcW w:w="1063" w:type="dxa"/>
            <w:noWrap w:val="0"/>
            <w:vAlign w:val="center"/>
          </w:tcPr>
          <w:p w14:paraId="19CB4EBE">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rPr>
            </w:pPr>
            <w:r>
              <w:rPr>
                <w:rFonts w:hint="default" w:ascii="Times New Roman" w:hAnsi="Times New Roman" w:eastAsia="宋体" w:cs="Times New Roman"/>
                <w:color w:val="auto"/>
                <w:lang w:val="en-US" w:eastAsia="zh-CN"/>
              </w:rPr>
              <w:t>0</w:t>
            </w:r>
          </w:p>
        </w:tc>
      </w:tr>
      <w:tr w14:paraId="1731BA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restart"/>
            <w:noWrap w:val="0"/>
            <w:vAlign w:val="center"/>
          </w:tcPr>
          <w:p w14:paraId="6B96530C">
            <w:pPr>
              <w:pStyle w:val="61"/>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危险废物</w:t>
            </w:r>
          </w:p>
        </w:tc>
        <w:tc>
          <w:tcPr>
            <w:tcW w:w="1502" w:type="dxa"/>
            <w:noWrap w:val="0"/>
            <w:vAlign w:val="center"/>
          </w:tcPr>
          <w:p w14:paraId="0611AD8C">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eastAsia" w:ascii="Times New Roman" w:hAnsi="Times New Roman" w:eastAsia="宋体" w:cs="Times New Roman"/>
                <w:color w:val="auto"/>
                <w:lang w:val="en-US" w:eastAsia="zh-CN"/>
              </w:rPr>
              <w:t>实验室废液</w:t>
            </w:r>
          </w:p>
        </w:tc>
        <w:tc>
          <w:tcPr>
            <w:tcW w:w="1903" w:type="dxa"/>
            <w:noWrap w:val="0"/>
            <w:vAlign w:val="center"/>
          </w:tcPr>
          <w:p w14:paraId="771D05CB">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2.56</w:t>
            </w:r>
          </w:p>
        </w:tc>
        <w:tc>
          <w:tcPr>
            <w:tcW w:w="1320" w:type="dxa"/>
            <w:noWrap w:val="0"/>
            <w:vAlign w:val="center"/>
          </w:tcPr>
          <w:p w14:paraId="18172C1A">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08855AC9">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22C1F932">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0.51</w:t>
            </w:r>
            <w:r>
              <w:rPr>
                <w:rFonts w:hint="eastAsia" w:cs="Times New Roman"/>
                <w:color w:val="auto"/>
                <w:lang w:val="en-US" w:eastAsia="zh-CN"/>
              </w:rPr>
              <w:t>2</w:t>
            </w:r>
          </w:p>
        </w:tc>
        <w:tc>
          <w:tcPr>
            <w:tcW w:w="1871" w:type="dxa"/>
            <w:noWrap w:val="0"/>
            <w:vAlign w:val="center"/>
          </w:tcPr>
          <w:p w14:paraId="781DB03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w:t>
            </w:r>
          </w:p>
        </w:tc>
        <w:tc>
          <w:tcPr>
            <w:tcW w:w="1756" w:type="dxa"/>
            <w:noWrap w:val="0"/>
            <w:vAlign w:val="center"/>
          </w:tcPr>
          <w:p w14:paraId="532B99E1">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3.07</w:t>
            </w:r>
            <w:r>
              <w:rPr>
                <w:rFonts w:hint="eastAsia" w:cs="Times New Roman"/>
                <w:color w:val="auto"/>
                <w:lang w:val="en-US" w:eastAsia="zh-CN"/>
              </w:rPr>
              <w:t>2</w:t>
            </w:r>
          </w:p>
        </w:tc>
        <w:tc>
          <w:tcPr>
            <w:tcW w:w="1063" w:type="dxa"/>
            <w:noWrap w:val="0"/>
            <w:vAlign w:val="center"/>
          </w:tcPr>
          <w:p w14:paraId="5CF12BFA">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ascii="Times New Roman" w:hAnsi="Times New Roman" w:eastAsia="宋体" w:cs="Times New Roman"/>
                <w:color w:val="auto"/>
                <w:lang w:val="en-US" w:eastAsia="zh-CN"/>
              </w:rPr>
              <w:t>0.51</w:t>
            </w:r>
            <w:r>
              <w:rPr>
                <w:rFonts w:hint="eastAsia" w:cs="Times New Roman"/>
                <w:color w:val="auto"/>
                <w:lang w:val="en-US" w:eastAsia="zh-CN"/>
              </w:rPr>
              <w:t>2</w:t>
            </w:r>
          </w:p>
        </w:tc>
      </w:tr>
      <w:tr w14:paraId="07BA4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 w:hRule="atLeast"/>
        </w:trPr>
        <w:tc>
          <w:tcPr>
            <w:tcW w:w="1232" w:type="dxa"/>
            <w:vMerge w:val="continue"/>
            <w:noWrap w:val="0"/>
            <w:vAlign w:val="center"/>
          </w:tcPr>
          <w:p w14:paraId="2B229A60">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5A288A7F">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eastAsia" w:ascii="Times New Roman" w:hAnsi="Times New Roman" w:eastAsia="宋体" w:cs="Times New Roman"/>
                <w:color w:val="auto"/>
                <w:lang w:val="en-US" w:eastAsia="zh-CN"/>
              </w:rPr>
              <w:t>实验室废试剂空瓶</w:t>
            </w:r>
          </w:p>
        </w:tc>
        <w:tc>
          <w:tcPr>
            <w:tcW w:w="1903" w:type="dxa"/>
            <w:noWrap w:val="0"/>
            <w:vAlign w:val="center"/>
          </w:tcPr>
          <w:p w14:paraId="6002A6B4">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0.015</w:t>
            </w:r>
          </w:p>
        </w:tc>
        <w:tc>
          <w:tcPr>
            <w:tcW w:w="1320" w:type="dxa"/>
            <w:noWrap w:val="0"/>
            <w:vAlign w:val="center"/>
          </w:tcPr>
          <w:p w14:paraId="32F9930D">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4D35363C">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20954E63">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0.01</w:t>
            </w:r>
          </w:p>
        </w:tc>
        <w:tc>
          <w:tcPr>
            <w:tcW w:w="1871" w:type="dxa"/>
            <w:noWrap w:val="0"/>
            <w:vAlign w:val="center"/>
          </w:tcPr>
          <w:p w14:paraId="1EE07FBD">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7E0B8D5E">
            <w:pPr>
              <w:pStyle w:val="61"/>
              <w:keepNext w:val="0"/>
              <w:keepLines w:val="0"/>
              <w:suppressLineNumbers w:val="0"/>
              <w:bidi w:val="0"/>
              <w:spacing w:before="0" w:beforeAutospacing="0" w:after="0" w:afterAutospacing="0"/>
              <w:ind w:left="0" w:leftChars="0" w:right="0" w:rightChars="0" w:firstLine="0" w:firstLineChars="0"/>
              <w:rPr>
                <w:rFonts w:hint="eastAsia" w:cs="Times New Roman"/>
                <w:color w:val="auto"/>
                <w:lang w:val="en-US" w:eastAsia="zh-CN"/>
              </w:rPr>
            </w:pPr>
            <w:r>
              <w:rPr>
                <w:rFonts w:hint="default" w:ascii="Times New Roman" w:hAnsi="Times New Roman" w:eastAsia="宋体" w:cs="Times New Roman"/>
                <w:color w:val="auto"/>
                <w:lang w:val="en-US" w:eastAsia="zh-CN"/>
              </w:rPr>
              <w:t>0.025</w:t>
            </w:r>
          </w:p>
        </w:tc>
        <w:tc>
          <w:tcPr>
            <w:tcW w:w="1063" w:type="dxa"/>
            <w:noWrap w:val="0"/>
            <w:vAlign w:val="center"/>
          </w:tcPr>
          <w:p w14:paraId="3C3DABF6">
            <w:pPr>
              <w:pStyle w:val="61"/>
              <w:keepNext w:val="0"/>
              <w:keepLines w:val="0"/>
              <w:suppressLineNumbers w:val="0"/>
              <w:bidi w:val="0"/>
              <w:spacing w:before="0" w:beforeAutospacing="0" w:after="0" w:afterAutospacing="0"/>
              <w:ind w:left="0" w:leftChars="0" w:right="0" w:rightChars="0" w:firstLine="0" w:firstLineChars="0"/>
              <w:rPr>
                <w:rFonts w:hint="eastAsia"/>
                <w:color w:val="auto"/>
                <w:kern w:val="0"/>
                <w:sz w:val="21"/>
                <w:szCs w:val="21"/>
                <w:lang w:val="en-US" w:eastAsia="zh-CN"/>
              </w:rPr>
            </w:pPr>
            <w:r>
              <w:rPr>
                <w:rFonts w:hint="default" w:ascii="Times New Roman" w:hAnsi="Times New Roman" w:eastAsia="宋体" w:cs="Times New Roman"/>
                <w:color w:val="auto"/>
                <w:lang w:val="en-US" w:eastAsia="zh-CN"/>
              </w:rPr>
              <w:t>0.01</w:t>
            </w:r>
          </w:p>
        </w:tc>
      </w:tr>
      <w:tr w14:paraId="577B7B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DFBF00B">
            <w:pPr>
              <w:pStyle w:val="61"/>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3D27996">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eastAsia" w:ascii="Times New Roman" w:hAnsi="Times New Roman" w:eastAsia="宋体" w:cs="Times New Roman"/>
                <w:color w:val="auto"/>
                <w:lang w:val="en-US" w:eastAsia="zh-CN"/>
              </w:rPr>
              <w:t>废液</w:t>
            </w:r>
          </w:p>
        </w:tc>
        <w:tc>
          <w:tcPr>
            <w:tcW w:w="1903" w:type="dxa"/>
            <w:noWrap w:val="0"/>
            <w:vAlign w:val="center"/>
          </w:tcPr>
          <w:p w14:paraId="76452264">
            <w:pPr>
              <w:pStyle w:val="61"/>
              <w:keepNext w:val="0"/>
              <w:keepLines w:val="0"/>
              <w:suppressLineNumbers w:val="0"/>
              <w:bidi w:val="0"/>
              <w:spacing w:before="0" w:beforeAutospacing="0" w:after="0" w:afterAutospacing="0"/>
              <w:ind w:left="0" w:leftChars="0" w:right="0" w:rightChars="0" w:firstLine="0" w:firstLineChars="0"/>
              <w:rPr>
                <w:rFonts w:hint="default"/>
                <w:color w:val="auto"/>
                <w:kern w:val="0"/>
                <w:sz w:val="21"/>
                <w:szCs w:val="21"/>
                <w:lang w:val="en-US" w:eastAsia="zh-CN"/>
              </w:rPr>
            </w:pPr>
            <w:r>
              <w:rPr>
                <w:rFonts w:hint="default" w:ascii="Times New Roman" w:hAnsi="Times New Roman" w:eastAsia="宋体" w:cs="Times New Roman"/>
                <w:color w:val="auto"/>
                <w:lang w:val="en-US" w:eastAsia="zh-CN"/>
              </w:rPr>
              <w:t>0</w:t>
            </w:r>
          </w:p>
        </w:tc>
        <w:tc>
          <w:tcPr>
            <w:tcW w:w="1320" w:type="dxa"/>
            <w:noWrap w:val="0"/>
            <w:vAlign w:val="center"/>
          </w:tcPr>
          <w:p w14:paraId="587C377B">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714" w:type="dxa"/>
            <w:noWrap w:val="0"/>
            <w:vAlign w:val="center"/>
          </w:tcPr>
          <w:p w14:paraId="3BBC2C80">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1595" w:type="dxa"/>
            <w:noWrap w:val="0"/>
            <w:vAlign w:val="center"/>
          </w:tcPr>
          <w:p w14:paraId="13AE1127">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358.527</w:t>
            </w:r>
          </w:p>
        </w:tc>
        <w:tc>
          <w:tcPr>
            <w:tcW w:w="1871" w:type="dxa"/>
            <w:noWrap w:val="0"/>
            <w:vAlign w:val="center"/>
          </w:tcPr>
          <w:p w14:paraId="173BEBFF">
            <w:pPr>
              <w:pStyle w:val="6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0</w:t>
            </w:r>
          </w:p>
        </w:tc>
        <w:tc>
          <w:tcPr>
            <w:tcW w:w="1756" w:type="dxa"/>
            <w:noWrap w:val="0"/>
            <w:vAlign w:val="center"/>
          </w:tcPr>
          <w:p w14:paraId="6C8D041F">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ascii="Times New Roman" w:hAnsi="Times New Roman" w:eastAsia="宋体" w:cs="Times New Roman"/>
                <w:color w:val="auto"/>
                <w:lang w:val="en-US" w:eastAsia="zh-CN"/>
              </w:rPr>
              <w:t>358.527</w:t>
            </w:r>
          </w:p>
        </w:tc>
        <w:tc>
          <w:tcPr>
            <w:tcW w:w="1063" w:type="dxa"/>
            <w:noWrap w:val="0"/>
            <w:vAlign w:val="center"/>
          </w:tcPr>
          <w:p w14:paraId="31E516D4">
            <w:pPr>
              <w:pStyle w:val="61"/>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rPr>
            </w:pPr>
            <w:r>
              <w:rPr>
                <w:rFonts w:hint="default" w:ascii="Times New Roman" w:hAnsi="Times New Roman" w:eastAsia="宋体" w:cs="Times New Roman"/>
                <w:color w:val="auto"/>
                <w:lang w:val="en-US" w:eastAsia="zh-CN"/>
              </w:rPr>
              <w:t>358.527</w:t>
            </w:r>
          </w:p>
        </w:tc>
      </w:tr>
    </w:tbl>
    <w:p w14:paraId="3A72D792">
      <w:pPr>
        <w:pStyle w:val="61"/>
        <w:spacing w:before="192" w:beforeLines="80" w:after="24"/>
        <w:jc w:val="left"/>
        <w:rPr>
          <w:rFonts w:hint="default"/>
          <w:color w:val="auto"/>
          <w:lang w:val="en-US" w:eastAsia="zh-CN"/>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pgSz w:w="16838" w:h="11906" w:orient="landscape"/>
      <w:pgMar w:top="1417" w:right="1440" w:bottom="1417" w:left="1440" w:header="851" w:footer="851" w:gutter="0"/>
      <w:pgBorders w:offsetFrom="page">
        <w:top w:val="none" w:sz="0" w:space="0"/>
        <w:left w:val="none" w:sz="0" w:space="0"/>
        <w:bottom w:val="none" w:sz="0" w:space="0"/>
        <w:right w:val="none" w:sz="0" w:space="0"/>
      </w:pgBorders>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DC">
      <wne:acd wne:acdName="acd0"/>
    </wne:keymap>
    <wne:keymap wne:kcmPrimary="0257">
      <wne:acd wne:acdName="acd1"/>
    </wne:keymap>
  </wne:keymaps>
  <wne:acds>
    <wne:acd wne:argValue="AQAAAAAA" wne:acdName="acd0" wne:fciIndexBasedOn="0065"/>
    <wne:acd wne:argValue="AgBoiDxo" wne:acdName="acd1"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8"/>
    <w:family w:val="decorative"/>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Arial Unicode MS">
    <w:altName w:val="DejaVu Sans"/>
    <w:panose1 w:val="020B0604020202020204"/>
    <w:charset w:val="86"/>
    <w:family w:val="auto"/>
    <w:pitch w:val="default"/>
    <w:sig w:usb0="00000000" w:usb1="00000000" w:usb2="0000007F" w:usb3="00000000" w:csb0="203F01FF" w:csb1="DFFF0000"/>
  </w:font>
  <w:font w:name="新宋体-18030">
    <w:altName w:val="方正书宋_GBK"/>
    <w:panose1 w:val="00000000000000000000"/>
    <w:charset w:val="00"/>
    <w:family w:val="auto"/>
    <w:pitch w:val="default"/>
    <w:sig w:usb0="00000000" w:usb1="00000000" w:usb2="00000000"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6736F">
    <w:pPr>
      <w:pStyle w:val="17"/>
      <w:jc w:val="center"/>
    </w:pPr>
    <w:r>
      <w:fldChar w:fldCharType="begin"/>
    </w:r>
    <w:r>
      <w:instrText xml:space="preserve">PAGE   \* MERGEFORMAT</w:instrText>
    </w:r>
    <w:r>
      <w:fldChar w:fldCharType="separate"/>
    </w:r>
    <w:r>
      <w:rPr>
        <w:lang w:val="zh-CN"/>
      </w:rPr>
      <w:t>40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55E7D">
    <w:pPr>
      <w:pStyle w:val="17"/>
      <w:jc w:val="center"/>
    </w:pPr>
    <w:r>
      <w:fldChar w:fldCharType="begin"/>
    </w:r>
    <w:r>
      <w:instrText xml:space="preserve">PAGE   \* MERGEFORMAT</w:instrText>
    </w:r>
    <w:r>
      <w:fldChar w:fldCharType="separate"/>
    </w:r>
    <w:r>
      <w:rPr>
        <w:lang w:val="zh-CN"/>
      </w:rPr>
      <w:t>46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01D04"/>
    <w:multiLevelType w:val="multilevel"/>
    <w:tmpl w:val="8DD01D04"/>
    <w:lvl w:ilvl="0" w:tentative="0">
      <w:start w:val="1"/>
      <w:numFmt w:val="decimal"/>
      <w:suff w:val="space"/>
      <w:lvlText w:val="表1-%1"/>
      <w:lvlJc w:val="left"/>
      <w:pPr>
        <w:tabs>
          <w:tab w:val="left" w:pos="0"/>
        </w:tabs>
        <w:ind w:left="425" w:hanging="425"/>
      </w:pPr>
      <w:rPr>
        <w:rFonts w:hint="default" w:ascii="Times New Roman" w:hAnsi="Times New Roman" w:eastAsia="宋体" w:cs="Courier New"/>
        <w:b/>
        <w:bCs/>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B859EEA4"/>
    <w:multiLevelType w:val="singleLevel"/>
    <w:tmpl w:val="B859EEA4"/>
    <w:lvl w:ilvl="0" w:tentative="0">
      <w:start w:val="2"/>
      <w:numFmt w:val="decimal"/>
      <w:lvlText w:val="%1."/>
      <w:lvlJc w:val="left"/>
      <w:pPr>
        <w:tabs>
          <w:tab w:val="left" w:pos="312"/>
        </w:tabs>
      </w:pPr>
    </w:lvl>
  </w:abstractNum>
  <w:abstractNum w:abstractNumId="2">
    <w:nsid w:val="CCA9ECA5"/>
    <w:multiLevelType w:val="singleLevel"/>
    <w:tmpl w:val="CCA9ECA5"/>
    <w:lvl w:ilvl="0" w:tentative="0">
      <w:start w:val="1"/>
      <w:numFmt w:val="decimal"/>
      <w:suff w:val="nothing"/>
      <w:lvlText w:val="表4-%1  "/>
      <w:lvlJc w:val="left"/>
      <w:pPr>
        <w:tabs>
          <w:tab w:val="left" w:pos="0"/>
        </w:tabs>
        <w:ind w:left="0" w:firstLine="0"/>
      </w:pPr>
      <w:rPr>
        <w:rFonts w:hint="default"/>
        <w:sz w:val="24"/>
        <w:szCs w:val="24"/>
      </w:rPr>
    </w:lvl>
  </w:abstractNum>
  <w:abstractNum w:abstractNumId="3">
    <w:nsid w:val="F43508DE"/>
    <w:multiLevelType w:val="singleLevel"/>
    <w:tmpl w:val="F43508DE"/>
    <w:lvl w:ilvl="0" w:tentative="0">
      <w:start w:val="5"/>
      <w:numFmt w:val="decimal"/>
      <w:suff w:val="nothing"/>
      <w:lvlText w:val="%1、"/>
      <w:lvlJc w:val="left"/>
    </w:lvl>
  </w:abstractNum>
  <w:abstractNum w:abstractNumId="4">
    <w:nsid w:val="F9608D9E"/>
    <w:multiLevelType w:val="singleLevel"/>
    <w:tmpl w:val="F9608D9E"/>
    <w:lvl w:ilvl="0" w:tentative="0">
      <w:start w:val="4"/>
      <w:numFmt w:val="decimal"/>
      <w:suff w:val="nothing"/>
      <w:lvlText w:val="%1、"/>
      <w:lvlJc w:val="left"/>
    </w:lvl>
  </w:abstractNum>
  <w:abstractNum w:abstractNumId="5">
    <w:nsid w:val="065BB987"/>
    <w:multiLevelType w:val="singleLevel"/>
    <w:tmpl w:val="065BB987"/>
    <w:lvl w:ilvl="0" w:tentative="0">
      <w:start w:val="1"/>
      <w:numFmt w:val="decimal"/>
      <w:lvlText w:val="%1."/>
      <w:lvlJc w:val="left"/>
      <w:pPr>
        <w:tabs>
          <w:tab w:val="left" w:pos="312"/>
        </w:tabs>
      </w:pPr>
    </w:lvl>
  </w:abstractNum>
  <w:abstractNum w:abstractNumId="6">
    <w:nsid w:val="0ED90678"/>
    <w:multiLevelType w:val="singleLevel"/>
    <w:tmpl w:val="0ED90678"/>
    <w:lvl w:ilvl="0" w:tentative="0">
      <w:start w:val="4"/>
      <w:numFmt w:val="decimal"/>
      <w:suff w:val="nothing"/>
      <w:lvlText w:val="%1）"/>
      <w:lvlJc w:val="left"/>
    </w:lvl>
  </w:abstractNum>
  <w:abstractNum w:abstractNumId="7">
    <w:nsid w:val="186495DB"/>
    <w:multiLevelType w:val="singleLevel"/>
    <w:tmpl w:val="186495DB"/>
    <w:lvl w:ilvl="0" w:tentative="0">
      <w:start w:val="2"/>
      <w:numFmt w:val="decimal"/>
      <w:lvlText w:val="%1."/>
      <w:lvlJc w:val="left"/>
      <w:pPr>
        <w:tabs>
          <w:tab w:val="left" w:pos="312"/>
        </w:tabs>
        <w:ind w:left="280"/>
      </w:pPr>
    </w:lvl>
  </w:abstractNum>
  <w:abstractNum w:abstractNumId="8">
    <w:nsid w:val="18EC8E74"/>
    <w:multiLevelType w:val="singleLevel"/>
    <w:tmpl w:val="18EC8E74"/>
    <w:lvl w:ilvl="0" w:tentative="0">
      <w:start w:val="1"/>
      <w:numFmt w:val="decimal"/>
      <w:suff w:val="nothing"/>
      <w:lvlText w:val="表2-%1  "/>
      <w:lvlJc w:val="left"/>
      <w:pPr>
        <w:ind w:left="0" w:firstLine="0"/>
      </w:pPr>
      <w:rPr>
        <w:rFonts w:hint="default"/>
        <w:sz w:val="24"/>
        <w:szCs w:val="24"/>
      </w:rPr>
    </w:lvl>
  </w:abstractNum>
  <w:abstractNum w:abstractNumId="9">
    <w:nsid w:val="3B986CF3"/>
    <w:multiLevelType w:val="multilevel"/>
    <w:tmpl w:val="3B986CF3"/>
    <w:lvl w:ilvl="0" w:tentative="0">
      <w:start w:val="1"/>
      <w:numFmt w:val="decimal"/>
      <w:lvlText w:val="%1"/>
      <w:lvlJc w:val="left"/>
      <w:pPr>
        <w:ind w:left="0" w:firstLine="0"/>
      </w:pPr>
      <w:rPr>
        <w:rFonts w:hint="default" w:ascii="Times New Roman" w:hAnsi="Times New Roman" w:eastAsia="宋体"/>
        <w:b/>
        <w:i w:val="0"/>
        <w:sz w:val="36"/>
      </w:rPr>
    </w:lvl>
    <w:lvl w:ilvl="1" w:tentative="0">
      <w:start w:val="1"/>
      <w:numFmt w:val="decimal"/>
      <w:lvlText w:val="%1.%2"/>
      <w:lvlJc w:val="left"/>
      <w:pPr>
        <w:ind w:left="3402" w:firstLine="0"/>
      </w:pPr>
      <w:rPr>
        <w:rFonts w:hint="eastAsia"/>
        <w:i w:val="0"/>
        <w:iCs w:val="0"/>
        <w:caps w:val="0"/>
        <w:smallCaps w:val="0"/>
        <w:strike w:val="0"/>
        <w:dstrike w:val="0"/>
        <w:vanish w:val="0"/>
        <w:color w:val="000000"/>
        <w:spacing w:val="0"/>
        <w:position w:val="0"/>
        <w:u w:val="none"/>
        <w:vertAlign w:val="baseline"/>
      </w:rPr>
    </w:lvl>
    <w:lvl w:ilvl="2" w:tentative="0">
      <w:start w:val="1"/>
      <w:numFmt w:val="decimal"/>
      <w:lvlText w:val="%1.%2.%3"/>
      <w:lvlJc w:val="left"/>
      <w:pPr>
        <w:ind w:left="425" w:firstLine="0"/>
      </w:pPr>
      <w:rPr>
        <w:rFonts w:hint="default" w:ascii="Times New Roman" w:hAnsi="Times New Roman" w:eastAsia="宋体"/>
        <w:b/>
        <w:i w:val="0"/>
        <w:sz w:val="30"/>
      </w:rPr>
    </w:lvl>
    <w:lvl w:ilvl="3" w:tentative="0">
      <w:start w:val="1"/>
      <w:numFmt w:val="decimal"/>
      <w:pStyle w:val="7"/>
      <w:lvlText w:val="%1.%2.%3.%4"/>
      <w:lvlJc w:val="left"/>
      <w:pPr>
        <w:ind w:left="2552" w:firstLine="0"/>
      </w:pPr>
      <w:rPr>
        <w:rFonts w:hint="default" w:ascii="Times New Roman" w:hAnsi="Times New Roman" w:eastAsia="宋体"/>
        <w:b/>
        <w:i w:val="0"/>
        <w:sz w:val="28"/>
      </w:rPr>
    </w:lvl>
    <w:lvl w:ilvl="4" w:tentative="0">
      <w:start w:val="1"/>
      <w:numFmt w:val="decimal"/>
      <w:suff w:val="space"/>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0">
    <w:nsid w:val="485531A2"/>
    <w:multiLevelType w:val="multilevel"/>
    <w:tmpl w:val="485531A2"/>
    <w:lvl w:ilvl="0" w:tentative="0">
      <w:start w:val="1"/>
      <w:numFmt w:val="chineseCountingThousand"/>
      <w:suff w:val="space"/>
      <w:lvlText w:val="第%1章"/>
      <w:lvlJc w:val="left"/>
      <w:rPr>
        <w:rFonts w:hint="eastAsia" w:ascii="Times New Roman" w:hAnsi="Times New Roman" w:cs="Times New Roman"/>
        <w:b/>
        <w:bCs w:val="0"/>
        <w:i w:val="0"/>
        <w:iCs w:val="0"/>
        <w:caps w:val="0"/>
        <w:smallCaps w:val="0"/>
        <w:strike w:val="0"/>
        <w:dstrike w:val="0"/>
        <w:vanish w:val="0"/>
        <w:color w:val="000000"/>
        <w:spacing w:val="0"/>
        <w:position w:val="0"/>
        <w:u w:val="none"/>
        <w:vertAlign w:val="baseline"/>
      </w:rPr>
    </w:lvl>
    <w:lvl w:ilvl="1" w:tentative="0">
      <w:start w:val="1"/>
      <w:numFmt w:val="decimal"/>
      <w:isLgl/>
      <w:suff w:val="space"/>
      <w:lvlText w:val="%1.%2"/>
      <w:lvlJc w:val="left"/>
      <w:rPr>
        <w:rFonts w:hint="eastAsia" w:ascii="Times New Roman" w:hAnsi="Times New Roman"/>
        <w:b/>
        <w:bCs w:val="0"/>
        <w:i w:val="0"/>
        <w:iCs w:val="0"/>
        <w:caps w:val="0"/>
        <w:smallCaps w:val="0"/>
        <w:strike w:val="0"/>
        <w:dstrike w:val="0"/>
        <w:vanish w:val="0"/>
        <w:color w:val="000000"/>
        <w:spacing w:val="0"/>
        <w:kern w:val="0"/>
        <w:position w:val="0"/>
        <w:u w:val="none"/>
        <w:vertAlign w:val="baseline"/>
      </w:rPr>
    </w:lvl>
    <w:lvl w:ilvl="2" w:tentative="0">
      <w:start w:val="1"/>
      <w:numFmt w:val="decimal"/>
      <w:isLgl/>
      <w:suff w:val="space"/>
      <w:lvlText w:val="%1.%2.%3"/>
      <w:lvlJc w:val="left"/>
      <w:pPr>
        <w:ind w:left="993" w:hanging="567"/>
      </w:pPr>
      <w:rPr>
        <w:rFonts w:hint="eastAsia"/>
        <w:sz w:val="28"/>
        <w:szCs w:val="28"/>
      </w:rPr>
    </w:lvl>
    <w:lvl w:ilvl="3" w:tentative="0">
      <w:start w:val="1"/>
      <w:numFmt w:val="decimal"/>
      <w:isLgl/>
      <w:suff w:val="space"/>
      <w:lvlText w:val="%1.%2.%3.%4"/>
      <w:lvlJc w:val="left"/>
      <w:pPr>
        <w:ind w:left="2835" w:hanging="567"/>
      </w:pPr>
      <w:rPr>
        <w:rFonts w:hint="default" w:cs="Times New Roman"/>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rPr>
    </w:lvl>
    <w:lvl w:ilvl="5" w:tentative="0">
      <w:start w:val="1"/>
      <w:numFmt w:val="decimal"/>
      <w:lvlRestart w:val="2"/>
      <w:pStyle w:val="108"/>
      <w:isLgl/>
      <w:suff w:val="space"/>
      <w:lvlText w:val="表%1.%2-%6"/>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6" w:tentative="0">
      <w:start w:val="1"/>
      <w:numFmt w:val="decimal"/>
      <w:lvlRestart w:val="2"/>
      <w:isLgl/>
      <w:suff w:val="space"/>
      <w:lvlText w:val="图%1.%2-%7"/>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Times New Roman"/>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11">
    <w:nsid w:val="4D9B69FD"/>
    <w:multiLevelType w:val="multilevel"/>
    <w:tmpl w:val="4D9B69FD"/>
    <w:lvl w:ilvl="0" w:tentative="0">
      <w:start w:val="1"/>
      <w:numFmt w:val="decimal"/>
      <w:lvlText w:val="%1"/>
      <w:lvlJc w:val="left"/>
      <w:pPr>
        <w:tabs>
          <w:tab w:val="left" w:pos="432"/>
        </w:tabs>
        <w:ind w:left="432" w:hanging="432"/>
      </w:pPr>
      <w:rPr>
        <w:rFonts w:hint="default"/>
        <w:u w:val="none" w:color="auto"/>
      </w:rPr>
    </w:lvl>
    <w:lvl w:ilvl="1" w:tentative="0">
      <w:start w:val="1"/>
      <w:numFmt w:val="decimal"/>
      <w:pStyle w:val="120"/>
      <w:lvlText w:val="%1.%2"/>
      <w:lvlJc w:val="left"/>
      <w:pPr>
        <w:tabs>
          <w:tab w:val="left" w:pos="576"/>
        </w:tabs>
        <w:ind w:left="576" w:hanging="576"/>
      </w:pPr>
      <w:rPr>
        <w:rFonts w:hint="default"/>
        <w:u w:val="none" w:color="auto"/>
      </w:rPr>
    </w:lvl>
    <w:lvl w:ilvl="2" w:tentative="0">
      <w:start w:val="1"/>
      <w:numFmt w:val="decimal"/>
      <w:lvlText w:val="1.1.%3"/>
      <w:lvlJc w:val="left"/>
      <w:pPr>
        <w:tabs>
          <w:tab w:val="left" w:pos="720"/>
        </w:tabs>
        <w:ind w:left="720" w:hanging="720"/>
      </w:pPr>
      <w:rPr>
        <w:rFonts w:hint="default"/>
        <w:u w:val="none" w:color="auto"/>
      </w:rPr>
    </w:lvl>
    <w:lvl w:ilvl="3" w:tentative="0">
      <w:start w:val="1"/>
      <w:numFmt w:val="decimal"/>
      <w:lvlText w:val="%1.%2.%3.%4"/>
      <w:lvlJc w:val="left"/>
      <w:pPr>
        <w:tabs>
          <w:tab w:val="left" w:pos="864"/>
        </w:tabs>
        <w:ind w:left="864" w:hanging="864"/>
      </w:pPr>
      <w:rPr>
        <w:rFonts w:hint="default"/>
        <w:u w:val="none" w:color="auto"/>
      </w:rPr>
    </w:lvl>
    <w:lvl w:ilvl="4" w:tentative="0">
      <w:start w:val="1"/>
      <w:numFmt w:val="decimal"/>
      <w:lvlText w:val="%1.%2.%3.%4.%5"/>
      <w:lvlJc w:val="left"/>
      <w:pPr>
        <w:tabs>
          <w:tab w:val="left" w:pos="1008"/>
        </w:tabs>
        <w:ind w:left="1008" w:hanging="1008"/>
      </w:pPr>
      <w:rPr>
        <w:rFonts w:hint="default"/>
        <w:u w:val="none" w:color="auto"/>
      </w:rPr>
    </w:lvl>
    <w:lvl w:ilvl="5" w:tentative="0">
      <w:start w:val="1"/>
      <w:numFmt w:val="decimal"/>
      <w:lvlText w:val="%1.%2.%3.%4.%5.%6"/>
      <w:lvlJc w:val="left"/>
      <w:pPr>
        <w:tabs>
          <w:tab w:val="left" w:pos="1152"/>
        </w:tabs>
        <w:ind w:left="1152" w:hanging="1152"/>
      </w:pPr>
      <w:rPr>
        <w:rFonts w:hint="default"/>
        <w:u w:val="none" w:color="auto"/>
      </w:rPr>
    </w:lvl>
    <w:lvl w:ilvl="6" w:tentative="0">
      <w:start w:val="1"/>
      <w:numFmt w:val="decimal"/>
      <w:lvlText w:val="%1.%2.%3.%4.%5.%6.%7"/>
      <w:lvlJc w:val="left"/>
      <w:pPr>
        <w:tabs>
          <w:tab w:val="left" w:pos="1296"/>
        </w:tabs>
        <w:ind w:left="1296" w:hanging="1296"/>
      </w:pPr>
      <w:rPr>
        <w:rFonts w:hint="default"/>
        <w:u w:val="none" w:color="auto"/>
      </w:rPr>
    </w:lvl>
    <w:lvl w:ilvl="7" w:tentative="0">
      <w:start w:val="1"/>
      <w:numFmt w:val="decimal"/>
      <w:lvlText w:val="%1.%2.%3.%4.%5.%6.%7.%8"/>
      <w:lvlJc w:val="left"/>
      <w:pPr>
        <w:tabs>
          <w:tab w:val="left" w:pos="1440"/>
        </w:tabs>
        <w:ind w:left="1440" w:hanging="1440"/>
      </w:pPr>
      <w:rPr>
        <w:rFonts w:hint="default"/>
        <w:u w:val="none" w:color="auto"/>
      </w:rPr>
    </w:lvl>
    <w:lvl w:ilvl="8" w:tentative="0">
      <w:start w:val="1"/>
      <w:numFmt w:val="decimal"/>
      <w:lvlText w:val="%1.%2.%3.%4.%5.%6.%7.%8.%9"/>
      <w:lvlJc w:val="left"/>
      <w:pPr>
        <w:tabs>
          <w:tab w:val="left" w:pos="1584"/>
        </w:tabs>
        <w:ind w:left="1584" w:hanging="1584"/>
      </w:pPr>
      <w:rPr>
        <w:rFonts w:hint="default"/>
        <w:u w:val="none" w:color="auto"/>
      </w:rPr>
    </w:lvl>
  </w:abstractNum>
  <w:abstractNum w:abstractNumId="12">
    <w:nsid w:val="5D376C23"/>
    <w:multiLevelType w:val="multilevel"/>
    <w:tmpl w:val="5D376C23"/>
    <w:lvl w:ilvl="0" w:tentative="0">
      <w:start w:val="1"/>
      <w:numFmt w:val="decimalEnclosedCircleChinese"/>
      <w:suff w:val="space"/>
      <w:lvlText w:val="%1"/>
      <w:lvlJc w:val="left"/>
      <w:pPr>
        <w:tabs>
          <w:tab w:val="left" w:pos="0"/>
        </w:tabs>
        <w:ind w:left="0" w:firstLine="40"/>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3">
    <w:nsid w:val="644D3847"/>
    <w:multiLevelType w:val="multilevel"/>
    <w:tmpl w:val="644D3847"/>
    <w:lvl w:ilvl="0" w:tentative="0">
      <w:start w:val="1"/>
      <w:numFmt w:val="none"/>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
      <w:suff w:val="space"/>
      <w:lvlText w:val="%3.%4"/>
      <w:lvlJc w:val="left"/>
      <w:pPr>
        <w:ind w:left="0" w:firstLine="0"/>
      </w:pPr>
      <w:rPr>
        <w:rFonts w:hint="eastAsia"/>
      </w:rPr>
    </w:lvl>
    <w:lvl w:ilvl="4" w:tentative="0">
      <w:start w:val="1"/>
      <w:numFmt w:val="decimal"/>
      <w:suff w:val="space"/>
      <w:lvlText w:val="%3.%4.%5"/>
      <w:lvlJc w:val="left"/>
      <w:pPr>
        <w:ind w:left="0" w:firstLine="0"/>
      </w:pPr>
      <w:rPr>
        <w:rFonts w:hint="eastAsia"/>
      </w:rPr>
    </w:lvl>
    <w:lvl w:ilvl="5" w:tentative="0">
      <w:start w:val="1"/>
      <w:numFmt w:val="decimal"/>
      <w:lvlRestart w:val="0"/>
      <w:pStyle w:val="114"/>
      <w:suff w:val="space"/>
      <w:lvlText w:val="表%6"/>
      <w:lvlJc w:val="center"/>
      <w:pPr>
        <w:ind w:left="1680" w:firstLine="0"/>
      </w:pPr>
      <w:rPr>
        <w:rFonts w:hint="eastAsia"/>
        <w:b w:val="0"/>
      </w:rPr>
    </w:lvl>
    <w:lvl w:ilvl="6" w:tentative="0">
      <w:start w:val="1"/>
      <w:numFmt w:val="decimal"/>
      <w:lvlRestart w:val="0"/>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9"/>
  </w:num>
  <w:num w:numId="2">
    <w:abstractNumId w:val="10"/>
  </w:num>
  <w:num w:numId="3">
    <w:abstractNumId w:val="13"/>
  </w:num>
  <w:num w:numId="4">
    <w:abstractNumId w:val="11"/>
  </w:num>
  <w:num w:numId="5">
    <w:abstractNumId w:val="0"/>
  </w:num>
  <w:num w:numId="6">
    <w:abstractNumId w:val="3"/>
  </w:num>
  <w:num w:numId="7">
    <w:abstractNumId w:val="8"/>
  </w:num>
  <w:num w:numId="8">
    <w:abstractNumId w:val="4"/>
  </w:num>
  <w:num w:numId="9">
    <w:abstractNumId w:val="1"/>
  </w:num>
  <w:num w:numId="10">
    <w:abstractNumId w:val="5"/>
  </w:num>
  <w:num w:numId="11">
    <w:abstractNumId w:val="2"/>
  </w:num>
  <w:num w:numId="12">
    <w:abstractNumId w:val="6"/>
  </w:num>
  <w:num w:numId="13">
    <w:abstractNumId w:val="7"/>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formatting="1"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DMxNWRkYmY5MjE3NjUxYTk3ZDA1NDUyNmVkYWEifQ=="/>
  </w:docVars>
  <w:rsids>
    <w:rsidRoot w:val="00172A27"/>
    <w:rsid w:val="00002684"/>
    <w:rsid w:val="00003694"/>
    <w:rsid w:val="00004983"/>
    <w:rsid w:val="000060B3"/>
    <w:rsid w:val="000072AB"/>
    <w:rsid w:val="00007D3E"/>
    <w:rsid w:val="00007E75"/>
    <w:rsid w:val="00013751"/>
    <w:rsid w:val="0001462C"/>
    <w:rsid w:val="000149B3"/>
    <w:rsid w:val="00015584"/>
    <w:rsid w:val="0001683C"/>
    <w:rsid w:val="0002106B"/>
    <w:rsid w:val="00022E7D"/>
    <w:rsid w:val="00023060"/>
    <w:rsid w:val="00026B7D"/>
    <w:rsid w:val="00027382"/>
    <w:rsid w:val="00030CF6"/>
    <w:rsid w:val="00031057"/>
    <w:rsid w:val="000338AF"/>
    <w:rsid w:val="000355E1"/>
    <w:rsid w:val="00035F29"/>
    <w:rsid w:val="00037428"/>
    <w:rsid w:val="00042798"/>
    <w:rsid w:val="00042863"/>
    <w:rsid w:val="00042DA1"/>
    <w:rsid w:val="0004364B"/>
    <w:rsid w:val="00044413"/>
    <w:rsid w:val="000447C9"/>
    <w:rsid w:val="00045455"/>
    <w:rsid w:val="00046467"/>
    <w:rsid w:val="000507DB"/>
    <w:rsid w:val="0005279C"/>
    <w:rsid w:val="00053331"/>
    <w:rsid w:val="0005589F"/>
    <w:rsid w:val="000559CD"/>
    <w:rsid w:val="00056A06"/>
    <w:rsid w:val="00056F4E"/>
    <w:rsid w:val="0005708F"/>
    <w:rsid w:val="00060174"/>
    <w:rsid w:val="000603C2"/>
    <w:rsid w:val="00060D25"/>
    <w:rsid w:val="00061B1F"/>
    <w:rsid w:val="0006410A"/>
    <w:rsid w:val="0006582E"/>
    <w:rsid w:val="00071DB0"/>
    <w:rsid w:val="00072840"/>
    <w:rsid w:val="00073041"/>
    <w:rsid w:val="000733C4"/>
    <w:rsid w:val="00073DF3"/>
    <w:rsid w:val="00074022"/>
    <w:rsid w:val="00074783"/>
    <w:rsid w:val="00074F1B"/>
    <w:rsid w:val="00076FBB"/>
    <w:rsid w:val="0007798E"/>
    <w:rsid w:val="00077CD5"/>
    <w:rsid w:val="0008070B"/>
    <w:rsid w:val="00080774"/>
    <w:rsid w:val="000807CA"/>
    <w:rsid w:val="000810AC"/>
    <w:rsid w:val="00081A02"/>
    <w:rsid w:val="00082231"/>
    <w:rsid w:val="000827A6"/>
    <w:rsid w:val="00082979"/>
    <w:rsid w:val="00083635"/>
    <w:rsid w:val="00083BA5"/>
    <w:rsid w:val="00083BFD"/>
    <w:rsid w:val="00092D38"/>
    <w:rsid w:val="00093275"/>
    <w:rsid w:val="0009377B"/>
    <w:rsid w:val="0009539D"/>
    <w:rsid w:val="000A138C"/>
    <w:rsid w:val="000A148C"/>
    <w:rsid w:val="000A20C9"/>
    <w:rsid w:val="000A4089"/>
    <w:rsid w:val="000A4412"/>
    <w:rsid w:val="000A6ED5"/>
    <w:rsid w:val="000A7AD2"/>
    <w:rsid w:val="000B058F"/>
    <w:rsid w:val="000B2BD1"/>
    <w:rsid w:val="000B3BAD"/>
    <w:rsid w:val="000B3C04"/>
    <w:rsid w:val="000B3F75"/>
    <w:rsid w:val="000B4467"/>
    <w:rsid w:val="000B4DB9"/>
    <w:rsid w:val="000B5EA3"/>
    <w:rsid w:val="000B6902"/>
    <w:rsid w:val="000B6A15"/>
    <w:rsid w:val="000C09AC"/>
    <w:rsid w:val="000C2E99"/>
    <w:rsid w:val="000C4C24"/>
    <w:rsid w:val="000C75E0"/>
    <w:rsid w:val="000C767F"/>
    <w:rsid w:val="000D0A75"/>
    <w:rsid w:val="000D48F4"/>
    <w:rsid w:val="000D5A44"/>
    <w:rsid w:val="000E0D87"/>
    <w:rsid w:val="000E2B00"/>
    <w:rsid w:val="000E36EF"/>
    <w:rsid w:val="000E3ED2"/>
    <w:rsid w:val="000E465D"/>
    <w:rsid w:val="000E652E"/>
    <w:rsid w:val="000E700C"/>
    <w:rsid w:val="000F128C"/>
    <w:rsid w:val="000F1F4B"/>
    <w:rsid w:val="000F2476"/>
    <w:rsid w:val="000F27FA"/>
    <w:rsid w:val="00100D2A"/>
    <w:rsid w:val="001023C1"/>
    <w:rsid w:val="00102DFB"/>
    <w:rsid w:val="001062DB"/>
    <w:rsid w:val="00106C69"/>
    <w:rsid w:val="00107521"/>
    <w:rsid w:val="001128C1"/>
    <w:rsid w:val="0011293F"/>
    <w:rsid w:val="00112E2F"/>
    <w:rsid w:val="00113C44"/>
    <w:rsid w:val="00113F93"/>
    <w:rsid w:val="001141E0"/>
    <w:rsid w:val="0011490A"/>
    <w:rsid w:val="00114E90"/>
    <w:rsid w:val="00116E00"/>
    <w:rsid w:val="001208F5"/>
    <w:rsid w:val="00120F80"/>
    <w:rsid w:val="00121AF9"/>
    <w:rsid w:val="00123013"/>
    <w:rsid w:val="0012351C"/>
    <w:rsid w:val="00124059"/>
    <w:rsid w:val="0012596A"/>
    <w:rsid w:val="00127CD0"/>
    <w:rsid w:val="001316DC"/>
    <w:rsid w:val="00131F42"/>
    <w:rsid w:val="001330FD"/>
    <w:rsid w:val="00134782"/>
    <w:rsid w:val="00135361"/>
    <w:rsid w:val="001357F1"/>
    <w:rsid w:val="00136AFB"/>
    <w:rsid w:val="00140FA8"/>
    <w:rsid w:val="00140FE9"/>
    <w:rsid w:val="00142FEB"/>
    <w:rsid w:val="001431B3"/>
    <w:rsid w:val="00143A2D"/>
    <w:rsid w:val="00145A41"/>
    <w:rsid w:val="0014726A"/>
    <w:rsid w:val="00150B2C"/>
    <w:rsid w:val="00151675"/>
    <w:rsid w:val="001527B3"/>
    <w:rsid w:val="00153413"/>
    <w:rsid w:val="001554B1"/>
    <w:rsid w:val="00155B42"/>
    <w:rsid w:val="00157435"/>
    <w:rsid w:val="00157DF6"/>
    <w:rsid w:val="00165664"/>
    <w:rsid w:val="00167414"/>
    <w:rsid w:val="00171E90"/>
    <w:rsid w:val="0017504D"/>
    <w:rsid w:val="00175A51"/>
    <w:rsid w:val="00175A98"/>
    <w:rsid w:val="00175BCB"/>
    <w:rsid w:val="0017671A"/>
    <w:rsid w:val="00177422"/>
    <w:rsid w:val="00181B32"/>
    <w:rsid w:val="00182772"/>
    <w:rsid w:val="00182F2A"/>
    <w:rsid w:val="00184590"/>
    <w:rsid w:val="00186A82"/>
    <w:rsid w:val="001870D1"/>
    <w:rsid w:val="001871D7"/>
    <w:rsid w:val="001875BF"/>
    <w:rsid w:val="0018781E"/>
    <w:rsid w:val="001878AE"/>
    <w:rsid w:val="00187C75"/>
    <w:rsid w:val="001907FF"/>
    <w:rsid w:val="0019262D"/>
    <w:rsid w:val="00192FB5"/>
    <w:rsid w:val="001942C7"/>
    <w:rsid w:val="00194696"/>
    <w:rsid w:val="001952C5"/>
    <w:rsid w:val="001A08BB"/>
    <w:rsid w:val="001A1B35"/>
    <w:rsid w:val="001A465C"/>
    <w:rsid w:val="001A48A2"/>
    <w:rsid w:val="001A636A"/>
    <w:rsid w:val="001A6F61"/>
    <w:rsid w:val="001A74EE"/>
    <w:rsid w:val="001B02E4"/>
    <w:rsid w:val="001B4547"/>
    <w:rsid w:val="001B4B0D"/>
    <w:rsid w:val="001B508F"/>
    <w:rsid w:val="001B5439"/>
    <w:rsid w:val="001B72B8"/>
    <w:rsid w:val="001B7DA9"/>
    <w:rsid w:val="001C03D0"/>
    <w:rsid w:val="001C076C"/>
    <w:rsid w:val="001C1D8C"/>
    <w:rsid w:val="001C2756"/>
    <w:rsid w:val="001C32C5"/>
    <w:rsid w:val="001C5136"/>
    <w:rsid w:val="001C5BF3"/>
    <w:rsid w:val="001C69B3"/>
    <w:rsid w:val="001D4B9E"/>
    <w:rsid w:val="001D5595"/>
    <w:rsid w:val="001D68F4"/>
    <w:rsid w:val="001D6F5B"/>
    <w:rsid w:val="001D7874"/>
    <w:rsid w:val="001D7905"/>
    <w:rsid w:val="001D797E"/>
    <w:rsid w:val="001D7F22"/>
    <w:rsid w:val="001E0296"/>
    <w:rsid w:val="001E2FF9"/>
    <w:rsid w:val="001E3D17"/>
    <w:rsid w:val="001E6AE9"/>
    <w:rsid w:val="001F0F17"/>
    <w:rsid w:val="001F2581"/>
    <w:rsid w:val="001F3347"/>
    <w:rsid w:val="001F48BF"/>
    <w:rsid w:val="001F513A"/>
    <w:rsid w:val="001F69E4"/>
    <w:rsid w:val="00200679"/>
    <w:rsid w:val="002024B2"/>
    <w:rsid w:val="00202EB6"/>
    <w:rsid w:val="00203FD7"/>
    <w:rsid w:val="00204DFF"/>
    <w:rsid w:val="002077C5"/>
    <w:rsid w:val="00210879"/>
    <w:rsid w:val="002111F9"/>
    <w:rsid w:val="00211D17"/>
    <w:rsid w:val="002125B4"/>
    <w:rsid w:val="00213257"/>
    <w:rsid w:val="00213C2D"/>
    <w:rsid w:val="002155B8"/>
    <w:rsid w:val="0021677D"/>
    <w:rsid w:val="00216B06"/>
    <w:rsid w:val="00220263"/>
    <w:rsid w:val="00222281"/>
    <w:rsid w:val="00224839"/>
    <w:rsid w:val="002249B2"/>
    <w:rsid w:val="00224BD7"/>
    <w:rsid w:val="00226035"/>
    <w:rsid w:val="00226574"/>
    <w:rsid w:val="002278EC"/>
    <w:rsid w:val="00227A66"/>
    <w:rsid w:val="00227C1A"/>
    <w:rsid w:val="002303C5"/>
    <w:rsid w:val="00230B6C"/>
    <w:rsid w:val="0023280E"/>
    <w:rsid w:val="00236333"/>
    <w:rsid w:val="00236D73"/>
    <w:rsid w:val="002376E7"/>
    <w:rsid w:val="002377D1"/>
    <w:rsid w:val="00241A32"/>
    <w:rsid w:val="002446D0"/>
    <w:rsid w:val="00247E2A"/>
    <w:rsid w:val="002500D1"/>
    <w:rsid w:val="002506BC"/>
    <w:rsid w:val="00250D2F"/>
    <w:rsid w:val="00250EF3"/>
    <w:rsid w:val="0025132D"/>
    <w:rsid w:val="00251D23"/>
    <w:rsid w:val="002521AC"/>
    <w:rsid w:val="002538F1"/>
    <w:rsid w:val="00254345"/>
    <w:rsid w:val="0025687E"/>
    <w:rsid w:val="00257B8C"/>
    <w:rsid w:val="0026038B"/>
    <w:rsid w:val="002606B6"/>
    <w:rsid w:val="00264557"/>
    <w:rsid w:val="002648A4"/>
    <w:rsid w:val="00266204"/>
    <w:rsid w:val="002675A4"/>
    <w:rsid w:val="002677D8"/>
    <w:rsid w:val="00267AF8"/>
    <w:rsid w:val="00272847"/>
    <w:rsid w:val="00275552"/>
    <w:rsid w:val="00275D96"/>
    <w:rsid w:val="00276D8C"/>
    <w:rsid w:val="002805AB"/>
    <w:rsid w:val="00280FCB"/>
    <w:rsid w:val="00284204"/>
    <w:rsid w:val="0028520C"/>
    <w:rsid w:val="00286061"/>
    <w:rsid w:val="00287E1B"/>
    <w:rsid w:val="00291773"/>
    <w:rsid w:val="002933A6"/>
    <w:rsid w:val="002958F5"/>
    <w:rsid w:val="0029760E"/>
    <w:rsid w:val="00297BA8"/>
    <w:rsid w:val="002A00A7"/>
    <w:rsid w:val="002A02BC"/>
    <w:rsid w:val="002A168C"/>
    <w:rsid w:val="002A2485"/>
    <w:rsid w:val="002A3DC7"/>
    <w:rsid w:val="002A4F30"/>
    <w:rsid w:val="002A6300"/>
    <w:rsid w:val="002A6875"/>
    <w:rsid w:val="002A690C"/>
    <w:rsid w:val="002B3CCD"/>
    <w:rsid w:val="002B49E2"/>
    <w:rsid w:val="002B6430"/>
    <w:rsid w:val="002B7B00"/>
    <w:rsid w:val="002B7C44"/>
    <w:rsid w:val="002C0CCF"/>
    <w:rsid w:val="002C2B17"/>
    <w:rsid w:val="002C376E"/>
    <w:rsid w:val="002C6321"/>
    <w:rsid w:val="002D1547"/>
    <w:rsid w:val="002D3DD0"/>
    <w:rsid w:val="002D4589"/>
    <w:rsid w:val="002D478D"/>
    <w:rsid w:val="002D59E0"/>
    <w:rsid w:val="002D72CE"/>
    <w:rsid w:val="002E00AF"/>
    <w:rsid w:val="002E1F3A"/>
    <w:rsid w:val="002E298A"/>
    <w:rsid w:val="002E749D"/>
    <w:rsid w:val="002E76E8"/>
    <w:rsid w:val="002F039B"/>
    <w:rsid w:val="002F07FA"/>
    <w:rsid w:val="002F2501"/>
    <w:rsid w:val="002F28EF"/>
    <w:rsid w:val="002F3B33"/>
    <w:rsid w:val="002F5282"/>
    <w:rsid w:val="002F5B5C"/>
    <w:rsid w:val="002F630F"/>
    <w:rsid w:val="002F71E2"/>
    <w:rsid w:val="0030049E"/>
    <w:rsid w:val="00300D15"/>
    <w:rsid w:val="00301978"/>
    <w:rsid w:val="0030332C"/>
    <w:rsid w:val="003051C2"/>
    <w:rsid w:val="00306762"/>
    <w:rsid w:val="00311020"/>
    <w:rsid w:val="003117E1"/>
    <w:rsid w:val="00311974"/>
    <w:rsid w:val="00312296"/>
    <w:rsid w:val="00314F0E"/>
    <w:rsid w:val="0031672C"/>
    <w:rsid w:val="00317288"/>
    <w:rsid w:val="00317573"/>
    <w:rsid w:val="0032164E"/>
    <w:rsid w:val="00321D8E"/>
    <w:rsid w:val="00324968"/>
    <w:rsid w:val="00325251"/>
    <w:rsid w:val="00325928"/>
    <w:rsid w:val="00325F59"/>
    <w:rsid w:val="00327BAE"/>
    <w:rsid w:val="00330EC9"/>
    <w:rsid w:val="0033126C"/>
    <w:rsid w:val="003316D3"/>
    <w:rsid w:val="00332863"/>
    <w:rsid w:val="00332DCA"/>
    <w:rsid w:val="0033430F"/>
    <w:rsid w:val="00334C24"/>
    <w:rsid w:val="00335D29"/>
    <w:rsid w:val="0033684D"/>
    <w:rsid w:val="00337B42"/>
    <w:rsid w:val="00340C5F"/>
    <w:rsid w:val="00341B42"/>
    <w:rsid w:val="00341F82"/>
    <w:rsid w:val="003421E0"/>
    <w:rsid w:val="003431DC"/>
    <w:rsid w:val="0034348F"/>
    <w:rsid w:val="00345E4B"/>
    <w:rsid w:val="00345FA6"/>
    <w:rsid w:val="00347133"/>
    <w:rsid w:val="00350020"/>
    <w:rsid w:val="00352BAC"/>
    <w:rsid w:val="003564EA"/>
    <w:rsid w:val="00356653"/>
    <w:rsid w:val="00356941"/>
    <w:rsid w:val="0035743F"/>
    <w:rsid w:val="00357BE2"/>
    <w:rsid w:val="0036170C"/>
    <w:rsid w:val="00363C05"/>
    <w:rsid w:val="00363EB1"/>
    <w:rsid w:val="00365FEB"/>
    <w:rsid w:val="00366A80"/>
    <w:rsid w:val="00366E0F"/>
    <w:rsid w:val="00367729"/>
    <w:rsid w:val="00367D3A"/>
    <w:rsid w:val="00371787"/>
    <w:rsid w:val="0037191C"/>
    <w:rsid w:val="00373147"/>
    <w:rsid w:val="003744E8"/>
    <w:rsid w:val="00374BDA"/>
    <w:rsid w:val="0037535F"/>
    <w:rsid w:val="00375FA0"/>
    <w:rsid w:val="0037667A"/>
    <w:rsid w:val="0038063F"/>
    <w:rsid w:val="0038079F"/>
    <w:rsid w:val="00381A72"/>
    <w:rsid w:val="00382131"/>
    <w:rsid w:val="00383ACF"/>
    <w:rsid w:val="00384676"/>
    <w:rsid w:val="00385E3D"/>
    <w:rsid w:val="00387F60"/>
    <w:rsid w:val="003904A3"/>
    <w:rsid w:val="00390857"/>
    <w:rsid w:val="003934CA"/>
    <w:rsid w:val="00394535"/>
    <w:rsid w:val="003953AF"/>
    <w:rsid w:val="003A1209"/>
    <w:rsid w:val="003A137F"/>
    <w:rsid w:val="003A164E"/>
    <w:rsid w:val="003A1AB7"/>
    <w:rsid w:val="003A20B4"/>
    <w:rsid w:val="003A4BF3"/>
    <w:rsid w:val="003A624A"/>
    <w:rsid w:val="003B087B"/>
    <w:rsid w:val="003B15EB"/>
    <w:rsid w:val="003B19ED"/>
    <w:rsid w:val="003B23FF"/>
    <w:rsid w:val="003B2CE1"/>
    <w:rsid w:val="003B3566"/>
    <w:rsid w:val="003B420D"/>
    <w:rsid w:val="003B4C08"/>
    <w:rsid w:val="003B523D"/>
    <w:rsid w:val="003B542E"/>
    <w:rsid w:val="003B544B"/>
    <w:rsid w:val="003B6731"/>
    <w:rsid w:val="003B7597"/>
    <w:rsid w:val="003C0BBF"/>
    <w:rsid w:val="003C2221"/>
    <w:rsid w:val="003C3123"/>
    <w:rsid w:val="003C3AA6"/>
    <w:rsid w:val="003C6C16"/>
    <w:rsid w:val="003C7BC4"/>
    <w:rsid w:val="003C7C02"/>
    <w:rsid w:val="003D0727"/>
    <w:rsid w:val="003D0CDA"/>
    <w:rsid w:val="003D48F9"/>
    <w:rsid w:val="003D65B1"/>
    <w:rsid w:val="003D794D"/>
    <w:rsid w:val="003D7A72"/>
    <w:rsid w:val="003E2B03"/>
    <w:rsid w:val="003E3058"/>
    <w:rsid w:val="003E3178"/>
    <w:rsid w:val="003E76A9"/>
    <w:rsid w:val="003E76C7"/>
    <w:rsid w:val="003F0809"/>
    <w:rsid w:val="003F108E"/>
    <w:rsid w:val="003F1AED"/>
    <w:rsid w:val="003F2389"/>
    <w:rsid w:val="003F3D5B"/>
    <w:rsid w:val="003F4A43"/>
    <w:rsid w:val="003F57EB"/>
    <w:rsid w:val="003F6A8C"/>
    <w:rsid w:val="003F71DC"/>
    <w:rsid w:val="003F755C"/>
    <w:rsid w:val="0040229D"/>
    <w:rsid w:val="00406F01"/>
    <w:rsid w:val="00411112"/>
    <w:rsid w:val="0041216B"/>
    <w:rsid w:val="00413339"/>
    <w:rsid w:val="00414DA9"/>
    <w:rsid w:val="00414EED"/>
    <w:rsid w:val="00414F75"/>
    <w:rsid w:val="00415369"/>
    <w:rsid w:val="00415766"/>
    <w:rsid w:val="00416D50"/>
    <w:rsid w:val="00416FD5"/>
    <w:rsid w:val="00417772"/>
    <w:rsid w:val="00420E6A"/>
    <w:rsid w:val="004215F3"/>
    <w:rsid w:val="00424DC9"/>
    <w:rsid w:val="00425A9E"/>
    <w:rsid w:val="0042677C"/>
    <w:rsid w:val="00426D6B"/>
    <w:rsid w:val="004278B2"/>
    <w:rsid w:val="004303BE"/>
    <w:rsid w:val="00430785"/>
    <w:rsid w:val="00431E6C"/>
    <w:rsid w:val="00432717"/>
    <w:rsid w:val="00432A4F"/>
    <w:rsid w:val="00433AB5"/>
    <w:rsid w:val="00433CE7"/>
    <w:rsid w:val="00436CD4"/>
    <w:rsid w:val="00436FF2"/>
    <w:rsid w:val="00437650"/>
    <w:rsid w:val="00440B3F"/>
    <w:rsid w:val="00441BE7"/>
    <w:rsid w:val="0044245C"/>
    <w:rsid w:val="00444255"/>
    <w:rsid w:val="00445F17"/>
    <w:rsid w:val="00447FF6"/>
    <w:rsid w:val="00450BA4"/>
    <w:rsid w:val="00452738"/>
    <w:rsid w:val="004529A5"/>
    <w:rsid w:val="00452B66"/>
    <w:rsid w:val="00454566"/>
    <w:rsid w:val="00456091"/>
    <w:rsid w:val="00456C13"/>
    <w:rsid w:val="00456F80"/>
    <w:rsid w:val="00460250"/>
    <w:rsid w:val="00460BA8"/>
    <w:rsid w:val="00464084"/>
    <w:rsid w:val="004648E2"/>
    <w:rsid w:val="00464C69"/>
    <w:rsid w:val="0046518D"/>
    <w:rsid w:val="00466321"/>
    <w:rsid w:val="004675E3"/>
    <w:rsid w:val="004708A9"/>
    <w:rsid w:val="0047128A"/>
    <w:rsid w:val="00471D7E"/>
    <w:rsid w:val="004738C5"/>
    <w:rsid w:val="0047503B"/>
    <w:rsid w:val="004757D4"/>
    <w:rsid w:val="00481734"/>
    <w:rsid w:val="0048211D"/>
    <w:rsid w:val="0048428D"/>
    <w:rsid w:val="00484B9B"/>
    <w:rsid w:val="004855F6"/>
    <w:rsid w:val="004860A8"/>
    <w:rsid w:val="0048661E"/>
    <w:rsid w:val="00490EA0"/>
    <w:rsid w:val="00494670"/>
    <w:rsid w:val="0049532C"/>
    <w:rsid w:val="004954AE"/>
    <w:rsid w:val="00496511"/>
    <w:rsid w:val="004975A6"/>
    <w:rsid w:val="00497EE7"/>
    <w:rsid w:val="004A3823"/>
    <w:rsid w:val="004A4321"/>
    <w:rsid w:val="004A5748"/>
    <w:rsid w:val="004A5F01"/>
    <w:rsid w:val="004A65A5"/>
    <w:rsid w:val="004A6C18"/>
    <w:rsid w:val="004A6E52"/>
    <w:rsid w:val="004B0046"/>
    <w:rsid w:val="004B151C"/>
    <w:rsid w:val="004B1B09"/>
    <w:rsid w:val="004B4AF6"/>
    <w:rsid w:val="004B608D"/>
    <w:rsid w:val="004B6FD1"/>
    <w:rsid w:val="004C0C6C"/>
    <w:rsid w:val="004C1BF0"/>
    <w:rsid w:val="004C204D"/>
    <w:rsid w:val="004C213E"/>
    <w:rsid w:val="004C28A9"/>
    <w:rsid w:val="004C3F91"/>
    <w:rsid w:val="004C4644"/>
    <w:rsid w:val="004C4B42"/>
    <w:rsid w:val="004C58F5"/>
    <w:rsid w:val="004C5BAD"/>
    <w:rsid w:val="004C6A66"/>
    <w:rsid w:val="004C6AF7"/>
    <w:rsid w:val="004D0AE8"/>
    <w:rsid w:val="004D4055"/>
    <w:rsid w:val="004D550D"/>
    <w:rsid w:val="004D5A13"/>
    <w:rsid w:val="004D7870"/>
    <w:rsid w:val="004D79A5"/>
    <w:rsid w:val="004E01CA"/>
    <w:rsid w:val="004E0462"/>
    <w:rsid w:val="004E0ACB"/>
    <w:rsid w:val="004E0B15"/>
    <w:rsid w:val="004E143E"/>
    <w:rsid w:val="004E194A"/>
    <w:rsid w:val="004E245C"/>
    <w:rsid w:val="004E3C18"/>
    <w:rsid w:val="004E3CE2"/>
    <w:rsid w:val="004E3DC2"/>
    <w:rsid w:val="004E6946"/>
    <w:rsid w:val="004F0A95"/>
    <w:rsid w:val="004F1AD8"/>
    <w:rsid w:val="004F2065"/>
    <w:rsid w:val="004F4102"/>
    <w:rsid w:val="004F4E01"/>
    <w:rsid w:val="004F5C08"/>
    <w:rsid w:val="0050112F"/>
    <w:rsid w:val="0050342C"/>
    <w:rsid w:val="005039CB"/>
    <w:rsid w:val="00504AC4"/>
    <w:rsid w:val="00504AE1"/>
    <w:rsid w:val="005050BF"/>
    <w:rsid w:val="005050C2"/>
    <w:rsid w:val="0050558F"/>
    <w:rsid w:val="00505595"/>
    <w:rsid w:val="00506286"/>
    <w:rsid w:val="005067EE"/>
    <w:rsid w:val="0050693E"/>
    <w:rsid w:val="00506C62"/>
    <w:rsid w:val="0050716B"/>
    <w:rsid w:val="005074A4"/>
    <w:rsid w:val="00510813"/>
    <w:rsid w:val="00510B06"/>
    <w:rsid w:val="00511990"/>
    <w:rsid w:val="00511DE0"/>
    <w:rsid w:val="00514870"/>
    <w:rsid w:val="00514B9B"/>
    <w:rsid w:val="00515959"/>
    <w:rsid w:val="00515C0A"/>
    <w:rsid w:val="0051717E"/>
    <w:rsid w:val="0051753E"/>
    <w:rsid w:val="00517F02"/>
    <w:rsid w:val="00520EF8"/>
    <w:rsid w:val="00524303"/>
    <w:rsid w:val="00525554"/>
    <w:rsid w:val="005258A2"/>
    <w:rsid w:val="0052644A"/>
    <w:rsid w:val="00526A44"/>
    <w:rsid w:val="00530C67"/>
    <w:rsid w:val="00532A21"/>
    <w:rsid w:val="00533288"/>
    <w:rsid w:val="00534938"/>
    <w:rsid w:val="00536751"/>
    <w:rsid w:val="00537411"/>
    <w:rsid w:val="005377F7"/>
    <w:rsid w:val="005401AE"/>
    <w:rsid w:val="00540FF5"/>
    <w:rsid w:val="00541339"/>
    <w:rsid w:val="00542268"/>
    <w:rsid w:val="00542E07"/>
    <w:rsid w:val="00543C62"/>
    <w:rsid w:val="00545424"/>
    <w:rsid w:val="00546800"/>
    <w:rsid w:val="005479CA"/>
    <w:rsid w:val="00547BD3"/>
    <w:rsid w:val="0055173F"/>
    <w:rsid w:val="005533A2"/>
    <w:rsid w:val="00553C14"/>
    <w:rsid w:val="00554A7B"/>
    <w:rsid w:val="0055572C"/>
    <w:rsid w:val="0056106A"/>
    <w:rsid w:val="00561126"/>
    <w:rsid w:val="0056143C"/>
    <w:rsid w:val="00562381"/>
    <w:rsid w:val="00563767"/>
    <w:rsid w:val="005639DB"/>
    <w:rsid w:val="0056419A"/>
    <w:rsid w:val="00564B37"/>
    <w:rsid w:val="005651CD"/>
    <w:rsid w:val="00565424"/>
    <w:rsid w:val="005667E6"/>
    <w:rsid w:val="005679D1"/>
    <w:rsid w:val="00567AB9"/>
    <w:rsid w:val="005706B8"/>
    <w:rsid w:val="005720AE"/>
    <w:rsid w:val="00572A15"/>
    <w:rsid w:val="00580812"/>
    <w:rsid w:val="00580D6E"/>
    <w:rsid w:val="00580DF3"/>
    <w:rsid w:val="005849E2"/>
    <w:rsid w:val="00585C54"/>
    <w:rsid w:val="00586954"/>
    <w:rsid w:val="00591C9C"/>
    <w:rsid w:val="00592F40"/>
    <w:rsid w:val="00594CBC"/>
    <w:rsid w:val="00594D77"/>
    <w:rsid w:val="005969E4"/>
    <w:rsid w:val="00597A84"/>
    <w:rsid w:val="005A06B7"/>
    <w:rsid w:val="005A1759"/>
    <w:rsid w:val="005A3F7F"/>
    <w:rsid w:val="005A4156"/>
    <w:rsid w:val="005A49CF"/>
    <w:rsid w:val="005A59FF"/>
    <w:rsid w:val="005A68A7"/>
    <w:rsid w:val="005B0B45"/>
    <w:rsid w:val="005B18F1"/>
    <w:rsid w:val="005B62E8"/>
    <w:rsid w:val="005B64AA"/>
    <w:rsid w:val="005B6BA3"/>
    <w:rsid w:val="005B7B57"/>
    <w:rsid w:val="005C0109"/>
    <w:rsid w:val="005C07A7"/>
    <w:rsid w:val="005C162B"/>
    <w:rsid w:val="005C1B15"/>
    <w:rsid w:val="005C48AC"/>
    <w:rsid w:val="005C54D5"/>
    <w:rsid w:val="005C573C"/>
    <w:rsid w:val="005C59F9"/>
    <w:rsid w:val="005C623F"/>
    <w:rsid w:val="005C785D"/>
    <w:rsid w:val="005C7FC5"/>
    <w:rsid w:val="005D36AB"/>
    <w:rsid w:val="005D471D"/>
    <w:rsid w:val="005D5E2F"/>
    <w:rsid w:val="005D64C9"/>
    <w:rsid w:val="005D6C20"/>
    <w:rsid w:val="005E0BB0"/>
    <w:rsid w:val="005E399C"/>
    <w:rsid w:val="005E3A52"/>
    <w:rsid w:val="005E414D"/>
    <w:rsid w:val="005E5395"/>
    <w:rsid w:val="005F0025"/>
    <w:rsid w:val="005F30AE"/>
    <w:rsid w:val="005F3897"/>
    <w:rsid w:val="005F3F85"/>
    <w:rsid w:val="005F4E65"/>
    <w:rsid w:val="005F5662"/>
    <w:rsid w:val="005F72FF"/>
    <w:rsid w:val="00601262"/>
    <w:rsid w:val="006014BB"/>
    <w:rsid w:val="006026F4"/>
    <w:rsid w:val="00603F82"/>
    <w:rsid w:val="00604281"/>
    <w:rsid w:val="00605AA2"/>
    <w:rsid w:val="00605DC6"/>
    <w:rsid w:val="0060771C"/>
    <w:rsid w:val="00607B92"/>
    <w:rsid w:val="00613DD1"/>
    <w:rsid w:val="00614FF1"/>
    <w:rsid w:val="00615754"/>
    <w:rsid w:val="00616278"/>
    <w:rsid w:val="00617448"/>
    <w:rsid w:val="00617CC3"/>
    <w:rsid w:val="00620890"/>
    <w:rsid w:val="0062132B"/>
    <w:rsid w:val="00622DBB"/>
    <w:rsid w:val="00625139"/>
    <w:rsid w:val="00630307"/>
    <w:rsid w:val="00631473"/>
    <w:rsid w:val="00633F4C"/>
    <w:rsid w:val="00634B55"/>
    <w:rsid w:val="006377A6"/>
    <w:rsid w:val="00637A3D"/>
    <w:rsid w:val="00640508"/>
    <w:rsid w:val="006411EF"/>
    <w:rsid w:val="006419B1"/>
    <w:rsid w:val="00641A78"/>
    <w:rsid w:val="00643100"/>
    <w:rsid w:val="00643AEA"/>
    <w:rsid w:val="00643F8B"/>
    <w:rsid w:val="00643F9B"/>
    <w:rsid w:val="00644D42"/>
    <w:rsid w:val="006458AD"/>
    <w:rsid w:val="006478DC"/>
    <w:rsid w:val="006528B7"/>
    <w:rsid w:val="00652F67"/>
    <w:rsid w:val="00660202"/>
    <w:rsid w:val="00661B0D"/>
    <w:rsid w:val="00661F39"/>
    <w:rsid w:val="00662305"/>
    <w:rsid w:val="00662D74"/>
    <w:rsid w:val="006657B2"/>
    <w:rsid w:val="00665D4D"/>
    <w:rsid w:val="006666A4"/>
    <w:rsid w:val="0067090C"/>
    <w:rsid w:val="00671C3C"/>
    <w:rsid w:val="00671E68"/>
    <w:rsid w:val="00672E37"/>
    <w:rsid w:val="006748B8"/>
    <w:rsid w:val="00675A18"/>
    <w:rsid w:val="006761D2"/>
    <w:rsid w:val="006775C3"/>
    <w:rsid w:val="006829D6"/>
    <w:rsid w:val="0069290A"/>
    <w:rsid w:val="00693706"/>
    <w:rsid w:val="00693AAD"/>
    <w:rsid w:val="00695971"/>
    <w:rsid w:val="006961C1"/>
    <w:rsid w:val="00696D5A"/>
    <w:rsid w:val="0069775A"/>
    <w:rsid w:val="00697813"/>
    <w:rsid w:val="006A105B"/>
    <w:rsid w:val="006A211E"/>
    <w:rsid w:val="006A25E5"/>
    <w:rsid w:val="006A3EE8"/>
    <w:rsid w:val="006A40D5"/>
    <w:rsid w:val="006A5AE4"/>
    <w:rsid w:val="006A64A2"/>
    <w:rsid w:val="006A72BF"/>
    <w:rsid w:val="006B03F2"/>
    <w:rsid w:val="006B1CCF"/>
    <w:rsid w:val="006B290D"/>
    <w:rsid w:val="006B328D"/>
    <w:rsid w:val="006B37DC"/>
    <w:rsid w:val="006B4F68"/>
    <w:rsid w:val="006B511F"/>
    <w:rsid w:val="006C0592"/>
    <w:rsid w:val="006C1A15"/>
    <w:rsid w:val="006C2014"/>
    <w:rsid w:val="006C272E"/>
    <w:rsid w:val="006C34A4"/>
    <w:rsid w:val="006C5479"/>
    <w:rsid w:val="006C57F3"/>
    <w:rsid w:val="006C582B"/>
    <w:rsid w:val="006C68FD"/>
    <w:rsid w:val="006D13B5"/>
    <w:rsid w:val="006D1D85"/>
    <w:rsid w:val="006D2349"/>
    <w:rsid w:val="006D5745"/>
    <w:rsid w:val="006D7162"/>
    <w:rsid w:val="006D7C7F"/>
    <w:rsid w:val="006E12FF"/>
    <w:rsid w:val="006E477B"/>
    <w:rsid w:val="006E5032"/>
    <w:rsid w:val="006E607E"/>
    <w:rsid w:val="006E6C53"/>
    <w:rsid w:val="006F078A"/>
    <w:rsid w:val="007009AA"/>
    <w:rsid w:val="00701A7B"/>
    <w:rsid w:val="007039B3"/>
    <w:rsid w:val="00705B3C"/>
    <w:rsid w:val="00705F02"/>
    <w:rsid w:val="00706C5D"/>
    <w:rsid w:val="00707D88"/>
    <w:rsid w:val="007104AD"/>
    <w:rsid w:val="00710ADB"/>
    <w:rsid w:val="00710E9D"/>
    <w:rsid w:val="007116D4"/>
    <w:rsid w:val="00714797"/>
    <w:rsid w:val="00717C63"/>
    <w:rsid w:val="00717FBA"/>
    <w:rsid w:val="00722A0A"/>
    <w:rsid w:val="00723027"/>
    <w:rsid w:val="00723ED5"/>
    <w:rsid w:val="00725124"/>
    <w:rsid w:val="00727478"/>
    <w:rsid w:val="00730EAB"/>
    <w:rsid w:val="00732922"/>
    <w:rsid w:val="0073713D"/>
    <w:rsid w:val="00737210"/>
    <w:rsid w:val="00740324"/>
    <w:rsid w:val="00744922"/>
    <w:rsid w:val="007470BD"/>
    <w:rsid w:val="00747103"/>
    <w:rsid w:val="0075162E"/>
    <w:rsid w:val="00754034"/>
    <w:rsid w:val="00755471"/>
    <w:rsid w:val="00755F2A"/>
    <w:rsid w:val="007562DA"/>
    <w:rsid w:val="00756556"/>
    <w:rsid w:val="0075702F"/>
    <w:rsid w:val="007606CE"/>
    <w:rsid w:val="0076105A"/>
    <w:rsid w:val="007618C4"/>
    <w:rsid w:val="007667D1"/>
    <w:rsid w:val="00767980"/>
    <w:rsid w:val="00767C51"/>
    <w:rsid w:val="00770B19"/>
    <w:rsid w:val="00773AEA"/>
    <w:rsid w:val="00773E99"/>
    <w:rsid w:val="0077463F"/>
    <w:rsid w:val="00775904"/>
    <w:rsid w:val="007836EA"/>
    <w:rsid w:val="00784199"/>
    <w:rsid w:val="00784CDA"/>
    <w:rsid w:val="007875EB"/>
    <w:rsid w:val="007906C4"/>
    <w:rsid w:val="00790ACA"/>
    <w:rsid w:val="00792387"/>
    <w:rsid w:val="007940EA"/>
    <w:rsid w:val="0079671A"/>
    <w:rsid w:val="007967E8"/>
    <w:rsid w:val="007A12E3"/>
    <w:rsid w:val="007A2170"/>
    <w:rsid w:val="007A22BF"/>
    <w:rsid w:val="007A2FBF"/>
    <w:rsid w:val="007A3323"/>
    <w:rsid w:val="007A7235"/>
    <w:rsid w:val="007A74D1"/>
    <w:rsid w:val="007B276E"/>
    <w:rsid w:val="007B4F1F"/>
    <w:rsid w:val="007B6F99"/>
    <w:rsid w:val="007B72B8"/>
    <w:rsid w:val="007B73A8"/>
    <w:rsid w:val="007B7A58"/>
    <w:rsid w:val="007C21B5"/>
    <w:rsid w:val="007C4526"/>
    <w:rsid w:val="007C57CD"/>
    <w:rsid w:val="007C5830"/>
    <w:rsid w:val="007C65CF"/>
    <w:rsid w:val="007C7459"/>
    <w:rsid w:val="007C7B4C"/>
    <w:rsid w:val="007D001F"/>
    <w:rsid w:val="007D0D79"/>
    <w:rsid w:val="007D1B9C"/>
    <w:rsid w:val="007D2485"/>
    <w:rsid w:val="007D4523"/>
    <w:rsid w:val="007D7D4E"/>
    <w:rsid w:val="007E3402"/>
    <w:rsid w:val="007E4A23"/>
    <w:rsid w:val="007E4BD2"/>
    <w:rsid w:val="007E5D68"/>
    <w:rsid w:val="007E6665"/>
    <w:rsid w:val="007E6952"/>
    <w:rsid w:val="007F2637"/>
    <w:rsid w:val="007F4AE5"/>
    <w:rsid w:val="007F675A"/>
    <w:rsid w:val="007F6F82"/>
    <w:rsid w:val="007F72A7"/>
    <w:rsid w:val="007F73C6"/>
    <w:rsid w:val="007F740F"/>
    <w:rsid w:val="007F7486"/>
    <w:rsid w:val="0080126B"/>
    <w:rsid w:val="00801393"/>
    <w:rsid w:val="00802F88"/>
    <w:rsid w:val="008105DA"/>
    <w:rsid w:val="00811F94"/>
    <w:rsid w:val="00812106"/>
    <w:rsid w:val="0081293E"/>
    <w:rsid w:val="00812EF3"/>
    <w:rsid w:val="0081377D"/>
    <w:rsid w:val="00814BE2"/>
    <w:rsid w:val="00814C55"/>
    <w:rsid w:val="00815465"/>
    <w:rsid w:val="00815988"/>
    <w:rsid w:val="00817E9A"/>
    <w:rsid w:val="00820099"/>
    <w:rsid w:val="00825342"/>
    <w:rsid w:val="00827B53"/>
    <w:rsid w:val="00827F37"/>
    <w:rsid w:val="008306BD"/>
    <w:rsid w:val="00831A80"/>
    <w:rsid w:val="00831BEF"/>
    <w:rsid w:val="008335BF"/>
    <w:rsid w:val="00833743"/>
    <w:rsid w:val="008340A4"/>
    <w:rsid w:val="0083737D"/>
    <w:rsid w:val="008427BE"/>
    <w:rsid w:val="00844865"/>
    <w:rsid w:val="008464CD"/>
    <w:rsid w:val="008502F9"/>
    <w:rsid w:val="008518DF"/>
    <w:rsid w:val="00851A6A"/>
    <w:rsid w:val="00851D78"/>
    <w:rsid w:val="00852623"/>
    <w:rsid w:val="0085305C"/>
    <w:rsid w:val="00855E7F"/>
    <w:rsid w:val="00856BB8"/>
    <w:rsid w:val="008570BE"/>
    <w:rsid w:val="0086310F"/>
    <w:rsid w:val="0086670F"/>
    <w:rsid w:val="00867C65"/>
    <w:rsid w:val="00870F3D"/>
    <w:rsid w:val="0087135F"/>
    <w:rsid w:val="00871445"/>
    <w:rsid w:val="008729AF"/>
    <w:rsid w:val="00872D94"/>
    <w:rsid w:val="00874621"/>
    <w:rsid w:val="00874C0C"/>
    <w:rsid w:val="00875F5F"/>
    <w:rsid w:val="00876A66"/>
    <w:rsid w:val="00877D32"/>
    <w:rsid w:val="00880364"/>
    <w:rsid w:val="00880B94"/>
    <w:rsid w:val="00885597"/>
    <w:rsid w:val="008865EE"/>
    <w:rsid w:val="00890B2E"/>
    <w:rsid w:val="00891592"/>
    <w:rsid w:val="00891E9E"/>
    <w:rsid w:val="008945C1"/>
    <w:rsid w:val="008A11AE"/>
    <w:rsid w:val="008A17CC"/>
    <w:rsid w:val="008A2219"/>
    <w:rsid w:val="008A2F68"/>
    <w:rsid w:val="008A2FE9"/>
    <w:rsid w:val="008A4033"/>
    <w:rsid w:val="008A417F"/>
    <w:rsid w:val="008A532B"/>
    <w:rsid w:val="008A53DB"/>
    <w:rsid w:val="008A69A9"/>
    <w:rsid w:val="008A7670"/>
    <w:rsid w:val="008B018A"/>
    <w:rsid w:val="008B0EE1"/>
    <w:rsid w:val="008B120C"/>
    <w:rsid w:val="008B151C"/>
    <w:rsid w:val="008B1AAD"/>
    <w:rsid w:val="008B394E"/>
    <w:rsid w:val="008B4D7F"/>
    <w:rsid w:val="008B4FA6"/>
    <w:rsid w:val="008B5282"/>
    <w:rsid w:val="008B7A28"/>
    <w:rsid w:val="008B7C17"/>
    <w:rsid w:val="008C0203"/>
    <w:rsid w:val="008C02B2"/>
    <w:rsid w:val="008C09B5"/>
    <w:rsid w:val="008C11C1"/>
    <w:rsid w:val="008C2D01"/>
    <w:rsid w:val="008C40E6"/>
    <w:rsid w:val="008C52E9"/>
    <w:rsid w:val="008C6EC0"/>
    <w:rsid w:val="008C70DB"/>
    <w:rsid w:val="008C7B42"/>
    <w:rsid w:val="008C7F11"/>
    <w:rsid w:val="008D0F7A"/>
    <w:rsid w:val="008D1DAF"/>
    <w:rsid w:val="008D3074"/>
    <w:rsid w:val="008D68E4"/>
    <w:rsid w:val="008E04DF"/>
    <w:rsid w:val="008E0506"/>
    <w:rsid w:val="008E0CFF"/>
    <w:rsid w:val="008E13CB"/>
    <w:rsid w:val="008E18A0"/>
    <w:rsid w:val="008E43B9"/>
    <w:rsid w:val="008E5BB9"/>
    <w:rsid w:val="008E5D6B"/>
    <w:rsid w:val="008E76F0"/>
    <w:rsid w:val="008E7E96"/>
    <w:rsid w:val="008F15FE"/>
    <w:rsid w:val="008F1C9C"/>
    <w:rsid w:val="008F2258"/>
    <w:rsid w:val="008F2300"/>
    <w:rsid w:val="008F2D29"/>
    <w:rsid w:val="008F5187"/>
    <w:rsid w:val="008F60D8"/>
    <w:rsid w:val="008F7412"/>
    <w:rsid w:val="008F76DD"/>
    <w:rsid w:val="009008F7"/>
    <w:rsid w:val="00900E52"/>
    <w:rsid w:val="009019DE"/>
    <w:rsid w:val="00901B09"/>
    <w:rsid w:val="009022F9"/>
    <w:rsid w:val="00902727"/>
    <w:rsid w:val="0090312B"/>
    <w:rsid w:val="00905485"/>
    <w:rsid w:val="00906ADB"/>
    <w:rsid w:val="00913233"/>
    <w:rsid w:val="0091551B"/>
    <w:rsid w:val="0091736D"/>
    <w:rsid w:val="00920DEE"/>
    <w:rsid w:val="00924280"/>
    <w:rsid w:val="00926471"/>
    <w:rsid w:val="0093037A"/>
    <w:rsid w:val="00934B2B"/>
    <w:rsid w:val="00934CC7"/>
    <w:rsid w:val="009356E1"/>
    <w:rsid w:val="009369DD"/>
    <w:rsid w:val="0094154D"/>
    <w:rsid w:val="00942B81"/>
    <w:rsid w:val="009458C3"/>
    <w:rsid w:val="00947247"/>
    <w:rsid w:val="0095075F"/>
    <w:rsid w:val="0095155F"/>
    <w:rsid w:val="009517EB"/>
    <w:rsid w:val="00952054"/>
    <w:rsid w:val="00952368"/>
    <w:rsid w:val="00953C3B"/>
    <w:rsid w:val="00954429"/>
    <w:rsid w:val="009563CE"/>
    <w:rsid w:val="009566EA"/>
    <w:rsid w:val="009567B7"/>
    <w:rsid w:val="00965B75"/>
    <w:rsid w:val="009664EE"/>
    <w:rsid w:val="00967F2D"/>
    <w:rsid w:val="00970B5B"/>
    <w:rsid w:val="00973C35"/>
    <w:rsid w:val="00976060"/>
    <w:rsid w:val="00976328"/>
    <w:rsid w:val="0097680D"/>
    <w:rsid w:val="0097795D"/>
    <w:rsid w:val="00981276"/>
    <w:rsid w:val="00982438"/>
    <w:rsid w:val="0098404C"/>
    <w:rsid w:val="00985283"/>
    <w:rsid w:val="00985D4A"/>
    <w:rsid w:val="0098721E"/>
    <w:rsid w:val="00991028"/>
    <w:rsid w:val="00992DA3"/>
    <w:rsid w:val="00993B7E"/>
    <w:rsid w:val="009940C5"/>
    <w:rsid w:val="00995992"/>
    <w:rsid w:val="009A03E5"/>
    <w:rsid w:val="009A0F3B"/>
    <w:rsid w:val="009A13BD"/>
    <w:rsid w:val="009A1BB4"/>
    <w:rsid w:val="009A2072"/>
    <w:rsid w:val="009A2488"/>
    <w:rsid w:val="009A2628"/>
    <w:rsid w:val="009A27E3"/>
    <w:rsid w:val="009A3200"/>
    <w:rsid w:val="009A6A94"/>
    <w:rsid w:val="009A79F8"/>
    <w:rsid w:val="009B066F"/>
    <w:rsid w:val="009B0897"/>
    <w:rsid w:val="009B2325"/>
    <w:rsid w:val="009B2ECB"/>
    <w:rsid w:val="009B425A"/>
    <w:rsid w:val="009B4A22"/>
    <w:rsid w:val="009B5701"/>
    <w:rsid w:val="009B7BD9"/>
    <w:rsid w:val="009C0069"/>
    <w:rsid w:val="009C14D5"/>
    <w:rsid w:val="009C33CC"/>
    <w:rsid w:val="009C3DCB"/>
    <w:rsid w:val="009C7DD5"/>
    <w:rsid w:val="009C7FF9"/>
    <w:rsid w:val="009D1DF4"/>
    <w:rsid w:val="009D5A91"/>
    <w:rsid w:val="009D6F3B"/>
    <w:rsid w:val="009D7C60"/>
    <w:rsid w:val="009E0DCD"/>
    <w:rsid w:val="009E227D"/>
    <w:rsid w:val="009E2F16"/>
    <w:rsid w:val="009E3502"/>
    <w:rsid w:val="009E3C47"/>
    <w:rsid w:val="009E3DCD"/>
    <w:rsid w:val="009E450C"/>
    <w:rsid w:val="009E5019"/>
    <w:rsid w:val="009E54FC"/>
    <w:rsid w:val="009E701E"/>
    <w:rsid w:val="009F385A"/>
    <w:rsid w:val="009F3FBE"/>
    <w:rsid w:val="009F4F89"/>
    <w:rsid w:val="009F5E94"/>
    <w:rsid w:val="009F792E"/>
    <w:rsid w:val="00A01459"/>
    <w:rsid w:val="00A016B6"/>
    <w:rsid w:val="00A03DFD"/>
    <w:rsid w:val="00A04472"/>
    <w:rsid w:val="00A04F1B"/>
    <w:rsid w:val="00A0501B"/>
    <w:rsid w:val="00A05FB7"/>
    <w:rsid w:val="00A0784E"/>
    <w:rsid w:val="00A10901"/>
    <w:rsid w:val="00A111A1"/>
    <w:rsid w:val="00A13347"/>
    <w:rsid w:val="00A13FDD"/>
    <w:rsid w:val="00A14006"/>
    <w:rsid w:val="00A14034"/>
    <w:rsid w:val="00A14458"/>
    <w:rsid w:val="00A14947"/>
    <w:rsid w:val="00A17C9D"/>
    <w:rsid w:val="00A21074"/>
    <w:rsid w:val="00A22779"/>
    <w:rsid w:val="00A24700"/>
    <w:rsid w:val="00A24CA6"/>
    <w:rsid w:val="00A2548B"/>
    <w:rsid w:val="00A25805"/>
    <w:rsid w:val="00A31908"/>
    <w:rsid w:val="00A31B6C"/>
    <w:rsid w:val="00A32A83"/>
    <w:rsid w:val="00A3312D"/>
    <w:rsid w:val="00A34E6B"/>
    <w:rsid w:val="00A34F3B"/>
    <w:rsid w:val="00A3520D"/>
    <w:rsid w:val="00A35A56"/>
    <w:rsid w:val="00A35B20"/>
    <w:rsid w:val="00A363AF"/>
    <w:rsid w:val="00A368DB"/>
    <w:rsid w:val="00A41E17"/>
    <w:rsid w:val="00A423AA"/>
    <w:rsid w:val="00A44606"/>
    <w:rsid w:val="00A454BE"/>
    <w:rsid w:val="00A46A43"/>
    <w:rsid w:val="00A514B4"/>
    <w:rsid w:val="00A516CF"/>
    <w:rsid w:val="00A53EC6"/>
    <w:rsid w:val="00A54787"/>
    <w:rsid w:val="00A5563B"/>
    <w:rsid w:val="00A55B88"/>
    <w:rsid w:val="00A55C0F"/>
    <w:rsid w:val="00A57B75"/>
    <w:rsid w:val="00A61E7A"/>
    <w:rsid w:val="00A666CB"/>
    <w:rsid w:val="00A67294"/>
    <w:rsid w:val="00A7199F"/>
    <w:rsid w:val="00A73B17"/>
    <w:rsid w:val="00A75339"/>
    <w:rsid w:val="00A765C8"/>
    <w:rsid w:val="00A77227"/>
    <w:rsid w:val="00A813FE"/>
    <w:rsid w:val="00A829B2"/>
    <w:rsid w:val="00A82AA7"/>
    <w:rsid w:val="00A847B4"/>
    <w:rsid w:val="00A84AF2"/>
    <w:rsid w:val="00A850CB"/>
    <w:rsid w:val="00A852C5"/>
    <w:rsid w:val="00A8713F"/>
    <w:rsid w:val="00A87978"/>
    <w:rsid w:val="00A90AB2"/>
    <w:rsid w:val="00A90BA1"/>
    <w:rsid w:val="00A92C49"/>
    <w:rsid w:val="00A93650"/>
    <w:rsid w:val="00A93757"/>
    <w:rsid w:val="00A94C6B"/>
    <w:rsid w:val="00A96068"/>
    <w:rsid w:val="00A9728B"/>
    <w:rsid w:val="00A9789C"/>
    <w:rsid w:val="00A97A9A"/>
    <w:rsid w:val="00A97E43"/>
    <w:rsid w:val="00AA0671"/>
    <w:rsid w:val="00AA1DB4"/>
    <w:rsid w:val="00AA2531"/>
    <w:rsid w:val="00AA29CE"/>
    <w:rsid w:val="00AA2BD9"/>
    <w:rsid w:val="00AA3FF8"/>
    <w:rsid w:val="00AA52F3"/>
    <w:rsid w:val="00AA5DA1"/>
    <w:rsid w:val="00AB02A9"/>
    <w:rsid w:val="00AB16D9"/>
    <w:rsid w:val="00AB1E09"/>
    <w:rsid w:val="00AB287B"/>
    <w:rsid w:val="00AB3646"/>
    <w:rsid w:val="00AB5330"/>
    <w:rsid w:val="00AB6006"/>
    <w:rsid w:val="00AB765C"/>
    <w:rsid w:val="00AB7747"/>
    <w:rsid w:val="00AC0B95"/>
    <w:rsid w:val="00AC14CE"/>
    <w:rsid w:val="00AC2A56"/>
    <w:rsid w:val="00AC2E3F"/>
    <w:rsid w:val="00AC5A10"/>
    <w:rsid w:val="00AC5E55"/>
    <w:rsid w:val="00AD021A"/>
    <w:rsid w:val="00AD055E"/>
    <w:rsid w:val="00AD1243"/>
    <w:rsid w:val="00AD17F1"/>
    <w:rsid w:val="00AD28F1"/>
    <w:rsid w:val="00AD47A7"/>
    <w:rsid w:val="00AD5978"/>
    <w:rsid w:val="00AE0D0F"/>
    <w:rsid w:val="00AE2B0E"/>
    <w:rsid w:val="00AE2B2A"/>
    <w:rsid w:val="00AE2F86"/>
    <w:rsid w:val="00AE3348"/>
    <w:rsid w:val="00AE472D"/>
    <w:rsid w:val="00AE510C"/>
    <w:rsid w:val="00AE6BED"/>
    <w:rsid w:val="00AE70D6"/>
    <w:rsid w:val="00AF0333"/>
    <w:rsid w:val="00AF0CBF"/>
    <w:rsid w:val="00AF11A0"/>
    <w:rsid w:val="00AF165D"/>
    <w:rsid w:val="00AF1C0A"/>
    <w:rsid w:val="00AF257F"/>
    <w:rsid w:val="00AF33CF"/>
    <w:rsid w:val="00AF3BB5"/>
    <w:rsid w:val="00AF4D50"/>
    <w:rsid w:val="00AF5B47"/>
    <w:rsid w:val="00AF6179"/>
    <w:rsid w:val="00AF680E"/>
    <w:rsid w:val="00AF7BE3"/>
    <w:rsid w:val="00B021BF"/>
    <w:rsid w:val="00B021CE"/>
    <w:rsid w:val="00B02679"/>
    <w:rsid w:val="00B050B4"/>
    <w:rsid w:val="00B10643"/>
    <w:rsid w:val="00B112D0"/>
    <w:rsid w:val="00B113FC"/>
    <w:rsid w:val="00B11678"/>
    <w:rsid w:val="00B1295A"/>
    <w:rsid w:val="00B13010"/>
    <w:rsid w:val="00B14F17"/>
    <w:rsid w:val="00B1576C"/>
    <w:rsid w:val="00B16771"/>
    <w:rsid w:val="00B20A45"/>
    <w:rsid w:val="00B216C4"/>
    <w:rsid w:val="00B2292F"/>
    <w:rsid w:val="00B22C5C"/>
    <w:rsid w:val="00B246BC"/>
    <w:rsid w:val="00B24867"/>
    <w:rsid w:val="00B24F30"/>
    <w:rsid w:val="00B25B89"/>
    <w:rsid w:val="00B25FAF"/>
    <w:rsid w:val="00B264B3"/>
    <w:rsid w:val="00B26DD4"/>
    <w:rsid w:val="00B27849"/>
    <w:rsid w:val="00B30CAF"/>
    <w:rsid w:val="00B31233"/>
    <w:rsid w:val="00B31795"/>
    <w:rsid w:val="00B31ABF"/>
    <w:rsid w:val="00B31F7D"/>
    <w:rsid w:val="00B33BE3"/>
    <w:rsid w:val="00B35127"/>
    <w:rsid w:val="00B4030C"/>
    <w:rsid w:val="00B417AA"/>
    <w:rsid w:val="00B47D79"/>
    <w:rsid w:val="00B53B5D"/>
    <w:rsid w:val="00B550BC"/>
    <w:rsid w:val="00B55135"/>
    <w:rsid w:val="00B553E5"/>
    <w:rsid w:val="00B554B6"/>
    <w:rsid w:val="00B60324"/>
    <w:rsid w:val="00B6055E"/>
    <w:rsid w:val="00B6317D"/>
    <w:rsid w:val="00B6546E"/>
    <w:rsid w:val="00B66FC2"/>
    <w:rsid w:val="00B67CD8"/>
    <w:rsid w:val="00B71197"/>
    <w:rsid w:val="00B73A40"/>
    <w:rsid w:val="00B7723F"/>
    <w:rsid w:val="00B802E3"/>
    <w:rsid w:val="00B80534"/>
    <w:rsid w:val="00B808D1"/>
    <w:rsid w:val="00B827F2"/>
    <w:rsid w:val="00B8433C"/>
    <w:rsid w:val="00B86195"/>
    <w:rsid w:val="00B865C6"/>
    <w:rsid w:val="00B87491"/>
    <w:rsid w:val="00B96E2A"/>
    <w:rsid w:val="00B9749C"/>
    <w:rsid w:val="00BA0B8A"/>
    <w:rsid w:val="00BA0BF0"/>
    <w:rsid w:val="00BA29E9"/>
    <w:rsid w:val="00BA356B"/>
    <w:rsid w:val="00BA3835"/>
    <w:rsid w:val="00BA3859"/>
    <w:rsid w:val="00BA5AAF"/>
    <w:rsid w:val="00BA5DFC"/>
    <w:rsid w:val="00BA604D"/>
    <w:rsid w:val="00BA6305"/>
    <w:rsid w:val="00BA7142"/>
    <w:rsid w:val="00BB0374"/>
    <w:rsid w:val="00BB237C"/>
    <w:rsid w:val="00BB2E31"/>
    <w:rsid w:val="00BB41A3"/>
    <w:rsid w:val="00BB4E3E"/>
    <w:rsid w:val="00BC1CCA"/>
    <w:rsid w:val="00BC1F0F"/>
    <w:rsid w:val="00BC22DF"/>
    <w:rsid w:val="00BC32DC"/>
    <w:rsid w:val="00BC35B6"/>
    <w:rsid w:val="00BC3D25"/>
    <w:rsid w:val="00BC44F3"/>
    <w:rsid w:val="00BC4E95"/>
    <w:rsid w:val="00BC675E"/>
    <w:rsid w:val="00BD1B51"/>
    <w:rsid w:val="00BD2F41"/>
    <w:rsid w:val="00BD393C"/>
    <w:rsid w:val="00BD4596"/>
    <w:rsid w:val="00BD66D8"/>
    <w:rsid w:val="00BD691E"/>
    <w:rsid w:val="00BE1405"/>
    <w:rsid w:val="00BE198F"/>
    <w:rsid w:val="00BE312D"/>
    <w:rsid w:val="00BE5F8E"/>
    <w:rsid w:val="00BF09A1"/>
    <w:rsid w:val="00BF0A08"/>
    <w:rsid w:val="00BF1A89"/>
    <w:rsid w:val="00BF1C20"/>
    <w:rsid w:val="00BF2A70"/>
    <w:rsid w:val="00BF3D4D"/>
    <w:rsid w:val="00BF4984"/>
    <w:rsid w:val="00BF49D3"/>
    <w:rsid w:val="00C03668"/>
    <w:rsid w:val="00C10578"/>
    <w:rsid w:val="00C107B3"/>
    <w:rsid w:val="00C11035"/>
    <w:rsid w:val="00C116A2"/>
    <w:rsid w:val="00C12AF9"/>
    <w:rsid w:val="00C135BC"/>
    <w:rsid w:val="00C145E6"/>
    <w:rsid w:val="00C14D1F"/>
    <w:rsid w:val="00C15A82"/>
    <w:rsid w:val="00C15C95"/>
    <w:rsid w:val="00C16594"/>
    <w:rsid w:val="00C17F0B"/>
    <w:rsid w:val="00C23A56"/>
    <w:rsid w:val="00C24342"/>
    <w:rsid w:val="00C24D97"/>
    <w:rsid w:val="00C24EBF"/>
    <w:rsid w:val="00C2596A"/>
    <w:rsid w:val="00C27537"/>
    <w:rsid w:val="00C3091D"/>
    <w:rsid w:val="00C328FE"/>
    <w:rsid w:val="00C33507"/>
    <w:rsid w:val="00C3392B"/>
    <w:rsid w:val="00C34416"/>
    <w:rsid w:val="00C36EA5"/>
    <w:rsid w:val="00C4085C"/>
    <w:rsid w:val="00C43B25"/>
    <w:rsid w:val="00C4409D"/>
    <w:rsid w:val="00C44255"/>
    <w:rsid w:val="00C446A9"/>
    <w:rsid w:val="00C44E72"/>
    <w:rsid w:val="00C45A06"/>
    <w:rsid w:val="00C4617C"/>
    <w:rsid w:val="00C472C2"/>
    <w:rsid w:val="00C47E5B"/>
    <w:rsid w:val="00C50EDC"/>
    <w:rsid w:val="00C5415E"/>
    <w:rsid w:val="00C54F7C"/>
    <w:rsid w:val="00C55CE4"/>
    <w:rsid w:val="00C56F19"/>
    <w:rsid w:val="00C6000B"/>
    <w:rsid w:val="00C61BF1"/>
    <w:rsid w:val="00C61D82"/>
    <w:rsid w:val="00C61E4B"/>
    <w:rsid w:val="00C62951"/>
    <w:rsid w:val="00C641A8"/>
    <w:rsid w:val="00C64BFF"/>
    <w:rsid w:val="00C652C7"/>
    <w:rsid w:val="00C65BF8"/>
    <w:rsid w:val="00C7027A"/>
    <w:rsid w:val="00C704E9"/>
    <w:rsid w:val="00C707C1"/>
    <w:rsid w:val="00C70BC9"/>
    <w:rsid w:val="00C70CE9"/>
    <w:rsid w:val="00C713D1"/>
    <w:rsid w:val="00C7185F"/>
    <w:rsid w:val="00C73D21"/>
    <w:rsid w:val="00C7417E"/>
    <w:rsid w:val="00C75122"/>
    <w:rsid w:val="00C763C9"/>
    <w:rsid w:val="00C77641"/>
    <w:rsid w:val="00C80057"/>
    <w:rsid w:val="00C82232"/>
    <w:rsid w:val="00C826FE"/>
    <w:rsid w:val="00C82913"/>
    <w:rsid w:val="00C913B9"/>
    <w:rsid w:val="00C92316"/>
    <w:rsid w:val="00C92F74"/>
    <w:rsid w:val="00C9476D"/>
    <w:rsid w:val="00C954D4"/>
    <w:rsid w:val="00C964A8"/>
    <w:rsid w:val="00C972B1"/>
    <w:rsid w:val="00C97B54"/>
    <w:rsid w:val="00C97D78"/>
    <w:rsid w:val="00CA21DF"/>
    <w:rsid w:val="00CA2C03"/>
    <w:rsid w:val="00CA2CCE"/>
    <w:rsid w:val="00CA42C5"/>
    <w:rsid w:val="00CA43FD"/>
    <w:rsid w:val="00CA7EF8"/>
    <w:rsid w:val="00CB7C9A"/>
    <w:rsid w:val="00CC1CDC"/>
    <w:rsid w:val="00CC1F5C"/>
    <w:rsid w:val="00CC1FDC"/>
    <w:rsid w:val="00CC2BA2"/>
    <w:rsid w:val="00CC2FDF"/>
    <w:rsid w:val="00CC348F"/>
    <w:rsid w:val="00CC489B"/>
    <w:rsid w:val="00CC7F35"/>
    <w:rsid w:val="00CD1526"/>
    <w:rsid w:val="00CD2BCD"/>
    <w:rsid w:val="00CD3009"/>
    <w:rsid w:val="00CD3922"/>
    <w:rsid w:val="00CD3A4C"/>
    <w:rsid w:val="00CD40C4"/>
    <w:rsid w:val="00CD4D16"/>
    <w:rsid w:val="00CD4DC7"/>
    <w:rsid w:val="00CD751A"/>
    <w:rsid w:val="00CE024A"/>
    <w:rsid w:val="00CE0269"/>
    <w:rsid w:val="00CE0E9E"/>
    <w:rsid w:val="00CE10E9"/>
    <w:rsid w:val="00CE130F"/>
    <w:rsid w:val="00CE245A"/>
    <w:rsid w:val="00CE2910"/>
    <w:rsid w:val="00CE3AE7"/>
    <w:rsid w:val="00CE5393"/>
    <w:rsid w:val="00CF1D6B"/>
    <w:rsid w:val="00CF2616"/>
    <w:rsid w:val="00CF2C83"/>
    <w:rsid w:val="00CF36BE"/>
    <w:rsid w:val="00CF6000"/>
    <w:rsid w:val="00D003F3"/>
    <w:rsid w:val="00D004D3"/>
    <w:rsid w:val="00D0364F"/>
    <w:rsid w:val="00D059D1"/>
    <w:rsid w:val="00D06834"/>
    <w:rsid w:val="00D122D7"/>
    <w:rsid w:val="00D1535B"/>
    <w:rsid w:val="00D15763"/>
    <w:rsid w:val="00D164BB"/>
    <w:rsid w:val="00D222FE"/>
    <w:rsid w:val="00D22D0D"/>
    <w:rsid w:val="00D237CB"/>
    <w:rsid w:val="00D2579D"/>
    <w:rsid w:val="00D261FE"/>
    <w:rsid w:val="00D308ED"/>
    <w:rsid w:val="00D30CD1"/>
    <w:rsid w:val="00D32AFF"/>
    <w:rsid w:val="00D343DA"/>
    <w:rsid w:val="00D35B43"/>
    <w:rsid w:val="00D35EDA"/>
    <w:rsid w:val="00D36867"/>
    <w:rsid w:val="00D36D86"/>
    <w:rsid w:val="00D37EEB"/>
    <w:rsid w:val="00D37F8D"/>
    <w:rsid w:val="00D40AAE"/>
    <w:rsid w:val="00D428AA"/>
    <w:rsid w:val="00D42EDD"/>
    <w:rsid w:val="00D446F3"/>
    <w:rsid w:val="00D46433"/>
    <w:rsid w:val="00D505EE"/>
    <w:rsid w:val="00D50A30"/>
    <w:rsid w:val="00D50A34"/>
    <w:rsid w:val="00D51AAB"/>
    <w:rsid w:val="00D53906"/>
    <w:rsid w:val="00D53EFA"/>
    <w:rsid w:val="00D60BA1"/>
    <w:rsid w:val="00D60C45"/>
    <w:rsid w:val="00D61C68"/>
    <w:rsid w:val="00D620AF"/>
    <w:rsid w:val="00D62868"/>
    <w:rsid w:val="00D636C1"/>
    <w:rsid w:val="00D669A5"/>
    <w:rsid w:val="00D66DF5"/>
    <w:rsid w:val="00D67868"/>
    <w:rsid w:val="00D73D45"/>
    <w:rsid w:val="00D73D99"/>
    <w:rsid w:val="00D74159"/>
    <w:rsid w:val="00D75A02"/>
    <w:rsid w:val="00D769EA"/>
    <w:rsid w:val="00D77510"/>
    <w:rsid w:val="00D8057E"/>
    <w:rsid w:val="00D82AD7"/>
    <w:rsid w:val="00D8319B"/>
    <w:rsid w:val="00D843AE"/>
    <w:rsid w:val="00D84AC7"/>
    <w:rsid w:val="00D85692"/>
    <w:rsid w:val="00D8572C"/>
    <w:rsid w:val="00D86DB4"/>
    <w:rsid w:val="00D90DAB"/>
    <w:rsid w:val="00D9162B"/>
    <w:rsid w:val="00D94A7C"/>
    <w:rsid w:val="00D95896"/>
    <w:rsid w:val="00D97FAA"/>
    <w:rsid w:val="00DA0BC3"/>
    <w:rsid w:val="00DA27DA"/>
    <w:rsid w:val="00DA2B7A"/>
    <w:rsid w:val="00DA3569"/>
    <w:rsid w:val="00DA4703"/>
    <w:rsid w:val="00DA608D"/>
    <w:rsid w:val="00DA61E0"/>
    <w:rsid w:val="00DA6ECA"/>
    <w:rsid w:val="00DA6F81"/>
    <w:rsid w:val="00DA7039"/>
    <w:rsid w:val="00DB1C01"/>
    <w:rsid w:val="00DB2983"/>
    <w:rsid w:val="00DB58B1"/>
    <w:rsid w:val="00DB6556"/>
    <w:rsid w:val="00DB7807"/>
    <w:rsid w:val="00DC03FA"/>
    <w:rsid w:val="00DC0BB4"/>
    <w:rsid w:val="00DC1257"/>
    <w:rsid w:val="00DC1C47"/>
    <w:rsid w:val="00DC2E41"/>
    <w:rsid w:val="00DC345C"/>
    <w:rsid w:val="00DC3DC0"/>
    <w:rsid w:val="00DC3E33"/>
    <w:rsid w:val="00DC4879"/>
    <w:rsid w:val="00DC5B2B"/>
    <w:rsid w:val="00DD0AEA"/>
    <w:rsid w:val="00DD204C"/>
    <w:rsid w:val="00DD318D"/>
    <w:rsid w:val="00DD3DCC"/>
    <w:rsid w:val="00DE0711"/>
    <w:rsid w:val="00DE1D13"/>
    <w:rsid w:val="00DE21A1"/>
    <w:rsid w:val="00DE6A2A"/>
    <w:rsid w:val="00DE7835"/>
    <w:rsid w:val="00DE7C74"/>
    <w:rsid w:val="00DF06C6"/>
    <w:rsid w:val="00DF2E12"/>
    <w:rsid w:val="00DF350B"/>
    <w:rsid w:val="00DF3F0A"/>
    <w:rsid w:val="00DF4E8C"/>
    <w:rsid w:val="00DF508D"/>
    <w:rsid w:val="00DF5105"/>
    <w:rsid w:val="00DF514A"/>
    <w:rsid w:val="00DF6690"/>
    <w:rsid w:val="00DF6804"/>
    <w:rsid w:val="00DF6D77"/>
    <w:rsid w:val="00E02D13"/>
    <w:rsid w:val="00E0358D"/>
    <w:rsid w:val="00E0398A"/>
    <w:rsid w:val="00E03B71"/>
    <w:rsid w:val="00E04323"/>
    <w:rsid w:val="00E0478F"/>
    <w:rsid w:val="00E056ED"/>
    <w:rsid w:val="00E070A2"/>
    <w:rsid w:val="00E10A6F"/>
    <w:rsid w:val="00E110F7"/>
    <w:rsid w:val="00E11404"/>
    <w:rsid w:val="00E13CB5"/>
    <w:rsid w:val="00E14A84"/>
    <w:rsid w:val="00E20DA3"/>
    <w:rsid w:val="00E212AA"/>
    <w:rsid w:val="00E2283A"/>
    <w:rsid w:val="00E23705"/>
    <w:rsid w:val="00E25BEC"/>
    <w:rsid w:val="00E26468"/>
    <w:rsid w:val="00E2656A"/>
    <w:rsid w:val="00E26A68"/>
    <w:rsid w:val="00E26AD0"/>
    <w:rsid w:val="00E3302C"/>
    <w:rsid w:val="00E406CF"/>
    <w:rsid w:val="00E412D0"/>
    <w:rsid w:val="00E42C37"/>
    <w:rsid w:val="00E43BBA"/>
    <w:rsid w:val="00E43DDB"/>
    <w:rsid w:val="00E46D5B"/>
    <w:rsid w:val="00E5006F"/>
    <w:rsid w:val="00E534B9"/>
    <w:rsid w:val="00E53854"/>
    <w:rsid w:val="00E56322"/>
    <w:rsid w:val="00E57AB8"/>
    <w:rsid w:val="00E60982"/>
    <w:rsid w:val="00E62C62"/>
    <w:rsid w:val="00E6386D"/>
    <w:rsid w:val="00E654C1"/>
    <w:rsid w:val="00E65D97"/>
    <w:rsid w:val="00E65F2F"/>
    <w:rsid w:val="00E669B4"/>
    <w:rsid w:val="00E70B30"/>
    <w:rsid w:val="00E71AF9"/>
    <w:rsid w:val="00E71CE9"/>
    <w:rsid w:val="00E72574"/>
    <w:rsid w:val="00E72A5A"/>
    <w:rsid w:val="00E73354"/>
    <w:rsid w:val="00E733AD"/>
    <w:rsid w:val="00E73E88"/>
    <w:rsid w:val="00E75945"/>
    <w:rsid w:val="00E8158E"/>
    <w:rsid w:val="00E82433"/>
    <w:rsid w:val="00E8249C"/>
    <w:rsid w:val="00E84CA6"/>
    <w:rsid w:val="00E87012"/>
    <w:rsid w:val="00E87B6C"/>
    <w:rsid w:val="00E9008F"/>
    <w:rsid w:val="00E9031D"/>
    <w:rsid w:val="00E90BC4"/>
    <w:rsid w:val="00E920D4"/>
    <w:rsid w:val="00E9242D"/>
    <w:rsid w:val="00E95BA7"/>
    <w:rsid w:val="00E97B25"/>
    <w:rsid w:val="00EA0804"/>
    <w:rsid w:val="00EA6446"/>
    <w:rsid w:val="00EA662A"/>
    <w:rsid w:val="00EA78C1"/>
    <w:rsid w:val="00EB05C4"/>
    <w:rsid w:val="00EB27B1"/>
    <w:rsid w:val="00EB2A3D"/>
    <w:rsid w:val="00EB4938"/>
    <w:rsid w:val="00EB5255"/>
    <w:rsid w:val="00EB5C47"/>
    <w:rsid w:val="00EB62C7"/>
    <w:rsid w:val="00EB7F3D"/>
    <w:rsid w:val="00EC0FA7"/>
    <w:rsid w:val="00EC6E78"/>
    <w:rsid w:val="00ED0639"/>
    <w:rsid w:val="00ED23FD"/>
    <w:rsid w:val="00ED268D"/>
    <w:rsid w:val="00ED7EA3"/>
    <w:rsid w:val="00EE0FAB"/>
    <w:rsid w:val="00EE1261"/>
    <w:rsid w:val="00EE16AC"/>
    <w:rsid w:val="00EE2FFD"/>
    <w:rsid w:val="00EE4B27"/>
    <w:rsid w:val="00EE53D4"/>
    <w:rsid w:val="00EE5F87"/>
    <w:rsid w:val="00EE7EA7"/>
    <w:rsid w:val="00EF046C"/>
    <w:rsid w:val="00EF15BA"/>
    <w:rsid w:val="00EF1958"/>
    <w:rsid w:val="00EF4755"/>
    <w:rsid w:val="00EF7135"/>
    <w:rsid w:val="00EF7AB5"/>
    <w:rsid w:val="00EF7F06"/>
    <w:rsid w:val="00F001DD"/>
    <w:rsid w:val="00F01A8F"/>
    <w:rsid w:val="00F027DB"/>
    <w:rsid w:val="00F05756"/>
    <w:rsid w:val="00F12A66"/>
    <w:rsid w:val="00F14053"/>
    <w:rsid w:val="00F14A7A"/>
    <w:rsid w:val="00F16DC7"/>
    <w:rsid w:val="00F170EC"/>
    <w:rsid w:val="00F178F2"/>
    <w:rsid w:val="00F17F21"/>
    <w:rsid w:val="00F21084"/>
    <w:rsid w:val="00F22985"/>
    <w:rsid w:val="00F22991"/>
    <w:rsid w:val="00F22EA2"/>
    <w:rsid w:val="00F24318"/>
    <w:rsid w:val="00F24838"/>
    <w:rsid w:val="00F31031"/>
    <w:rsid w:val="00F3383E"/>
    <w:rsid w:val="00F33D85"/>
    <w:rsid w:val="00F340CF"/>
    <w:rsid w:val="00F3598D"/>
    <w:rsid w:val="00F365EF"/>
    <w:rsid w:val="00F37171"/>
    <w:rsid w:val="00F37199"/>
    <w:rsid w:val="00F37895"/>
    <w:rsid w:val="00F37A6A"/>
    <w:rsid w:val="00F402C2"/>
    <w:rsid w:val="00F40B57"/>
    <w:rsid w:val="00F42D19"/>
    <w:rsid w:val="00F43542"/>
    <w:rsid w:val="00F43A32"/>
    <w:rsid w:val="00F4465E"/>
    <w:rsid w:val="00F44A7E"/>
    <w:rsid w:val="00F44D7B"/>
    <w:rsid w:val="00F465A7"/>
    <w:rsid w:val="00F50B7C"/>
    <w:rsid w:val="00F50C0F"/>
    <w:rsid w:val="00F51990"/>
    <w:rsid w:val="00F53818"/>
    <w:rsid w:val="00F53C67"/>
    <w:rsid w:val="00F53EB3"/>
    <w:rsid w:val="00F53F53"/>
    <w:rsid w:val="00F54801"/>
    <w:rsid w:val="00F550E6"/>
    <w:rsid w:val="00F551DB"/>
    <w:rsid w:val="00F55E78"/>
    <w:rsid w:val="00F563D7"/>
    <w:rsid w:val="00F61E35"/>
    <w:rsid w:val="00F62C18"/>
    <w:rsid w:val="00F63E60"/>
    <w:rsid w:val="00F64845"/>
    <w:rsid w:val="00F651A2"/>
    <w:rsid w:val="00F654E7"/>
    <w:rsid w:val="00F65EB8"/>
    <w:rsid w:val="00F666B9"/>
    <w:rsid w:val="00F703F2"/>
    <w:rsid w:val="00F74345"/>
    <w:rsid w:val="00F753E7"/>
    <w:rsid w:val="00F80A0A"/>
    <w:rsid w:val="00F80C26"/>
    <w:rsid w:val="00F81512"/>
    <w:rsid w:val="00F82B19"/>
    <w:rsid w:val="00F8322D"/>
    <w:rsid w:val="00F85FF4"/>
    <w:rsid w:val="00F87997"/>
    <w:rsid w:val="00F9053E"/>
    <w:rsid w:val="00F908A0"/>
    <w:rsid w:val="00F920EE"/>
    <w:rsid w:val="00F9212D"/>
    <w:rsid w:val="00F935C9"/>
    <w:rsid w:val="00F9460E"/>
    <w:rsid w:val="00F94631"/>
    <w:rsid w:val="00F965DA"/>
    <w:rsid w:val="00FA406A"/>
    <w:rsid w:val="00FA7D43"/>
    <w:rsid w:val="00FB2649"/>
    <w:rsid w:val="00FB2800"/>
    <w:rsid w:val="00FB41B5"/>
    <w:rsid w:val="00FB4949"/>
    <w:rsid w:val="00FB49A3"/>
    <w:rsid w:val="00FB503A"/>
    <w:rsid w:val="00FB516C"/>
    <w:rsid w:val="00FB636F"/>
    <w:rsid w:val="00FB6510"/>
    <w:rsid w:val="00FB7AD0"/>
    <w:rsid w:val="00FC24D5"/>
    <w:rsid w:val="00FC2B00"/>
    <w:rsid w:val="00FC3AAB"/>
    <w:rsid w:val="00FC5345"/>
    <w:rsid w:val="00FC5781"/>
    <w:rsid w:val="00FC5E67"/>
    <w:rsid w:val="00FC74B6"/>
    <w:rsid w:val="00FD0236"/>
    <w:rsid w:val="00FD18F4"/>
    <w:rsid w:val="00FD4106"/>
    <w:rsid w:val="00FD54DB"/>
    <w:rsid w:val="00FD5855"/>
    <w:rsid w:val="00FD5C20"/>
    <w:rsid w:val="00FD5EC1"/>
    <w:rsid w:val="00FD5F71"/>
    <w:rsid w:val="00FD619F"/>
    <w:rsid w:val="00FD6DFB"/>
    <w:rsid w:val="00FD7FB0"/>
    <w:rsid w:val="00FE1DBA"/>
    <w:rsid w:val="00FE1E0D"/>
    <w:rsid w:val="00FF088F"/>
    <w:rsid w:val="00FF3D97"/>
    <w:rsid w:val="00FF3E03"/>
    <w:rsid w:val="00FF6C78"/>
    <w:rsid w:val="00FF7577"/>
    <w:rsid w:val="01290F7E"/>
    <w:rsid w:val="012D5EBB"/>
    <w:rsid w:val="015D1E09"/>
    <w:rsid w:val="017C5739"/>
    <w:rsid w:val="0181650E"/>
    <w:rsid w:val="01964270"/>
    <w:rsid w:val="02046673"/>
    <w:rsid w:val="02205E56"/>
    <w:rsid w:val="025755DC"/>
    <w:rsid w:val="02697903"/>
    <w:rsid w:val="026A343A"/>
    <w:rsid w:val="02796C38"/>
    <w:rsid w:val="02A11099"/>
    <w:rsid w:val="02BB7252"/>
    <w:rsid w:val="02D667EA"/>
    <w:rsid w:val="02E75B91"/>
    <w:rsid w:val="02F96569"/>
    <w:rsid w:val="03380565"/>
    <w:rsid w:val="035D4295"/>
    <w:rsid w:val="036720D3"/>
    <w:rsid w:val="03835D2A"/>
    <w:rsid w:val="03E80687"/>
    <w:rsid w:val="03EA7B21"/>
    <w:rsid w:val="03F16786"/>
    <w:rsid w:val="044818B9"/>
    <w:rsid w:val="044E43AA"/>
    <w:rsid w:val="049F1BD0"/>
    <w:rsid w:val="04B31FFC"/>
    <w:rsid w:val="04D32701"/>
    <w:rsid w:val="053E0EA6"/>
    <w:rsid w:val="057546C9"/>
    <w:rsid w:val="05967AD2"/>
    <w:rsid w:val="05B06DDC"/>
    <w:rsid w:val="05B63617"/>
    <w:rsid w:val="05E341CC"/>
    <w:rsid w:val="05E63543"/>
    <w:rsid w:val="05EA06E6"/>
    <w:rsid w:val="05F83EAE"/>
    <w:rsid w:val="05FC520E"/>
    <w:rsid w:val="06074516"/>
    <w:rsid w:val="0634126D"/>
    <w:rsid w:val="063E35ED"/>
    <w:rsid w:val="063E7D85"/>
    <w:rsid w:val="063F305D"/>
    <w:rsid w:val="064847DC"/>
    <w:rsid w:val="06A74870"/>
    <w:rsid w:val="06B07B82"/>
    <w:rsid w:val="07045CBE"/>
    <w:rsid w:val="070C4371"/>
    <w:rsid w:val="07293586"/>
    <w:rsid w:val="07295285"/>
    <w:rsid w:val="075E29CB"/>
    <w:rsid w:val="07636392"/>
    <w:rsid w:val="07770C56"/>
    <w:rsid w:val="0797664C"/>
    <w:rsid w:val="07EC4BEA"/>
    <w:rsid w:val="07F150FE"/>
    <w:rsid w:val="08A9147F"/>
    <w:rsid w:val="08B81EDF"/>
    <w:rsid w:val="090955E3"/>
    <w:rsid w:val="092217DD"/>
    <w:rsid w:val="09366E92"/>
    <w:rsid w:val="093A7294"/>
    <w:rsid w:val="09435A5B"/>
    <w:rsid w:val="09800BE0"/>
    <w:rsid w:val="09806D25"/>
    <w:rsid w:val="09BA310E"/>
    <w:rsid w:val="0A263993"/>
    <w:rsid w:val="0A2D3AC2"/>
    <w:rsid w:val="0A3870E3"/>
    <w:rsid w:val="0A7510B5"/>
    <w:rsid w:val="0A925F57"/>
    <w:rsid w:val="0A93599A"/>
    <w:rsid w:val="0A955749"/>
    <w:rsid w:val="0AA755DF"/>
    <w:rsid w:val="0AB757EC"/>
    <w:rsid w:val="0ABB43CD"/>
    <w:rsid w:val="0AD5439A"/>
    <w:rsid w:val="0B120D44"/>
    <w:rsid w:val="0B414AD3"/>
    <w:rsid w:val="0BD27BF6"/>
    <w:rsid w:val="0BEE7A45"/>
    <w:rsid w:val="0C05627A"/>
    <w:rsid w:val="0C3B3C7D"/>
    <w:rsid w:val="0C3C5788"/>
    <w:rsid w:val="0C9760C4"/>
    <w:rsid w:val="0C986A2C"/>
    <w:rsid w:val="0CAB2EAE"/>
    <w:rsid w:val="0CB5084E"/>
    <w:rsid w:val="0CC26852"/>
    <w:rsid w:val="0CF1046D"/>
    <w:rsid w:val="0D2153BB"/>
    <w:rsid w:val="0D2C4A3E"/>
    <w:rsid w:val="0D333F71"/>
    <w:rsid w:val="0D3861DB"/>
    <w:rsid w:val="0D621C7D"/>
    <w:rsid w:val="0D65084A"/>
    <w:rsid w:val="0D791741"/>
    <w:rsid w:val="0DAE6EDC"/>
    <w:rsid w:val="0DFE6388"/>
    <w:rsid w:val="0E351DC7"/>
    <w:rsid w:val="0E567261"/>
    <w:rsid w:val="0E5C05EF"/>
    <w:rsid w:val="0E73034D"/>
    <w:rsid w:val="0EBB0FCF"/>
    <w:rsid w:val="0EC66095"/>
    <w:rsid w:val="0EC90C7D"/>
    <w:rsid w:val="0EE06E4B"/>
    <w:rsid w:val="0EE92781"/>
    <w:rsid w:val="0F13775A"/>
    <w:rsid w:val="0F3B1FB3"/>
    <w:rsid w:val="0F4A4BDD"/>
    <w:rsid w:val="0F5F45FE"/>
    <w:rsid w:val="0F765DC9"/>
    <w:rsid w:val="0F9A112B"/>
    <w:rsid w:val="0FB00ACE"/>
    <w:rsid w:val="0FB72B0C"/>
    <w:rsid w:val="0FCB3854"/>
    <w:rsid w:val="0FE078ED"/>
    <w:rsid w:val="10093A07"/>
    <w:rsid w:val="100E39DE"/>
    <w:rsid w:val="101041EE"/>
    <w:rsid w:val="10604A6E"/>
    <w:rsid w:val="106D2F64"/>
    <w:rsid w:val="108B7873"/>
    <w:rsid w:val="10B63710"/>
    <w:rsid w:val="10C569A3"/>
    <w:rsid w:val="10F10820"/>
    <w:rsid w:val="11051E4D"/>
    <w:rsid w:val="111C2F7A"/>
    <w:rsid w:val="11222CCD"/>
    <w:rsid w:val="115D2F84"/>
    <w:rsid w:val="116415BC"/>
    <w:rsid w:val="11665CA1"/>
    <w:rsid w:val="1168787E"/>
    <w:rsid w:val="117626DD"/>
    <w:rsid w:val="118B0C90"/>
    <w:rsid w:val="118C4243"/>
    <w:rsid w:val="11BA3663"/>
    <w:rsid w:val="122F6E2F"/>
    <w:rsid w:val="125A2B3F"/>
    <w:rsid w:val="1265052E"/>
    <w:rsid w:val="128A1BBD"/>
    <w:rsid w:val="12922BA1"/>
    <w:rsid w:val="12B60F28"/>
    <w:rsid w:val="12D20922"/>
    <w:rsid w:val="12D301F3"/>
    <w:rsid w:val="12EE1861"/>
    <w:rsid w:val="12F075E6"/>
    <w:rsid w:val="13344F34"/>
    <w:rsid w:val="13951726"/>
    <w:rsid w:val="139D323C"/>
    <w:rsid w:val="13AE0337"/>
    <w:rsid w:val="13C32133"/>
    <w:rsid w:val="13F10E08"/>
    <w:rsid w:val="1416774C"/>
    <w:rsid w:val="14207149"/>
    <w:rsid w:val="14396509"/>
    <w:rsid w:val="147A7650"/>
    <w:rsid w:val="14852FC6"/>
    <w:rsid w:val="14943617"/>
    <w:rsid w:val="14DD2C3C"/>
    <w:rsid w:val="15390FF0"/>
    <w:rsid w:val="15414701"/>
    <w:rsid w:val="15795A6B"/>
    <w:rsid w:val="158D3A3F"/>
    <w:rsid w:val="16087E1D"/>
    <w:rsid w:val="16124C6E"/>
    <w:rsid w:val="161D2412"/>
    <w:rsid w:val="163914EC"/>
    <w:rsid w:val="171273D3"/>
    <w:rsid w:val="1763366E"/>
    <w:rsid w:val="17701D14"/>
    <w:rsid w:val="17735226"/>
    <w:rsid w:val="17F13B56"/>
    <w:rsid w:val="1800141D"/>
    <w:rsid w:val="180154EA"/>
    <w:rsid w:val="180772D3"/>
    <w:rsid w:val="18633A37"/>
    <w:rsid w:val="18921F65"/>
    <w:rsid w:val="189F624C"/>
    <w:rsid w:val="18A435B4"/>
    <w:rsid w:val="18E705D9"/>
    <w:rsid w:val="190D3718"/>
    <w:rsid w:val="193E4513"/>
    <w:rsid w:val="1950777D"/>
    <w:rsid w:val="195A537E"/>
    <w:rsid w:val="196A3C37"/>
    <w:rsid w:val="19B12D4D"/>
    <w:rsid w:val="19C72DC1"/>
    <w:rsid w:val="1A1C14E1"/>
    <w:rsid w:val="1A1C66C0"/>
    <w:rsid w:val="1A2C283E"/>
    <w:rsid w:val="1A42393B"/>
    <w:rsid w:val="1A5C1B3A"/>
    <w:rsid w:val="1A7268E7"/>
    <w:rsid w:val="1A7D4B85"/>
    <w:rsid w:val="1AAD45DE"/>
    <w:rsid w:val="1AE479A2"/>
    <w:rsid w:val="1B046F80"/>
    <w:rsid w:val="1B083691"/>
    <w:rsid w:val="1B14030B"/>
    <w:rsid w:val="1B1C25B4"/>
    <w:rsid w:val="1B3267B5"/>
    <w:rsid w:val="1B40161D"/>
    <w:rsid w:val="1B441859"/>
    <w:rsid w:val="1B5A401C"/>
    <w:rsid w:val="1B6606B1"/>
    <w:rsid w:val="1B7917A2"/>
    <w:rsid w:val="1B8C0BE4"/>
    <w:rsid w:val="1BCE1808"/>
    <w:rsid w:val="1C164B40"/>
    <w:rsid w:val="1C5953C2"/>
    <w:rsid w:val="1C5E7925"/>
    <w:rsid w:val="1CA164A5"/>
    <w:rsid w:val="1CAE2016"/>
    <w:rsid w:val="1CB6160C"/>
    <w:rsid w:val="1CFD070F"/>
    <w:rsid w:val="1D4538C2"/>
    <w:rsid w:val="1D49138D"/>
    <w:rsid w:val="1D5F6196"/>
    <w:rsid w:val="1D6132A5"/>
    <w:rsid w:val="1D72568A"/>
    <w:rsid w:val="1D8E56D5"/>
    <w:rsid w:val="1E1005F2"/>
    <w:rsid w:val="1E771D29"/>
    <w:rsid w:val="1E7A43DA"/>
    <w:rsid w:val="1E7F0F20"/>
    <w:rsid w:val="1E9B35BD"/>
    <w:rsid w:val="1ED9398A"/>
    <w:rsid w:val="1F0E3FB6"/>
    <w:rsid w:val="1F1D1370"/>
    <w:rsid w:val="1F3D3B25"/>
    <w:rsid w:val="1F894A07"/>
    <w:rsid w:val="1F9574BD"/>
    <w:rsid w:val="1FD20115"/>
    <w:rsid w:val="1FE7539E"/>
    <w:rsid w:val="20211FF7"/>
    <w:rsid w:val="20671BE0"/>
    <w:rsid w:val="206A51C4"/>
    <w:rsid w:val="207C7882"/>
    <w:rsid w:val="20963CB8"/>
    <w:rsid w:val="20A81A1B"/>
    <w:rsid w:val="20AB2A4E"/>
    <w:rsid w:val="20B07FB6"/>
    <w:rsid w:val="20B646FB"/>
    <w:rsid w:val="20F26546"/>
    <w:rsid w:val="212E3170"/>
    <w:rsid w:val="213B74B1"/>
    <w:rsid w:val="215A2310"/>
    <w:rsid w:val="216B668D"/>
    <w:rsid w:val="217C26E3"/>
    <w:rsid w:val="21AB2FC8"/>
    <w:rsid w:val="21B31E7D"/>
    <w:rsid w:val="21BC4A0B"/>
    <w:rsid w:val="21CD1E84"/>
    <w:rsid w:val="21DE318A"/>
    <w:rsid w:val="21EB761D"/>
    <w:rsid w:val="21EF5B80"/>
    <w:rsid w:val="21FA5CFD"/>
    <w:rsid w:val="22045F51"/>
    <w:rsid w:val="221E0F01"/>
    <w:rsid w:val="222A671E"/>
    <w:rsid w:val="222F5D36"/>
    <w:rsid w:val="2231076F"/>
    <w:rsid w:val="225268F1"/>
    <w:rsid w:val="22576990"/>
    <w:rsid w:val="227D0B96"/>
    <w:rsid w:val="22AC34CB"/>
    <w:rsid w:val="22EE3CD2"/>
    <w:rsid w:val="22F47480"/>
    <w:rsid w:val="231C7A73"/>
    <w:rsid w:val="233730B8"/>
    <w:rsid w:val="233E1D44"/>
    <w:rsid w:val="237837B9"/>
    <w:rsid w:val="23881914"/>
    <w:rsid w:val="23DE1C48"/>
    <w:rsid w:val="240210CD"/>
    <w:rsid w:val="24301ED1"/>
    <w:rsid w:val="245E4322"/>
    <w:rsid w:val="24785E59"/>
    <w:rsid w:val="248D67A7"/>
    <w:rsid w:val="2497365C"/>
    <w:rsid w:val="24BF09F7"/>
    <w:rsid w:val="24D80578"/>
    <w:rsid w:val="24DB33F5"/>
    <w:rsid w:val="24EF5C00"/>
    <w:rsid w:val="252D53FE"/>
    <w:rsid w:val="25320FB6"/>
    <w:rsid w:val="253944F4"/>
    <w:rsid w:val="25513E86"/>
    <w:rsid w:val="2589316F"/>
    <w:rsid w:val="25C710CB"/>
    <w:rsid w:val="25C74149"/>
    <w:rsid w:val="25EC2D81"/>
    <w:rsid w:val="25FB762A"/>
    <w:rsid w:val="260770CA"/>
    <w:rsid w:val="261E24FA"/>
    <w:rsid w:val="264A7253"/>
    <w:rsid w:val="26C15924"/>
    <w:rsid w:val="2709311A"/>
    <w:rsid w:val="27335AE5"/>
    <w:rsid w:val="27356E82"/>
    <w:rsid w:val="275742CB"/>
    <w:rsid w:val="277057A2"/>
    <w:rsid w:val="27892F2D"/>
    <w:rsid w:val="27BF157B"/>
    <w:rsid w:val="27C034B9"/>
    <w:rsid w:val="27C93FFC"/>
    <w:rsid w:val="27E40FE2"/>
    <w:rsid w:val="28292077"/>
    <w:rsid w:val="28C6058C"/>
    <w:rsid w:val="290E516B"/>
    <w:rsid w:val="29206EB8"/>
    <w:rsid w:val="292A1F26"/>
    <w:rsid w:val="29305EB0"/>
    <w:rsid w:val="29595666"/>
    <w:rsid w:val="29713AED"/>
    <w:rsid w:val="29874881"/>
    <w:rsid w:val="29A3424B"/>
    <w:rsid w:val="29A50FEC"/>
    <w:rsid w:val="29E325E0"/>
    <w:rsid w:val="29F77F12"/>
    <w:rsid w:val="2A0E150A"/>
    <w:rsid w:val="2A452503"/>
    <w:rsid w:val="2A772800"/>
    <w:rsid w:val="2AE311EC"/>
    <w:rsid w:val="2AED5799"/>
    <w:rsid w:val="2B0A5203"/>
    <w:rsid w:val="2B1A7FE9"/>
    <w:rsid w:val="2B2B58C3"/>
    <w:rsid w:val="2B330D0F"/>
    <w:rsid w:val="2B3347C7"/>
    <w:rsid w:val="2B4503D5"/>
    <w:rsid w:val="2B687CE6"/>
    <w:rsid w:val="2B710DDE"/>
    <w:rsid w:val="2BA601B7"/>
    <w:rsid w:val="2BA936A8"/>
    <w:rsid w:val="2C097269"/>
    <w:rsid w:val="2C315A5A"/>
    <w:rsid w:val="2C4B1C25"/>
    <w:rsid w:val="2C7412B1"/>
    <w:rsid w:val="2C764904"/>
    <w:rsid w:val="2CD903AA"/>
    <w:rsid w:val="2D190F8A"/>
    <w:rsid w:val="2D2751EC"/>
    <w:rsid w:val="2D315EDC"/>
    <w:rsid w:val="2D552206"/>
    <w:rsid w:val="2D77161E"/>
    <w:rsid w:val="2D9B0395"/>
    <w:rsid w:val="2D9E56F5"/>
    <w:rsid w:val="2DAF17C0"/>
    <w:rsid w:val="2DF4596F"/>
    <w:rsid w:val="2E262979"/>
    <w:rsid w:val="2E505623"/>
    <w:rsid w:val="2E667F96"/>
    <w:rsid w:val="2E8226AB"/>
    <w:rsid w:val="2E982B26"/>
    <w:rsid w:val="2EC21707"/>
    <w:rsid w:val="2ECA2DFE"/>
    <w:rsid w:val="2ED4627A"/>
    <w:rsid w:val="2EF92D34"/>
    <w:rsid w:val="2F121AF7"/>
    <w:rsid w:val="2F3E7229"/>
    <w:rsid w:val="2F6D2915"/>
    <w:rsid w:val="2F840D8D"/>
    <w:rsid w:val="2FD065E6"/>
    <w:rsid w:val="2FD96870"/>
    <w:rsid w:val="300A1801"/>
    <w:rsid w:val="30255F14"/>
    <w:rsid w:val="303B5E5F"/>
    <w:rsid w:val="30580BC9"/>
    <w:rsid w:val="3062344E"/>
    <w:rsid w:val="3065729F"/>
    <w:rsid w:val="30687B4B"/>
    <w:rsid w:val="30A82B7F"/>
    <w:rsid w:val="30B67293"/>
    <w:rsid w:val="30C01CF2"/>
    <w:rsid w:val="30CC048E"/>
    <w:rsid w:val="30D35F2D"/>
    <w:rsid w:val="30F674AB"/>
    <w:rsid w:val="311E2ED7"/>
    <w:rsid w:val="315619EE"/>
    <w:rsid w:val="315C449C"/>
    <w:rsid w:val="31654706"/>
    <w:rsid w:val="31707FAA"/>
    <w:rsid w:val="31B82709"/>
    <w:rsid w:val="31C75BFC"/>
    <w:rsid w:val="31D05482"/>
    <w:rsid w:val="31ED4F37"/>
    <w:rsid w:val="32400B34"/>
    <w:rsid w:val="324C0EC8"/>
    <w:rsid w:val="325A1C81"/>
    <w:rsid w:val="32655B11"/>
    <w:rsid w:val="32786EF6"/>
    <w:rsid w:val="328E2FEE"/>
    <w:rsid w:val="329E6876"/>
    <w:rsid w:val="32D54D2A"/>
    <w:rsid w:val="32EB316F"/>
    <w:rsid w:val="333015F2"/>
    <w:rsid w:val="33411EE7"/>
    <w:rsid w:val="334B6320"/>
    <w:rsid w:val="33D934D4"/>
    <w:rsid w:val="33E92360"/>
    <w:rsid w:val="33F00D0E"/>
    <w:rsid w:val="33FE2F6A"/>
    <w:rsid w:val="34025C22"/>
    <w:rsid w:val="3403482B"/>
    <w:rsid w:val="340E07E5"/>
    <w:rsid w:val="34235BF7"/>
    <w:rsid w:val="3432696A"/>
    <w:rsid w:val="34375F2B"/>
    <w:rsid w:val="34503FFD"/>
    <w:rsid w:val="34A301BD"/>
    <w:rsid w:val="34AC6A44"/>
    <w:rsid w:val="34CB7C0B"/>
    <w:rsid w:val="358C5FA8"/>
    <w:rsid w:val="35B80168"/>
    <w:rsid w:val="35C15DF1"/>
    <w:rsid w:val="35D168AC"/>
    <w:rsid w:val="35DB0315"/>
    <w:rsid w:val="36074A7F"/>
    <w:rsid w:val="361A2073"/>
    <w:rsid w:val="368A544A"/>
    <w:rsid w:val="36923549"/>
    <w:rsid w:val="36A1760F"/>
    <w:rsid w:val="36B54AD0"/>
    <w:rsid w:val="36B75FBF"/>
    <w:rsid w:val="36BD0C45"/>
    <w:rsid w:val="370E09E1"/>
    <w:rsid w:val="371D0E56"/>
    <w:rsid w:val="373E2203"/>
    <w:rsid w:val="377B55A4"/>
    <w:rsid w:val="377D4336"/>
    <w:rsid w:val="3786176F"/>
    <w:rsid w:val="37CA161C"/>
    <w:rsid w:val="37E00298"/>
    <w:rsid w:val="38174ABC"/>
    <w:rsid w:val="381B6A0D"/>
    <w:rsid w:val="38271A05"/>
    <w:rsid w:val="38381696"/>
    <w:rsid w:val="38537F32"/>
    <w:rsid w:val="387F04B1"/>
    <w:rsid w:val="38B302F9"/>
    <w:rsid w:val="38F12CD3"/>
    <w:rsid w:val="38F94775"/>
    <w:rsid w:val="392971ED"/>
    <w:rsid w:val="39325651"/>
    <w:rsid w:val="39331B9A"/>
    <w:rsid w:val="39A62869"/>
    <w:rsid w:val="3A1373D3"/>
    <w:rsid w:val="3A2E5ADC"/>
    <w:rsid w:val="3A31781C"/>
    <w:rsid w:val="3A371E07"/>
    <w:rsid w:val="3A872856"/>
    <w:rsid w:val="3AD008A0"/>
    <w:rsid w:val="3AE7767E"/>
    <w:rsid w:val="3AF348CF"/>
    <w:rsid w:val="3B016FFD"/>
    <w:rsid w:val="3B3763D1"/>
    <w:rsid w:val="3BB57728"/>
    <w:rsid w:val="3BBD2E24"/>
    <w:rsid w:val="3BE954DD"/>
    <w:rsid w:val="3C0C5227"/>
    <w:rsid w:val="3C1A48A7"/>
    <w:rsid w:val="3C2F6E1E"/>
    <w:rsid w:val="3C4C74AC"/>
    <w:rsid w:val="3C4F64BA"/>
    <w:rsid w:val="3C522A69"/>
    <w:rsid w:val="3C6F2B08"/>
    <w:rsid w:val="3C7174C9"/>
    <w:rsid w:val="3C7F70D3"/>
    <w:rsid w:val="3CAE69CC"/>
    <w:rsid w:val="3CDA245A"/>
    <w:rsid w:val="3D1E06B7"/>
    <w:rsid w:val="3D2B6D23"/>
    <w:rsid w:val="3D4F61C1"/>
    <w:rsid w:val="3D653C21"/>
    <w:rsid w:val="3D6838AC"/>
    <w:rsid w:val="3D86558C"/>
    <w:rsid w:val="3E5F540E"/>
    <w:rsid w:val="3E81091D"/>
    <w:rsid w:val="3EA732E4"/>
    <w:rsid w:val="3ED94A9B"/>
    <w:rsid w:val="3EDA0523"/>
    <w:rsid w:val="3EF656C2"/>
    <w:rsid w:val="3F075E88"/>
    <w:rsid w:val="3F5627AD"/>
    <w:rsid w:val="3F7171A7"/>
    <w:rsid w:val="3FCC4CD1"/>
    <w:rsid w:val="3FFF5D84"/>
    <w:rsid w:val="40015512"/>
    <w:rsid w:val="407A6407"/>
    <w:rsid w:val="40BE46D6"/>
    <w:rsid w:val="4119339D"/>
    <w:rsid w:val="413D3C7F"/>
    <w:rsid w:val="414A3B2A"/>
    <w:rsid w:val="414B50FD"/>
    <w:rsid w:val="416A16B2"/>
    <w:rsid w:val="41867D1E"/>
    <w:rsid w:val="41913ED7"/>
    <w:rsid w:val="41DD6D76"/>
    <w:rsid w:val="41E84C55"/>
    <w:rsid w:val="4200449D"/>
    <w:rsid w:val="423A3BCC"/>
    <w:rsid w:val="42413F8A"/>
    <w:rsid w:val="424E57D2"/>
    <w:rsid w:val="4262770F"/>
    <w:rsid w:val="42B26C49"/>
    <w:rsid w:val="42B43C54"/>
    <w:rsid w:val="42C83582"/>
    <w:rsid w:val="42CB1623"/>
    <w:rsid w:val="43081845"/>
    <w:rsid w:val="43282193"/>
    <w:rsid w:val="432843A3"/>
    <w:rsid w:val="433856A1"/>
    <w:rsid w:val="433A6FE6"/>
    <w:rsid w:val="43480868"/>
    <w:rsid w:val="4350713C"/>
    <w:rsid w:val="435E5C94"/>
    <w:rsid w:val="4363194B"/>
    <w:rsid w:val="436653E0"/>
    <w:rsid w:val="439C5E09"/>
    <w:rsid w:val="43A044FF"/>
    <w:rsid w:val="43A05439"/>
    <w:rsid w:val="43C4431A"/>
    <w:rsid w:val="43F03C00"/>
    <w:rsid w:val="43FB6D45"/>
    <w:rsid w:val="443719A4"/>
    <w:rsid w:val="44841EA5"/>
    <w:rsid w:val="4488789C"/>
    <w:rsid w:val="448E07FB"/>
    <w:rsid w:val="44B951CC"/>
    <w:rsid w:val="44C67F95"/>
    <w:rsid w:val="44CD14E0"/>
    <w:rsid w:val="44DB2592"/>
    <w:rsid w:val="44F20B0B"/>
    <w:rsid w:val="450A607A"/>
    <w:rsid w:val="452E5F4C"/>
    <w:rsid w:val="45612018"/>
    <w:rsid w:val="458946E9"/>
    <w:rsid w:val="459A1D7D"/>
    <w:rsid w:val="45A47C0E"/>
    <w:rsid w:val="46004DE1"/>
    <w:rsid w:val="46577FD6"/>
    <w:rsid w:val="46934C99"/>
    <w:rsid w:val="4698326B"/>
    <w:rsid w:val="46D955A7"/>
    <w:rsid w:val="46E53F93"/>
    <w:rsid w:val="46EE732F"/>
    <w:rsid w:val="46FF218D"/>
    <w:rsid w:val="471072A6"/>
    <w:rsid w:val="47133957"/>
    <w:rsid w:val="47264D1B"/>
    <w:rsid w:val="472E6246"/>
    <w:rsid w:val="47A07E0C"/>
    <w:rsid w:val="47BB1907"/>
    <w:rsid w:val="48620262"/>
    <w:rsid w:val="4870272E"/>
    <w:rsid w:val="489D4C67"/>
    <w:rsid w:val="48E22EC4"/>
    <w:rsid w:val="494F4E40"/>
    <w:rsid w:val="4955513E"/>
    <w:rsid w:val="4969126A"/>
    <w:rsid w:val="497004D0"/>
    <w:rsid w:val="497A3655"/>
    <w:rsid w:val="49817A41"/>
    <w:rsid w:val="49AA7640"/>
    <w:rsid w:val="49BF6D61"/>
    <w:rsid w:val="49DC7715"/>
    <w:rsid w:val="4A023139"/>
    <w:rsid w:val="4A0550BC"/>
    <w:rsid w:val="4A382541"/>
    <w:rsid w:val="4A5751EC"/>
    <w:rsid w:val="4A7B576F"/>
    <w:rsid w:val="4AEA4CF4"/>
    <w:rsid w:val="4AF561A9"/>
    <w:rsid w:val="4AFA46CB"/>
    <w:rsid w:val="4B1355B6"/>
    <w:rsid w:val="4B3605BD"/>
    <w:rsid w:val="4B386DCB"/>
    <w:rsid w:val="4B3D4C26"/>
    <w:rsid w:val="4B4D5A2E"/>
    <w:rsid w:val="4C4A0649"/>
    <w:rsid w:val="4C547870"/>
    <w:rsid w:val="4C625F50"/>
    <w:rsid w:val="4C7521F1"/>
    <w:rsid w:val="4C7E5ECA"/>
    <w:rsid w:val="4C845CBC"/>
    <w:rsid w:val="4C876AA5"/>
    <w:rsid w:val="4CE63211"/>
    <w:rsid w:val="4D0C4DD7"/>
    <w:rsid w:val="4D0E00FB"/>
    <w:rsid w:val="4D176606"/>
    <w:rsid w:val="4D2724D7"/>
    <w:rsid w:val="4D8C73CF"/>
    <w:rsid w:val="4DEC4FB0"/>
    <w:rsid w:val="4DEC6847"/>
    <w:rsid w:val="4E075D8A"/>
    <w:rsid w:val="4E182773"/>
    <w:rsid w:val="4E65664F"/>
    <w:rsid w:val="4EC00FAD"/>
    <w:rsid w:val="4ECA0294"/>
    <w:rsid w:val="4EE70FA7"/>
    <w:rsid w:val="4F1C5402"/>
    <w:rsid w:val="4F2767AB"/>
    <w:rsid w:val="4F5A3772"/>
    <w:rsid w:val="4F6D68D9"/>
    <w:rsid w:val="4F9843DC"/>
    <w:rsid w:val="4FAD09B6"/>
    <w:rsid w:val="4FC62A8C"/>
    <w:rsid w:val="4FD74E04"/>
    <w:rsid w:val="4FE20F0D"/>
    <w:rsid w:val="4FE51552"/>
    <w:rsid w:val="4FF65D82"/>
    <w:rsid w:val="502D2C76"/>
    <w:rsid w:val="50504C4B"/>
    <w:rsid w:val="50560A9D"/>
    <w:rsid w:val="505D746E"/>
    <w:rsid w:val="509C6E7C"/>
    <w:rsid w:val="50A13664"/>
    <w:rsid w:val="50BF66A7"/>
    <w:rsid w:val="50CB76DF"/>
    <w:rsid w:val="50D4744D"/>
    <w:rsid w:val="51385D77"/>
    <w:rsid w:val="5162104E"/>
    <w:rsid w:val="516C206A"/>
    <w:rsid w:val="51802E28"/>
    <w:rsid w:val="51D71163"/>
    <w:rsid w:val="51DA1632"/>
    <w:rsid w:val="522A0C67"/>
    <w:rsid w:val="523379DC"/>
    <w:rsid w:val="524A176D"/>
    <w:rsid w:val="526652D9"/>
    <w:rsid w:val="528A154D"/>
    <w:rsid w:val="529201D8"/>
    <w:rsid w:val="534F4EEE"/>
    <w:rsid w:val="53635A03"/>
    <w:rsid w:val="538C05FC"/>
    <w:rsid w:val="538E62CB"/>
    <w:rsid w:val="53A039CC"/>
    <w:rsid w:val="53A1505A"/>
    <w:rsid w:val="53C135C4"/>
    <w:rsid w:val="53DA4EC3"/>
    <w:rsid w:val="53F003EF"/>
    <w:rsid w:val="54063E08"/>
    <w:rsid w:val="540939FA"/>
    <w:rsid w:val="541C69B2"/>
    <w:rsid w:val="543437E8"/>
    <w:rsid w:val="549E0718"/>
    <w:rsid w:val="54B84888"/>
    <w:rsid w:val="54C73281"/>
    <w:rsid w:val="54F73313"/>
    <w:rsid w:val="54F80955"/>
    <w:rsid w:val="54FD3E2A"/>
    <w:rsid w:val="551805BE"/>
    <w:rsid w:val="551E34D6"/>
    <w:rsid w:val="552D6629"/>
    <w:rsid w:val="553F1BAF"/>
    <w:rsid w:val="555170A7"/>
    <w:rsid w:val="5587536D"/>
    <w:rsid w:val="559B174B"/>
    <w:rsid w:val="55BA005C"/>
    <w:rsid w:val="55CE0CF4"/>
    <w:rsid w:val="55DD4210"/>
    <w:rsid w:val="55EE3A15"/>
    <w:rsid w:val="55FC3172"/>
    <w:rsid w:val="56611B57"/>
    <w:rsid w:val="56B22A9C"/>
    <w:rsid w:val="56C02A96"/>
    <w:rsid w:val="56C7635D"/>
    <w:rsid w:val="572C3859"/>
    <w:rsid w:val="57686C8A"/>
    <w:rsid w:val="576D604E"/>
    <w:rsid w:val="5776145A"/>
    <w:rsid w:val="57967E69"/>
    <w:rsid w:val="57AF2ABD"/>
    <w:rsid w:val="57B72A76"/>
    <w:rsid w:val="57C3426C"/>
    <w:rsid w:val="57CE1F93"/>
    <w:rsid w:val="58035889"/>
    <w:rsid w:val="581346E7"/>
    <w:rsid w:val="5844792D"/>
    <w:rsid w:val="587C0C3F"/>
    <w:rsid w:val="588743D1"/>
    <w:rsid w:val="5887701A"/>
    <w:rsid w:val="58FA6C2B"/>
    <w:rsid w:val="592D1F39"/>
    <w:rsid w:val="592D23D5"/>
    <w:rsid w:val="593432C8"/>
    <w:rsid w:val="593C0CC6"/>
    <w:rsid w:val="598056A3"/>
    <w:rsid w:val="59AC10B0"/>
    <w:rsid w:val="59B572DF"/>
    <w:rsid w:val="59C0439F"/>
    <w:rsid w:val="59C17263"/>
    <w:rsid w:val="59C817BA"/>
    <w:rsid w:val="5A015014"/>
    <w:rsid w:val="5A10452E"/>
    <w:rsid w:val="5A1420CD"/>
    <w:rsid w:val="5A3411D7"/>
    <w:rsid w:val="5A4F7C8D"/>
    <w:rsid w:val="5A887440"/>
    <w:rsid w:val="5A8D1895"/>
    <w:rsid w:val="5A973BFC"/>
    <w:rsid w:val="5ABE2233"/>
    <w:rsid w:val="5AC9321A"/>
    <w:rsid w:val="5B3242F4"/>
    <w:rsid w:val="5B700A7E"/>
    <w:rsid w:val="5B7D0D6F"/>
    <w:rsid w:val="5B906FB2"/>
    <w:rsid w:val="5BA210F8"/>
    <w:rsid w:val="5BC17F22"/>
    <w:rsid w:val="5BDF5D95"/>
    <w:rsid w:val="5BEA6AAB"/>
    <w:rsid w:val="5BFE7528"/>
    <w:rsid w:val="5C297A87"/>
    <w:rsid w:val="5C5A3458"/>
    <w:rsid w:val="5C755291"/>
    <w:rsid w:val="5D1D7380"/>
    <w:rsid w:val="5D6E1172"/>
    <w:rsid w:val="5D8E2FDD"/>
    <w:rsid w:val="5DA46C2D"/>
    <w:rsid w:val="5DC866D4"/>
    <w:rsid w:val="5DD90F38"/>
    <w:rsid w:val="5DFA7FB6"/>
    <w:rsid w:val="5E0314BA"/>
    <w:rsid w:val="5E2467F1"/>
    <w:rsid w:val="5E441F34"/>
    <w:rsid w:val="5E4F4700"/>
    <w:rsid w:val="5E590D87"/>
    <w:rsid w:val="5ECA4844"/>
    <w:rsid w:val="5EE66E12"/>
    <w:rsid w:val="5EF05EE3"/>
    <w:rsid w:val="5F092B01"/>
    <w:rsid w:val="5F17346F"/>
    <w:rsid w:val="5F1A2B43"/>
    <w:rsid w:val="5F2813F9"/>
    <w:rsid w:val="5F9F5996"/>
    <w:rsid w:val="5FB837BB"/>
    <w:rsid w:val="60017E5F"/>
    <w:rsid w:val="6017124D"/>
    <w:rsid w:val="6017749F"/>
    <w:rsid w:val="60354078"/>
    <w:rsid w:val="603718EF"/>
    <w:rsid w:val="603A66E3"/>
    <w:rsid w:val="60597E16"/>
    <w:rsid w:val="60CC405A"/>
    <w:rsid w:val="60DF7395"/>
    <w:rsid w:val="611D51C8"/>
    <w:rsid w:val="61262FCB"/>
    <w:rsid w:val="61394EAD"/>
    <w:rsid w:val="6142054C"/>
    <w:rsid w:val="61657FD6"/>
    <w:rsid w:val="618941DC"/>
    <w:rsid w:val="61B769C4"/>
    <w:rsid w:val="61C233CF"/>
    <w:rsid w:val="61C36A48"/>
    <w:rsid w:val="61E215D8"/>
    <w:rsid w:val="61E629D0"/>
    <w:rsid w:val="61F335F4"/>
    <w:rsid w:val="621B3775"/>
    <w:rsid w:val="621D7687"/>
    <w:rsid w:val="62364782"/>
    <w:rsid w:val="625C12B1"/>
    <w:rsid w:val="62684EE6"/>
    <w:rsid w:val="626E50AF"/>
    <w:rsid w:val="62751FFF"/>
    <w:rsid w:val="629152E7"/>
    <w:rsid w:val="633009D4"/>
    <w:rsid w:val="63533494"/>
    <w:rsid w:val="63762A7E"/>
    <w:rsid w:val="637B2B8D"/>
    <w:rsid w:val="6394356A"/>
    <w:rsid w:val="63985BC9"/>
    <w:rsid w:val="63C61B2C"/>
    <w:rsid w:val="63D40BE9"/>
    <w:rsid w:val="63F40D08"/>
    <w:rsid w:val="63FA6DDF"/>
    <w:rsid w:val="64102431"/>
    <w:rsid w:val="64155AA4"/>
    <w:rsid w:val="641C6DCE"/>
    <w:rsid w:val="64347268"/>
    <w:rsid w:val="64367476"/>
    <w:rsid w:val="64713622"/>
    <w:rsid w:val="649B5DBE"/>
    <w:rsid w:val="64A5243A"/>
    <w:rsid w:val="64F531DE"/>
    <w:rsid w:val="64FF0C2E"/>
    <w:rsid w:val="650252C6"/>
    <w:rsid w:val="650A3FB0"/>
    <w:rsid w:val="651F5183"/>
    <w:rsid w:val="652E0C40"/>
    <w:rsid w:val="652E1513"/>
    <w:rsid w:val="65373578"/>
    <w:rsid w:val="654948CE"/>
    <w:rsid w:val="655F791E"/>
    <w:rsid w:val="657A6506"/>
    <w:rsid w:val="65B25E52"/>
    <w:rsid w:val="65BD2897"/>
    <w:rsid w:val="65D105BD"/>
    <w:rsid w:val="65E75397"/>
    <w:rsid w:val="65F1031B"/>
    <w:rsid w:val="660D5AC0"/>
    <w:rsid w:val="661B74FF"/>
    <w:rsid w:val="66B62397"/>
    <w:rsid w:val="66BF0724"/>
    <w:rsid w:val="67040FB4"/>
    <w:rsid w:val="6717241F"/>
    <w:rsid w:val="671F124A"/>
    <w:rsid w:val="672E39B5"/>
    <w:rsid w:val="67381478"/>
    <w:rsid w:val="67472418"/>
    <w:rsid w:val="675420FF"/>
    <w:rsid w:val="67566ACC"/>
    <w:rsid w:val="67621EAC"/>
    <w:rsid w:val="676376F8"/>
    <w:rsid w:val="676601F6"/>
    <w:rsid w:val="677A33C6"/>
    <w:rsid w:val="679D472E"/>
    <w:rsid w:val="67FA0725"/>
    <w:rsid w:val="681F6961"/>
    <w:rsid w:val="685E3EBD"/>
    <w:rsid w:val="68610A2F"/>
    <w:rsid w:val="6862672C"/>
    <w:rsid w:val="687A4A6F"/>
    <w:rsid w:val="68805514"/>
    <w:rsid w:val="68A07937"/>
    <w:rsid w:val="68A620B7"/>
    <w:rsid w:val="68C71539"/>
    <w:rsid w:val="68CC1DDA"/>
    <w:rsid w:val="68F121E3"/>
    <w:rsid w:val="6905255B"/>
    <w:rsid w:val="69147B83"/>
    <w:rsid w:val="6916229D"/>
    <w:rsid w:val="691B7A41"/>
    <w:rsid w:val="69316E2F"/>
    <w:rsid w:val="694E2071"/>
    <w:rsid w:val="69766163"/>
    <w:rsid w:val="697A3B33"/>
    <w:rsid w:val="697F5FDF"/>
    <w:rsid w:val="6986527F"/>
    <w:rsid w:val="69887A6C"/>
    <w:rsid w:val="69B93686"/>
    <w:rsid w:val="69D44760"/>
    <w:rsid w:val="69DB5849"/>
    <w:rsid w:val="69E96013"/>
    <w:rsid w:val="6A045CF1"/>
    <w:rsid w:val="6A157C9F"/>
    <w:rsid w:val="6A1707C7"/>
    <w:rsid w:val="6A2323DD"/>
    <w:rsid w:val="6A2A0A42"/>
    <w:rsid w:val="6A340D25"/>
    <w:rsid w:val="6A3D5D54"/>
    <w:rsid w:val="6A445335"/>
    <w:rsid w:val="6A520EC7"/>
    <w:rsid w:val="6A9D483A"/>
    <w:rsid w:val="6AF87E20"/>
    <w:rsid w:val="6B291F20"/>
    <w:rsid w:val="6B322639"/>
    <w:rsid w:val="6B9423A1"/>
    <w:rsid w:val="6BCD756D"/>
    <w:rsid w:val="6BCE3108"/>
    <w:rsid w:val="6BDA7FBA"/>
    <w:rsid w:val="6BE7393D"/>
    <w:rsid w:val="6C635A7A"/>
    <w:rsid w:val="6C636C38"/>
    <w:rsid w:val="6CAF47AF"/>
    <w:rsid w:val="6CB1124C"/>
    <w:rsid w:val="6CBD43CA"/>
    <w:rsid w:val="6D0E3719"/>
    <w:rsid w:val="6D31409B"/>
    <w:rsid w:val="6DB34098"/>
    <w:rsid w:val="6DB545B6"/>
    <w:rsid w:val="6DB8130B"/>
    <w:rsid w:val="6DBD675B"/>
    <w:rsid w:val="6DE02FB4"/>
    <w:rsid w:val="6E032E11"/>
    <w:rsid w:val="6E325D93"/>
    <w:rsid w:val="6E514CED"/>
    <w:rsid w:val="6E613110"/>
    <w:rsid w:val="6EB563D5"/>
    <w:rsid w:val="6EC67D54"/>
    <w:rsid w:val="6ED02741"/>
    <w:rsid w:val="6ED92677"/>
    <w:rsid w:val="6EE449F0"/>
    <w:rsid w:val="6EF118AE"/>
    <w:rsid w:val="6EF554A2"/>
    <w:rsid w:val="6F225983"/>
    <w:rsid w:val="6F653065"/>
    <w:rsid w:val="6F930E24"/>
    <w:rsid w:val="6F9603E0"/>
    <w:rsid w:val="6FB450BD"/>
    <w:rsid w:val="6FFC5590"/>
    <w:rsid w:val="700A492A"/>
    <w:rsid w:val="706D1DD0"/>
    <w:rsid w:val="70856B87"/>
    <w:rsid w:val="70BC581A"/>
    <w:rsid w:val="70D527EE"/>
    <w:rsid w:val="71025639"/>
    <w:rsid w:val="71093A2D"/>
    <w:rsid w:val="712A317A"/>
    <w:rsid w:val="715B5300"/>
    <w:rsid w:val="717007BD"/>
    <w:rsid w:val="719721EE"/>
    <w:rsid w:val="71A02380"/>
    <w:rsid w:val="71D27F8A"/>
    <w:rsid w:val="71D30342"/>
    <w:rsid w:val="723040B0"/>
    <w:rsid w:val="723304F9"/>
    <w:rsid w:val="72553024"/>
    <w:rsid w:val="72FB3FED"/>
    <w:rsid w:val="73122968"/>
    <w:rsid w:val="731F5D5E"/>
    <w:rsid w:val="7323696A"/>
    <w:rsid w:val="7329156C"/>
    <w:rsid w:val="7375655F"/>
    <w:rsid w:val="73947599"/>
    <w:rsid w:val="73C51AD5"/>
    <w:rsid w:val="740358CC"/>
    <w:rsid w:val="74166BCF"/>
    <w:rsid w:val="74173762"/>
    <w:rsid w:val="741E793C"/>
    <w:rsid w:val="74220495"/>
    <w:rsid w:val="743B4C83"/>
    <w:rsid w:val="745E3944"/>
    <w:rsid w:val="74694588"/>
    <w:rsid w:val="748219C8"/>
    <w:rsid w:val="74A0760B"/>
    <w:rsid w:val="74A52E74"/>
    <w:rsid w:val="74FE360F"/>
    <w:rsid w:val="757801CA"/>
    <w:rsid w:val="75CA0CCD"/>
    <w:rsid w:val="75DA47FF"/>
    <w:rsid w:val="7635099D"/>
    <w:rsid w:val="76F00A90"/>
    <w:rsid w:val="775B015E"/>
    <w:rsid w:val="776B4E1E"/>
    <w:rsid w:val="777377CE"/>
    <w:rsid w:val="77762421"/>
    <w:rsid w:val="778046CC"/>
    <w:rsid w:val="77840895"/>
    <w:rsid w:val="77B43AFA"/>
    <w:rsid w:val="77B56B1F"/>
    <w:rsid w:val="780F09F4"/>
    <w:rsid w:val="782F590F"/>
    <w:rsid w:val="783F2590"/>
    <w:rsid w:val="784D567F"/>
    <w:rsid w:val="786A240A"/>
    <w:rsid w:val="78A90480"/>
    <w:rsid w:val="78D81C97"/>
    <w:rsid w:val="78F9553C"/>
    <w:rsid w:val="78FE5CD7"/>
    <w:rsid w:val="78FE7F26"/>
    <w:rsid w:val="795F5F6E"/>
    <w:rsid w:val="79741AD3"/>
    <w:rsid w:val="7977760A"/>
    <w:rsid w:val="79AF15E5"/>
    <w:rsid w:val="79BA71B9"/>
    <w:rsid w:val="79C21DD2"/>
    <w:rsid w:val="79DB58BD"/>
    <w:rsid w:val="7A364017"/>
    <w:rsid w:val="7A3F7FAA"/>
    <w:rsid w:val="7A4647B1"/>
    <w:rsid w:val="7A6B15C4"/>
    <w:rsid w:val="7A8265E1"/>
    <w:rsid w:val="7A8A510F"/>
    <w:rsid w:val="7A922379"/>
    <w:rsid w:val="7AA55FE4"/>
    <w:rsid w:val="7AC871AD"/>
    <w:rsid w:val="7ACA53E2"/>
    <w:rsid w:val="7B017645"/>
    <w:rsid w:val="7B185C39"/>
    <w:rsid w:val="7B4F5734"/>
    <w:rsid w:val="7B686D42"/>
    <w:rsid w:val="7B841746"/>
    <w:rsid w:val="7B976DD6"/>
    <w:rsid w:val="7BF6550F"/>
    <w:rsid w:val="7C1E59E5"/>
    <w:rsid w:val="7C551236"/>
    <w:rsid w:val="7C5B0937"/>
    <w:rsid w:val="7C6C5AC7"/>
    <w:rsid w:val="7CC6544B"/>
    <w:rsid w:val="7CC77E2B"/>
    <w:rsid w:val="7CD43E42"/>
    <w:rsid w:val="7CDC794A"/>
    <w:rsid w:val="7D0239FF"/>
    <w:rsid w:val="7D0D3E04"/>
    <w:rsid w:val="7D225B41"/>
    <w:rsid w:val="7D5E40CD"/>
    <w:rsid w:val="7D9046C1"/>
    <w:rsid w:val="7D91734A"/>
    <w:rsid w:val="7DCD56F2"/>
    <w:rsid w:val="7E3A6F69"/>
    <w:rsid w:val="7E727EA5"/>
    <w:rsid w:val="7E750DD1"/>
    <w:rsid w:val="7E845424"/>
    <w:rsid w:val="7EDC3936"/>
    <w:rsid w:val="7EDD66A3"/>
    <w:rsid w:val="7F001CE7"/>
    <w:rsid w:val="7F1B4626"/>
    <w:rsid w:val="7F4C3307"/>
    <w:rsid w:val="7F606315"/>
    <w:rsid w:val="7F6A0143"/>
    <w:rsid w:val="7FAE52D2"/>
    <w:rsid w:val="7FC1112C"/>
    <w:rsid w:val="7FD8389E"/>
    <w:rsid w:val="7FDF5943"/>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nhideWhenUsed="0" w:uiPriority="0" w:semiHidden="0" w:name="List"/>
    <w:lsdException w:uiPriority="99" w:name="List Bullet"/>
    <w:lsdException w:uiPriority="99" w:name="List Number"/>
    <w:lsdException w:uiPriority="99" w:name="List 2"/>
    <w:lsdException w:qFormat="1" w:unhideWhenUsed="0" w:uiPriority="99"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48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127"/>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46"/>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6">
    <w:name w:val="heading 3"/>
    <w:basedOn w:val="1"/>
    <w:next w:val="1"/>
    <w:unhideWhenUsed/>
    <w:qFormat/>
    <w:uiPriority w:val="0"/>
    <w:pPr>
      <w:keepNext/>
      <w:keepLines/>
      <w:tabs>
        <w:tab w:val="left" w:pos="-108"/>
      </w:tabs>
      <w:adjustRightInd w:val="0"/>
      <w:spacing w:beforeLines="0" w:afterLines="0"/>
      <w:ind w:firstLine="459"/>
      <w:outlineLvl w:val="2"/>
    </w:pPr>
    <w:rPr>
      <w:rFonts w:hint="default"/>
      <w:kern w:val="0"/>
      <w:sz w:val="24"/>
      <w:szCs w:val="24"/>
    </w:rPr>
  </w:style>
  <w:style w:type="paragraph" w:styleId="7">
    <w:name w:val="heading 4"/>
    <w:basedOn w:val="1"/>
    <w:next w:val="8"/>
    <w:qFormat/>
    <w:uiPriority w:val="0"/>
    <w:pPr>
      <w:keepNext/>
      <w:keepLines/>
      <w:numPr>
        <w:ilvl w:val="3"/>
        <w:numId w:val="1"/>
      </w:numPr>
      <w:ind w:left="0" w:firstLineChars="0"/>
      <w:jc w:val="left"/>
      <w:outlineLvl w:val="3"/>
    </w:pPr>
    <w:rPr>
      <w:rFonts w:ascii="等线 Light" w:hAnsi="等线 Light" w:cs="Times New Roman"/>
      <w:b/>
      <w:bCs/>
      <w:szCs w:val="28"/>
    </w:rPr>
  </w:style>
  <w:style w:type="character" w:default="1" w:styleId="31">
    <w:name w:val="Default Paragraph Font"/>
    <w:unhideWhenUsed/>
    <w:qFormat/>
    <w:uiPriority w:val="1"/>
  </w:style>
  <w:style w:type="table" w:default="1" w:styleId="29">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2"/>
    <w:basedOn w:val="1"/>
    <w:next w:val="1"/>
    <w:qFormat/>
    <w:uiPriority w:val="0"/>
    <w:pPr>
      <w:adjustRightInd w:val="0"/>
      <w:ind w:firstLine="540"/>
      <w:textAlignment w:val="baseline"/>
    </w:pPr>
    <w:rPr>
      <w:rFonts w:ascii="宋体"/>
      <w:kern w:val="0"/>
      <w:szCs w:val="20"/>
    </w:rPr>
  </w:style>
  <w:style w:type="paragraph" w:styleId="3">
    <w:name w:val="macro"/>
    <w:link w:val="45"/>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8">
    <w:name w:val="Normal Indent"/>
    <w:basedOn w:val="1"/>
    <w:next w:val="7"/>
    <w:link w:val="47"/>
    <w:unhideWhenUsed/>
    <w:qFormat/>
    <w:uiPriority w:val="99"/>
    <w:pPr>
      <w:spacing w:line="360" w:lineRule="auto"/>
      <w:ind w:firstLine="420"/>
    </w:pPr>
    <w:rPr>
      <w:sz w:val="24"/>
      <w:szCs w:val="20"/>
    </w:rPr>
  </w:style>
  <w:style w:type="paragraph" w:styleId="9">
    <w:name w:val="List 3"/>
    <w:basedOn w:val="1"/>
    <w:next w:val="1"/>
    <w:qFormat/>
    <w:uiPriority w:val="99"/>
    <w:pPr>
      <w:autoSpaceDE w:val="0"/>
      <w:autoSpaceDN w:val="0"/>
      <w:adjustRightInd w:val="0"/>
      <w:spacing w:line="288" w:lineRule="auto"/>
      <w:ind w:left="1260" w:hanging="420"/>
      <w:jc w:val="left"/>
      <w:textAlignment w:val="baseline"/>
    </w:pPr>
    <w:rPr>
      <w:kern w:val="0"/>
      <w:sz w:val="24"/>
      <w:szCs w:val="20"/>
    </w:rPr>
  </w:style>
  <w:style w:type="paragraph" w:styleId="10">
    <w:name w:val="caption"/>
    <w:basedOn w:val="1"/>
    <w:next w:val="1"/>
    <w:unhideWhenUsed/>
    <w:qFormat/>
    <w:uiPriority w:val="35"/>
    <w:pPr>
      <w:jc w:val="center"/>
    </w:pPr>
    <w:rPr>
      <w:rFonts w:eastAsia="黑体"/>
      <w:szCs w:val="20"/>
    </w:rPr>
  </w:style>
  <w:style w:type="paragraph" w:styleId="11">
    <w:name w:val="annotation text"/>
    <w:basedOn w:val="1"/>
    <w:link w:val="48"/>
    <w:unhideWhenUsed/>
    <w:qFormat/>
    <w:uiPriority w:val="99"/>
    <w:pPr>
      <w:jc w:val="left"/>
    </w:pPr>
    <w:rPr>
      <w:kern w:val="0"/>
      <w:sz w:val="24"/>
      <w:szCs w:val="20"/>
    </w:rPr>
  </w:style>
  <w:style w:type="paragraph" w:styleId="12">
    <w:name w:val="Body Text"/>
    <w:basedOn w:val="1"/>
    <w:next w:val="1"/>
    <w:link w:val="49"/>
    <w:unhideWhenUsed/>
    <w:qFormat/>
    <w:uiPriority w:val="99"/>
    <w:pPr>
      <w:widowControl/>
      <w:adjustRightInd w:val="0"/>
      <w:snapToGrid w:val="0"/>
      <w:spacing w:line="360" w:lineRule="auto"/>
      <w:ind w:firstLine="200" w:firstLineChars="200"/>
    </w:pPr>
    <w:rPr>
      <w:kern w:val="0"/>
      <w:sz w:val="24"/>
      <w:szCs w:val="20"/>
    </w:rPr>
  </w:style>
  <w:style w:type="paragraph" w:styleId="13">
    <w:name w:val="Body Text Indent"/>
    <w:basedOn w:val="1"/>
    <w:next w:val="8"/>
    <w:link w:val="50"/>
    <w:unhideWhenUsed/>
    <w:qFormat/>
    <w:uiPriority w:val="99"/>
    <w:pPr>
      <w:spacing w:after="120"/>
      <w:ind w:left="420" w:leftChars="200"/>
    </w:pPr>
    <w:rPr>
      <w:kern w:val="0"/>
      <w:sz w:val="24"/>
      <w:szCs w:val="20"/>
    </w:rPr>
  </w:style>
  <w:style w:type="paragraph" w:styleId="14">
    <w:name w:val="Plain Text"/>
    <w:basedOn w:val="1"/>
    <w:next w:val="8"/>
    <w:qFormat/>
    <w:uiPriority w:val="0"/>
    <w:pPr>
      <w:spacing w:line="240" w:lineRule="auto"/>
      <w:ind w:firstLine="0" w:firstLineChars="0"/>
    </w:pPr>
    <w:rPr>
      <w:rFonts w:ascii="宋体"/>
      <w:sz w:val="21"/>
      <w:szCs w:val="20"/>
    </w:rPr>
  </w:style>
  <w:style w:type="paragraph" w:styleId="15">
    <w:name w:val="Date"/>
    <w:basedOn w:val="1"/>
    <w:next w:val="1"/>
    <w:link w:val="52"/>
    <w:unhideWhenUsed/>
    <w:qFormat/>
    <w:uiPriority w:val="99"/>
    <w:pPr>
      <w:ind w:left="100" w:leftChars="2500"/>
    </w:pPr>
    <w:rPr>
      <w:kern w:val="0"/>
      <w:sz w:val="24"/>
      <w:szCs w:val="20"/>
    </w:rPr>
  </w:style>
  <w:style w:type="paragraph" w:styleId="16">
    <w:name w:val="Balloon Text"/>
    <w:basedOn w:val="1"/>
    <w:link w:val="53"/>
    <w:unhideWhenUsed/>
    <w:qFormat/>
    <w:uiPriority w:val="99"/>
    <w:rPr>
      <w:kern w:val="0"/>
      <w:sz w:val="18"/>
      <w:szCs w:val="20"/>
    </w:rPr>
  </w:style>
  <w:style w:type="paragraph" w:styleId="17">
    <w:name w:val="footer"/>
    <w:basedOn w:val="1"/>
    <w:link w:val="54"/>
    <w:unhideWhenUsed/>
    <w:qFormat/>
    <w:uiPriority w:val="99"/>
    <w:pPr>
      <w:tabs>
        <w:tab w:val="center" w:pos="4153"/>
        <w:tab w:val="right" w:pos="8306"/>
      </w:tabs>
      <w:snapToGrid w:val="0"/>
      <w:jc w:val="left"/>
    </w:pPr>
    <w:rPr>
      <w:kern w:val="0"/>
      <w:sz w:val="18"/>
      <w:szCs w:val="20"/>
    </w:rPr>
  </w:style>
  <w:style w:type="paragraph" w:styleId="18">
    <w:name w:val="header"/>
    <w:basedOn w:val="1"/>
    <w:next w:val="19"/>
    <w:link w:val="51"/>
    <w:unhideWhenUsed/>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19">
    <w:name w:val="样式5"/>
    <w:basedOn w:val="20"/>
    <w:qFormat/>
    <w:uiPriority w:val="0"/>
    <w:pPr>
      <w:snapToGrid w:val="0"/>
      <w:spacing w:line="360" w:lineRule="auto"/>
      <w:ind w:firstLine="510"/>
    </w:pPr>
    <w:rPr>
      <w:sz w:val="24"/>
    </w:rPr>
  </w:style>
  <w:style w:type="paragraph" w:customStyle="1" w:styleId="20">
    <w:name w:val="font5"/>
    <w:basedOn w:val="1"/>
    <w:qFormat/>
    <w:uiPriority w:val="0"/>
    <w:pPr>
      <w:widowControl/>
      <w:adjustRightInd w:val="0"/>
      <w:snapToGrid w:val="0"/>
      <w:spacing w:before="100" w:beforeAutospacing="1" w:after="100" w:afterAutospacing="1" w:line="520" w:lineRule="atLeast"/>
      <w:jc w:val="left"/>
    </w:pPr>
    <w:rPr>
      <w:rFonts w:hint="eastAsia" w:ascii="宋体" w:hAnsi="宋体" w:cs="Arial Unicode MS"/>
      <w:kern w:val="0"/>
      <w:sz w:val="18"/>
      <w:szCs w:val="18"/>
    </w:rPr>
  </w:style>
  <w:style w:type="paragraph" w:styleId="21">
    <w:name w:val="toc 1"/>
    <w:basedOn w:val="1"/>
    <w:next w:val="1"/>
    <w:semiHidden/>
    <w:unhideWhenUsed/>
    <w:qFormat/>
    <w:uiPriority w:val="39"/>
  </w:style>
  <w:style w:type="paragraph" w:styleId="22">
    <w:name w:val="index heading"/>
    <w:basedOn w:val="1"/>
    <w:next w:val="23"/>
    <w:qFormat/>
    <w:uiPriority w:val="0"/>
    <w:rPr>
      <w:rFonts w:ascii="Arial" w:hAnsi="Arial" w:eastAsia="宋体" w:cs="Arial"/>
      <w:b/>
      <w:bCs/>
    </w:rPr>
  </w:style>
  <w:style w:type="paragraph" w:styleId="23">
    <w:name w:val="index 1"/>
    <w:basedOn w:val="1"/>
    <w:next w:val="1"/>
    <w:qFormat/>
    <w:uiPriority w:val="0"/>
    <w:pPr>
      <w:ind w:left="210" w:hanging="210"/>
      <w:jc w:val="center"/>
    </w:pPr>
    <w:rPr>
      <w:rFonts w:ascii="Times New Roman" w:hAnsi="Times New Roman" w:eastAsia="宋体" w:cs="Times New Roman"/>
      <w:szCs w:val="21"/>
    </w:rPr>
  </w:style>
  <w:style w:type="paragraph" w:styleId="24">
    <w:name w:val="List"/>
    <w:basedOn w:val="1"/>
    <w:qFormat/>
    <w:uiPriority w:val="0"/>
    <w:pPr>
      <w:spacing w:line="240" w:lineRule="auto"/>
      <w:ind w:left="0" w:firstLine="0" w:firstLineChars="0"/>
      <w:jc w:val="center"/>
    </w:pPr>
    <w:rPr>
      <w:rFonts w:ascii="Times New Roman" w:hAnsi="Times New Roman" w:eastAsia="宋体"/>
      <w:sz w:val="21"/>
    </w:rPr>
  </w:style>
  <w:style w:type="paragraph" w:styleId="25">
    <w:name w:val="Normal (Web)"/>
    <w:basedOn w:val="1"/>
    <w:next w:val="1"/>
    <w:link w:val="55"/>
    <w:unhideWhenUsed/>
    <w:qFormat/>
    <w:uiPriority w:val="0"/>
    <w:pPr>
      <w:widowControl/>
      <w:spacing w:beforeAutospacing="1" w:afterAutospacing="1"/>
      <w:ind w:firstLine="0" w:firstLineChars="0"/>
      <w:jc w:val="left"/>
    </w:pPr>
    <w:rPr>
      <w:rFonts w:ascii="宋体" w:hAnsi="宋体" w:eastAsia="宋体"/>
      <w:kern w:val="0"/>
      <w:szCs w:val="20"/>
    </w:rPr>
  </w:style>
  <w:style w:type="paragraph" w:styleId="26">
    <w:name w:val="annotation subject"/>
    <w:basedOn w:val="11"/>
    <w:next w:val="11"/>
    <w:link w:val="56"/>
    <w:unhideWhenUsed/>
    <w:qFormat/>
    <w:uiPriority w:val="99"/>
    <w:rPr>
      <w:b/>
      <w:sz w:val="24"/>
      <w:szCs w:val="20"/>
    </w:rPr>
  </w:style>
  <w:style w:type="paragraph" w:styleId="27">
    <w:name w:val="Body Text First Indent"/>
    <w:basedOn w:val="12"/>
    <w:next w:val="1"/>
    <w:qFormat/>
    <w:uiPriority w:val="0"/>
    <w:pPr>
      <w:tabs>
        <w:tab w:val="left" w:pos="1260"/>
      </w:tabs>
      <w:spacing w:after="120" w:afterLines="0"/>
      <w:ind w:firstLine="420" w:firstLineChars="100"/>
      <w:jc w:val="both"/>
      <w:outlineLvl w:val="9"/>
    </w:pPr>
    <w:rPr>
      <w:rFonts w:eastAsia="宋体"/>
    </w:rPr>
  </w:style>
  <w:style w:type="paragraph" w:styleId="28">
    <w:name w:val="Body Text First Indent 2"/>
    <w:basedOn w:val="13"/>
    <w:next w:val="27"/>
    <w:link w:val="57"/>
    <w:unhideWhenUsed/>
    <w:qFormat/>
    <w:uiPriority w:val="99"/>
    <w:pPr>
      <w:ind w:firstLine="420" w:firstLineChars="200"/>
    </w:pPr>
    <w:rPr>
      <w:kern w:val="2"/>
      <w:sz w:val="21"/>
      <w:szCs w:val="24"/>
    </w:rPr>
  </w:style>
  <w:style w:type="table" w:styleId="30">
    <w:name w:val="Table Grid"/>
    <w:basedOn w:val="29"/>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rPr>
  </w:style>
  <w:style w:type="character" w:styleId="33">
    <w:name w:val="page number"/>
    <w:basedOn w:val="31"/>
    <w:unhideWhenUsed/>
    <w:qFormat/>
    <w:uiPriority w:val="99"/>
  </w:style>
  <w:style w:type="character" w:styleId="34">
    <w:name w:val="Emphasis"/>
    <w:basedOn w:val="31"/>
    <w:qFormat/>
    <w:uiPriority w:val="20"/>
    <w:rPr>
      <w:i/>
    </w:rPr>
  </w:style>
  <w:style w:type="character" w:styleId="35">
    <w:name w:val="Hyperlink"/>
    <w:unhideWhenUsed/>
    <w:qFormat/>
    <w:uiPriority w:val="99"/>
    <w:rPr>
      <w:color w:val="0000FF"/>
      <w:u w:val="single"/>
    </w:rPr>
  </w:style>
  <w:style w:type="character" w:styleId="36">
    <w:name w:val="annotation reference"/>
    <w:unhideWhenUsed/>
    <w:qFormat/>
    <w:uiPriority w:val="99"/>
    <w:rPr>
      <w:sz w:val="21"/>
    </w:rPr>
  </w:style>
  <w:style w:type="paragraph" w:customStyle="1" w:styleId="37">
    <w:name w:val="Default1"/>
    <w:basedOn w:val="38"/>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8">
    <w:name w:val="Normal_14_0"/>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39">
    <w:name w:val="Default"/>
    <w:basedOn w:val="40"/>
    <w:next w:val="9"/>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40">
    <w:name w:val="纯文本1"/>
    <w:basedOn w:val="1"/>
    <w:next w:val="1"/>
    <w:qFormat/>
    <w:uiPriority w:val="0"/>
    <w:rPr>
      <w:rFonts w:ascii="宋体" w:hAnsi="Courier New"/>
      <w:szCs w:val="20"/>
    </w:rPr>
  </w:style>
  <w:style w:type="paragraph" w:customStyle="1" w:styleId="41">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42">
    <w:name w:val="表头"/>
    <w:basedOn w:val="12"/>
    <w:next w:val="1"/>
    <w:qFormat/>
    <w:uiPriority w:val="0"/>
    <w:pPr>
      <w:spacing w:line="360" w:lineRule="auto"/>
      <w:ind w:firstLine="0" w:firstLineChars="0"/>
      <w:jc w:val="center"/>
    </w:pPr>
    <w:rPr>
      <w:rFonts w:ascii="Times New Roman" w:hAnsi="Times New Roman" w:eastAsia="宋体"/>
      <w:b/>
      <w:sz w:val="21"/>
    </w:rPr>
  </w:style>
  <w:style w:type="paragraph" w:customStyle="1" w:styleId="43">
    <w:name w:val="标题 段落4级"/>
    <w:qFormat/>
    <w:uiPriority w:val="99"/>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44">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45">
    <w:name w:val="宏文本 Char"/>
    <w:link w:val="3"/>
    <w:qFormat/>
    <w:uiPriority w:val="0"/>
    <w:rPr>
      <w:rFonts w:ascii="Courier New" w:hAnsi="Courier New" w:cs="Courier New"/>
      <w:kern w:val="2"/>
      <w:sz w:val="24"/>
      <w:szCs w:val="24"/>
    </w:rPr>
  </w:style>
  <w:style w:type="character" w:customStyle="1" w:styleId="46">
    <w:name w:val="标题 2 Char"/>
    <w:link w:val="5"/>
    <w:qFormat/>
    <w:uiPriority w:val="0"/>
    <w:rPr>
      <w:rFonts w:ascii="Calibri Light" w:hAnsi="Calibri Light" w:eastAsia="宋体" w:cs="Times New Roman"/>
      <w:b/>
      <w:bCs/>
      <w:kern w:val="2"/>
      <w:sz w:val="32"/>
      <w:szCs w:val="32"/>
    </w:rPr>
  </w:style>
  <w:style w:type="character" w:customStyle="1" w:styleId="47">
    <w:name w:val="正文缩进 Char"/>
    <w:link w:val="8"/>
    <w:qFormat/>
    <w:uiPriority w:val="0"/>
    <w:rPr>
      <w:kern w:val="2"/>
      <w:sz w:val="24"/>
    </w:rPr>
  </w:style>
  <w:style w:type="character" w:customStyle="1" w:styleId="48">
    <w:name w:val="批注文字 Char"/>
    <w:link w:val="11"/>
    <w:qFormat/>
    <w:locked/>
    <w:uiPriority w:val="0"/>
    <w:rPr>
      <w:rFonts w:ascii="Times New Roman" w:hAnsi="Times New Roman" w:eastAsia="宋体"/>
      <w:sz w:val="24"/>
    </w:rPr>
  </w:style>
  <w:style w:type="character" w:customStyle="1" w:styleId="49">
    <w:name w:val="正文文本 Char"/>
    <w:basedOn w:val="31"/>
    <w:link w:val="12"/>
    <w:qFormat/>
    <w:locked/>
    <w:uiPriority w:val="0"/>
    <w:rPr>
      <w:sz w:val="24"/>
    </w:rPr>
  </w:style>
  <w:style w:type="character" w:customStyle="1" w:styleId="50">
    <w:name w:val="正文文本缩进 Char"/>
    <w:link w:val="13"/>
    <w:semiHidden/>
    <w:qFormat/>
    <w:locked/>
    <w:uiPriority w:val="0"/>
    <w:rPr>
      <w:rFonts w:ascii="Times New Roman" w:hAnsi="Times New Roman" w:eastAsia="宋体"/>
      <w:sz w:val="24"/>
    </w:rPr>
  </w:style>
  <w:style w:type="character" w:customStyle="1" w:styleId="51">
    <w:name w:val="页眉 Char"/>
    <w:basedOn w:val="31"/>
    <w:link w:val="18"/>
    <w:qFormat/>
    <w:locked/>
    <w:uiPriority w:val="99"/>
    <w:rPr>
      <w:sz w:val="18"/>
    </w:rPr>
  </w:style>
  <w:style w:type="character" w:customStyle="1" w:styleId="52">
    <w:name w:val="日期 Char"/>
    <w:link w:val="15"/>
    <w:qFormat/>
    <w:locked/>
    <w:uiPriority w:val="0"/>
    <w:rPr>
      <w:rFonts w:ascii="Times New Roman" w:hAnsi="Times New Roman" w:eastAsia="宋体"/>
      <w:sz w:val="24"/>
    </w:rPr>
  </w:style>
  <w:style w:type="character" w:customStyle="1" w:styleId="53">
    <w:name w:val="批注框文本 Char"/>
    <w:basedOn w:val="31"/>
    <w:link w:val="16"/>
    <w:semiHidden/>
    <w:qFormat/>
    <w:locked/>
    <w:uiPriority w:val="0"/>
    <w:rPr>
      <w:rFonts w:ascii="Times New Roman" w:hAnsi="Times New Roman" w:eastAsia="宋体"/>
      <w:sz w:val="18"/>
    </w:rPr>
  </w:style>
  <w:style w:type="character" w:customStyle="1" w:styleId="54">
    <w:name w:val="页脚 Char"/>
    <w:basedOn w:val="31"/>
    <w:link w:val="17"/>
    <w:qFormat/>
    <w:locked/>
    <w:uiPriority w:val="99"/>
    <w:rPr>
      <w:sz w:val="18"/>
    </w:rPr>
  </w:style>
  <w:style w:type="character" w:customStyle="1" w:styleId="55">
    <w:name w:val="普通(网站) Char"/>
    <w:link w:val="25"/>
    <w:qFormat/>
    <w:locked/>
    <w:uiPriority w:val="0"/>
    <w:rPr>
      <w:rFonts w:ascii="宋体" w:hAnsi="宋体" w:eastAsia="宋体"/>
      <w:sz w:val="24"/>
    </w:rPr>
  </w:style>
  <w:style w:type="character" w:customStyle="1" w:styleId="56">
    <w:name w:val="批注主题 Char"/>
    <w:link w:val="26"/>
    <w:semiHidden/>
    <w:qFormat/>
    <w:locked/>
    <w:uiPriority w:val="0"/>
    <w:rPr>
      <w:rFonts w:ascii="Times New Roman" w:hAnsi="Times New Roman" w:eastAsia="宋体"/>
      <w:b/>
      <w:kern w:val="2"/>
      <w:sz w:val="24"/>
    </w:rPr>
  </w:style>
  <w:style w:type="character" w:customStyle="1" w:styleId="57">
    <w:name w:val="正文首行缩进 2 Char"/>
    <w:link w:val="28"/>
    <w:qFormat/>
    <w:uiPriority w:val="0"/>
    <w:rPr>
      <w:rFonts w:ascii="Times New Roman" w:hAnsi="Times New Roman" w:eastAsia="宋体"/>
      <w:kern w:val="2"/>
      <w:sz w:val="21"/>
      <w:szCs w:val="24"/>
    </w:rPr>
  </w:style>
  <w:style w:type="paragraph" w:customStyle="1" w:styleId="58">
    <w:name w:val="表格内文本-居中"/>
    <w:basedOn w:val="1"/>
    <w:qFormat/>
    <w:uiPriority w:val="0"/>
    <w:pPr>
      <w:spacing w:line="360" w:lineRule="exact"/>
      <w:ind w:firstLine="0" w:firstLineChars="0"/>
      <w:jc w:val="center"/>
    </w:pPr>
    <w:rPr>
      <w:color w:val="auto"/>
      <w:sz w:val="21"/>
    </w:rPr>
  </w:style>
  <w:style w:type="paragraph" w:customStyle="1" w:styleId="59">
    <w:name w:val="表格标题"/>
    <w:basedOn w:val="60"/>
    <w:qFormat/>
    <w:uiPriority w:val="0"/>
    <w:pPr>
      <w:spacing w:line="360" w:lineRule="exact"/>
      <w:ind w:firstLine="0" w:firstLineChars="0"/>
      <w:jc w:val="center"/>
    </w:pPr>
    <w:rPr>
      <w:rFonts w:eastAsia="宋体"/>
      <w:bCs/>
      <w:color w:val="auto"/>
      <w:spacing w:val="-6"/>
    </w:rPr>
  </w:style>
  <w:style w:type="paragraph" w:customStyle="1" w:styleId="60">
    <w:name w:val="正文-玉山县业务用房"/>
    <w:basedOn w:val="1"/>
    <w:qFormat/>
    <w:uiPriority w:val="99"/>
    <w:pPr>
      <w:autoSpaceDE w:val="0"/>
      <w:autoSpaceDN w:val="0"/>
      <w:adjustRightInd w:val="0"/>
      <w:ind w:firstLine="560"/>
    </w:pPr>
    <w:rPr>
      <w:rFonts w:eastAsia="宋体" w:cs="Times New Roman"/>
      <w:kern w:val="0"/>
      <w:sz w:val="24"/>
      <w:szCs w:val="28"/>
    </w:rPr>
  </w:style>
  <w:style w:type="paragraph" w:customStyle="1" w:styleId="61">
    <w:name w:val="表格"/>
    <w:basedOn w:val="62"/>
    <w:next w:val="1"/>
    <w:link w:val="63"/>
    <w:qFormat/>
    <w:uiPriority w:val="0"/>
    <w:pPr>
      <w:adjustRightInd w:val="0"/>
      <w:snapToGrid w:val="0"/>
      <w:spacing w:line="360" w:lineRule="exact"/>
      <w:ind w:firstLine="0" w:firstLineChars="0"/>
      <w:jc w:val="center"/>
    </w:pPr>
    <w:rPr>
      <w:kern w:val="0"/>
    </w:rPr>
  </w:style>
  <w:style w:type="paragraph" w:customStyle="1" w:styleId="62">
    <w:name w:val="表格内表格正文"/>
    <w:basedOn w:val="1"/>
    <w:qFormat/>
    <w:uiPriority w:val="0"/>
    <w:pPr>
      <w:spacing w:line="240" w:lineRule="auto"/>
      <w:ind w:firstLine="0"/>
      <w:jc w:val="center"/>
    </w:pPr>
    <w:rPr>
      <w:spacing w:val="0"/>
      <w:sz w:val="21"/>
      <w:szCs w:val="21"/>
    </w:rPr>
  </w:style>
  <w:style w:type="character" w:customStyle="1" w:styleId="63">
    <w:name w:val="表格 Char"/>
    <w:link w:val="61"/>
    <w:qFormat/>
    <w:locked/>
    <w:uiPriority w:val="0"/>
    <w:rPr>
      <w:rFonts w:ascii="Times New Roman" w:hAnsi="Times New Roman" w:eastAsia="宋体"/>
      <w:sz w:val="21"/>
      <w:szCs w:val="21"/>
    </w:rPr>
  </w:style>
  <w:style w:type="paragraph" w:customStyle="1" w:styleId="64">
    <w:name w:val="表标题"/>
    <w:basedOn w:val="65"/>
    <w:next w:val="65"/>
    <w:qFormat/>
    <w:uiPriority w:val="0"/>
    <w:pPr>
      <w:spacing w:line="440" w:lineRule="exact"/>
      <w:ind w:firstLine="0" w:firstLineChars="0"/>
      <w:jc w:val="center"/>
    </w:pPr>
    <w:rPr>
      <w:rFonts w:ascii="Times New Roman" w:hAnsi="Times New Roman" w:eastAsia="宋体" w:cs="Times New Roman"/>
      <w:sz w:val="24"/>
      <w:szCs w:val="24"/>
    </w:rPr>
  </w:style>
  <w:style w:type="paragraph" w:customStyle="1" w:styleId="65">
    <w:name w:val="正文文字"/>
    <w:basedOn w:val="66"/>
    <w:qFormat/>
    <w:uiPriority w:val="99"/>
    <w:pPr>
      <w:spacing w:after="119" w:line="351" w:lineRule="atLeast"/>
      <w:ind w:firstLine="419"/>
      <w:textAlignment w:val="baseline"/>
    </w:pPr>
    <w:rPr>
      <w:color w:val="000000"/>
      <w:kern w:val="0"/>
      <w:szCs w:val="20"/>
      <w:u w:val="none" w:color="000000"/>
    </w:rPr>
  </w:style>
  <w:style w:type="paragraph" w:customStyle="1" w:styleId="66">
    <w:name w:val="正文缩进1"/>
    <w:basedOn w:val="1"/>
    <w:qFormat/>
    <w:uiPriority w:val="0"/>
    <w:pPr>
      <w:ind w:firstLine="420" w:firstLineChars="200"/>
    </w:pPr>
    <w:rPr>
      <w:rFonts w:ascii="Times New Roman" w:hAnsi="Times New Roman" w:eastAsia="仿宋_GB2312" w:cs="Times New Roman"/>
      <w:sz w:val="28"/>
    </w:rPr>
  </w:style>
  <w:style w:type="paragraph" w:customStyle="1" w:styleId="67">
    <w:name w:val="报告正文"/>
    <w:basedOn w:val="1"/>
    <w:link w:val="68"/>
    <w:qFormat/>
    <w:uiPriority w:val="0"/>
    <w:pPr>
      <w:spacing w:line="360" w:lineRule="auto"/>
      <w:ind w:firstLine="480" w:firstLineChars="200"/>
      <w:textAlignment w:val="baseline"/>
    </w:pPr>
    <w:rPr>
      <w:kern w:val="0"/>
      <w:sz w:val="24"/>
      <w:szCs w:val="21"/>
    </w:rPr>
  </w:style>
  <w:style w:type="character" w:customStyle="1" w:styleId="68">
    <w:name w:val="报告正文 Char"/>
    <w:link w:val="67"/>
    <w:qFormat/>
    <w:uiPriority w:val="0"/>
    <w:rPr>
      <w:sz w:val="24"/>
      <w:szCs w:val="21"/>
    </w:rPr>
  </w:style>
  <w:style w:type="paragraph" w:customStyle="1" w:styleId="69">
    <w:name w:val="样式1"/>
    <w:basedOn w:val="22"/>
    <w:qFormat/>
    <w:uiPriority w:val="0"/>
    <w:pPr>
      <w:spacing w:line="360" w:lineRule="auto"/>
      <w:ind w:firstLine="425"/>
    </w:pPr>
    <w:rPr>
      <w:rFonts w:ascii="Times New Roman" w:hAnsi="Times New Roman" w:eastAsia="宋体" w:cs="Times New Roman"/>
      <w:kern w:val="44"/>
    </w:rPr>
  </w:style>
  <w:style w:type="paragraph" w:customStyle="1" w:styleId="70">
    <w:name w:val="Date1"/>
    <w:basedOn w:val="1"/>
    <w:next w:val="1"/>
    <w:qFormat/>
    <w:uiPriority w:val="0"/>
    <w:pPr>
      <w:adjustRightInd w:val="0"/>
      <w:jc w:val="left"/>
      <w:textAlignment w:val="baseline"/>
    </w:pPr>
    <w:rPr>
      <w:rFonts w:ascii="宋体" w:hAnsi="宋体"/>
      <w:szCs w:val="20"/>
    </w:rPr>
  </w:style>
  <w:style w:type="paragraph" w:customStyle="1" w:styleId="71">
    <w:name w:val="常用正文样式"/>
    <w:qFormat/>
    <w:uiPriority w:val="0"/>
    <w:pPr>
      <w:widowControl w:val="0"/>
      <w:spacing w:line="360" w:lineRule="auto"/>
      <w:ind w:firstLine="454"/>
      <w:jc w:val="both"/>
    </w:pPr>
    <w:rPr>
      <w:rFonts w:ascii="宋体" w:hAnsi="新宋体" w:eastAsia="仿宋_GB2312" w:cs="宋体"/>
      <w:kern w:val="2"/>
      <w:sz w:val="24"/>
      <w:szCs w:val="24"/>
      <w:lang w:val="en-US" w:eastAsia="zh-CN" w:bidi="ar-SA"/>
    </w:rPr>
  </w:style>
  <w:style w:type="character" w:customStyle="1" w:styleId="72">
    <w:name w:val="页脚 字符"/>
    <w:basedOn w:val="31"/>
    <w:qFormat/>
    <w:uiPriority w:val="99"/>
  </w:style>
  <w:style w:type="character" w:customStyle="1" w:styleId="73">
    <w:name w:val="正文文本 字符1"/>
    <w:semiHidden/>
    <w:qFormat/>
    <w:uiPriority w:val="0"/>
    <w:rPr>
      <w:rFonts w:ascii="Times New Roman" w:hAnsi="Times New Roman" w:eastAsia="宋体"/>
      <w:sz w:val="24"/>
    </w:rPr>
  </w:style>
  <w:style w:type="character" w:customStyle="1" w:styleId="74">
    <w:name w:val="日期 字符"/>
    <w:semiHidden/>
    <w:qFormat/>
    <w:uiPriority w:val="0"/>
    <w:rPr>
      <w:rFonts w:ascii="Times New Roman" w:hAnsi="Times New Roman" w:eastAsia="宋体"/>
      <w:sz w:val="24"/>
    </w:rPr>
  </w:style>
  <w:style w:type="character" w:customStyle="1" w:styleId="75">
    <w:name w:val="批注文字 字符1"/>
    <w:semiHidden/>
    <w:qFormat/>
    <w:uiPriority w:val="0"/>
    <w:rPr>
      <w:rFonts w:ascii="Times New Roman" w:hAnsi="Times New Roman" w:eastAsia="宋体"/>
      <w:sz w:val="24"/>
    </w:rPr>
  </w:style>
  <w:style w:type="paragraph" w:customStyle="1" w:styleId="7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8">
    <w:name w:val="正文22222222222222222222"/>
    <w:basedOn w:val="1"/>
    <w:link w:val="79"/>
    <w:qFormat/>
    <w:uiPriority w:val="0"/>
    <w:pPr>
      <w:spacing w:line="360" w:lineRule="auto"/>
      <w:ind w:firstLine="200" w:firstLineChars="200"/>
    </w:pPr>
    <w:rPr>
      <w:rFonts w:ascii="Times New Roman" w:hAnsi="Times New Roman" w:eastAsia="宋体"/>
      <w:color w:val="000000"/>
    </w:rPr>
  </w:style>
  <w:style w:type="character" w:customStyle="1" w:styleId="79">
    <w:name w:val="正文22222222222222222222 Char"/>
    <w:link w:val="78"/>
    <w:qFormat/>
    <w:uiPriority w:val="0"/>
    <w:rPr>
      <w:rFonts w:ascii="Times New Roman" w:hAnsi="Times New Roman" w:eastAsia="宋体"/>
      <w:color w:val="000000"/>
      <w:kern w:val="2"/>
      <w:sz w:val="24"/>
      <w:szCs w:val="24"/>
    </w:rPr>
  </w:style>
  <w:style w:type="paragraph" w:customStyle="1" w:styleId="80">
    <w:name w:val="表内容"/>
    <w:basedOn w:val="8"/>
    <w:qFormat/>
    <w:uiPriority w:val="0"/>
    <w:pPr>
      <w:spacing w:line="240" w:lineRule="auto"/>
      <w:ind w:firstLine="0"/>
    </w:pPr>
    <w:rPr>
      <w:rFonts w:eastAsia="宋体" w:cs="宋体"/>
      <w:color w:val="000000"/>
      <w:sz w:val="18"/>
    </w:rPr>
  </w:style>
  <w:style w:type="paragraph" w:customStyle="1" w:styleId="81">
    <w:name w:val="图表标题"/>
    <w:basedOn w:val="12"/>
    <w:qFormat/>
    <w:uiPriority w:val="0"/>
    <w:pPr>
      <w:spacing w:line="440" w:lineRule="exact"/>
      <w:ind w:firstLine="0" w:firstLineChars="0"/>
      <w:jc w:val="center"/>
    </w:pPr>
    <w:rPr>
      <w:rFonts w:cs="Times New Roman"/>
      <w:szCs w:val="24"/>
    </w:rPr>
  </w:style>
  <w:style w:type="paragraph" w:customStyle="1" w:styleId="82">
    <w:name w:val="图表标题1111111111111111111111111111"/>
    <w:basedOn w:val="12"/>
    <w:qFormat/>
    <w:uiPriority w:val="0"/>
    <w:pPr>
      <w:spacing w:line="440" w:lineRule="exact"/>
      <w:ind w:firstLine="0" w:firstLineChars="0"/>
      <w:jc w:val="center"/>
    </w:pPr>
    <w:rPr>
      <w:rFonts w:ascii="Times New Roman" w:hAnsi="Times New Roman" w:eastAsia="宋体" w:cs="Times New Roman"/>
      <w:sz w:val="24"/>
      <w:szCs w:val="24"/>
    </w:rPr>
  </w:style>
  <w:style w:type="paragraph" w:customStyle="1" w:styleId="83">
    <w:name w:val="正文文本222222"/>
    <w:qFormat/>
    <w:uiPriority w:val="0"/>
    <w:pPr>
      <w:spacing w:line="440" w:lineRule="exact"/>
      <w:ind w:firstLine="200" w:firstLineChars="200"/>
    </w:pPr>
    <w:rPr>
      <w:rFonts w:ascii="Times New Roman" w:hAnsi="Times New Roman" w:eastAsia="宋体" w:cs="Times New Roman"/>
      <w:sz w:val="24"/>
      <w:szCs w:val="24"/>
      <w:lang w:val="en-US" w:eastAsia="zh-CN" w:bidi="ar-SA"/>
    </w:rPr>
  </w:style>
  <w:style w:type="character" w:customStyle="1" w:styleId="84">
    <w:name w:val="正文1 Char"/>
    <w:link w:val="85"/>
    <w:qFormat/>
    <w:uiPriority w:val="0"/>
    <w:rPr>
      <w:rFonts w:ascii="宋体"/>
      <w:sz w:val="24"/>
    </w:rPr>
  </w:style>
  <w:style w:type="paragraph" w:customStyle="1" w:styleId="85">
    <w:name w:val="正文1"/>
    <w:link w:val="84"/>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86">
    <w:name w:val="表格中文字 Char"/>
    <w:link w:val="87"/>
    <w:qFormat/>
    <w:locked/>
    <w:uiPriority w:val="0"/>
    <w:rPr>
      <w:kern w:val="18"/>
      <w:sz w:val="21"/>
      <w:szCs w:val="21"/>
    </w:rPr>
  </w:style>
  <w:style w:type="paragraph" w:customStyle="1" w:styleId="87">
    <w:name w:val="表格中文字"/>
    <w:basedOn w:val="1"/>
    <w:link w:val="86"/>
    <w:qFormat/>
    <w:uiPriority w:val="0"/>
    <w:pPr>
      <w:adjustRightInd w:val="0"/>
      <w:snapToGrid w:val="0"/>
      <w:jc w:val="center"/>
    </w:pPr>
    <w:rPr>
      <w:kern w:val="18"/>
      <w:szCs w:val="21"/>
    </w:rPr>
  </w:style>
  <w:style w:type="paragraph" w:customStyle="1" w:styleId="88">
    <w:name w:val="报告书表格"/>
    <w:basedOn w:val="1"/>
    <w:qFormat/>
    <w:uiPriority w:val="0"/>
    <w:pPr>
      <w:adjustRightInd w:val="0"/>
      <w:spacing w:before="60" w:after="60" w:line="240" w:lineRule="atLeast"/>
      <w:jc w:val="center"/>
      <w:textAlignment w:val="baseline"/>
    </w:pPr>
    <w:rPr>
      <w:kern w:val="0"/>
      <w:szCs w:val="20"/>
    </w:rPr>
  </w:style>
  <w:style w:type="character" w:customStyle="1" w:styleId="89">
    <w:name w:val="正文01 Char"/>
    <w:link w:val="90"/>
    <w:qFormat/>
    <w:uiPriority w:val="0"/>
    <w:rPr>
      <w:kern w:val="2"/>
      <w:sz w:val="24"/>
    </w:rPr>
  </w:style>
  <w:style w:type="paragraph" w:customStyle="1" w:styleId="90">
    <w:name w:val="正文01"/>
    <w:basedOn w:val="8"/>
    <w:link w:val="89"/>
    <w:qFormat/>
    <w:uiPriority w:val="0"/>
    <w:pPr>
      <w:ind w:firstLine="480" w:firstLineChars="200"/>
    </w:pPr>
  </w:style>
  <w:style w:type="character" w:customStyle="1" w:styleId="91">
    <w:name w:val="表格001 Char"/>
    <w:link w:val="92"/>
    <w:qFormat/>
    <w:uiPriority w:val="0"/>
    <w:rPr>
      <w:kern w:val="2"/>
      <w:sz w:val="24"/>
    </w:rPr>
  </w:style>
  <w:style w:type="paragraph" w:customStyle="1" w:styleId="92">
    <w:name w:val="表格001"/>
    <w:basedOn w:val="1"/>
    <w:link w:val="91"/>
    <w:qFormat/>
    <w:uiPriority w:val="0"/>
    <w:pPr>
      <w:spacing w:line="560" w:lineRule="exact"/>
      <w:ind w:firstLine="643" w:firstLineChars="200"/>
      <w:jc w:val="center"/>
    </w:pPr>
    <w:rPr>
      <w:sz w:val="24"/>
      <w:szCs w:val="20"/>
    </w:rPr>
  </w:style>
  <w:style w:type="paragraph" w:customStyle="1" w:styleId="93">
    <w:name w:val="D表内1磅"/>
    <w:basedOn w:val="1"/>
    <w:qFormat/>
    <w:uiPriority w:val="0"/>
    <w:pPr>
      <w:spacing w:before="20" w:after="20"/>
      <w:jc w:val="center"/>
    </w:pPr>
    <w:rPr>
      <w:szCs w:val="21"/>
    </w:rPr>
  </w:style>
  <w:style w:type="paragraph" w:customStyle="1" w:styleId="94">
    <w:name w:val="A表内"/>
    <w:basedOn w:val="1"/>
    <w:next w:val="1"/>
    <w:qFormat/>
    <w:uiPriority w:val="0"/>
    <w:pPr>
      <w:spacing w:line="0" w:lineRule="atLeast"/>
      <w:jc w:val="center"/>
    </w:pPr>
    <w:rPr>
      <w:rFonts w:ascii="Calibri" w:hAnsi="Calibri" w:cs="宋体"/>
      <w:szCs w:val="22"/>
    </w:rPr>
  </w:style>
  <w:style w:type="paragraph" w:customStyle="1" w:styleId="95">
    <w:name w:val="文章正文"/>
    <w:basedOn w:val="1"/>
    <w:qFormat/>
    <w:uiPriority w:val="0"/>
    <w:pPr>
      <w:spacing w:line="360" w:lineRule="auto"/>
      <w:ind w:firstLine="200" w:firstLineChars="200"/>
    </w:pPr>
    <w:rPr>
      <w:sz w:val="24"/>
      <w:szCs w:val="22"/>
    </w:rPr>
  </w:style>
  <w:style w:type="paragraph" w:styleId="96">
    <w:name w:val="List Paragraph"/>
    <w:basedOn w:val="1"/>
    <w:link w:val="97"/>
    <w:qFormat/>
    <w:uiPriority w:val="34"/>
    <w:pPr>
      <w:ind w:firstLine="420" w:firstLineChars="200"/>
    </w:pPr>
    <w:rPr>
      <w:rFonts w:ascii="Calibri" w:hAnsi="Calibri"/>
      <w:sz w:val="24"/>
      <w:szCs w:val="22"/>
    </w:rPr>
  </w:style>
  <w:style w:type="character" w:customStyle="1" w:styleId="97">
    <w:name w:val="列出段落 Char"/>
    <w:link w:val="96"/>
    <w:qFormat/>
    <w:uiPriority w:val="34"/>
    <w:rPr>
      <w:rFonts w:ascii="Calibri" w:hAnsi="Calibri"/>
      <w:kern w:val="2"/>
      <w:sz w:val="24"/>
      <w:szCs w:val="22"/>
    </w:rPr>
  </w:style>
  <w:style w:type="paragraph" w:customStyle="1" w:styleId="98">
    <w:name w:val="表格内容自定"/>
    <w:basedOn w:val="1"/>
    <w:semiHidden/>
    <w:qFormat/>
    <w:uiPriority w:val="0"/>
    <w:pPr>
      <w:spacing w:line="280" w:lineRule="exact"/>
      <w:jc w:val="center"/>
    </w:pPr>
    <w:rPr>
      <w:kern w:val="0"/>
      <w:sz w:val="18"/>
      <w:szCs w:val="21"/>
    </w:rPr>
  </w:style>
  <w:style w:type="character" w:customStyle="1" w:styleId="99">
    <w:name w:val="表格正文 Char1"/>
    <w:link w:val="100"/>
    <w:qFormat/>
    <w:uiPriority w:val="0"/>
    <w:rPr>
      <w:rFonts w:ascii="宋体" w:hAnsi="宋体"/>
      <w:snapToGrid/>
      <w:spacing w:val="4"/>
      <w:kern w:val="2"/>
      <w:sz w:val="21"/>
    </w:rPr>
  </w:style>
  <w:style w:type="paragraph" w:customStyle="1" w:styleId="100">
    <w:name w:val="表格正文"/>
    <w:basedOn w:val="1"/>
    <w:next w:val="1"/>
    <w:link w:val="99"/>
    <w:qFormat/>
    <w:uiPriority w:val="0"/>
    <w:pPr>
      <w:adjustRightInd w:val="0"/>
      <w:snapToGrid w:val="0"/>
      <w:jc w:val="center"/>
      <w:textAlignment w:val="baseline"/>
    </w:pPr>
    <w:rPr>
      <w:rFonts w:ascii="宋体" w:hAnsi="宋体"/>
      <w:snapToGrid w:val="0"/>
      <w:spacing w:val="4"/>
      <w:szCs w:val="20"/>
    </w:rPr>
  </w:style>
  <w:style w:type="character" w:customStyle="1" w:styleId="101">
    <w:name w:val="word_break3"/>
    <w:basedOn w:val="31"/>
    <w:qFormat/>
    <w:uiPriority w:val="0"/>
  </w:style>
  <w:style w:type="paragraph" w:customStyle="1" w:styleId="102">
    <w:name w:val="样式 图表标题2222222222222"/>
    <w:qFormat/>
    <w:uiPriority w:val="0"/>
    <w:pPr>
      <w:jc w:val="center"/>
    </w:pPr>
    <w:rPr>
      <w:rFonts w:ascii="黑体" w:hAnsi="黑体" w:eastAsia="黑体" w:cs="宋体"/>
      <w:sz w:val="21"/>
      <w:u w:val="none" w:color="000000"/>
      <w:lang w:val="en-US" w:eastAsia="zh-CN" w:bidi="ar-SA"/>
    </w:rPr>
  </w:style>
  <w:style w:type="paragraph" w:customStyle="1" w:styleId="103">
    <w:name w:val="无样式"/>
    <w:basedOn w:val="1"/>
    <w:link w:val="104"/>
    <w:qFormat/>
    <w:uiPriority w:val="0"/>
    <w:pPr>
      <w:widowControl/>
      <w:adjustRightInd w:val="0"/>
      <w:snapToGrid w:val="0"/>
      <w:spacing w:line="360" w:lineRule="auto"/>
      <w:ind w:firstLine="200" w:firstLineChars="200"/>
    </w:pPr>
    <w:rPr>
      <w:sz w:val="24"/>
      <w:szCs w:val="22"/>
    </w:rPr>
  </w:style>
  <w:style w:type="character" w:customStyle="1" w:styleId="104">
    <w:name w:val="无样式 字符"/>
    <w:link w:val="103"/>
    <w:qFormat/>
    <w:uiPriority w:val="0"/>
    <w:rPr>
      <w:kern w:val="2"/>
      <w:sz w:val="24"/>
      <w:szCs w:val="22"/>
    </w:rPr>
  </w:style>
  <w:style w:type="character" w:customStyle="1" w:styleId="105">
    <w:name w:val="font11"/>
    <w:basedOn w:val="31"/>
    <w:qFormat/>
    <w:uiPriority w:val="0"/>
    <w:rPr>
      <w:rFonts w:hint="eastAsia" w:ascii="宋体" w:hAnsi="宋体" w:eastAsia="宋体" w:cs="宋体"/>
      <w:color w:val="000000"/>
      <w:sz w:val="18"/>
      <w:szCs w:val="18"/>
      <w:u w:val="none"/>
    </w:rPr>
  </w:style>
  <w:style w:type="character" w:customStyle="1" w:styleId="106">
    <w:name w:val="font01"/>
    <w:basedOn w:val="31"/>
    <w:qFormat/>
    <w:uiPriority w:val="0"/>
    <w:rPr>
      <w:rFonts w:hint="default" w:ascii="Times New Roman" w:hAnsi="Times New Roman" w:cs="Times New Roman"/>
      <w:color w:val="000000"/>
      <w:sz w:val="18"/>
      <w:szCs w:val="18"/>
      <w:u w:val="none"/>
    </w:rPr>
  </w:style>
  <w:style w:type="paragraph" w:customStyle="1" w:styleId="107">
    <w:name w:val="表格文本（KH）"/>
    <w:basedOn w:val="87"/>
    <w:qFormat/>
    <w:uiPriority w:val="0"/>
    <w:pPr>
      <w:widowControl w:val="0"/>
      <w:textAlignment w:val="center"/>
    </w:pPr>
  </w:style>
  <w:style w:type="paragraph" w:styleId="108">
    <w:name w:val="No Spacing"/>
    <w:qFormat/>
    <w:uiPriority w:val="0"/>
    <w:pPr>
      <w:numPr>
        <w:ilvl w:val="5"/>
        <w:numId w:val="2"/>
      </w:numPr>
      <w:jc w:val="center"/>
    </w:pPr>
    <w:rPr>
      <w:rFonts w:ascii="Times New Roman" w:hAnsi="Times New Roman" w:eastAsia="宋体" w:cs="Times New Roman"/>
      <w:b/>
      <w:sz w:val="24"/>
      <w:szCs w:val="22"/>
      <w:lang w:val="en-US" w:eastAsia="zh-CN" w:bidi="ar-SA"/>
    </w:rPr>
  </w:style>
  <w:style w:type="paragraph" w:customStyle="1" w:styleId="109">
    <w:name w:val="表格内"/>
    <w:basedOn w:val="1"/>
    <w:qFormat/>
    <w:uiPriority w:val="0"/>
    <w:pPr>
      <w:ind w:firstLine="0" w:firstLineChars="0"/>
      <w:jc w:val="center"/>
    </w:pPr>
    <w:rPr>
      <w:bCs/>
      <w:sz w:val="20"/>
      <w:szCs w:val="21"/>
    </w:rPr>
  </w:style>
  <w:style w:type="paragraph" w:customStyle="1" w:styleId="110">
    <w:name w:val="05F凡式正文"/>
    <w:basedOn w:val="1"/>
    <w:qFormat/>
    <w:uiPriority w:val="0"/>
    <w:pPr>
      <w:spacing w:line="360" w:lineRule="auto"/>
      <w:ind w:firstLine="720" w:firstLineChars="200"/>
    </w:pPr>
    <w:rPr>
      <w:kern w:val="0"/>
      <w:sz w:val="24"/>
      <w:szCs w:val="20"/>
    </w:rPr>
  </w:style>
  <w:style w:type="paragraph" w:customStyle="1" w:styleId="111">
    <w:name w:val="表格内文字"/>
    <w:basedOn w:val="42"/>
    <w:qFormat/>
    <w:uiPriority w:val="0"/>
    <w:pPr>
      <w:snapToGrid w:val="0"/>
    </w:pPr>
    <w:rPr>
      <w:b w:val="0"/>
      <w:sz w:val="21"/>
    </w:rPr>
  </w:style>
  <w:style w:type="paragraph" w:customStyle="1" w:styleId="112">
    <w:name w:val="D表内"/>
    <w:basedOn w:val="113"/>
    <w:next w:val="1"/>
    <w:qFormat/>
    <w:uiPriority w:val="0"/>
    <w:pPr>
      <w:widowControl w:val="0"/>
      <w:snapToGrid w:val="0"/>
      <w:spacing w:before="0" w:after="0"/>
      <w:ind w:firstLine="0" w:firstLineChars="0"/>
    </w:pPr>
    <w:rPr>
      <w:rFonts w:ascii="Times New Roman" w:hAnsi="Times New Roman" w:eastAsia="宋体" w:cs="Times New Roman"/>
      <w:szCs w:val="18"/>
    </w:rPr>
  </w:style>
  <w:style w:type="paragraph" w:customStyle="1" w:styleId="113">
    <w:name w:val="图表"/>
    <w:basedOn w:val="1"/>
    <w:qFormat/>
    <w:uiPriority w:val="0"/>
    <w:pPr>
      <w:spacing w:before="120" w:after="120" w:line="240" w:lineRule="auto"/>
      <w:ind w:firstLine="200" w:firstLineChars="200"/>
      <w:jc w:val="center"/>
    </w:pPr>
    <w:rPr>
      <w:rFonts w:ascii="Times New Roman" w:hAnsi="Times New Roman" w:eastAsia="宋体" w:cs="Times New Roman"/>
      <w:color w:val="000000"/>
      <w:kern w:val="2"/>
      <w:sz w:val="21"/>
      <w:szCs w:val="21"/>
    </w:rPr>
  </w:style>
  <w:style w:type="paragraph" w:customStyle="1" w:styleId="114">
    <w:name w:val="【】表头"/>
    <w:basedOn w:val="1"/>
    <w:next w:val="94"/>
    <w:qFormat/>
    <w:uiPriority w:val="0"/>
    <w:pPr>
      <w:numPr>
        <w:ilvl w:val="5"/>
        <w:numId w:val="3"/>
      </w:numPr>
      <w:adjustRightInd w:val="0"/>
      <w:snapToGrid w:val="0"/>
      <w:spacing w:line="440" w:lineRule="exact"/>
      <w:ind w:left="0" w:firstLineChars="0"/>
      <w:jc w:val="center"/>
      <w:outlineLvl w:val="9"/>
    </w:pPr>
    <w:rPr>
      <w:rFonts w:ascii="Times New Roman" w:hAnsi="Times New Roman" w:eastAsia="宋体"/>
      <w:b/>
    </w:rPr>
  </w:style>
  <w:style w:type="paragraph" w:customStyle="1" w:styleId="115">
    <w:name w:val="六表内容"/>
    <w:basedOn w:val="1"/>
    <w:qFormat/>
    <w:uiPriority w:val="0"/>
    <w:pPr>
      <w:spacing w:line="340" w:lineRule="exact"/>
      <w:jc w:val="center"/>
    </w:pPr>
    <w:rPr>
      <w:rFonts w:ascii="Calibri" w:hAnsi="Calibri"/>
      <w:szCs w:val="21"/>
    </w:rPr>
  </w:style>
  <w:style w:type="table" w:customStyle="1" w:styleId="116">
    <w:name w:val="Table Normal"/>
    <w:unhideWhenUsed/>
    <w:qFormat/>
    <w:uiPriority w:val="0"/>
    <w:tblPr>
      <w:tblCellMar>
        <w:top w:w="0" w:type="dxa"/>
        <w:left w:w="0" w:type="dxa"/>
        <w:bottom w:w="0" w:type="dxa"/>
        <w:right w:w="0" w:type="dxa"/>
      </w:tblCellMar>
    </w:tblPr>
  </w:style>
  <w:style w:type="paragraph" w:customStyle="1" w:styleId="117">
    <w:name w:val="Table Paragraph"/>
    <w:basedOn w:val="1"/>
    <w:qFormat/>
    <w:uiPriority w:val="1"/>
    <w:rPr>
      <w:rFonts w:ascii="宋体" w:hAnsi="宋体" w:eastAsia="宋体" w:cs="宋体"/>
      <w:lang w:val="en-US" w:eastAsia="zh-CN" w:bidi="ar-SA"/>
    </w:rPr>
  </w:style>
  <w:style w:type="paragraph" w:customStyle="1" w:styleId="118">
    <w:name w:val="环评正文"/>
    <w:basedOn w:val="1"/>
    <w:qFormat/>
    <w:uiPriority w:val="0"/>
    <w:pPr>
      <w:spacing w:line="360" w:lineRule="auto"/>
    </w:pPr>
    <w:rPr>
      <w:rFonts w:ascii="宋体" w:hAnsi="宋体" w:cs="宋体"/>
    </w:rPr>
  </w:style>
  <w:style w:type="paragraph" w:customStyle="1" w:styleId="119">
    <w:name w:val="标题1.1"/>
    <w:basedOn w:val="1"/>
    <w:unhideWhenUsed/>
    <w:qFormat/>
    <w:uiPriority w:val="0"/>
    <w:pPr>
      <w:adjustRightInd w:val="0"/>
      <w:snapToGrid w:val="0"/>
      <w:spacing w:beforeLines="0" w:afterLines="0" w:line="360" w:lineRule="auto"/>
      <w:jc w:val="left"/>
    </w:pPr>
    <w:rPr>
      <w:rFonts w:hint="eastAsia"/>
      <w:color w:val="000000"/>
      <w:sz w:val="24"/>
      <w:szCs w:val="24"/>
    </w:rPr>
  </w:style>
  <w:style w:type="paragraph" w:customStyle="1" w:styleId="120">
    <w:name w:val="样式 标题 2 + 三号1"/>
    <w:basedOn w:val="5"/>
    <w:next w:val="1"/>
    <w:unhideWhenUsed/>
    <w:qFormat/>
    <w:uiPriority w:val="99"/>
    <w:pPr>
      <w:keepLines w:val="0"/>
      <w:numPr>
        <w:ilvl w:val="1"/>
        <w:numId w:val="4"/>
      </w:numPr>
      <w:tabs>
        <w:tab w:val="left" w:pos="718"/>
      </w:tabs>
      <w:spacing w:beforeLines="0" w:afterLines="0" w:line="480" w:lineRule="auto"/>
      <w:ind w:left="718" w:hanging="576"/>
      <w:jc w:val="left"/>
    </w:pPr>
    <w:rPr>
      <w:rFonts w:hint="eastAsia" w:ascii="宋体" w:hAnsi="宋体" w:eastAsia="宋体"/>
      <w:kern w:val="0"/>
      <w:sz w:val="32"/>
      <w:szCs w:val="32"/>
    </w:rPr>
  </w:style>
  <w:style w:type="paragraph" w:customStyle="1" w:styleId="121">
    <w:name w:val="xl26"/>
    <w:basedOn w:val="1"/>
    <w:unhideWhenUsed/>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pPr>
    <w:rPr>
      <w:rFonts w:hint="eastAsia" w:ascii="宋体" w:hAnsi="宋体"/>
      <w:kern w:val="0"/>
      <w:sz w:val="21"/>
      <w:szCs w:val="21"/>
    </w:rPr>
  </w:style>
  <w:style w:type="paragraph" w:customStyle="1" w:styleId="122">
    <w:name w:val="ZH表格内字体"/>
    <w:basedOn w:val="1"/>
    <w:qFormat/>
    <w:uiPriority w:val="0"/>
    <w:pPr>
      <w:spacing w:line="360" w:lineRule="exact"/>
      <w:jc w:val="center"/>
    </w:pPr>
    <w:rPr>
      <w:rFonts w:ascii="Times New Roman" w:hAnsi="Times New Roman" w:eastAsia="宋体"/>
      <w:sz w:val="21"/>
      <w:szCs w:val="21"/>
    </w:rPr>
  </w:style>
  <w:style w:type="paragraph" w:customStyle="1" w:styleId="123">
    <w:name w:val="正本文字"/>
    <w:basedOn w:val="1"/>
    <w:qFormat/>
    <w:uiPriority w:val="0"/>
    <w:pPr>
      <w:adjustRightInd w:val="0"/>
      <w:snapToGrid w:val="0"/>
      <w:spacing w:line="360" w:lineRule="auto"/>
      <w:ind w:firstLine="200" w:firstLineChars="200"/>
      <w:jc w:val="left"/>
    </w:pPr>
    <w:rPr>
      <w:rFonts w:cs="宋体"/>
      <w:kern w:val="18"/>
      <w:sz w:val="24"/>
    </w:rPr>
  </w:style>
  <w:style w:type="paragraph" w:customStyle="1" w:styleId="124">
    <w:name w:val="0正文"/>
    <w:basedOn w:val="125"/>
    <w:qFormat/>
    <w:uiPriority w:val="0"/>
    <w:pPr>
      <w:ind w:firstLine="480"/>
    </w:pPr>
  </w:style>
  <w:style w:type="paragraph" w:customStyle="1" w:styleId="125">
    <w:name w:val="B正文"/>
    <w:basedOn w:val="1"/>
    <w:qFormat/>
    <w:uiPriority w:val="0"/>
    <w:pPr>
      <w:spacing w:line="360" w:lineRule="auto"/>
      <w:ind w:firstLine="200" w:firstLineChars="200"/>
    </w:pPr>
    <w:rPr>
      <w:kern w:val="0"/>
      <w:sz w:val="24"/>
    </w:rPr>
  </w:style>
  <w:style w:type="paragraph" w:customStyle="1" w:styleId="126">
    <w:name w:val="ZH表头"/>
    <w:basedOn w:val="1"/>
    <w:qFormat/>
    <w:uiPriority w:val="0"/>
    <w:pPr>
      <w:spacing w:beforeLines="50" w:line="360" w:lineRule="auto"/>
      <w:jc w:val="center"/>
    </w:pPr>
    <w:rPr>
      <w:b/>
    </w:rPr>
  </w:style>
  <w:style w:type="character" w:customStyle="1" w:styleId="127">
    <w:name w:val="标题 1 Char"/>
    <w:link w:val="4"/>
    <w:qFormat/>
    <w:uiPriority w:val="9"/>
    <w:rPr>
      <w:rFonts w:eastAsia="黑体"/>
      <w:b/>
      <w:bCs/>
      <w:color w:val="000000"/>
      <w:kern w:val="44"/>
      <w:sz w:val="30"/>
      <w:szCs w:val="30"/>
    </w:rPr>
  </w:style>
  <w:style w:type="paragraph" w:customStyle="1" w:styleId="128">
    <w:name w:val="表格内正文"/>
    <w:basedOn w:val="1"/>
    <w:next w:val="129"/>
    <w:qFormat/>
    <w:uiPriority w:val="0"/>
    <w:pPr>
      <w:spacing w:line="360" w:lineRule="auto"/>
      <w:ind w:firstLine="493"/>
    </w:pPr>
    <w:rPr>
      <w:rFonts w:ascii="宋体" w:hAnsi="宋体" w:eastAsia="宋体"/>
      <w:spacing w:val="4"/>
      <w:kern w:val="18"/>
      <w:sz w:val="24"/>
      <w:szCs w:val="24"/>
      <w:lang w:val="en-US" w:eastAsia="zh-CN" w:bidi="ar-SA"/>
    </w:rPr>
  </w:style>
  <w:style w:type="paragraph" w:customStyle="1" w:styleId="129">
    <w:name w:val="A 正文"/>
    <w:basedOn w:val="1"/>
    <w:next w:val="1"/>
    <w:qFormat/>
    <w:uiPriority w:val="0"/>
    <w:pPr>
      <w:spacing w:line="360" w:lineRule="auto"/>
      <w:ind w:firstLine="200" w:firstLineChars="200"/>
    </w:pPr>
    <w:rPr>
      <w:sz w:val="24"/>
    </w:rPr>
  </w:style>
  <w:style w:type="paragraph" w:customStyle="1" w:styleId="130">
    <w:name w:val="Table Text"/>
    <w:basedOn w:val="1"/>
    <w:semiHidden/>
    <w:qFormat/>
    <w:uiPriority w:val="0"/>
    <w:rPr>
      <w:rFonts w:ascii="宋体" w:hAnsi="宋体" w:eastAsia="宋体" w:cs="宋体"/>
      <w:sz w:val="14"/>
      <w:szCs w:val="14"/>
      <w:lang w:val="en-US" w:eastAsia="en-US" w:bidi="ar-SA"/>
    </w:rPr>
  </w:style>
  <w:style w:type="paragraph" w:customStyle="1" w:styleId="131">
    <w:name w:val="B表头"/>
    <w:basedOn w:val="1"/>
    <w:qFormat/>
    <w:uiPriority w:val="0"/>
    <w:pPr>
      <w:spacing w:before="50" w:beforeLines="50"/>
      <w:jc w:val="center"/>
    </w:pPr>
    <w:rPr>
      <w:rFonts w:ascii="Times New Roman" w:hAnsi="Times New Roman" w:eastAsia="宋体"/>
      <w:b/>
      <w:kern w:val="0"/>
      <w:sz w:val="21"/>
    </w:rPr>
  </w:style>
  <w:style w:type="paragraph" w:customStyle="1" w:styleId="132">
    <w:name w:val="D表内0磅"/>
    <w:basedOn w:val="1"/>
    <w:semiHidden/>
    <w:qFormat/>
    <w:uiPriority w:val="0"/>
    <w:pPr>
      <w:spacing w:line="240" w:lineRule="auto"/>
      <w:ind w:firstLine="0" w:firstLineChars="0"/>
      <w:jc w:val="center"/>
    </w:pPr>
    <w:rPr>
      <w:spacing w:val="4"/>
      <w:sz w:val="21"/>
      <w:szCs w:val="21"/>
    </w:rPr>
  </w:style>
  <w:style w:type="paragraph" w:customStyle="1" w:styleId="133">
    <w:name w:val="表格内格式"/>
    <w:basedOn w:val="1"/>
    <w:qFormat/>
    <w:uiPriority w:val="0"/>
    <w:pPr>
      <w:spacing w:line="240" w:lineRule="auto"/>
      <w:ind w:firstLine="0" w:firstLineChars="0"/>
      <w:jc w:val="center"/>
    </w:pPr>
    <w:rPr>
      <w:rFonts w:ascii="Times New Roman" w:hAnsi="Times New Roman"/>
      <w:color w:val="000000"/>
      <w:sz w:val="21"/>
      <w:szCs w:val="21"/>
    </w:rPr>
  </w:style>
  <w:style w:type="paragraph" w:customStyle="1" w:styleId="134">
    <w:name w:val="表头图表"/>
    <w:qFormat/>
    <w:uiPriority w:val="0"/>
    <w:pPr>
      <w:autoSpaceDE w:val="0"/>
      <w:autoSpaceDN w:val="0"/>
      <w:adjustRightInd w:val="0"/>
      <w:snapToGrid w:val="0"/>
      <w:jc w:val="center"/>
    </w:pPr>
    <w:rPr>
      <w:rFonts w:ascii="Times New Roman" w:hAnsi="Times New Roman" w:eastAsia="黑体" w:cs="宋体"/>
      <w:snapToGrid w:val="0"/>
      <w:spacing w:val="6"/>
      <w:kern w:val="24"/>
      <w:sz w:val="21"/>
      <w:szCs w:val="24"/>
      <w:lang w:val="en-US" w:eastAsia="zh-CN" w:bidi="ar-SA"/>
    </w:rPr>
  </w:style>
  <w:style w:type="paragraph" w:customStyle="1" w:styleId="135">
    <w:name w:val="表格内字体"/>
    <w:basedOn w:val="1"/>
    <w:qFormat/>
    <w:uiPriority w:val="0"/>
    <w:pPr>
      <w:widowControl/>
      <w:autoSpaceDE w:val="0"/>
      <w:spacing w:line="240" w:lineRule="auto"/>
      <w:ind w:firstLine="0" w:firstLineChars="0"/>
      <w:jc w:val="left"/>
    </w:pPr>
    <w:rPr>
      <w:rFonts w:hint="eastAsia" w:ascii="Times New Roman" w:hAnsi="Times New Roman" w:eastAsia="宋体" w:cs="宋体"/>
      <w:color w:val="000000"/>
      <w:sz w:val="21"/>
      <w:lang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3" Type="http://schemas.openxmlformats.org/officeDocument/2006/relationships/fontTable" Target="fontTable.xml"/><Relationship Id="rId72" Type="http://schemas.microsoft.com/office/2006/relationships/keyMapCustomizations" Target="customizations.xml"/><Relationship Id="rId71" Type="http://schemas.openxmlformats.org/officeDocument/2006/relationships/customXml" Target="../customXml/item2.xml"/><Relationship Id="rId70" Type="http://schemas.openxmlformats.org/officeDocument/2006/relationships/numbering" Target="numbering.xml"/><Relationship Id="rId7" Type="http://schemas.openxmlformats.org/officeDocument/2006/relationships/theme" Target="theme/theme1.xml"/><Relationship Id="rId69" Type="http://schemas.openxmlformats.org/officeDocument/2006/relationships/customXml" Target="../customXml/item1.xml"/><Relationship Id="rId68" Type="http://schemas.openxmlformats.org/officeDocument/2006/relationships/image" Target="media/image39.png"/><Relationship Id="rId67" Type="http://schemas.openxmlformats.org/officeDocument/2006/relationships/image" Target="media/image38.png"/><Relationship Id="rId66" Type="http://schemas.openxmlformats.org/officeDocument/2006/relationships/image" Target="media/image37.png"/><Relationship Id="rId65" Type="http://schemas.openxmlformats.org/officeDocument/2006/relationships/image" Target="media/image36.png"/><Relationship Id="rId64" Type="http://schemas.openxmlformats.org/officeDocument/2006/relationships/image" Target="media/image35.png"/><Relationship Id="rId63" Type="http://schemas.openxmlformats.org/officeDocument/2006/relationships/image" Target="media/image34.png"/><Relationship Id="rId62" Type="http://schemas.openxmlformats.org/officeDocument/2006/relationships/image" Target="media/image33.wmf"/><Relationship Id="rId61" Type="http://schemas.openxmlformats.org/officeDocument/2006/relationships/oleObject" Target="embeddings/oleObject22.bin"/><Relationship Id="rId60" Type="http://schemas.openxmlformats.org/officeDocument/2006/relationships/image" Target="media/image32.wmf"/><Relationship Id="rId6" Type="http://schemas.openxmlformats.org/officeDocument/2006/relationships/footer" Target="footer2.xml"/><Relationship Id="rId59" Type="http://schemas.openxmlformats.org/officeDocument/2006/relationships/oleObject" Target="embeddings/oleObject21.bin"/><Relationship Id="rId58" Type="http://schemas.openxmlformats.org/officeDocument/2006/relationships/image" Target="media/image31.wmf"/><Relationship Id="rId57" Type="http://schemas.openxmlformats.org/officeDocument/2006/relationships/oleObject" Target="embeddings/oleObject20.bin"/><Relationship Id="rId56" Type="http://schemas.openxmlformats.org/officeDocument/2006/relationships/oleObject" Target="embeddings/oleObject19.bin"/><Relationship Id="rId55" Type="http://schemas.openxmlformats.org/officeDocument/2006/relationships/image" Target="media/image30.wmf"/><Relationship Id="rId54" Type="http://schemas.openxmlformats.org/officeDocument/2006/relationships/oleObject" Target="embeddings/oleObject18.bin"/><Relationship Id="rId53" Type="http://schemas.openxmlformats.org/officeDocument/2006/relationships/oleObject" Target="embeddings/oleObject17.bin"/><Relationship Id="rId52" Type="http://schemas.openxmlformats.org/officeDocument/2006/relationships/image" Target="media/image29.wmf"/><Relationship Id="rId51" Type="http://schemas.openxmlformats.org/officeDocument/2006/relationships/oleObject" Target="embeddings/oleObject16.bin"/><Relationship Id="rId50" Type="http://schemas.openxmlformats.org/officeDocument/2006/relationships/oleObject" Target="embeddings/oleObject15.bin"/><Relationship Id="rId5" Type="http://schemas.openxmlformats.org/officeDocument/2006/relationships/footer" Target="footer1.xml"/><Relationship Id="rId49" Type="http://schemas.openxmlformats.org/officeDocument/2006/relationships/image" Target="media/image28.wmf"/><Relationship Id="rId48" Type="http://schemas.openxmlformats.org/officeDocument/2006/relationships/oleObject" Target="embeddings/oleObject14.bin"/><Relationship Id="rId47" Type="http://schemas.openxmlformats.org/officeDocument/2006/relationships/image" Target="media/image27.wmf"/><Relationship Id="rId46" Type="http://schemas.openxmlformats.org/officeDocument/2006/relationships/oleObject" Target="embeddings/oleObject13.bin"/><Relationship Id="rId45" Type="http://schemas.openxmlformats.org/officeDocument/2006/relationships/oleObject" Target="embeddings/oleObject12.bin"/><Relationship Id="rId44" Type="http://schemas.openxmlformats.org/officeDocument/2006/relationships/image" Target="media/image26.wmf"/><Relationship Id="rId43" Type="http://schemas.openxmlformats.org/officeDocument/2006/relationships/oleObject" Target="embeddings/oleObject11.bin"/><Relationship Id="rId42" Type="http://schemas.openxmlformats.org/officeDocument/2006/relationships/image" Target="media/image25.wmf"/><Relationship Id="rId41" Type="http://schemas.openxmlformats.org/officeDocument/2006/relationships/oleObject" Target="embeddings/oleObject10.bin"/><Relationship Id="rId40" Type="http://schemas.openxmlformats.org/officeDocument/2006/relationships/oleObject" Target="embeddings/oleObject9.bin"/><Relationship Id="rId4" Type="http://schemas.openxmlformats.org/officeDocument/2006/relationships/endnotes" Target="endnotes.xml"/><Relationship Id="rId39" Type="http://schemas.openxmlformats.org/officeDocument/2006/relationships/image" Target="media/image24.wmf"/><Relationship Id="rId38" Type="http://schemas.openxmlformats.org/officeDocument/2006/relationships/oleObject" Target="embeddings/oleObject8.bin"/><Relationship Id="rId37" Type="http://schemas.openxmlformats.org/officeDocument/2006/relationships/image" Target="media/image23.wmf"/><Relationship Id="rId36" Type="http://schemas.openxmlformats.org/officeDocument/2006/relationships/oleObject" Target="embeddings/oleObject7.bin"/><Relationship Id="rId35" Type="http://schemas.openxmlformats.org/officeDocument/2006/relationships/image" Target="media/image22.wmf"/><Relationship Id="rId34" Type="http://schemas.openxmlformats.org/officeDocument/2006/relationships/oleObject" Target="embeddings/oleObject6.bin"/><Relationship Id="rId33" Type="http://schemas.openxmlformats.org/officeDocument/2006/relationships/image" Target="media/image21.wmf"/><Relationship Id="rId32" Type="http://schemas.openxmlformats.org/officeDocument/2006/relationships/oleObject" Target="embeddings/oleObject5.bin"/><Relationship Id="rId31" Type="http://schemas.openxmlformats.org/officeDocument/2006/relationships/image" Target="media/image20.wmf"/><Relationship Id="rId30" Type="http://schemas.openxmlformats.org/officeDocument/2006/relationships/oleObject" Target="embeddings/oleObject4.bin"/><Relationship Id="rId3" Type="http://schemas.openxmlformats.org/officeDocument/2006/relationships/footnotes" Target="footnotes.xml"/><Relationship Id="rId29" Type="http://schemas.openxmlformats.org/officeDocument/2006/relationships/image" Target="media/image19.wmf"/><Relationship Id="rId28" Type="http://schemas.openxmlformats.org/officeDocument/2006/relationships/oleObject" Target="embeddings/oleObject3.bin"/><Relationship Id="rId27" Type="http://schemas.openxmlformats.org/officeDocument/2006/relationships/image" Target="media/image18.wmf"/><Relationship Id="rId26" Type="http://schemas.openxmlformats.org/officeDocument/2006/relationships/oleObject" Target="embeddings/oleObject2.bin"/><Relationship Id="rId25" Type="http://schemas.openxmlformats.org/officeDocument/2006/relationships/image" Target="media/image17.wmf"/><Relationship Id="rId24" Type="http://schemas.openxmlformats.org/officeDocument/2006/relationships/oleObject" Target="embeddings/oleObject1.bin"/><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cxMTY0ODgwMDQ1IiwKCSJHcm91cElkIiA6ICI0MTk5MzY1NDMiLAoJIkltYWdlIiA6ICJpVkJPUncwS0dnb0FBQUFOU1VoRVVnQUFBTnNBQUFDY0NBWUFBQUQyM3Q2VUFBQUFBWE5TUjBJQXJzNGM2UUFBQ1dCSlJFRlVlSnp0M1gxc1UvVWV4L0ZQdTNac2kwQ1JRUzdFelNrUUdBOXlkWGRJS0pDWW9Za1krQU9ma0dCTUVEQVR2TWFySnNZb1JFMDJZUnVnSm1wbTVNa3NZWU5ObzBHWDZVeWs0aElYMlhXUVRZTVAzZENWSzJpYVBXVHIxclgzajJzYmFydXhyZVhYTGZmOSttYzV2OS9wNzN6UFNULzduWjV6dGtvQUFBQUFBQUFBQUFBQUFBQUFBQUFBQUFBQUFBQUFBQUFBQUFBQUFBQUFBQUFBQUFBQUFBQUFBQUFBQUFEQXRXVkpkZ0d4eko2ek9DdlZicHVUN0Rvd2NmbDh2cDg5UDdlMkpidU9LNDI3c09Yay9EMUhhY0ZEc21oQnNtdkJoTmF1WHN1RGJ2ZS8zY2t1Sk1TVzdBS2lwQ2xIRmkyd3lQSzNqUFIwcGRoU2tsMFJKcEJCLzZCNisvb1VDQWJUbEtZY1NZVHRhakxTMC9XdmYrN1F3dHo1eVM0RkUwaEw2L2Q2NDYxeWVUczdrMTFLbEhFYnRoUmJpaGJtenRmeVpmOUlkaW1ZWU94MmU3SkxpTW1hN0FLQS94ZUVEVENFc0FHR0VEYkFFTUlHR0VMWUFFTUlHMkFJWVFNTUlXeUFJWVFOTUlTd0FZWVFOc0FRd2dZWVF0Z0FRd2diWUFoaEF3d2hiSUFoaEEwd2hMQUJoaEEyd0JEQ0JoaEMyQUJEQ0J0Z0NHRUREQ0ZzZ0NHRURUQ0VzQUdHRURiQUVNSTJ3ZlQxOWNudGRxdW5weWNoNC8zNDQ0LzY2cXV2RkF3R0V6SWVoa2JZRXNUdjkwZTFCUUlCZWIzZThISnJhNnZ5OC9QVjBOQXc0bkVQSERpZ0w3LzhNbUtNZSsrOWQxUmpoRnk4ZUZHWExsMkthS3VvcU5BVFR6eWh3Y0hCVVkrSDBTRnNjUW9HZzNyNjZhZFZXbG9hMVhmdTNEa1ZGQlNvdHJZMnZHNGdFQmp4TFBMVFR6L3B2ZmZlVTN0N2UwSnFMU2twMGZyMTY5WFYxWldROFRBNmhDMU9Gb3RGTTJiTTBJa1RKOVRjM0J6UjUzSzVKRWxMbGl3WjA5anZ2LysrYkRhYjFxNWRHM2Vkdi8zMm0xd3VsOWFzV2FQSmt5ZkhQUjVHYjl4K0dlSkVVbGhZcUxxNk9oVVZGYW1pb2tJcEtmLzdhbUtYeTZXMHREVFYxOWRMZjc3aEphbSt2bDQvL1BCRHhCaXJWNjlXVGs1T2VMbTd1MXNmZlBDQi9INi83cm5ubm5CN2FGWjg4Y1VYdFh2MzdwajFQUGZjYzFxM2JsMUUyNkZEaHpRNE9LamMzRncxTlRXRjIvLzQ0dzlKMHJmZmZpdXJOZmJ2M2psejVtaktsQ21qUENyNEs4S1dBRk9uVHRYV3JWdFZWbGFtNDhlUGErUEdqV3BwYWRINTgrZVZrWkdodzRjUFMxTDRjOUdubjM0cW15M3kwR2RsWlVXRTdmRGh3K3J0N1ZWaFlhRlNVMVBEN1I2UFIxVlZWYnJ6empzMWQrN2NtUFVzV0xBZ1l0bmo4YWltcGthU1ZGWldGdk0xMjdkdkgzTC9EaHc0b0ZXclZvM2dTR0E0aEMxQjdyLy9mbFZYVjZ1L3YxK1NWRjVlTHJ2ZHJwcWFHczJZTVVPUzFOTFNvb2NmZmxpdnZ2cXFWcXhZTWVSWUZ5NWNVRVZGaGRhdFc2ZXRXN2RHOURVMU5hbXFxa3FyVjYvV21qVnJSbFJiY1hHeEFvR0Fpb3VMdzdXRUhEbHlSQzZYUytYbDVjUE9iSWdmWVVzUXU5MnV5c3BLMld3Mm5UOS9YaTZYU3c4ODhFRFVtM3NrZHUvZXJkVFVWRDMrK09OeDEvWFJSeC9wOU9uVGV1aWhoM1RYWFhmRjdKZWtwVXVYUnMyMlNDeU9iZ0tGM3F3MzMzeXpYbm5sRmVYbDVZMXBuTUxDUW5WMmRvNHBxRmY2N3J2dlZGeGNyQnR1dUNFaHdVVjhDTnMxOE0wMzMwVDhEUG4xMTE4bFNZMk5qUkgzMzBMeTh2TFUzdDZ1MXRaV1NkTFJvMGVqMXZGNFBKS2tVNmRPcWFPalk4Z2Fzckt5NUhBNFpMZmJ0Vy9mUG1Wa1pNUzVWNGdYWVV1Z1k4ZU9hZjM2OVRwNDhLQWFHeHVIWEM5V2lDU3B0TFJVemMzTnFxcXFpbWdQQm9QeStYeEtUVTJWMVdvTlgrRThlZktrYkRaYnpOTS9wOU9wdlh2M3FycTZXbjE5ZmZyd3d3OWpiak4wRCsva3laT3lXQ3hSL2RPblQ1ZlQ2YnpxdnVQcUNGdUN1TjF1bFpTVTZQZmZmOWViYjc2cFFDQVE3bk02blhyMDBVZTFaY3NXNmM5TDg1Y3VYZEs3Nzc0Yk1VWktTb3J1dU9NT1BmbmtreEh0RFEwTjJybHpwMTUvL1hYbDUrZUgyNWN2WDY3NzdydFB6enp6ekpCMVpXWm02dU9QUDlaTEw3MDBiUDB2di94eXpQYWxTNWNTdGdRaGJBa1NPbVZjdFdxVnJGWnIrTXFlMSt1VjMrOVhabVptZUFZS3pTQWp2U0R4eXkrL1NOS1lQOE1WRkJSbzJiSmxNZnYyNzkrdjJ0cGFmZkxKSnpHdlJ0cnQ5akZ0RTlFSVc0STBORFRJNFhCbzhlTEZFZTNuenAyVHBDSHZpWTNFbVRObmxKYVdwdXpzN0JHdDcvUDVOR25TcFBEeXBFbVRJcGF2RkdxLy92cnJ1UnA1amZHNFZnTDQvWDU5L2ZYWGNqcWRVYk5EWFYyZEprK2VySVVMRnc0N3h0R2pSOVhXMWhiVmZ2bnlaWDN4eFJkYXNXTEZrUGZCL3VydHQ5L1c1czJiTlRBd01Nbzl3YlZFMkJLZ3NiRlJQVDA5V3JseVpVUzcyKzFXYlcydDFxNWRlOVZaNDhpUkkrRjdYaUYrdjErN2R1MlN6K2ZUcGsyYlJseFBaMmVuMnRyYU9BVWNaemh2U0lENitucFpyVmJkZnZ2dDRUYXYxNnRubjMxV0dSa1o0UXNqSVJhTEplTEovKzd1Ym5tOTNvalR4SXNYTCtxRkYxNVFVMU9USG5ua0VkMTY2NjFSMjAxSlNZbjVwejBkSFIyYU5XdVcrdnY3NWZQNWhxMDlOUHQxZDNlSG4rbU1KVDA5bmRQTU9ISDA0alF3TUtEUFB2dE1peFl0MHRTcFV5VkpaOCtlMWE1ZHU5VFIwYUhTMGxKbFptWkd2R2I2OU9rNmZmcTBhbXBxTkdYS0ZIMysrZWVTcEZ0dXVVVnV0MXNuVHB4UWRYVzFCZ1lHOU5oamoybmJ0bTB4dHoxcjFpelYxZFZwMnJScDRlY25Pem82MU5qWXFMdnZ2bHZIamgzVGE2KzlOcUw5S0Nnb0dMWi96NTQ5STM0OERMRVJ0amoxOVBRb1B6OWY4K2JOay83OHZQVE9PKy9JNFhCby8vNzlNWitCM0xoeG84NmNPYU9pb2lJRmcwRmRkOTExMnI1OXU3S3pzN1ZseXhhZFBYdFdlWGw1ZXVxcHA1U2JtenZrdHA5Ly9ubVZsWldwc3JJeS9KQnplbnE2bkU2bmR1ellvZDdlM3FpZ2o5VmZML3hnOUFoYm5Cd09oMHBLU3NLbmhSczJiSkRmNzlmbXpadmxjRGhpdnViR0cyOVVaV1Zsekw2aW9pSjFkWFZwL3Z6NVY5MzJiYmZkcG9xS2ltSFh1ZW1tbTBhMEg3ajJDRnVDaE82ZHpadzVVenQzN2h6ek9MTm56MDVnVlJoUHVCb0pHRUxZQUVNSUcyQUlZUU1NSVd5QUlZUU5NSVN3QVlZUU5zQVF3Z1lZUXRnQVF3Z2JZQWhoQXd3aGJJQWhoQTB3aExBQmhoQTJ3QkRDQmhoQzJBQkRDQnRnQ0dFRERDRnNnQ0dFRFRDRXNBR0dFRGJBRU1JR0dFTFlBRU1JRzJESXVQMWYvNFArUWJXMGZwL3NNakRCdExSK1AyNi9jWFhjaHEyM3IwOXZ2RlhPdDJkaVZBWUdCdFRaMVpYc01tSWFkMkhyRHdZOHFSYUxKeEFNcG5rN081TmREaWFxWVBBLy9jR2dKOWxsWE1tUzdBSmlzR2JQWGJUQWFyUFBUSFlobUxnR0xZSExGMXFiV3lRRmtsMExBQUFBQUFBQUFBQUFBQUFBQUFBQUFBQUFBQUFBQUFBQUFBQUFBQUFBQUFBQUFBQUFBQUFBQUFBQUFBRFFmd0dsSDc0NjgxU256UUFBQUFCSlJVNUVya0pnZ2c9PSIsCgkiVGhlbWUiIDogIiIsCgkiVHlwZSIgOiAiZmxvdyIsCgkiVXNlcklkIiA6ICIzOTUwNzk5MDkiLAoJIlZlcnNpb24iIDogIjM2Igp9Cg=="/>
    </extobj>
    <extobj name="ECB019B1-382A-4266-B25C-5B523AA43C14-2">
      <extobjdata type="ECB019B1-382A-4266-B25C-5B523AA43C14" data="ewoJIkZpbGVJZCIgOiAiNDY5Mjg3ODY1NDc2IiwKCSJHcm91cElkIiA6ICI0MTk5MzY1NDMiLAoJIkltYWdlIiA6ICJpVkJPUncwS0dnb0FBQUFOU1VoRVVnQUFBZzBBQUFFL0NBWUFBQURGUXZDdkFBQUFBWE5TUjBJQXJzNGM2UUFBR01wSlJFRlVlSnp0M1h0d1ZQWGR4L0hQYm5aSlFoSkk1Qll3U21pSklWYkNUUzdsRVl3dDRCZ3Mxb0FnMXlLZElzWDRJT0VpbDVweVowQzVSQzRwU0JsUUMzSUxWVzRsY25uZ0FXTG9NQ0JCZURDRkJ5U0FDTlJrczBtV0pMdjcvQVBuY1pzZ0IweG5UZkorelRpZTh6M24vTTUzajg3c0o3dS9jMVlDQUFBQUFBQUFBQUFBQUFBQUFBQUFBQUFBQUFBQUFBQUFBQUFBQUFBQUFBQUFBQUFBQUFBQUFBQUFBQUFBQUFBQUFBQUFBQUFBQUFBQUFBQUFBQUFBQUFBQUFBQUFBQUFBQUFBQUFBQUFBQUFBQUFBQUFBQUFBQUFBQUFBQUFBQUFBQUFBQUFBQUFBQUFBQUFBQUpobDhYY0RBRkNUUkQzMjJNTTJhOTBZZi9lQjZxKzByUHpjbFhPbkx2bTdqKzhpTkFCQUZYbTRaWHlVUGNDNlFsWnZlMy8zZ2hyQXEvK1J5L0xLaFFzbkx2aTdsVHRzL200QUFHb0t1eFFsaXg2M3lCSVpIQndzbXkzQTN5MmhHaW92ZDZ1a3BFUmVpMWNLVXJRa1FnTUExRlIybTAydi8zNmsyc1kvNGU5V1VBMmRPSGxLUzlOWHFxaWsyTit0VkVCb0FJQXFackZhRlJjYm95NmRudlIzSzZpR2J0MjZwWUFmNmFkVVZuODNBQUFBcWdkQ0F3QUFNSVhRQUFBQVRDRTBBQUFBVXdnTkFBREFGRUlEQUFBd2hkQUFBQUJNSVRRQUFBQlRDQTBBQU1BVVFnTUFBRENGMEFBQUFFd2hOQUFBQUZNSURRQUF3QlJDQXdBQU1JWFFBQUFBVENFMEFBQUFVd2dOQUFEQUZFSURBQUF3aGRBQUFBQk1JVFFBQUFCVENBMEFBTUFVUWdNQUFEQ0YwQUFBOEhIbHlwVXFHZWZzMmJOeXVWeVZiaXNxS3FwUUt5a3BVWEZ4OFgyZDQ5eTVjL3JrazAvdWVoNVVMVUlEQU1Dd1pjc1dEUmd3UURkdjNqUzFmM0Z4c1U2ZlBxMWp4NDc1MU0rZlA2L0Jnd2RyOCtiTkZZNDVjT0NBZXZmdXJkemNYSi82eXBVcjllS0xMK3Jycjc4MjNlL2h3NGMxZmZwME9aMU8wOGZnd2RuODNRQUF3TDljTHBjOEhvOGtLU0VoUWN1WEw5ZldyVnMxYU5BZ1k1L2c0R0M5Ly83N3lzbkprZFBwVkZGUmtXN2N1S0Z2dnZsR2toUVNFcUxNekV3RkJRVkprdExUMDJXMzI5V3laVXNkUDM1Y2t2VHd3dytyY2VQRzZ0aXhveG8wYUtDVWxCU3RYNzllb2FHaHVuRGhndGF0VzZlZVBYc3FNakxTTDljQjkwWm9BSUJhYnZqdzRSWCs2azlQVDFkNmVycXh2bnYzYm1WbFplbXJyNzVTZkh5OFdyUm9vUVlOR3FoUm8wWnEwcVNKbWpadEtydmRMa242L1BQUHRXL2ZQbG10VnIzKyt1dVNKSS9Ib3pmZWVFTkRodzVWM2JwMU5XZk9IQTBiTmt6Nzl1MVQ3OTY5TlczYU5FVkZSV25LbENsVit0cEtTa29VSEJ4Y3BXUFdab1FHQUtqbDNubm5IWDM1NVpkeU9wMTYvUEhIamJyVDZkU0JBd2VVbUppbzhQQndTVktYTGwyVW1wcDYxN0h5OC9NMWVmSmt0Vy9mWGl0V3JKRFZhdFhhdFd1MWN1VktQZjMwMDNJNm5kcXhZNGNrYWRDZ1FTb3BLZEdjT1hPVWs1T2ovdjM3YTl1MmJaS2t0bTNiS2pZMjF2UnJ5TTdPVnUvZXZYMXFxMWF0MHU3ZHU3VjgrWEkxYXRUb3ZxOExLaUkwQUVBdEZ4VVZwUTgrK0VENzkrL1h1blhyMUxCaFEwblM5T25UOWJlLy9VM1BQZmVjYkRaemJ4ZlRwazFUVVZHUlpzNmNLYXZWcXZQbnordFBmL3FUeG8wYnAwY2ZmVlJmZi8yMU5tellZT3p2ZHJ1Vmw1ZW5oZzBiS2pzN1c5bloyZEx0cjBOaVkyTjE2TkFoZmZIRkZ4WE9ZN0ZZTkhMa1NHTjk4K2JOUHFFaEl5TkQ2ZW5wK3NsUGZpS3JsZWw3VllYUUFBRFEyTEZqZGZUb1VXVmtaR2preUpFNmN1U0lQdm5rRTgyYU5VdVBQZmFZNlhHZWZQSkovZjN2ZjFmZnZuMGxTZVhsNVNvdkw5ZWlSWXUwYU5FaVRaMDZWUmtaR2NiKzE2NWRVMkppb2xKU1V2VHNzODlXR08vbzBhUGFzbVdMVDYyOHZGeGVyOWNuTkp3OGVWSTVPVGxxM2JxMXRtN2Rxamx6NWlnbUprYnA2ZW1LaUloNHdLdUNmMFZvQUlCYTdPREJnOXE0Y2FNa0tUQXdVQ2RQbmxSeWNyTE9uRG1qdW5YcmFzZU9IZHF4WTRlZWV1b3BVK01OR1RKRW16WnRVa0pDZ25yMDZLSGs1R1FOR0RCQTNicDFVM0p5c3NyTHkrK3J2NVNVRktXa3BQalVrcE9UVlZoWTZGTUxDd3ZUZSsrOXB3NGRPdWpkZDk5VjI3WnR0WERoUXRXdlgvKyt6b2Z2UjJnQWdGcXNVYU5HNnRDaGcwL043WGFyZmZ2MnNsZ3NScTE1OCthU3BPM2J0MnYzN3QyVmp0V3VYVHN0WGJwVWt0U3NXVE8xYnQxYUFRRUJpb3FLTXBaMWU2N0VuZkRnY0RpazI4OXR5TS9QTjhhcVY2OWVwVjhyNU9mbjYralJvOFlFeXp1R0RoMnE1Y3VYNi9EaHcrclZxNWVtVDUrdU9uWHFQUEIxUWVVSURRQlFpOFhGeFNrdUxzNm4xcUZEQjgyY09WT0ppWWsrOWJWcjE2cGR1M1pLU2txU2JnZUlMNy84MHZnazRLR0hIakwyTFNnbzBKVXJWK1R4ZUpTZm4yOHNTOUtrU1pPVWxaWGxNL2JzMmJNMWUvWnNZMzNuenAxcTBxUkpoWDUzN2RvbHQ5dXRIajE2K05TZmYvNTViZHUyVFFVRkJVcE5UU1V3L0pzUUdnQ2dsbk02bmZKNnZUNDFsOHZsOHhWQWFHaW8zRzYzV3JSb1ljdzl5TW5KMGVYTGx5dWRpN0JpeFFxdFdMRkNrcFNXbHFhMHREUmoyNmhSb3pSZ3dBRHA5aWNIMDZaTjA3Qmh3OVMrZlh0am56dDNhM3pYclZ1M3RHYk5Hblh2M2wxTm16YjEyUllRRUtDVWxCU05IVHRXQ3hjdTFOU3BVMy9BRmNIZEVCb0FvSmJyMTYrZnJsKy83bFA3MTcvOGQrL2VyY0xDUXRXclY4L1VtT1BIajlkTEw3MmtYcjE2YWN5WU1lcmR1N2Q2OWVvbFNYcmlpU2VNL2E1ZHV5WkphdFdxbGJwMTYvYTlZMjdldkZrM2J0elFpQkVqS3QzZXZYdDM5ZW5UUnhrWkdXcmJ0bTJGV3pEeHd4RWFBS0NXVzdWcWxjOEV4YjU5KzJyTW1ESHEzcjI3VVl1SWlKREQ0VEFkR3F4V3EzR2Jwc1ZpTVgzTDV0M2s1ZVVwUFQxZFAvLzV6OVc2ZGV1NzdqZCsvSGdkTzNaTU0yYk1VS05HamRTcFU2Y2ZkRjc0NHVaVkFLamxvcUtpdEdyVktuMzY2YWVLam82V0pEVm8wRUJidDI3VkYxOThvZWpvYUJVVkZlbmF0V3ZHOW52Snk4dlQ4ZVBINVhhN2RlblNKV081cEtURWVCNURkbmEyVHB3NElVbjZ4ei8rNFZNL2ZmcTBNWmJINDFGcWFxcThYcThtVFpyMHZlY05DUW5SdSsrK3E1Q1FFSTBkTzFaSGpoejVRZGNHdnZpa0FRQnF1ZHpjWE8zYXRjdG5Ib0RGWXBIRDRkRGN1WE1WSHgrdlM1Y3VTZEwzL3BYL1hSczNialNleDdCdTNUcXRXN2RPTHBkTGx5NWQwdno1OHl2c3YzcjFhcTFldmRwWWI5T21qYkcrY09GQ2ZmNzU1eG8zYnB5aW9xTHVlZTdvNkdndFhyeFlvMGFOMHRpeFkvWG1tMjhha3pmeHd4QWFBS0NXVzdKa2lhS2lvdFNuVHgrZityaHg0M1RreUJFdFhyeFlkZXZXVld4c3JLa0hKYjN5eWl1S2k0dXI4QmpveTVjdnExNjllbnIxMVZlTjJ2WHIxL1hTU3k4cE5UVlZ2L2pGTDR6Nm5kc3oxNjFicC9YcjF5c2hJVUV2di95eTZkY1VIeCt2WmN1V0tTVWxSYk5uejlhRkN4Y3FQTzhCOTQvUUFBQzEySmt6WjNUNDhHRzkvZmJic3Rsc2NydmR4cmJRMEZBdFhyeFlOcHROUTRZTTBlVEprMDJOK2V0Zi8xb2VqMGNPaDBNT2gwTUZCUVZ5T0J6S3o4OVhZV0doK3ZmdmIreGJYRndzU1FvS0NsSllXSmpQT0Y2dlYwZU9IRkZjWEp4bXo1NWQ2WE1iN3Z6S1ptVS9TdFd1WFR1dFdiTkdxYW1weGhNcThjTVFHZ0NnRm91TGk5UEdqUnYxN2JmZmF2djI3VHAzN3B4MCsrRktraFFiRzZ2Um8wY3JNakpTenozMzNEM0hHekpraUw3NjZpc1ZGUlg1MUlPQ2doUVJFYUhJeUVpZjBQQjlMQmFMRml4WW9PTGlZdU1udDQ4ZlA2Nk5HemNxTkRSVVRxZFQrL2J0VTNSMHRFSkNRaW9kbzNuejVscTdkcTJwOCtIZUNBMEFVTXY5OUtjLzFhcFZxNVNlbmk2YnphYXVYYnVxYytmT2txVFMwbEpaTEJiTm1qVkxnWUdCOXh4cjJMQmhLaTh2VjBSRWhNTER3eFVSRWFHSWlBaFR4MVltTUREUTU5aVFrQkJsWm1aS2t1eDJ1MkppWXFyODU3UnhkeFlUK3dBQVRJaHVHZDlGTnV2NndNQTYwU3VXTE5UVDNmN0QzeTJoR2pydzM0ZjFuK01ueVZGWStMVzhsb0VYL3VmRWYvbTdwenU0NVJJQUFKaENhQUFBQUtZUUdnQUFnQ21FQmdBQVlBcWhBUUFBbUVKb0FBQUFwaEFhQUFDQUtZUUdBQUJnQ3FFQkFBQ1lRbWdBQUFDbUVCb0FBSUFwaEFZQUFHQUtvUUVBQUpoQ2FBQUFBS1lRR2dBQWdDbUVCZ0FBWUFxaEFRQUFtRUpvQUFBQXBoQWFBQUNBS1lRR0FBQmdDcUVCQUFDWVFtZ0FBQUNtMlB6ZEFBRFVORjZQUjJmTzVpb3dNTkRmcmFBYU9uTTJWKzV5dDcvYnFCU2hBUUNxV0ZsNXVmNjBhclhxMk92NHV4VlVRNlZscFNweHVmemRScVVJRFFCUVJUd1c3emNCOGw3MnloSmU0Q2owZHp1by9xNldlajFYL2QzRWQxbjgzUUFBMUNEV0ZySHhNVjZMdGFtL0cwSDE1M1dYWDd1WWUrcXNKSSsvZXd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vUHF3K0x1QnlqUnRFZGM4TURDd2hiLzdRUFhtOVhvdVhqeDc4bi85M1FjQTFCUS91dEFRSGQwMldzSGVEWkllOVhjdnFONHNYbDB2S3l0UHlqdjN4VC84M1FzQTFBUTJmemRRUVpDaUpjdGpWb3NsUERnNFdBRUJWbjkzaEdyRzQvYW91S1JFSHE4bjNHWUxhQ21KMEFBQVZlREhGeHB1cXhjV3BwVC9ISzJZbGovMWR5dW9aaTVjL0VvTDMxMnU2emR1K0xzVkFLaFJmclNod1c2MzY0bkg0OVN1YmJ5L1cwRTFVeThzVElHQmRmemRCZ0RVT0h6MkR3QUFUQ0UwQUFBQVV3Z05BQURBRkVJREFBQXdoZEFBQUFCTUlUUUFBQUJUQ0EwQUFNQVVRZ01BQURDRjBBQUFBRXdoTkFBQUFGTUlEUUFBd0JSQ0F3QUFNSVhRQUFBQVRDRTBBQUFBVXdnTkFBREFGRUlEQUFBd2hkQUFBQUJNSVRRQUFBQlRDQTBBQU1BVVFnTUFBRENGMEFBQUFFd2hOQUFBQUZNSURRQUF3QlJDdzc5QmZuNitpb3VMZi9BNE4yL2VWRjVlWHFYYlNrdExWVlpXVnFGKzQ4YU4rejdQenAwN2RmTGt5UWZxRVFCUWV4QWFxbGg1ZWJrR0RoeW85OTU3ejlUK1hxOVhWNjVjMGVIRGgvWFBmLzdUWjlzNzc3eWpWMTU1UlM2WHk2ZnU4WGcwY3VSSXpaNDkyNmQrOCtaTkpTVWxLVDA5L2I1Nm5qMTd0clp0MjNaZnh3QUFhaCtidnh1b0NkeHV0MjdkdW1Xc0p5VWxhZjM2OVJvNmRLaUNnb0lrU1RhYlRkZXVYVk42ZXJxS2lvcmtkRHJsY0RoMDVjb1ZJeFNNSGoxYXYvM3RieVZKdWJtNXlzek1WSjgrZlhUbXpCbEpVa0JBZ09MajQyVzFXdlhDQ3k5bzFxeFppbzJOMWNDQkF5VkphV2xwS2lzclU0OGVQZnh3RlFBQU5SMmhvUW9jUEhoUTQ4ZVByMUR2MmJPbnNaeVVsS1RFeEVUdDNyMWJYYnAwMFNPUFBLS0lpQWcxYXRSSWpSczNWbVJrcEI1NTVCSHA5cWNQYVdscGtxVHQyN2RyKy9idDhuZzhDZzRPMXFGRGh5UkpMNzc0b2o3NzdETnQyclJKL2ZyMVUzWjJ0bmJzMktHMzNucExNVEV4VmZiYWlvdUxWYmR1M1NvYkR3QlFmUkVhcWtDblRwMzAwVWNmNmROUFAxWFBuajFsc1ZpTWJRY1BIbFJNVEl4YXRXcGx6RTlJVFUxVmt5Wk43anJlMnJWcmxaV1ZwZVhMbDZ0ejU4NXlPcDNxMjdldnVuWHJKa242N0xQUGRQSGlSYlZzMlZLdFdyVlNSa2FHVnE5ZXJXYk5tdW5XclZ2YXNHR0Q3SGE3a3BLU1RMK0dvMGVQeXV2MSt2VCt6VGZmYU1TSUVSbzBhSkFHRFJyMGdGY0hBRkJURUJxcVFFaElpSUtEZy9XWHYveEZOcHROSTBlT2xDUmR2SGhScTFhdFVrSkNncnAxNjNiWFNZM2ZkZXJVS1MxYnRreURCZzFTNTg2ZEpVbno1ODlYVUZDUXhvNGRLMG5LenM3V2dRTUhqR051M3J3cGw4dWxoeDkrV0JzMmJKQWtCUWNIS3lrcFNTNlhTMnZYcnEzMFhCMDdkbFQ3OXUwbFNYbDVlY3JPemxhWExsMGtTUTZIUTYrOTlwcXVYcjBxcTVXcEx3QUFRa09WaVlxSzBvUUpFNVNXbHFZQkF3WW9MQ3hNMDZaTlUvUG16ZlhXVzIrWkhpYzZPbHJObWpYVGxpMWJsSkdSSVVseXVWeXkyV3pxMWF1WG1qWnRxczJiTjJ2TW1ESEdNVE5tek5DSkV5ZU0vYi9MNVhMcC9mZmZyN1J1czltTTBDQkpIMzc0b2JwMDZhTDgvSHdsSnlmci9Qbnptang1c3ZyMTYvY0FWd1FBVU5NUUdxckFwRW1UNUhRNkpVbVJrWkdhT25XcW5FNm5jbkp5RkJzYnF3a1RKa2lTK3ZmdmY4K3hRa05EOWVxcnIycmV2SGxhdW5TcDl1elpvMTI3ZG1uQmdnWGFzMmVQOXV6WmMxKzloWWVINi9EaHd6NjFuSndjRFI4K1hIRnhjVVl0TEN4TVdWbFoycnQzcjVZdFc2YkxseTlyNXN5WlNreE12Sy96QVFCcUxrSkRGV2pUcG8zUGJaRmVyMWRlcjFkUFAvMjB6MzUydTEyNlBTbnlicFl1WFNyZHZsT2lkZXZXT24zNnRPeDJ1N0dzMjdkMTNna3BrbFJXVmlhMzI2MzgvSHlqVnFkT25idE9ZTXpNekZSWVdKZzZkZXBrMUo1NTVoa2RPM1pNRXlkT1ZHaG9xSll0VzZZbm4zenlBYTRHQUtDbUlqUlVnVHUzUE42eFlzVUs3ZHk1VXg5Ly9MRlAvZmp4NDVLa01XUEdxSDc5K25LNVhKb3hZNFplZnZsbHhjZkhTNUthTjIrdXExZXZ5dVB4Nk1xVkt5b29LSkRiN1RhV0plbk1tVE1hUG54NGhUNSsrY3RmR3NzdnZQQ0NVbE5USyt4VFdscXF6TXhNUGZQTU03TFovdjgvdjgxbTArOSs5enRObXpaTnYvbk5id2dNQUlBS0NBMVZvS3lzek9lVGhsdTNic25qOGFpd3NOQ28yZTEydWQxdTZmYWJlNE1HRFZSWVdLZ1pNMllvUGo1ZXp6NzdyTStZaFlXRit0V3ZmbVdzMzFtT2pJeFVkSFMwRmk5ZWJHejc2S09QZFA3OGVVMlpNc1dvUlVaR1Z0cnJsaTFiZE9QR0RRMFlNS0RDdHNURVJHM2F0RW1yVjY5V3o1NDlqVnRBQVFBUW9hRnFiTisrWGJObXphcFFUMGhJTUphVGtwTFV0V3RYU1ZLOWV2WHVPV2I5K3ZXVm1abXBUWnMyNmNNUFA5VEhIMzlzTEllRmhSbTNYMHJTL3YzN2RmWHFWWjlhWlVwS1NyUm16UnAxN2RwVnJWcTFxckE5SUNCQU0yYk0wS0JCZ3pSeDRrVDkrYzkvNWhrTkFBQURvYUVLOU96WlUrM2F0VFBXTjJ6WW9JTUhEMnJac21WR0xTd3NUSWNPSFZKUVVKQXh0K0ZlYkRhYmNidmpkNWNmMUtKRmkzVGp4ZzI5L2ZiYmQ5MG5PanBhYjd6eGh1Yk5tNmVKRXlkcThlTEZQbDlqQUFCcUwyN0Fyd0tob2FFcUt5dlQ1TW1URlJBUW9QRHdjTmxzTnBXVWxHakpraVdLakl4VWd3WU5sSnVicStqb2FGTmp1dDF1SFQ5K1hIbDVlU29yS3pPV2Rmc1IwOW5aMmNZLzE2OWZsOHZsOHFsbFoyY2JjeUFrS1NzclMxdTJiRkhmdm4yTitSTjMwNzkvZi9YdjMxOVpXVmxLU1VtcDhOc1hBSURhaVQ4aHE4aktsU3ZsY0RoODVoS0VoSVFvS3l0TEN4WXMwTlNwVTVXVGszUFBOK3c3bkU2bmtwT1RqZlhrNUdTVmw1ZXJZY09HU2s5UDkzbTQweDJqUjQvMldiL3pSTWxMbHk3cEQzLzRnNW8wYWVMemZJZnZNMkhDQkYyL2ZsMzc5Ky9YNzMvL2U4MmJOMCtOR3pjMmRTd0FvR1lpTkZTQm5Kd2M3ZHUzVDMvODR4OTl2bnA0OU5GSE5XclVLS1dscGFsVHAwNDZkZXFVUm93WWNjL3g0dUxpOU9hYmIxWjRyb1BUNlZSaFlhSEN3OE5WWGw1dTFPZlBuNitjbkJ4OThNRUhQdnNIQndjYkQyb3FMaTdXd29VTEZSSVNZdW8xV2ExV3paMDdWek5tek5ET25UczFjT0JBclYyN1ZsRlJVYWFPQndEVVBJU0dLckI2OVdyRnhNVG8rZWVmbDI1L3RYREg0TUdERlJjWHA3MTc5eW95TWxKUFBmWFVQY2RyMGFLRldyUm9JWmZMcGNMQ1FoVVVGTWpoY0tpZ29FRDUrZm1LaVluUkUwODhZZXh2dDl0bHRWb1ZGaFpXWWF6YzNGeGR2MzVkMDZkUFY1czJiU3BzZHpnY2NybGNsVTU0dE52dG1qbHpwaUlqSTFWY1hFeGdBSUJhanRCUUJlYk9uYXU4dkR6OTlhOS9sYzFtMDk2OWU0MDdKQUlDQWlSSm16ZHYxcFFwVTR6MXU4bk16TlQ4K2ZQbGREcFZWbFptMUsxV3ErclhyNitJaUFpTkdESENKelI4bjQ0ZE95b2pJOFBuYTVONTgrYXBwS1JFZHJ0ZEowNmNrQ1Q5N0djL3Urc1lyNzMybXFsekFRQnFOa0pERlFnS0NsS0xGaTAwZE9oUWxaYVc2cUdISHRMcnI3OXViQzhxS2xKQ1FvS3BYNTE4L1BISE5YcjBhRVZFUkNnOFBOejRkLzM2OVgxK2dmSisvT3N6Rys3TVZaQ2tpSWdJRFI0ODJPZG52QUVBcU15RHZRdjlHMFczYXBzZ2k3WTJhdEFnZk1XU2hXclgxdHpFUWVDTzAyZk82dFhYeHlydjhoV1h2TjRYTDV3OStUZC85d1FBTlFHM1hBSUFBRk1JRFFBQXdCUkNBd0FBTUlYUUFBQUFUQ0UwQUFBQVV3Z05BQURBRkVJREFBQXdoZEFBQUFCTUlUUUFBQUJUQ0EwQUFNQVVRZ01BQURDRjBBQUFBRXdoTkFBQUFGTUlEUUFBd0JSQ0F3QUFNSVhRQUFBQVRDRTBBQUFBVXdnTkFBREFGRUlEQUFBd2hkQUFBQUJNSVRRQUFBQlRiUDV1NEc3S3lzcDA2dlFaM1NvdDlYY3JxR1l1WFB4S3QyN3gvdzBBVkxVZmJXaHdGQlpxMFpKMDJXdy8yaGJ4STFYdUxwZkRVZWp2TmdDZ3h2blJ2U09YZWoxWDY4aHl6U1BwMjRJQ2Y3ZURhc3hpc1RqS3k3eDUvdTREQUdvS2k3OGJxSVExcWxYcm45a1UwTURmamFCNnMzakt2djNmTDcvSWtlVHhkeThBQUFBQUFBQUFBQUFBQUFBQUFBQUFBQUFBQUFBQUFBQUFBQUFBQUFBQUFBQUFBQUFBQUFBQUFBQUFBQUFBQUFBQUFBQUFBQUFBQUFBQUFBQUFBQUFBQUFBQUFBQUFBQUFBQUFBQUFBQUFBQUFBQUFBQUFBQUFBQUFBQUFBQUFBQUFBQUFBQUFBQUFBQUFBQUNvTWY0UHB3UTVibmhOWTRzQUFBQUFTVVZPUks1Q1lJST0iLAoJIlRoZW1lIiA6ICIiLAoJIlR5cGUiIDogImZsb3ciLAoJIlVzZXJJZCIgOiAiIiwKCSJWZXJzaW9uIiA6ICIxNjMiCn0K"/>
    </extobj>
    <extobj name="ECB019B1-382A-4266-B25C-5B523AA43C14-3">
      <extobjdata type="ECB019B1-382A-4266-B25C-5B523AA43C14" data="ewoJIkZpbGVJZCIgOiAiNDcxMjEyMzcxNTIxIiwKCSJHcm91cElkIiA6ICI0MTk5MzY1NDMiLAoJIkltYWdlIiA6ICJpVkJPUncwS0dnb0FBQUFOU1VoRVVnQUFCV29BQUFKM0NBWUFBQUFOb1dpNUFBQUFBWE5TUjBJQXJzNGM2UUFBSUFCSlJFRlVlSnpzM1hsNFZOWDl4L0hQblpsc0pCRVFGS2dCd21LVVBSTmtFNHFnNEVKUndMWld5azhVTnl5Z1VsRUJMUWdXdFFxb1VBV3RJRWdWcEVWQlVCWkZJb3RoSjJFTFMwQ0NiRUhXUVBiTXpQbjlJWmt5SkVEQ2RnTzhYOCtUeDh5NVovbmVJWTQrSDA3T2x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tESEw3Z0lBQU1DbFlZd3hkdGR3b1ZtV3hmL0xBQUFBQUxnaU9Pd3VBQUFBQUFBQUFBQ3VkZ1MxQUFBQUFBQUFBR0F6Z2xvQUFBQUFBQUFBc0JsQkxRQUFBQUFBQUFEWWpLQVdBQUJjdG1KaVlpckd4c1pHMjEwSEFBQUFBSnd2bDkwRkFBQUFlNlNrcEdqczJMRktURXhVWGw2ZWF0ZXVyVWNlZVVSdDI3WXQwVHhaV1ZrYVBYcTBObS9lcklrVEp4Ylp4K1B4NkxQUFB0UE1tVE8xWjg4ZWxTMWJWcTFidDFhZlBuMVV0bXpaZ0w3WjJkbWFOR21TNXMyYnA3MTc5eW9rSkVSMTY5WlZqeDQ5MUxScDA0QytFUkVSdHhoanBzVEd4bTYxTE90Zm1abVpYL2w4dnVQYnRtM0xrMlRPNFcwQkFBQUFBRnRZZGhjQUFBQXVEV09NUDdoY3YzNjlubnp5U1JsajlOdmYvbFl1bDB1TEZpMVNUazZPWG5ubEZkMTMzMzFublM4bkowY3pac3pRaEFrVGRQRGdRZFd2WDErZmZQSkpVZXZxaFJkZVVIeDh2R3JVcUtFR0RScG84K2JOMnJwMXEycldyS2xQUHZsRVpjcVU4ZmZ0MnJXclVsSlNWTDkrZlZXdlhsMXBhV2xhdlhxMUpHbm8wS0hxMkxHamYrN0dqUnZmWTR5WllsbFd1UlBqMHlYTjkvbDhQMGhLeXN6TTNMSnQyN1lERitndEJBQUFBQUFBQUlEelkwN3dlRHltYytmT3BrbVRKaVlwS2FtZzJXemN1TkUwYmRyVTNIYmJiU1lqSThPY3ladzVjMHlyVnExTVhGeWM2ZGF0bTRtTGl6UGR1M2N2c3UvWFgzOXQ0dUxpVE4rK2ZVMStmcjR4eGhpdjEydWVmLzU1RXhjWFo4YU5HK2Z2bTUrZmJ6cDM3bXpXcjE4Zk1FZENRb0s1NVpaYlRKczJiZnh6R0dOTVhGemMzVzYzKzBoY1hKdzU1U3N2TGk1dVoxeGMzSUxZMk5qWEd6VnExRXFTMCs0L0F3QUFBQUE0SGM2b0JRRGdLck5zMlRMOS9QUFB1dWVlZTlTb1VTTi9lOTI2ZFhYWFhYZnArUEhqV3JSbzBSbm4yTDE3dHlwVnFxUWhRNFpvOU9qUlordzdkZXBVU1ZLL2Z2M2tjdjE2NnBMRDRkQ3p6ejRyU1pvMWE1YS9yOVBwMUlRSkUxUy9mdjJBT1ZxMGFLSEdqUnZyMkxGajJyRmp4OG1YQW80M01NWVVmQVZKcWlhcHJjUGhHT2gwT2hlNzNlNmRzYkd4QTJOaVlpcWU5VTBDQUFBQWdFdU1vQllBZ0t0QWJHeHN1WUx2RXhJU0pFbTMzWFpib1g0dFc3YVVKQ1VtSnA1eHZtN2R1bW5hdEdtNjk5NTc1WENjL244bjB0UFR0WEhqUnRXdVhWdFJVVkVCMTZLaW9sUzllblh0MnJWTEJ3OGVsQ1JabHFWeTVjb1ZPVmRFUklRa0tUZzQyTi9tOC9tcVdwYmxMOEN5L25lcTAwbWhiY0cxR3h3T3grdmg0ZUY3WTJOakY4VEd4ajdmcUZHanV4bzFhblFEdTIwQkFBQUEySTJIaVFFQWNJVnp1OTNYU2ZwN3dldnQyN2RMa21yWHJsMm9iM1IwdENUcDU1OS9QdU9jWVdGaHhWcjdwNTkrT3UxYUJldnQzTGxUdTNidFVzV0twOS9vbXArZnIvWHIxeXMwTkZSVnFsVHh0enNjamdHU3drL3VlMnBZZStyM2xtVUZXWmJWMWhqVHhyS3NURW1yWTJOakV5WE56ODdPWHJSbHk1Ymp4Ym81QUFBQUFMaUFDR29CQUxqQ2ViM2VXazZuODY2QzF3Y08vUHBzcld1dnZiWlEzNEsyNDhjdlRGWjVwclZLc2w3QkE4c2VlT0NCZ0IyMWttcWRhZHpKb1cwQlk0d3N5NUwxNjhVSVNiZFpsaFZqakRubWNEaldTQ0tvQlFBQUFIREpFZFFDQUhDVnljbkprU1NGaElRVXVsWVFndWJsNVYzMHRZcXpucy9uMHdjZmZLRHg0OGVyUm8wYTZ0V3JWOEIxWTh3L0pEMXRXVmI0U1cxRnpsVVEycHBmTyt3M3h2d2thYnVrS2JtNXVZdVRrNU16enZVK0FRQUFBT0I4RWRRQ0FIQ1ZLWGlnbDlmclZWQlFVTUMxL1B4OFNWSm9hT2dGWDZzb1oxcnYwS0ZEZXZubGw3Vnk1VXE1M1c0Tkh6NWNrWkdSQVgwc3kxcG9qSG1xNEhWUkllMUpBVzJHcEVXU3ZqZkdySlcwS1RFeGNkK3BEeVFEQUFBQUFEc1ExQUlBY0pVcENEdlQwOU1MQmFSSGp4NlZKRldvVU9HQ3IxV1UwNjIzZnYxNjlldlhUMGVQSGxYUG5qMzEyR09QeWVrOC9mTytUaGZRR21OOHhwajF4cGdKdWJtNS84bk96ajZTbXBxYUo4bDNucmNHQUFBQUFCY1VRUzBBQUZlWjZ0V3JhOU9tVGRxeFk0Y3FWYW9VY0MwMU5WV1NWTE5telF1MmxpVHQyTEdqeU91cHFhbHlPQnoraDVoSlVtSmlvdnIwNmFOcnJybEdIMzMwa1JvMWFuVFdkVTdhTlpzbmFhK2tuVDZmN3dkanpGZHIxNjVkU3pBTEFBQUFvTFFqcUFVQTRDclR1SEZqelowN1YwdVdMRkh6NXMwRHJ2MzQ0NCtTcEpZdFcxNlF0YXBXcmFycnJydE95Y25KT25Ma2lNcVhMKysvdG0vZlB2MzAwMDlxM0xpeHdzTENwQk5uMmc0WU1FQVJFUkdhTUdHQ0tsZXVYS3gxakRHcGxtVXRNY1lzOC9sOHEzTnpjemR1MmJLRmg0SUJBQUFBdUd3NDdDNEFBQUJjV3UzYnQxZEVSSVNtVDUrdWJkdTIrZHVUazVNMWUvWnN4Y1RFS0M0dXp0KytmUGx5elo0OSs1eldzaXhMWGJwMGtjZmowYnZ2dnVzL29zRG44K21kZDk2UkpIWHQydFhmLy92dnY5ZkJnd2YxKzkvL3ZsZ2hiVjVlWG9yUDUzc3dOemUzaGNmamVTb3BLV25NdW5YcmxoSFNBZ0FBQUxqY3NLTVdBSUNyVEdSa3BGNTg4VVVOSGp4WUR6LzhzRzY3N1RZWlk3Unc0VUlGQlFWcHlKQWgvcU1FTWpNejlmVFRUOHZyOWFwaXhZcHEyclJwaWRmcjNyMjc0dVBqOWZYWFgydmJ0bTI2K2VhYnRYSGpScVdrcEtoRGh3NXEyN2F0disrV0xWc2tTWXNXTGRMbXpadUxuTS90ZHV1aGh4NlNKRzNZc0dHN3BPM24rRllBQUFBQVFLbEJVQXNBd0ZYb2Q3LzduU0lqSXpWKy9Iajk4TU1QQ2drSjBhMjMzcW8rZmZvRW5CY2JGaGFtQmcwYWFOKytmZjd6WmtzcUxDeE1IMzMwa2Q1Ly8zMHRXTEJBMjdkdlYxUlVsUHIxNjZjSEgzd3dvRzltWnFZa2FkT21UZHEwYVZPUjg0V0VoSnhUSFFBQUFBQlFtbGwyRndBQUFDNnVoZzBiTm5jNm5WUFdyRmtUWFl6dWx4V3JZT3N2QUFBQUFGem1PS01XQUFBQUFBQUFBR3hHVUFzQUFBQUFBQUFBTmlPb0JRQUFBQUFBQUFDYkVkUUNBQUFBQUFBQWdNMWNkaGNBQUFBdWpjYU5HK2RJNnJKbXpacTVkdGNDQUFBQUFBakVqbG9BQUFBQUFBQUFzQmxCTFFBQUFBQUFBQURZaktBV0FBQUFBQUFBQUd4R1VBc0FBQUFBQUFBQU5pT29CUUFBQUFBQUFBQ2JFZFFDQUFBQUFBQUFnTTBJYWdFQUFBQUFBQURBWmdTMUFBQUFBQUFBQUdBemdsb0FBQUFBQUFBQXNCbEJMUUFBQUFBQUFBRFlqS0FXQUFBQUFBQUFBR3hHVUFzQUFBQUFBQUFBTmlPb0JRQUFBQUFBQUFDYkVkUUNBQUFBQUFBQWdNMElhZ0VBQUFBQUFBREFacGJkQlFBQWNLRlZxVkduZWtoSVNBMjc2eWd0WEE0VEZSN2llRUJHa2RuNTNzL3l2STV0ZHRkVW1oamoyN2x6eTdvZGR0Y0JBQUFBNE9wR1VBc0F1S0pFUjhkR0s4eE1sVlRON2xwd2ViQ01EdVRuZSs3ZnZYMGpBVFlBQUFBQTI3anNMZ0FBZ0FzcVZOR1NGZU93ckhKaFlXRnlPam5sQjBYemVYM0t5czZXei9qS3VWek8ycElJYWdFQUFBRFlocUFXQUhCRnVpWXlVczg5MDBzMzFxNWxkeWtvcFZKMy9xeTNSNC9SZ1lNSDdTNEZBQUFBQUFocUFRQlhwcUNnSU5XdlcwZnUySVoybDRKUzZwcklTSVdFQk50ZEJnQUFBQUJJa3ZoOVVBQUFBQUFBQUFDd0dVRXRBQUFBQUFBQUFOaU1vQllBQUFBQUFBQUFiRVpRQ3dBQUFBQUFBQUEySTZnRkFBQUFBQUFBQUpzUjFBSUFnR0l6eG1qWnNtWEt5Y2twOGRodDI3WnA5T2pSOG5nOForMDdkdXhZdmYvKysrZFlKUUFBQUFCY2ZseDJGd0FBd0pYQTQvSG9wWmRlVW54OHZJWU5HNmE3N3JxcldPTnljbkxPS2ZRc1VLNWNPVWxTV2xxYWR1L2VmYzd6U0ZKb2FLanExNjkveGo0clY2NVU3OTY5OWNnamoranBwNTh1MXJ6R0dGbVdwZFRVVkgzeXlTZnEyYk9udkY2dmdvS0M1SEQ4K25mR0dSa1ptang1c3U2KysyNVZxMVpOVzdaczBmYnQyOVc3ZCsvenVpY0FBQUFBdUZ3UTFBSUFjSjd5OC9QVnYzOS8vZmpqajZwYnQ2NkdEaDJxOFBCd3RXclY2cXhqcDB5Wm92ZmVlKytjMTE2OGVMSEtsQ21qT1hQbW5OYzhraFFkSGEwdnZ2amlqSDJtVDUrdTRPQmdkZTNhdFZoejd0Ky9YNDg4OG9nbVRKZ1EwUDdGRjEvbzQ0OC8xb3daTXhRUkVhSFZxMWZyd3c4L2xOdnRWclZxMVZTM2JsMHRXYkpFR1JrWmlvaUlPSy83QWdBQUFJRExBVUV0QUFEbklTMHRUUysrK0tLMmI5K3U0Y09INjlaYmI5VnJyNzJtZnYzNjZlbW5uMWEzYnQxa1dkWlo1eGs4ZUxCQ1EwTUQybWJNbUtGMTY5WnA4T0RCaGZvdlhMaFE4K2JOODcvdTBhT0hldlRvSVVuYXZYdTNmRDZmcWxXcjVyLys0WWNmYXVyVXFWcXdZRUdSNnovMTFGTUJnV2hlWHA2bVRac1cwTWNZb3dVTEZxaDY5ZXI2OXR0dnozZy9EUnMyVlAzNjlYWDk5ZGNyTHk5UDMzLy92U3BWcXVTL3ZtclZLa1ZGUmZuWFRFaElVR2hvcUdKall5Vkp6WnMzMTRjZmZxajU4K2VyYytmT1oxd0xBQUFBQUs0RUJMVUFBSnlqQlFzV2FOaXdZUW9ORGRXLy92VXZUWnc0VVpzM2I5WXJyN3lpS2xXcTZKMTMzbEZDUW9JR0RScWtLbFdxbkhHdTIyKy9YWkdSa1FGdHExYXRVbkp5Y3BISEtPemR1emNncUQzWnlKRWo1ZkY0OU05Ly9qT2czZVB4YVBueTVRRnREb2REOWVyVlUySmlvcDUvL25sL2UyNXVya2FPSENtSHd5R24wK2x2dHl4TFAvLzhzMGFQSG4zYWU4blB6OWRmL3ZJWDFhOWZYNVpscVhuejVscXdZSUYvRjI1ZVhwNVdybHlwbmoxNyt0ZWFPM2V1MnJScG82Q2dJT2xFMEJzVkZhVVpNMllRMUFJQUFBQzRLaERVQWdCUVFydDM3OWFiYjc2cGhJUUV0VzNiVm9NR0RWTFpzbVYxd3cwM2FNS0VDZnJkNzM2bko1OThVbTYzVzBPR0RGR1hMbDMweHovK1VZOCsrcWpLbHk5L1VXdkx6OC9YMnJWcjFhMWJ0MExYTWpNejlkeHp6d1cwdVZ3dVRaMDZWYmZmZnJ0YXRHaFJhTXpqanovdUQxU0w0K2pSbzdyampqc0MycG8xYTZaWFgzMVZkOTk5dHlScDZkS2x5c3JLOHZlYk5XdVdNakl5Q2dXeWYvakRIL1R1dSs5cTl1elo2dENoUTdGckFBQUFBSURMRVVFdEFBREZ0R1BIRGsyY09GRno1ODZWeCtOUjI3WnQxYjU5ZXkxYnRreVNWSzFhTlRWbzBFQkpTVW5hc0dHREpPbXh4eDdUdUhIak5IbnlaUDNuUC8vUmJiZmRwb2NmZmxqMTZ0VUxtRHN0TFUzSGp4OFBhTXZLeXBMUDU5UGV2WHNMMVhMczJMRWlhL3oyMjIrVm5wNnVIMzc0UWZmY2M0OSs4NXZmK0srVkxWdjJ0RWNmdlBIR0crZndqaFJQaXhZdDlOeHp6eWtzTEV5U1ZMMTZkVDMxMUZPcVVxV0tNak16OWVHSEg2cHUzYnBxMHFSSndMZy8vZWxQbWpadG10NTU1eDAxYnR3NDRPZ0VBQUFBQUxqU0VOUUNBRkFNR1JrWjZ0R2poL0x6ODlXOWUzY2xKaVpxOGVMRldyTm1UYUcrSTBlTzlIK2ZtNXVydkx3OC9lYy8vOUc0Y2VPMFlNRUNQZnJvbzRYR1BQamdnNmRkKzk1Nzd5MVdqY2VQSDllWU1XUFVyRmt6WldWbHFVdVhMcnIxMWx2VnNHRkRiZDY4V2ZuNStmcnV1Ky9rOC9uazlYcmw5WHI5My90OFB2bDhQc1hFeFBqUGliMFFNak16dFhQblRzWEV4UGpmcThPSEQ4dnRkbXZuenAzNjhNTVBkZmp3WWIzKyt1dUZ4Z1lIQit2bGwxOVduejU5MUx0M2I0MGZQMTVseTVhOVlMVUJBQUFBUUdsQ1VBc0FRREZFUkVSbzVNaVJpbzZPVm9VS0ZmVHNzOCtxZWZQbUdqVnExQm5IVFowNlZTTkdqRkN0V3JYMHhodHY2TWlSSTBVZWZ6QjY5R2lGaElRRXRIMzY2YWRhdVhKbGtXdk1uVHRYMDZkUDk3L096OC9Yb0VHRGRPellNUTBlUEZnVksxYlUzTGx6TlgvK2ZNMllNVVBIangrWHcrSFEwS0ZEWll5UjErdVZNU2JnUzVMZWUrKzk4M2lYQ3R1NWMyZWhveFA2OU9ralNicnp6anUxZmZ0Mi9lRVBmeWkwbTdaQTA2Wk5OWERnUU0yWk0wY2VqK2VDMWdZQUFBQUFwUWxCTFFBQXhkUzRjZU9BMTRjT0hkTDgrZlBQT0diTGxpMEJyMDhOYWIxZXJ5U3BTWk1tQ2c0T0RyZzJiOTQ4dVZ3dTNYTExMWVhtWGI5K2ZjRHJFU05HYVBueTVSbytmTGdxVjY0c1NlcllzYU02ZHV3b1NVcEtTbEpDUW9KNjllcFZqRHY5SDQvSG85emMzR0wzejh2TEMzaGR1M1p0elpneFE1TDArdXV2YThXS0ZmcnZmLytyb0tBZ1JVUkV5T0Z3Nk91dnY5YTBhZE5PTzJkTVRJdysvUEJEV1paVm90b0JBQUFBNEhKQ1VBc0FseEZUc08zeEVySkl4MDVyKy9idEdqRml4Qm43Wkdkbm4vRjZ3UzdSb0tDZzg2cWxhOWV1YXRldW5VSkNRclI0OGVKQzF4Y3VYS2haczJhcFFZTUdSWTZ2VjYrZXJyMzIya0x0SDMvOHNUNysrT056cmlzNE9GaFZxMVpWVGs2TzFxMWJKMG5hdEdtVDJyZHZyK0RnWUhtOVh2MzczLytXSkIwNGNFQVJFUkgrczJ3TDJucjA2S0dHRFJ1ZWN3MjQ4T3o0TENvcFByc0FBQUJ3dVNHb0JRRGdIRFZ0MnJUWVJ4K2NUbVptcHB4T3A3WnUzVnJvV25wNnVyeGViNkZkdVpKMDhPREJnTmZSMGRHS2pvN1dFMDg4b2JWcjF4WUtmajBlanp3ZWp3WU1HRkJvcnB5Y0hMMzc3cnY2N1c5L1craGF1M2J0MUw1OSt6UGU0OG15c3JJMGRPalFRdTF6NXN4UlRrNk9KR25NbURGYXRXcVZYbm5sRlRtZFRzMmRPMWRwYVduNjNlOStwMzc5K3VtKysrN3pqMnZXckpsQ1EwT0x2VDRBQUFBQVhLNElhZ0VBT0VlLy9QS0xacytlZmNZK0d6ZHVQT1AxbzBlUHl1djE2czkvL3ZOcCs1enBXbEU2ZHV5b3dZTUhCN1JObmp4Wm8wZVAxbzgvL2xoby9UdnV1T08wYzlXc1dWUHQyclVyOXRwSGp4NHQxT2J6K2ZUWlo1L0o3WFlyTVRGUnI3NzZxcDU2NmlrMWF0UkluVHQzbGlTbHBxWktrcTY3N2pyL09HT01QQjRQUVMwQUFBQ0Fxd0pCTFFBQTV5ZzFOVldqUjQ4K1k1K0Nvdyt5czdNRGZxVy93TDU5K3hRZEhhM1hYMys5MExYeDQ4Y3JJU0ZCNDhlUEwzUnQ1c3laK3Z6eno0dGNNemMzdDlDTzI4ek1US21JbmJqSGpoMDdZLzBYd3RkZmY2MzkrL2VyZS9mdVNreE1WUDM2OWRXdFc3ZUFuY0lGWis3R3hNVDQyd3JPeGkzcWZRTUFBQUNBS3cxQkxRQUE1NmpnNklPY25CeU5HREZDYmR1MlZmUG16ZVYwT3YxOWxpeFpvdGRmZjExMzMzMjNKazZjcUJvMWF2aXZlVHdlcGFTa3FGbXpacnJwcHBzS3pWKzJiRms1bmM0aXIxV3NXUEcwZGMyZE8xZHo1ODR0OHRwZGQ5MTFEbmQ2N2c0ZlBxeFJvMGJwRDMvNGc4cVVLZU52Zi9iWlovMFBCL042dlpvK2ZicnExYXVuQ2hVcStQc1VISlZBVUFzQUFBRGdha0JRQ3dDdzNVMDMzUlFaRmhaV09Ta3BhWnVrVXYrUW9sUHQyclZMbXpkdjF2VHAwMVd4WWtWMTdOaFI5ZXZYMTVkZmZxbUVoQVJWcTFaTmp6NzZxS3BVcVJJd2J2WHExY3JJeUZEOSt2VXZhRDN0MnJWVG56NTlBdHBtenB5cFNaTW1hZHEwYVFIdEsxYXNVSFoydHBvMGFYSkJheWl3WWNNR2hZYUc2b2tubmxCQ1FvSy8vZVRuUEUyZE9sWDc5Ky9Yczg4K0d6QTJJeU5ESXFnRkFBQUFjSlVncUFXQXkxeFdWcFpHang2dHpaczNhK0xFaWNVZWw1aVlxSWtUSjJyZHVuWEt5c3BTNWNxVmRmdnR0K3Z4eHg5WGVIajRSYTM1VktHaG9kVWNEc2RTdDl1OTFiS3MvL2g4dm04OUhzKytEUnMySEpMa3VhVEZuSU1iYjd4Um4zNzZxVFp2M3F4cDA2WnAyclJwL2orTE8rKzhVME9HREZGSVNFaWhjYk5telpLa0loL2lkVGI1K2ZuU0tZR25KTDN4eGh0eXVWd3FWNjVjUUh2NTh1VmxXWmFxVnEwYTBQN2VlKzlwNGNLRnFsV3JsbHEwYUZGb25jVEVSRTJZTUtIWWRSWHNnaTNRcWxVclZhaFFJV0EzN2NsKy9QRkh2ZlBPTzJyV3JKbnV2UFBPZ0d2NzkrK1hwRUwzZ3RMcFhEK0xQQjZQUHZ2c004MmNPVk43OXV4UjJiSmwxYnAxYS9YcDAwZGx5NVlONk92MWV2WDU1NS9ycTYrKzBxNWR1eFFlSHE3bXpadnJxYWVlVWxSVTFFVzRLd0FBQU9EU0lhZ0ZnTXRVVGs2T1pzeVlvUWtUSnVqZ3dZTWwycFg1M1hmZmFlREFnWXFNakZTVEprM2tkRHFWbUppb1NaTW1hZW5TcFpvd1ljSWwzOFZvakhGWWx0WFlHQk5uV1ZiLzRPRGdwTGk0dUdXU2xuazhudVhyMXEzNzVaSVdkQlpIang1Vm1USmxsSmlZcUEwYk5tanQyclZhdDI2ZFhudnROVDMvL1BPYU4yK2Vwa3lab20rLy9WWXJWcXhRNTg2ZDlmdmYvMTYvK2MxdkpFbkp5Y21hTTJlT21qUnBFbkFjd3VuczJMRkRYMzc1cGNMRHcrWHorVFJqeGd4RlJFVDQvNXdTRXhPVmxwWW1uODhucjljcm44OFg4UDJhTld2azgvbjA4Y2NmeSt2MXl1djF5dVB4cUZ5NWN2SjRQT3JYcjUvZWUrODl4Y1hGQmF5Ym1Kam9Qei8yWERnY0R0V3JWNjlRZTA1T2p0NS8vMzFObVRKRmRlclUwWnR2dmluTHNqUmx5aFRsNStjck9EaFlzMmJOVW5Cd3NHNjg4Y1p6WGg4WDMvbDhGaGxqTkdEQUFNWEh4NnRHalJxNjU1NTd0SG56Wm4zNTVaZEtTa3JTSjU5OEVoRHlEeG8wU1BQbXpkTU5OOXlnZSs2NVI3Lzg4b3ZtekptanhZc1hhOUtrU2FwZXZmcEZ1a3NBQUFEZzRpT29CWURMME55NWMvWGFhNjhwS3l0TGRlclVLZlNBcUxOSlNVbFI5KzdkMWJOblQvOU96NXljSFBYcjEwL0xsaTNURjE5OG9mLzd2Lys3U05XZm1mWHJGdEZySmQxdWpHbGpXZFlSbDh0MXdPMTJKeGhqUGs5S1NvcTNlNWZ0OXUzYnRXSERCdW5FMFFGbHlwUlJuVHAxZE04OTk2aFdyVm9LRFExVnAwNmQxS2xUSjYxY3VWSlRwa3pSSjU5OG9zOCsrMHpmZlBPTktsU29vTXpNVEFVRkJSVTZvdUJrb2FHaGlvaUlrQ1NGaElSbzh1VEovbXNSRVJINjYxLy82bjg5ZmZwMGZmUE5ONUlrbDh1bDRPQmdCUWNIS3lnb1NDRWhJUW9LQ2xMTm1qVzFZTUVDQlFVRnllVnl5ZVZ5S1Nnb1NLMWJ0MVpLU29yKyt0ZS9hdHk0Y1FIQjZLT1BQcXFlUFhzVys3MDVldlNvN3JqampyUDJjN2xjMnI5L3YvNzg1eityZCsvZS9wL0RyVnUzYXViTW1kS0puYlFEQnc3MHZ3Y29mYzczczJqMjdObUtqNDlYNjlhdE5YejRjTGxjTHZsOFB2WHYzMThMRml6UWxDbFQ5TmhqajBrbi9uSmozcng1Y3J2ZEdqTm1qSUtEZ3lWSjgrYk4wMHN2dmFTUFB2cEl3NFlOdXlqM0NRQUFBQUFBRU1DYzhORkhINW5mLy83M1p1Yk1tZWJRb1VNbUxpN09kTy9lM1JUWDRjT0hpMnhmczJhTmlZdUxNLzM2OWZPM1hZcjdhdFNvVVQyMzI1MFJGeGRuM0c1M29hKzR1RGovbDl2dDN1MTJ1MGMxYk5qdzlvWU5HMFpGUlVVRmJQMk52am0yVFhTZDJDTk5XdDFoMWlTdUxmWjdVaEkrbjgrODhNSUxadno0OFdiejVzM0c2L1dlZGN5dVhidk12SG56QXRwMjdOaFI0clh6OC9OTmJtNXVvZmFjbkJ5VGs1TmpmRDVmaWVjMHhwaTllL2VhZnYzNm1mVDA5SE1hZjZGNVBKNkx2c2JHNU0ybTFSMzNtT2liRzJWSDM5VHc3a3Z4czM2bEtIZ1B6L2V6NktHSEhqSnhjWEZtMTY1ZEFlMjdkdTB5Y1hGeHBsT25UdjYyR1RObW1MaTRPUFBOTjk4VW11Zk9PKzgwRHp6d1FFQ2IzZThSQUFBQVVGTHNxQVZ3d2JqZDd1ckdtTFAvRGpmT1c3ZHUzZlQ0NDQ5TEozWXdsbFQ1OHVXTGJDL1l1Vml3VTAyU1ltTmoyNXh6b2NVWGJWbVdzK0JGd2JtckoyY3RKMzEvZzJWWno3aGNyaWNsYmJ6dXV1dFdWcXhZY1VOK2ZuNzh4bzBiTjEyQ1dtVlpsdDU2NjYwU2pZbUtpaXAwaG1aMGRIU0oxM2E1aXY1UGQxRm40SlpFbFNwVk5HTEVpUE9hNDBKeU9wM0Y2SFZoR0dNVTVQRFZ1RVEvNjFlVTgva3NTazlQMThhTkcxVzdkdTFDLzI1RVJVV3BldlhxMnJsenB3NGVQS2lLRlN2Nis2U2xwUVgwemNqSTBMRmp4OVNnUVlPQWR2NDhyeTU1ZVhtYms1T1QwNHJSRlFBQW9OUWlxQVZ3UVRSczJQQW15N0ttU2VKcExwZkF4VG8vTmpFeFVaSlVxMVl0ZjV0bFdkTXZ5bUluc1N6TFlZd0pPZlhCV0tlK0xuQWl0QTIxTEt1eHBEakxzdktEZzRPUHhzYkdiczMzV2l1eThrM1JBNEVpV0pMQ2cxMFBPQnlPbSsydTVYSnpQcDlGUC8zMGt5U3BkdTNhUlY2UGpvN1d6cDA3dFd2WExsV3NXRkdOR3pkV3k1WXQ5ZkhISHlzcUtrcXRXclZTV2xxYTNuenpUVGtjRGozNTVKTUI0eDBPeDVSekxnNlhuWkNRa0I5alltS2UycnAxYThuTzN3QUFBQ2hGQ0dvQlhCQXVsNnVHTVNiS3NxeElTVWNsNWR0ZEUwcm00TUdER2o5K3ZGd3VsKzY5OTE1L3UyVlpPUmQ3YldPTVM1STVrWm1WWkp6L2U4dXljaTNMeWpjK24rOWkxSWdybTVGY3hwaFF1K3U0bWh3NGNFQ1NkTzIxMXhaNXZhRDkrUEhqL3JiaHc0ZXJiOSsrR2pod29ML041WExwZ3c4K1VFeE1UTUI0L2p5dkdrR1daWVZibGxVdkpDU2tvaVNDV2dBQWNOa2lxQVZ3UVJsajBvMHhneVVsMjEzTEZTcitZa3k2WThjTzllM2JWd2NQSHRUTEw3K3M2NisvM24vTjUvTjF2UmhybmlMYTRYQ01rUlN3UGE4Z2lEM05UbHVQTVdhcnBKVStuMitkeitkYnVINzkrclhSTjhlMmtxWEhMMEhOdUVJWVNWbDVuc2tSSWE1TGNuVEdGZUs4UDR0eWNuNzlPNkRUSGR0UmNBUkxYbDZlZE9MellPVElrVnF4WW9XcVZLbWkrdlhyNjlDaFEwcE1UTlRmL3ZZM3ZmLysrd0hIaVJoanVweHZqU2o5TE11NlhkSWd1K3NBQUFDNEVBaHFBVnhRbG1YbGViM2VOZXZXclZ0bWR5MG9ubG16WnVrZi8vaUhmRDZmaGd3WkVyQ2JWcEtTa3BKK3VOZzFOR3JVcUo0eHhsZlUyYlFGVGdwckR4cGovdXZ4ZUQ1M3VWeWJqaHc1Y2p3MU5mV2k3L3ExbTgvblUyWm1wc3FVS1ZQby9OYk16RXc1blU2Rmh2NXZBMkYyZHJaMEVZL0p1SkpZbGlXUHo3SGpVdnlzNDM4S3psdjJlcjFGWHMvUC8vVVhNd3ArcmlkUG5xd3Z2dmhDblRwMTBrc3Z2ZVFmbjVTVXBONjllNnR2Mzc2YU5tM2F5ZTM4ZVY0RjNHNTNaYnRyQUFBQXVGQWNkaGNBQUxDSHgrUFIzLy8rZHcwWk1rUlJVVkdhTkdsU29aRDJVbkU0SE9iRXhrYnBSSEIySXBqMVNUcHNqTmxxalBuYzUvTjF5Y25KdVNFeE1iSFgrdlhyRnlVbUpoNjRHa0phU2RxOWU3ZmF0R21qalJzM0ZycjIwRU1QNmIzMzNndG9lK0dGRi9UeXl5OWZ3Z3FCa29tTWpKUk9QRlNzS0FVUEo2dFFvWUowSXFnTkR3OVgvLzc5QXg2cUZ4c2Jxei8vK2MvYXRXdVhsaXhaY2tscUJ3QUFBQzRHZHRRQ3dGWEk1L05wd0lBQmlvK1AxeC8vK0VjOTk5eHovbDh6dHFrZXkrRndXRG9SMGhwamprcEtzaXhyaGFSbEhvOW41YnAxNjNiYlZtQXBjTHFNYlhxa0FBQWdBRWxFUVZSaklFb3FJeU5EZDkxMTF6bVBiOVNva2NhTUdYTmVOUUNTVkwxNmRlbkUwU3RGU1UxTmxjUGhVSFIwdFBMeThwU1dscWFiYnJxcHlLTVNDaDVJdG5QbnpvdGNOUUFBQUhEeEVOUUN3RlhvODg4L1YzeDh2QjU3N0RIMTZ0WEw3bktrWHdOSW56Rm1wVEhtTTBtem5VN25MNnRYcjg2UVZQVHZSVjlsQ3A2UmR1cXhCeVVWRkJTazd0MjduM2FOY2VQR3FYcjE2cWNOY3l0WDVyZU1jV0ZVclZwVjExMTNuWktUazNYa3lCR1ZMMS9lZjIzZnZuMzY2YWVmMUxoeFkvL3hIUkVSRWRxN2Q2ODhIay9BamxxZEZOQ2VQQWNBQUFCd3VTR29CWUFyWEdwcXFwWXZYNjU3NzcxWFpjcVVrVTRFdFVGQlFYcmlpU2ZzTGsvNjlTektuWlpsTlU1S1N0cDI4aEVJa0k0Y09TS3YxeHNRMU83YXRVc1ZLbFJRY3ZLdnorekx5Y25SL3YzN3RXclZLdis0OVBSMEJRVUYrZHZxMUttajhQQndoWVNFcUdmUG5rV3U1ZkY0Tkc3Y09FVkhSNSsyRDNDdVR2MHNzaXhMWGJwMDBiLys5Uys5Kys2N0dqSmtpQ3pMa3MvbjB6dnZ2Q05KNnRyMWY4OHliTmV1bldiTW1LRVBQdmhBdlh2Mzl1OHVUMGxKMFdlZmZhYmc0R0MxYnQzYXR2c0RBQUFBemhkQkxRQmM0UVlQSHF5Tkd6ZnEwS0ZENnRXcmx6SXpNN1Zueng2RmhvYXFmLy8rcHgwM1lNQUFYWC85OVpla3h1VGs1QXhKS1pka3NjdE0vLzc5VmE5ZVBYWG8wRUU2RWRTKy9mYmJjanFkaW8rUDkvZmJ2MysvRml4WVVHaDhRZUQ2NzMvL1czWHIxcjJFbFFPQlR2MHNrcVR1M2JzclBqNWVYMy85dGJadDI2YWJiNzVaR3pkdVZFcEtpanAwNktDMmJkdjZ4ei85OU5OYXMyYU5Ka3lZb0VXTEZxbE9uVG82Y3VTSWxpOWZMcS9YcThHREI2dGN1WEkyM2lFQUFBQndmZ2hxQWVBSzE3aHhZNldtcHFwaHc0YVNwTXpNVE9uRUxzeUZDeGVlZHR3enp6eHp5V3JFNlRWcjFreXpaOC8ySDBXUWs1T2pwVXVYNnJYWFh0TUxMN3dnU1hyeXlTZlZ1SEhqZ0Yyd2d3WU5VbkJ3c0FZTkdpU2Q5RUFtd0M2bmZoWkpVbGhZbUQ3NjZDTzkvLzc3V3JCZ2diWnYzNjZvcUNqMTY5ZFBEejc0WU1ENGN1WEs2ZE5QUDlYRWlSTTFmLzU4elpzM1QrSGg0V3Jac3FVZWZ2aGhOV3JVeUlhN0FnQUFBQzRjZ2xvQXVNeVZLMWRPcTFldlB1MzFaNTk5VnM4Kys2ei85ZlhYWDMvRy9paGRtalp0cWpGanhpZzFOVldTRkI4ZnI0aUlDTFZ1M1ZwQlFVSFNpVjIyWmNxVVVhVktsZnpqZ29PREZSd2NITkFHWEV3bC9Td3FFQmtacVFFREJtakFnQUZuWFNNOFBGeTllL2RXNzk2OXo3dGVBQUFBb0xSeDJGMEFBQUE0dlRwMTZpZzBORlRmZi8rOUpHbmV2SG5xM0xtelA2UUZBQUFBQUZ3WjJGRUxBRUFwNW5LNU5IVG9VT1hsNVduQmdnVjY5ZFZYVmJWcTFYT2E2KzIzMzlZWFgzeHgxbjZMRnk5V3k1WXR6OWhuMkxCaEFlZUhBZ0FBQUFET0QwRXRBQUNsWEx0MjdmVGRkOTlKa3VyV3JhdlEwTkJ6bXFkcDA2WUtEdzgvN1hXZno2ZHg0OGFwYXRXcS9qTnhUNmQ2OWVyblZBTUFBQUFBb0dnRXRRQUFYQVlPSERpZzhQQndmMGlibHBZbW44OG5TZko0UE1yTXpOVGV2WHY5L1hOeWN1VHorZnh0UVVGQmF0V3FsVnExYW5YYU5Ud2VqOGFORzZmbzZPaUFCNU1CQUFBQUFDNCtnbG9BdUl4WWxtWFpYUVBza1phV3BxeXNMSzFjdVZKTm1qVFJRdzg5cE1PSEQvdXY3OW16UnpObnppdzA3dDU3NzVVazFheFpVLy85NzM4dmFjMjRjdkZaQkFBQUFGeDRCTFVBQUZ3RzFxMWJwNkNnSVAzdGIzL1QxS2xUOWM0Nzd5Zy9QOTkvM2V2MXl1bDArbC83ZkQ0NUhQOTdabWhZV05nbHJ4a0FBQUFBVUh5T1l2UUJBQUEyeXM3TzFxWk5tOVNuVHgrRmhJUm82TkNocWwrL3Z0eHV0OXh1dDdadDI2WVJJMFlvT2pwYWJyZGJZV0ZoZXZYVlZ4VVVGT1R2Yy9QTk45dDlHd0FBQUFDQU15Q29CUUNnbEpzelo0NDhIbzl1di8xMjllL2ZYNHNXTGRLc1diTWtTZlBuejllYmI3NnBtSmdZbFN0WFRwSVVGUldsTW1YS3FIZnYzdHF3WVlQTjFRTUFBQUFBaW9PZ0ZnQ0FVc3puODJucTFLbHEwcVNKcWxTcG9wWXRXNnBidDI2NjVaWmJ0R2pSSXYzdGIzOVRtelp0OU1vcnI2amcyTkNJaUFpTkdUTkdGU3BVVU8vZXZaV2NuR3ozYlFBQUFBQUF6b0tnRmdDQVVtektsQ25hdG0yYkhubmtFWC9iYzg4OXA3VnIxK3I1NTU5WGt5Wk45UHJycndlY1R5dEo1Y3VYMTlpeFl4VVJFYUZldlhwcDgrYk5ObFFQQUFBQUFDZ3VnbG9BQUVxeFRaczI2YmUvL2EyYU4yL3ViL3ZsbDE4MGRPaFFOVzNhVkNOSGpsUndjSENSWXl0VnFxUVBQdmhBd2NIQmV1bWxsK1QxZWk5aDVRQUFBQUNBa25EWlhRQUFBRGk5UVlNR0tUTXpNNkR0K3V1djE5aXhZMVczYnQzVGhyUUZxbGF0cWpGanhpZzBOTFRRcnR0VHVWd3VyVjY5K29MVURRQUFBQUFvR1lKYUFBQktzWkNRRUlXRWhCUnFqNDJOTGZZY3RXdlh2c0JWQVFBQUFBQXVOSTQrQUFBQUFBQUFBQUNiRWRRQ0FBQUFBQUFBZ00wSWFnRUFBQUFBQUFEQVpnUzFBQUFBQUFBQUFHQXpnbG9BQUFBQUFBQUFzSm5MN2dJQUFMZ1k4dlB6dFNGNWszTHo4dXd1QmFWVTZzNmZsWnZMendjQUFBQ0Ewb0dnRmdCd1JUcDIvTGplK2VkWXVWejhwdzVGODNnOU9uYnN1TjFsQUFBQUFJQkVVQXNBdU5Ma0dkKytZRm43ZlpLT3BLZmJYUTR1QTVabEhmUGttOTEyMXdFQUFBRGc2a1pRQ3dDNG91emRzaTRsNnVZR2YzUVpad1c3YThGbHdwZC9aTmYyamNsMmx3RUFBQURnNmtaUUN3QzQwdmgyYjE2LzN1NGlBQUFBQUFBb0NZZmRCUUFBQUFBQUFBREExWTZnRmdBQUFBQUFBQUJzUmxBTEFBQUFBQUFBQURZanFBVUFBQUFBQUFBQW14SFVBZ0FBQUFBQUFJRE5DR29CQUFBQUFBQUF3R1lFdFFBQUFBQUFBQUJnTTRKYUFBQUFBQUFBQUxBWlFTMEFBQUFBQUFBQTJJeWdGZ0FBQUFBQUFBQnNSbEFMQUFBQUFBQUFBRFlqcUFVQUFBQUFBQUFBbXhIVUFnQUFBQUFBQUlETkNHb0JBQUFBQUFBQXdHWUV0UUFBQUFBQUFBQmdNNEphQUFBQUFBQUFBTEFaUVMwQUFBQUFBQUFBMkl5Z0ZnQUFBQUFBQUFCc1JsQUxBQUFBQUFBQUFEWWpxQVVBQUFBQUFBQUFteEhVQWdBQUFBQUFBSUROQ0dvQkFBQUFBQUFBd0dZdXV3c0FBQUNsbHpIRzJGM0QyVmlXWmRsZEF3QUFBQUNjTDNiVUFnQUFBQUFBQUlETkNHb0JBQUFBQUFBQXdHWUV0UUFBQUFBQUFBQmdNNEphQUFBQUFBQUFBTEFaUVMwQUFMaml4TVRFVkl5TmpZMjJ1dzRBQUFBQUtDNlgzUVVBQUlETFIzeDh2RDc1NUJPbHBLVEk1WExKN1hhclQ1OCtxbDI3OWxuSHJsNjlXbE9uVGxWeWNySU9IVHFrYTYrOVZuRnhjWHI4OGNkVnZYcjFJc2RrWldWcDRzU0ordjc3NzdWMzcxNEZCd2VyWnMyYStzYy8vcUZLbFNxZGRxMklpSWhiakRGVDNHNTNzcVQzY25OenYwaE9UczQ3cjVzSEFBQUFnSXVJb0JZQUFCVEw1TW1UTlhMa1NKVXJWMDd0MnJYVHdZTUh0WGp4WXExYXRVb1RKMDQ4YTFnN2ZQaHdaV1JrcUU2ZE9nb1BEOWVtVFpzMGUvWnN4Y2ZIYThLRUNicnh4aHNEK3FlbHBhbG56NTdhdlh1M2JyenhSdDE5OTkzS3pzN1crdlhyZGZUbzBUTUd0UVVzeTdwVjBxMGhJU0hwY1hGeDhWNnY5M3RKU1ptWm1WdTJiZHQyNEx6ZkZBQUFBQUM0UUFocUFRREFXZTNaczBlalJvMVNsU3BWTkduU0pGMTc3YlhTU2VIdHlKRWpOWGJzMkRQTzhlS0xMeW8yTmxZT3gvOU9YbnJqalRjMGJkbzBUWjQ4V2ErODhvcS8zZVB4cUcvZnZ0cXpaNDhHRHg2c1RwMDYrYThaWStUMWVrdFV2MlZaWlNWMWRqcWR2NU8wNzVwcnJ0a2VHeHU3ekJnemUrM2F0VXNsbFd4Q0FBQUFBTGpBT0tNV0FBQ2MxYlJwMCtUeGVQVGtrMC82UTFwSjZ0cTFxNnBVcWFJVksxYm9sMTkrT2VNY2NYRnhBU0d0Sk4xMTExMlNwR1BIamdXMFQ1OCtYU2twS1hyMDBVY0RRbHI5R3JySzVUcnIzeldiZ0JmR0ZId0ZTYW9tcWEzRDRSam9kRG9YdTkzdW5iR3hzYS9FeE1SVVBOdWtBQUFBQUhDeHNLTVdBSUNyUUd4c2JEbXYxMXY1WE1jdlhicFVrdFM2ZGV1QWRzdXkxS0pGQzMzNTVaZEtTa3JTblhmZVdhSjVkKzdjS1VtcVY2OWVRUHYwNmRNVkhCeXM3dDI3bjNXT0JnMGEzSHhxbTgvbnErbzRLUlcyTEV2Ry9KcmRGdnl6b04yeXJCc3N5eG9TSGg3K2NteHM3QkpKczQweDZ5VnRXTHQyYlJxN2JRRUFBQUJjQ2dTMUFBQmM0ZHh1OTNXUy91NXl1WnFkeTNpdjE2c2RPM2FvWXNXS0tsZXVYS0hyTldyVWtDVDkvUFBQeFpvdlB6OWZodzRkMHBJbFN6UjY5R2pWcVZOSGYvclRuL3pYMDlQVHRXWExGalZwMGtUaDRlRktTRWpRMnJWclpWbVczRzYzbWpVTHZBMlh5elhsMURVc3k0cVVGSDVLbS8vN2s4UGFndTh0eXdxeUxLdXRNYWFOWlZtWmtsYkh4c1ltV3BZVm41V1ZGYjlseTVianhicEJBQUFBQURnSEJMVUFBRnpoZkQ1ZkRZZkRjYWRsV1RYT1pYeDZlcm84SG84cVZLaFE1UFh5NWN0TFJSeGZVSlQyN2R2cjhPSEQwcThCcTU1NDRnazk5TkJEQ2drSjhmZEpTVW1SSkZXdFdsVURCZ3pRL1BuekErYTQ3YmJiOU5aYmIvbVBQN0FzSzdhazkzUnlhRnZBR0ZPd3c5YVNGR0dNYVcxWlZveWtiS2ZUdVVJU1FTMEFBQUNBaTRhZ0ZnQ0FLNXd4eGlISk1zYmtTWHBiMHRvU0RKK1NrNU1qU1FvT0RpNnlRMEhJbXArZmY5YkpPblhxcEtOSGorckFnUVBhc0dHRHhvNGRxODJiTjJ2dzRNRzY1cHBySkVsSGp4NlZKQzFjdUZDVktsWFNwRW1UVktOR0RXM2R1bFhEaGczVHdvVUxOWDc4ZVBYczJiUGcvcm9Xc1ZRalNVOWJsdVhmVlh2eUx0cVRGWVMyNXRjTys0MHhQMG5hTG1sS2JtN3U0dVRrNUl5ejNoZ0FBQUFBbkNlQ1dnQUFyaEtXWmZra0xWeXpaczNjRWd5YjRuUTZwUk5ISUJTbElLQU5EUTA5NjJSOSt2VHhmNStibTZ0Ly92T2ZtakxsMTVNTFJvd1lJVW5LeTh2elh4ODFhcFQvNFdXeHNiRjY4ODAzOWNBREQrakxMNy8wQjdXSmlZbWZuN3BPWEZ6Y1VXUE1Vd1d2aXdwcFR3cG9NeVQ5S09sYlk4eGFTWnNTRXhQM25mcEFNZ0FBQUFDNG1BaHFBUURBR1VWR1JrcG5PTnFnWUFkc1FhQmFYQ0VoSVhydXVlY1VIeCt2K1BoNEhUbHlST1hMbDFkWVdKZ2txVkdqUm9YbXJGV3JsaXBYcnF5MHREUWRPM2JNdnd2M2RFNFgwQnBqZk1hWTljYVlDYm01dWYvSnpzNCtrcHFhbWlmSlY2S2JBQUFBQUlBTGhLQVdBQUNjVVpreVpWU3hZa1h0MjdkUE9UazVoWGJPcHFhbVNpZEMxSkp5T0J5cVVhT0cwdExTdEcvZlBwVXZYMTVSVVZIU0dYYndsaWxUUmpyRFVRWW5PMm5YYko1bFdmdU1NYWsrbis4SFk4eFhhOWV1WFVzd0N3QUFBS0MwSUtnRkFBQm5kY3N0dDJqdTNMbGF1blNwMnJadDYyODN4aWdoSVVHaG9hR0tpNHNyOGJ6R0dPM2N1Vk9TVktsU0pVbFNqUm8xVkxac1dXM2F0S2xRTUp5UmthSGR1M2ZyMm11dlZkbXlaWXN6ZjZwbFdVdU1NY3VNTVluWjJkbnJ0Mnpad2tQQkFBQUFBSlE2RHJzTEFBQUFwVitYTGwwa1NXUEhqbFZHeHYrZXJmWDU1NTlyOSs3ZDZ0S2xpejlRTmNabzVzeVpXcjE2dGIvZmloVXJsSmlZR0RDbjErdlZtREZqdEhmdlhqVnYzbHdWS2xTUUpMbGNMblhxMUVucDZlbjY0SU1QL1AxOVBwOUdqUnFsdkx3OGRlelk4WXoxNXVYbHBmaDh2Z2R6YzNOYmVEeWVwNUtTa3NZa0pTVWxFTklDQUFBQUtLM1lVUXNBQU03cWxsdHUwWDMzM2FlWk0yZnFqMy84bzVvM2I2NzkrL2RyK2ZMbHFsbXpwcDU2eXYvY0xpVWtKR2pvMEtFS0NnclNEei84b05EUVVPM1pzMGZEaGczVGpUZmVxRHAxNmlnL1AxOGJObXpRcmwyN1ZLVktGUTBhTkNoZ3ZjY2VlMHdKQ1FuNjk3Ly9yVFZyMXFoV3JWcEtUazdXdG0zYmROTk5OK25KSjU4OFk3MGJObXpZTG1uN1JYdERBQUFBQU9BQ1kwY3RBQUFvbGtHREJxbHYzNzRLRFEzVjdObXp0V1BIRGozNDRJT2FNR0dDSWlJaS9QMXExS2loaWhVcnFsR2pSZ29KQ1pFazNYcnJyZXJhdGF2eTgvUDEzWGZmNmZ2dnYxZFFVSkFlZmZSUlRaa3lSWlVyVnc1WUt5SWlRdVBHamRPRER6Nm9YMzc1UmJObnoxWm1acVllZnZoaGpSczN6di9BTVFBQUFBQzRVbGgyRndEZ3loQVhGM2UzTVdhS1pWazVIbytueTdwMTY1YlpYUk9BWHpWczJMQzUwK21jWWxsV1pVbGQxcXhaTTdlNFkwMXhudGhsTTZ2Z2lXRUFyanB1dC90Qnk3S21TTnFjbjUvZlpmMzY5WnZ0cmdrQUFPQmNzYU1XQUFBQUFBQUFBR3hHVUFzQUFBQUFBQUFBTmlPb0JRQUFBQUFBQUFDYkVkUUNBQUFBQUFBQWdNMWNkaGNBQUFCS0x4N1VCUUFBQUFDWEJqdHFBUUFBQUFBQUFNQm1CTFVBQUFBQUFBQUFZRE9DV2dBQUFBQUFBQUN3R1VFdEFBQUFBQUFBQU5pTW9CWUFBQUFBQUFBQWJFWlFDd0FBQUFBQUFBQTJJNmdGQUFBQUFBQUFBSnNSMUFJQUFBQUFBQUNBelFocUFRQUFBQUFBQU1CbUJMVUFBQUFBQUFBQVlET0NXZ0FBQUFBQUFBQ3dHVUV0QUFBQUFBQUFBTmpNWlhjQkFBQmNhRlZxMUtrZUVoSlN3KzQ2U29zc2o0a0tkMnE5ZkNZMU85OGJGWDF6YkJ1N2F5cE5qUEh0M0xsbDNRNjc2d0FBQUFCd2RTT29CUUJjVWFLalk2TVZhcVpLcHByZHRaUVdIaU9sNS9oT3ZMTCtMc3ZZWEZIcDRwQjFJS3BXdmZ0M2I5KzR6ZTVhQUFBQUFGeTlDR29CQUZlV1VFVkxWb3pEc3NxRmhZWEo2ZVNVSHhUTjUvVXBLenRiUHVNcjUzSTVhMHNpcUFVQUFBQmdHNEphQU1BVjZacklTRDMzVEMvZFdMdVczYVdnbEVyZCtiUGVIajFHQnc0ZXRMc1VBQUFBQUNDb0JRQmNtWUtDZ2xTL2JoMjVZeHZhWFFwS3FXc2lJeFVTRW14M0dRQUFBQUFnU2VMM1FRRUFBQUFBQUFEQVpnUzFBQUFBQUFBQUFHQXpnbG9BQUFBQUFBQUFzQmxCTFFBQUFBQUFBQURZaktBV0FBQUFBQUFBQUd4R1VBc0FBQUFBQUFBQU5pT29CUUFBQUFBQUFBQ2JFZFFDQUFBQUFBQUFnTTBJYWdFQUFBQUFBQURBWmdTMUFBQUFBQUFBQUdBemdsb0FBQUFBQUFBQXNCbEJMUUFBQUFBQUFBRFlqS0FXQUFBQUFBQUFBR3hHVUFzQUFBQUFBQUFBTmlPb0JRQUFBQUFBQUFDYnVld3VBQUN1WnNZWWM2blh0Q3pMdXRSckFzQ2xaTWRuYTBueFdRd0FBSUJUc2FNV0FBQUFBQUFBQUd4R1VBc0FBQUFBQUFBQU5pT29CUURnTXZIODg4OXIxYXBWWit6VG8wY1BMVml3NEpMVkJBQUFBQUM0TURpakZnQ0FDK3pnd1lNYU0yYU1ubjMyV1pVdFcxYnA2ZWxLU1VrcDhUeTFhdFZTK2ZMbC9hL1hyRm1qOXUzYm4zSE1wazJiZFBqdzRSS3Q4L0xMTDZ0Rml4YnEyTEZqUVB1VUtWT1VtcHFxZ1FNSG5uSDhNODg4bzVpWUdQWHAweWVnL2ZqeDQvcmhoeDgwWThZTWRldldUYmZmZm51SjZnSUFBQUNBcXdsQkxRREFkclZyMTc0bUxDenNOK3ZYcjk4aXFkUS9CT2hzdG03ZHF0bXpaMnZWcWxWNjk5MTNsWmFXcHFlZmZyckU4N3o1NXBzS0RRMVZTRWlJbWpScDRtLzNlRHlhT1hPbVltTmpsWmFXRmpER0dLT2ZmdnBKQ1FrSkFlMDFhOVpVV0ZpWTVzNmRXMmlkRlN0V0tETXpVNW1abVFIdDhmSHhTa3RMMDlTcFV3dU51ZnZ1dTFXMmJGbGxaV1ZwK2ZMbGF0V3FsZi9hZ1FNSDFMOS9mNjFmdjE0UkVSRzY0NDQ3VktsU3BkTUd0WDM2OU5IOTk5OWZnbmNHQUFBQUFLNDhCTFVBVUFyczJyVkxreWRQMXZMbHk3Vi8vMzZWS1ZOR045NTRveDU1NUJFMWJkcTAyUE1ZWXpSanhneDk5ZFZYMnI1OXUzdytuNnBVcWFKKy9mcXBSWXNXRi9VZXprZDRlSGhWcDlPNTFPMTJiN1VzNno4K24rOWJqOGV6YjhPR0RZY2tlZXl1cjZSdXZmVldqUmt6Um4zNzlsV1BIajMwajMvOFF6Lzg4SVAvK3BZdFc5U3paMDlObWpSSjFhcFYweHR2dktFREJ3N283YmZmRHBnbkxDeE1vMGFOMG80ZE93S0Myc1RFUkEwZlBsd1BQZlNRcGsyYkZqREc0L0hvcTYrK0toVElQdlBNTTNLNzNabzBhVktoZXRQVDA1V1ltRmhvMSsreFk4ZVVuNTlmNUpqbXpadXJiTm15V3JWcWxUd2VqNjY3N2pwdDI3Wk5rcFNkbmEyMWE5ZHErUERoYXQyNnRWd3VsNHd4NnR1M3J5Wk9uS2pycjc5ZUhUcDBrQ1NOR2pXcWhPOHVVSHcrbjAvZmZQT05aczJhcGRUVVZHVmtaS2hLbFNwcTI3YXR1bmZ2cm11dXVlYXNjMlJuWjJ2U3BFbWFOMitlOXU3ZHE1Q1FFTld0VzFjOWV2UTQ2K2V6MSt2VkF3ODhvTlRVVlAzOTczLzMvOXdEQUFBQVJTR29CWUJTWU9yVXFab3paNDRhTkdpZzJOaFk3ZG16Ujh1WEw5Znk1Y3MxZVBCZ2RlclU2YXh6NU9mbjY0VVhYdERpeFl0VnNXSkZ0V25UUnBabGFkdTJiZHF4WTBlcERtcjFhOGpzc0N5cnNURW16cktzZ1VGQlFjbHV0M3VOeitkYjRuSzVGcTFldlhxZjNUV1dSRnhjbk1hT0hhdVhYMzVabFN0WFZtUmtwUDlhbVRKbHBGOERha1ZHUmlvb0tFaE9wek9nVDRIMjdkdnI4Y2NmMTVFalIveHQ4K2ZQVjh1V0xkV3JWeTg5OXRoakFmMXZ1KzAyUGZQTU0rcmN1Yk8vemVGd0tDZ29TSkwwelRmZkZGcmovdnZ2VjRjT0hmVDQ0NDhIdEk4WU1VTEp5Y242K09PUFQzdWZTNWN1bFU2Y24xdWdYNzkra3FSNjllcHB4NDRkT25qd29GcTBhS0g3N3J0UFU2ZE9WZDI2ZFhYZmZmZEprc2FNR2FPUWtKQXp2SlBBdWN2TXpOU1FJVU4wMDAwM3FWbXpadko0UEZxelpvMG1USmlnK1BoNGZmcnBwd29MQ3p2dGVHT01ldlRvb1pTVUZOV3ZYMTkzM25tbjB0TFN0R0xGQ3ExWXNVSkRodzR0ZEdUSXlXYk9uS25VMU5TTGRIY0FBQUM0MGhEVUFrQXAwS0ZEQi8zbEwzOVJlSGk0diszYmI3L1Z3SUVETlg3OCtHSUZ0U05IanRUaXhZdDEvLzMzNjhVWFgvUUhjenF4eS9KeVlWbVdKYW1jcEZ1Tk1jMmRUdWZEUHAvdldGeGNYSUxQNTV1WWxKVDA3ZVd5eTdaZXZYcjY0b3N2NUhRNnRXVEpFdi9SQW52MjdKRWtMVm15UkZ1MmJOR2VQWHQwN05neHpaczN6ejgySmlaR05XclVVUDM2OVJVWkdhbjU4K2RMa3JLeXNqUjc5bXdOR3paTUJ3OGUxRjEzM1ZWbzNiZmVla3R2dmZXVy8zWDE2dFgxNVpkZkJ2VFp0R21UZnY3NVowbFN5NVl0NVhLNUF0YVhwSExseXFsUm8wYWFOMitlS2xTb29GdHV1U1hndXNmajBYZmZmYWZ1M2J2cmlTZituNzE3RDZqNS92OEEvdnljMHcyVjNDYkpGSExKcmNSYVpneWJOY3dsWTJaZmw4WTBKSGN5aGR4eVZ5NjVOQ0xONXBiYjNGZVJ6U2dUcGNnMWRMTXhKVjFPblhNK3Z6OVduMTlIRjBWMnd2UHhWK2Y5K1h6ZTUvVTVuZXZ6OC82OFA5L2kwcVZMbURoeElpd3RMYVYxb3FLaTRPL3ZqNzE3OThMWTJCaXBxYW1vVTZlT3REd25Kd2NHQmdZditBZ1RsVTVmWHg4QkFRRm8wNmFOMUtaUUtPRHM3SXo0K0hpRWhvYWlWNjllSlc2dlVxbWdVQ2l3YmRzMnRHclZTbXIvNDQ4LzRPYm1oaFVyVnNEUjBSRTZPa1cvVW1kbFpXSERoZzJReVdSUXE5V3ZZTytJaUlpSTZFM0RvSmFJcUJLd3RyWXUwdGE5ZTNmSTVYS2twNmMvZC91Yk4yOWl6NTQ5c0xXMXhmZmZmNDkvczg3L1YxeUlVRm1Kb3NZVXRUSlJGSTBFUVRBQ01GQW1rdzIwdGJWTkFyQlhwVklkQUhEOW4zLytlWlNZbUppdHZZbzFaV1ZsWWVuU3BSZzllalRNek13Z2w4c0JBQ3RYcmtSU1VwSTBEUUFBckYrL0hzZ2ZEUzJLSXViTm13ZmtoNWV1cnE2d3RMU0VUQ2JEK1BIajBiWnRXd0JBYm00dUJnd1lnQTgrK0FESUg0MWQyTmRmZjQwUkkwWm9YSFJNVDArdlNKMGhJU0U0Y09EQWMvY25Nek1UQ29VQ0hUcDBLQkxVaG9lSDQvSGp4K2pidHkrcVZxMktZOGVPNFlNUFB0QUlZdHUzYnc4Zkh4K3NYNzhlQXdjT1JGcGFHcXlzcktUbE9UazVwWTVvSkhvWmVucDZHaUV0OHNQYmp6NzZDUEh4OGM5OWY1WEw1UWdJQ0lDSmlZbEd1NE9EQSt6czdCQVpHWWs3ZCs1b1BLY0xyRnUzRHVucDZlalhyMStSQXlWRVJFUkVSTVY1Zlg2NUU5RnJRUlJGaUtMWXVsMjdkaVpsV0oxS2taeWNESlZLaFpZdFd6NTMzUU1IRGtBVVJZd2NPYkpJU1B1c2R1M2FPVlpnbVJXbElRQjV3WTJDZlNnYzJoYjZ1NzRnQ0c1eXVkeEZFSVRyNzd6elRuU2RPbld1NU9ibUhvMk5qWTMrenl0L3h1M2J0L0hycjcvaTFLbFRXTGh3b1JTb0lqOUVkWE56dzZWTGx6Qnk1RWpzMnJVTDlldlh4NXc1Yy9EZ3dRTnMyTEFCeUovdW9JQktwZEk0dGRyWTJCZ0RCZ3lBSUFpNGN1VUtuang1VXFTRzlQUjBwS1JvemhUeDlPbFRqUU1DcnE2dWNIVjFMWFlmTWpNekVSb2FpcU5IanlJcEtRbU9qbzc0L1BQUG9WYXJjZlRvVVRnNk9rSXVsMlBmdm4xbzNibzFCRUZBUWtJQ3NyS3k0T1RrSk5YazVlV0ZpSWdJTkduU0JHZlBuc1hEaHc5UnExWXQyTmpZQVBrWEhjdkx5eXZUUEtHdmtpaUswSldwTFcxc2JEN1NhaUgwbnlrWVRWN2NRYkxDQkVFb0V0SVdNRFEwQkVvNEVCSWJHNHVkTzNmQzJkbTUyQ2xOQUlEUHQ0cWhWcXV0WlRJWlJGRTBVS2xVUE9wRFJFUkVyelVHdFVSVTBhcm82T2dzRTU4WkZrbGxvMWFya1phV2h1am9hS3hkdXhZbUppYVlPSEhpYzdjN2YvNDhkSFYxMGFGREI5eTRjUU5uenB4QlptWW1talJwZ3U3ZHUyc0VDYUlvL3ZTS2Q2UGNCRUdRaWFLby8yeklYRkxvblAvMDBnZlFXaFRGVmdEeTlQVDBKdG5ZMkZ6UFV3a1JXWGxpNlduMUs5U3FWU3Y0Ky92RHpjME5FeWRPaEllSFI1R3BLMUpUVXdFQXRXclZlbTUvZ3djUHh1M2J0NlhiSGg0ZThQRHdRSXNXTFZDblRoMWN1WEpGWTMxalkyT0VoSVFnSkNSRW8vMkREejdBM0xsejRlam9pSXlNakNMMzgrbW5uMkwyN05tSWpJekVoQWtUVUs5ZVBTUW5KeU1vS0FpTkd6ZEdXbG9hM056Y2NQNzhlZFNvVVFQdnZmY2VybDI3aGlsVHBzRGYzeDhLaFFMTGx5OEg4dWVkUmY1SVlYOS9mOWpZMkNBZ0lBRHIxcTNEL1BuenNXSERCdnp5eXkvSXpNeEU3ZHExMGJScDAzSTl4aFZOQUZCTlQyZVFUQ1pycnRWQzZKWEt5Y2xCU2tvS0RoNDhpS05IajhMSnlVazZhRkJlZVhsNWlJbUpnWUdCQWVyVnE2ZXhMRGMzRi9QbXpVUGR1bldsQXpMRmtjbGtsZTY5K0hVa2lxSUIvdjI4TUpmTDVZTUFSR203SmlJaUlxSVh4YUNXaUNxYXJpQUlWUUU4RVVYeEgyMFg4eHFRaG1yTm5Ea1RKMDZja0JZNE9qcGkwcVJKcUYyN2Rxa2RLSlZLSkNRa29FR0RCdGl6WncrV0xWdW1zZHpmM3g5K2ZuNHdOVFV0YUVxcjRIMTRhYUlvNmdJd3pNL015ck1kOE84UGRMVW9pbW1DSUR3U0JGR2g3UU1GTFZxMFFFQkFBTnpkM1lzZHNSY2VIZzRyS3l0cGJ0YlM1ckQwOGZGQlhsNGVvcU9qNGVYbGhVbVRKcUZUcDA3UTE5ZEh2WHIxeW5TaEltTmpZOVNzV1JNQXNIRGhRbzA1aS9mdTNZdVFrQkMwYTljT3lCK05xMUFvc0gzN2RzeWRPeGNUSmt5UTV1STBORFJFUUVDQU5GZm5saTFiVUs5ZVBmejIyMjhhOS9mbGwxL0MwdElTbjMzMkdRQWdKU1VGQVFFQitQYmJiOUd6WjAvY3VuVUw3N3p6RHZUMDlOQ3BVNmRpUnlUKzEwUkFweUR3b1RkTFFrSUNCZ3dZSU4ydVdiTW12TDI5MGFOSGp4ZnVNeUFnQUE4ZlBzU2dRWU9LUEg5OWZYMXg4K1pOK1BqNGxEci9NcDl2RlVZWC8zNE82TWpsOHRiYUxvYUlpSWpvWlRDb0phSlhRaFRGb3lxVnlrZmJkYndHL2lqNHc4SEJBY2JHeG5qMDZCRnUzTGlCWThlTzRlYk5tMWkwYUJFYU4yNWNZZ2RQbno2RlNxWEM0OGVQc1hYclZpeGZ2aHdkT25UQW8vZWowZmtBQUNBQVNVUkJWRWVQc0diTkdvU0ZoY0hUMHhQKy92N0F2NmZTZi9YZjdGclp5ZVZ5UzBFUU5nUFFPRzIxVUJDcnNiNGdDQkJGTVE5QW5DQUl2NnZWNmlpVlNuVStKaVltenFLNXpZZVFDV1ArMnowb3l0emNIRUZCUVVYYW82T2pjZkxrU1V5YU5FbHFNelUxeGRHalIrSG41d2NURXhQazVPUkl5K3JYcnc4QTJMaHhJd0NnUm8wYXFGZXZIdlQxOWFGVUtqVUNxSko4OWRWWG1EcDFLZ0RBenM0T3lCOFJ1SHIxYW9TR2htTG16Sm5GWHJuZTA5TVRMaTR1bURsekpycDA2UUp2YjIvbzYrdEx5eHMwYUZEcy9kV3FWUXVtcHFZNGMrYU0xRFoxNmxUVXJGbFRhaXNZaFJnZkgvL2NneEd2bWdnZ0sxZTV3MUJmNTZwV0M2R0tGRmJ3aDVHUkVRWU5Hb1RzN0d5a3BxYmkwcVZMOFBUMHhPM2J0ekY2OUdqSVpMSXlkNnBXcTdGaHd3WnMzcndabHBhV0dEdDJyTWJ5czJmUDR1ZWZmMGEvZnYzdzRZY2ZsdHFYS0lyOVgyVEhTSk1vaXQxa01wbW50dXNnSWlJaXFnZ01hb25vbFJBRUlTVTZPdnFjdHV0NG5mVHAwd2Q5K3ZRQjhnUEtZOGVPd2RQVEUyNXVidGl6WjArSkYxeFNLQlJBL2tqSXRXdlh3c0hCQWNpZlAzSFJva1hvMTY4ZkxsNjhpSVNFQkZoWVdLQXkvbC9hdG0yYklaUEoxTVhOVFZ1ZzBMSy8xV3IxajZJb0JvcWllRDA2T2xvQlFGbGtnMG9nTXpNVDFhcFZrMjdIeGNWaDM3NTlhTmFzR1FZTkdpUzFEeHc0RUZGUlVkaTVjeWVVU3FWR1VBc0FEeDgrUkhoNE9QVDA5T0RuNTRkRGh3NWgxYXBWME5YVkJRRE1talZMWTE3YndrYU9IRm1rN2NLRkMxaStmRGxTVWxMZzQrTURlM3Q3NU9Ua1FGZFhGN0d4c1pESlpORFQwNE9Pamc0MmJkcUVxVk9uSWp3OEhFdVdMTUdvVWFOZ1ptYjIzSDFmc21RSjd0eTVJMTNJVGhSRktCUUtqUkdHYXJVYW9pamkzRG50UGlVRlFZQlNMYnR6NmRLbFUxb3RoRjZKV3JWcVljYU1HZEx0UjQ4ZVljYU1HZkQzOTRlSmlRa0dEeDVjcG40ZVBYcUVXYk5tSVRJeUVyYTJ0bGkyYkpuRy9MTkpTVW53OFBDQWhZVUZwa3laOHR6KytIeXJHTGEydHFiUG01dWRpSWlJNkhYQm9KYUlxQklTQkFHZmZmWVpmdi85ZHh3OWVoUy8vZlpiaVVGYzFhcFZBUUFHQmdaNC8vMzNOWmJwNmVtaGZmdjJPSHo0TU83Y3VRTUxDNHYvcFA3eWtzbGtZdjdBUmtCekJLMUtGTVdIQUpJQS9DbUs0ajZGUWhFU0Z4ZVhxN1ZpeTJIbzBLSG8xS2tUSmsrZURPU1BuSzFldlRwbXpwd3BCWmpJUHhXNzRFSmllT1ppWWdDd2ZmdDJmUHp4eHpoejVneWNuWjJ4YTljdXVMbTV3Y2ZuMzBIcm16ZHZMbkVlelB2MzcrTzk5OTREQU55OGVSUExseTlIWkdRazdPM3Q0ZVBqSTQxOExUd1hjdWZPbmFYNkRBME40ZWZuaDcxNzkyTHQyclU0Y09BQXJLMnQ0ZTN0RFhOejgxTDNmOXk0Y1JnMmJCZ0FJQ29xQ3FOR2pVSm9hS2cwS3ZmTW1UT1lObTFhT1I5Vm9wZFRxMVl0ekprekIvMzY5Y09lUFh2S0ZOVEd4TVJneXBRcFNFdExnNHVMQzBhT0hBbTVYTHIrSWJLenN6Rmx5aFFvRkFvc1hicFVlbDhtSWlJaUlpb1BCclZFUkpWWXdaUUhLU2twSmE1alpHUUVZMlBqSXFNd0N4U002S3pNMTNkVHE5V0NUQ1lUOFAvVEd2d0RJRUlRaE44RVFiaVFrNU56T1M0dUxsWGJkWlpIUWtJQzd0NjlxM0g2YzNwNk9od2RIWEgrL1BsU3Q4M04vZjhjT2lFaEFULy8vRE8yYjkrT00yZk93TWpJQ0t0WHI4Ync0Y054N2RvMUFFQ25UcDNRdG0zYll2dGF0MjZkOUhmZHVuVWhpaUtXTDErT3JsMjdTdTN0MnJYRGloVXJvRmFyWVdSa0JGdGJXNDArWkRJWkJnNGNpSjQ5ZStMbzBhTzRldldxTkNVRDBldW9RWU1HME5QVEsvVzl0VUJVVkJSY1hWMWhiR3dNZjMvL1lsOXJaODZjd1kwYk53QkFZN1I4WVo2ZW52RDA5TlNZaW9TSWlJaUlxREFHdFVSRWxkamR1M2VCL0pHWXBiR3hzVUY0ZURpdVhMbUMxcTAxcjZWU0VPWlpXbHErd2twZlh2NEZ3ZjRRUlhHTFVxazhsSk9UazNiejVzM2N3aU50WHlmaDRlRUFvSEhCb3JObnp5SWlJdUs1MnhZTzNaY3ZYdzRIQndjMGJkcFVhak0xTmRXWURzUEt5Z29kTzNZc3RxK3RXN2RLZnhzWkdVbHozUzVac2dRSER4NHMxejV0M2JvVlgzenhSYW5yM0xwMVN6ckFzRzdkT3VuK0NnNFVkT3ZXVFZxM3BBdW9FYjFxS1NrcHlNM05mZTVaQmprNU9YQjNkNWN1cEZmU2UzR0RCZzFLREdqajQrTngrZkpsMk52Ym8ySERoa1VPaEJBUkVSRVJGV0JRUzBTa1pYLzk5UmZPblR1SDNyMTdhMXpVNXN5Wk16aHk1QWhNVEV3MFFyaUVoQVNjUDM4ZW4zLyt1WFI2N1lBQkF4QWVIZzRmSHgvNCtmbEpwNVlmT1hJRTBkSFJzTGEycnRSQnJTaUtDWGw1ZVRZeE1URjNYdGRnOWxtaG9hRXdNek5EeTVZdHBiYXZ2LzRhYm01dXo5MjJZT29EbFVxRjI3ZHZ3OC9QcjhnNlJrWkdVQ3IvblpyWDI5c2IzdDdlSmZaWE1QVkJnY3pNVERnNU9aVVk3Z0xBdlh2MzhPNjc3MnEwRmN5Slc1SXpaODdBdzhNRFlXSC9Yc2VwVDU4KytQampqNEg4QUhmRmloVll1blNwTkszQ2xTdFhwSXZjRWIwS0J3OGVSSWNPSGFTTDF5SC9Bb3dMRnk0RUFQVHExVXRxRjBVUmh3NGRRdjM2OWFXTDdvV0VoT0RodzRkd2NYRXA5WUJaaXhZdDBLSkZpMktYQlFZRzR2TGx5K2pkdXpkNjl1eFpnWHRIUkVSRVJHOGFCclZFUkZxbVVDamc1ZVdGOWV2WHc5YldGdnI2K3JoejV3NWlZbUtncjYrUCtmUG53OURRVUZwLzl1elppSTJOeGFOSGo2UXJqbmZxMUFtOWUvZkdMNy84Z2dFREJxQkRodzVJU1VsQlpHUWtqSTJOTVhmdVhDM3U0Zk5GUjBkbkFyaXQ3VG9xeXUzYnR4RVRFNE1SSTBhOFZEOXl1UnhyMXF4NTdxaS9HVE5tYUl4VUxjekZ4YVh3bkw4UVJSRWpSb3hBeDQ0ZE1XblNKSWlpaUlrVEo4TGUzaDVEaGd3QkFJU0ZoY0hIeHdlQmdZRlMrTFJwMHliTW1UTUhnWUdCUmVhbVZhbFVpSTJOUlhoNE9KeWNuS1QyQmcwYXdON2VIc2lmTHhrQTJyZHZMeDFJS0R6RkE5R3JFQkVSZ1FVTEZzREd4Z2J2dnZzdTB0TFNFQlVWaGJTME5EZzRPR0RvMEtIU3VtZlBub1dYbHhkMGRYVng2dFFwR0JnWUlENCtIc2dmSVY5d2RzS3piRzF0TmZvaElpSWlJbnBSREdxSmlMVHNuWGZlZ1p1YkcwNmVQSWx6NTg0aE16TVR0V3ZYUnA4K2ZUQjgrUEFpSVoyZG5SMFNFaExRcGswYmpmYlpzMmVqV2JObTJMdDNMNDRjT1FKRFEwTjg5dGxuK082Nzc1NTcwU2VxV1B2Mzd3ZWVtZllBQUg3ODhVZnMzTG56dWRzWG52cWdZQnFCMGhnYUdxSjI3ZG9BZ0RWcjFrQ3RWa05QVHc5cGFXbTRkKzhlK3ZYcko2MTcrdlJwM0w1OUcrN3U3a0Qrbk1CMTY5YkY1czJiMGFkUEh4Z2FHcUp6NTg1bzNMZ3g1cytmajZDZ0lHbU8ydURnWUV5WU1BSGJ0bTJURGg2bzFXcGN2MzRkLy96ekR6dzhQUEQ1NTU5TDkzWG56aDJjT1hNR3lBK3ZrUitHRll5b2pZMk5mZTYrRWIyTXdZTUhRNmxVNHNxVks0aU9qb2F1cmk0YU4yNk1zV1BIb24vLy9ocG5NVmhhV3FKMjdkcXdzTENRRGlaa1ptWUNBSzVldllxclY2OFdleDhGNnhJUkVSRVJ2U3dHdFVSRVdxYXZyNC9odzRkaitQRGhaVnAvd29RSm1EQmhRcEYydVZ5T0lVT0dTS01pU1h2cTFhdUhqei8rR00yYU5kTm9kM0J3S0JMZUZtZkpraVV2Zk45SlNVbFNvS1Nqb3dOSFIwZjA3OThmeUIvQnVtclZLdGpaMlVtbmRnUEFpQkVqc0gvL2Z1ellzUU9qUjQrR1hDN0hoQWtUTUg3OGVGeThlQkh0MjdkSGpSbzE0TzN0RFJjWEZ5eGF0QWlMRmkwQzhrZUUxNjlmSDdObXpVSzdkdTJrUG5WMGRIRHMyREdjT0hGQ2FqTXdNSUNIaDRkMG0zUFUwcXZXcWxVckxGNjh1RXpybXBtWjRmang0eHB0QlJjQWV4bkRoZzNEc0dIRFhxb1BJaUlpSW5vN01LZ2xJaUtxWUY5OTlSVysrdW9yamJiZzRPQXliMS9TUEphaG9hRWF0M1YwZFBEbm4zOXF0SlVXU3FuVmFuejU1WmV3c2JIUmFEY3pNNE9QajQ5R3U0T0RBL2J0MjRjR0RScEliYmEydHZEMDlJUzF0YlhVVnFWS0ZheGV2YnJJZlFVRkJaVzZqMFJFUkVSRVJLU0pRUzBSRWRGYndzREFvTVFSMThWZFdLeHdTRnVnOE5RR1JFUkVSRVJFVkhGa1pWaUhpSWlJaUlpSWlJaUlpRjRoQnJWRVJFUkVSRVJFUkVSRVdzYXBENGlJdEVnUUJFSGJOUkFSdlduNDNrcEVSRVJFcnlPT3FDVWlJaUlpSWlJaUlpTFNNZ2ExUkVSRVJFUkVSRVJFUkZyR29KYUlpSWlJaUlpSWlJaEl5eGpVRWhFUkVSRVJFUkVSRVdrWmcxb2lJaUlpSWlJaUlpSWlMV05RUzBSRVJFUkVSRVJFUktSbERHcUppSWlJaUlpSWlJaUl0SXhCTFJFUkVSRVJFUkVSRVpHV01hZ2xJaUlpSWlJaUlpSWkwaklHdFVSRVJFUkVSRVJFUkVSYXhxQ1dpSWlJaUlpSWlJaUlTTXNZMUJJUkVSRVJFUkVSRVJGcEdZTmFJaUlpSWlJaUlpSWlJaTNUMFhZQlJFUkVyMEplWGg2dXhGMkZJamRYMjZWUUpaVnc5eDRVQ2o0L2lJaUlpSWlvY21CUVMwUkViNlFuR1JsWXRXWTlkSFQ0VVVmRlU2cVVlUElrUTl0bEVCRVJFUkVSQVF4cWlZam9UWk1ycWxQMElEeFFBM2ljbnE3dGN1ZzFJQWpDRTJXZW1LanRPb2lJaUlpSTZPM0dvSmFJaU40b3lmSFJOOHlidHg2b0k4cHJhYnNXZWsybzh4N2Z2eFVicCsweWlJaUlpSWpvN2NhZ2xvaUkzalRxeEdzeE1kb3Vnb2lJaUlpSWlLZzhaTm91Z0lpSWlJaUlpSWlJaU9odHg2Q1dpSWlJaUlpSWlJaUlTTXNZMUJJUkVSRVJFUkVSRVJGcEdZTmFJaUlpSWlJaUlpSWlJaTFqVUV0RVJFUkVSRVJFUkVTa1pReHFpWWlJaUlpSWlJaUlpTFNNUVMwUkVSRVJFUkVSRVJHUmxqR29KU0lpSWlJaUlpSWlJdEl5QnJWRVJFUkVSRVJFUkVSRVdxYWo3UUtJaUlpbzhoTkZVZFIyRFJWTkVBUkIyelVRRVJFUkVSRVY0SWhhSWlJaUlpSWlJaUlpSWkycmxDTnE2MW0yYUtpdnIyK3A3VHJvOVNDSzZydDM0NlB2YUxzT0lpSWlJaUlpSWlLaUYxWHBnbG9MQ3hzTEdJZzdBZkZkYmRkQ3J3Y1poTC9ORzdkMFNyd1ZlMVBidFJBUkVSRVJFUkVSRWIySVNoZlV3Z0FXZ05CVUpnZ21WYXBVZ1Z6TzJSbW9lR3FWR2xuWjJWQ0xhaE1kSFhrVEFBeHFpWWlJaUlpSWlJam90VlQ1Z3RwOHhrWkdtT3cyRmxaTkdtdTdGS3FrRXU3ZXc4clZmdmo3NFVOdGwwSkVSRVJFUkVSRVJQUlNLbTFRcTZ1cmkxYldMV0JyMDBiYnBWQWxaV3hrQkgxOVBXMlhRVVQwMWhGRkVZY09IVUp3Y0RCdTNyd0psVXFGUm8wYW9YLy8vaGd3WUFBRVFTaHgyeDA3ZG1ERmloV2w5bCs5ZW5XRWhvWUNBTlJxTlE0ZlBveERodzRoSVNFQlQ1OCtSYjE2OWRDMWExY01HellNeHNiR3hmYVJsWldGclZ1M0lpUWtCTW5KeWREVDAwT2pSbzJ3ZVBGaTFLMWI5eVVmQVNJaUlpSWlvb3BYYVlOYUlpSWlxcHlXTGwyS1hidDJ3ZHpjSEYyN2RzWFRwMDhSRVJFQmIyOXZ4TWJHWXM2Y09TVnUyNkJCQTNUcjFxM1laUmtaR1lpTWpJU1ZsWlhVbHBtWmlibHo1NkpaczJhd3Q3ZUhVcW5FeFlzWEVSQVFnTEN3TUFRRkJhRktsU29hL2FTbXBzTEZ4UVdKaVltd3NyS0NvNk1qc3JPekVSTVRnN1MwTkFhMVJFUkVSRVJVS1RHb0pTSWlvbks1Zi84KzVzK2ZqNTQ5ZTBwdHFhbXBHRDU4T0E0ZVBJaEJnd2FoUllzV3hXNzc0WWNmNHNNUFB5eDIyZkxseXhFWkdZa3hZOFpJYmZyNitnZ0lDRUNiTnY5L2hvMUNvWUN6c3pQaTQrTVJHaHFLWHIxNlNjdVVTaVVtVHB5SXBLUWt6SjQ5RzMzNzlwV1dpYUlJbFVvbDNiYXhzVmtraXVLUnk1Y3Yvd0hnL3hjUUVSRVJFUkZwQWEvVVJVUkVST1h5YkVnTEFLYW1wdmppaXk4QUFKY3ZYeTUzbjZtcHFkaXpadzgrK09BRDJOallTTzE2ZW5vYUlTM3l3OXVQUHZvSUFKQ2VucTZ4Yk4rK2ZiaHg0d2ErK2VZYmpaQVdBQVJCZ0k3Ty94K2psc2xrTStWeStSbGJXOXU3TmpZMmM1bzJiVnE3M0lVVEVSRVJFUkZWRUk2b0pTSWlvbktwVWFOR3NlMkdob1pBZnJoYVhwczJiVUplWGg3R2poMWJwdlh2M2JzSEFMQzJ0dFpvMzdkdkgvVDA5REJzMkxEbjlpR0tJZ1JCZ0NBSTlRVkJtRnV0V3JWWk5qWTJ2d0U0SXBQSnpxdFVxdHVYTDE5TzVXaGJJaUlpSWlMNkx6Q29KU0lpZXZQSjI3WnQyMWttazltL3lqdUppb29DQURScTFLaGMyeVVtSnVLWFgzNUJwMDZkMEx4NTh4TFh5OG5KUVVwS0NnNGVQSWlqUjQvQ3ljbEpZL1J0ZW5vNjR1UGowYUZEQjFTclZnMW56NTdGNWN1WElRZ0NiRzF0WVc5Zi9PNkxvZ2o4TytKV1Z4Q0VycUlvZmlTSzRsOHltZXlhalkxTmxDQUlZVmxaV1dIeDhmRVo1ZG94SWlJaUlpS2ljbUJRUzBSRTlJWnIxYXBWVTVsTTVpTUlnblVaVm44aGtaR1JDQTBOUmFOR2pUVEMwN0w0NmFlZm9GS3BNSGp3NEdLWEp5UWtZTUNBQWRMdG1qVnJ3dHZiR3oxNjlOQlk3OGFORzBEK0JjdmMzZDN4NjYrL2FpenYwcVVMbGk1ZEtrMS9JQWlDeHZKQ0kyd0ZBSFZGVVh4SEVJU21BTExsY25rRUFBYTFSRVJFUkVUMHlqQ29KU0lpZXNQSlpMTHFBSXhGVVpRQnVDb0l3dU1YNktaVFNRdkN3c0xnNGVHQktsV3FZTjY4ZWVYcU5ETXpFd2NQSG9TRmhRWGVmLy85WXRjeE1qTENvRUdEa0oyZGpkVFVWRnk2ZEFtZW5wNjRmZnMyUm84ZURabnMzeW4zMDlMU0FBQ25UNTlHM2JwMUVSZ1lDRXRMUzF5L2ZoMExGaXpBNmRPbnNYbnpacmk0dUFDYUkya0xib3VpS0Q0V0JDRlpyVmFuQzRLd1VLRlFuSW1MaTN0YXJwMGlJaUlpSWlKNkFReHFpWWlJM2hLQ0lPU0tvcmd3SnljbjdBVTJUM20yUWFsVXd0ZlhGenQyN01BNzc3eURsU3RYb2tXTEZ1WHE5TUNCQThqS3lzS1hYMzVaWklScmdWcTFhbUhHakJuUzdVZVBIbUhHakJudzkvZUhpWW1KTkJJM056Y1hBS0JRS09EcjY0dWFOV3NDQUd4c2JMQmt5UklNR2pRSXdjSEJVbEJiS0tCOUN1QjNBQ2RFVWJ5bVZxdnY1dWJtL25QMTZ0VWkrMHhFUkVSRVJQU3FNS2dsSWlKNml3aUM4RGd1TGk3MVpmdDU5T2dSSmsrZWpDdFhycUJidDI3dzhQQkE5ZXJWeTkzUGdRTUhJSmZMOGVtbm41WjVtMXExYW1IT25Ebm8xNjhmOXV6Wkl3VzFWYXBVQVFDMGJkdFdDbWtMTkc3Y0dLYW1wa2hOVGNXVEowOWdiR3dNVVJRdmk2SVlvRkFvZG1Wblp6OU9TRWpJQmFBdTkwNFFFUkVSRVJGVkFBYTFSRVJFVkM2UEh6L0dOOTk4Z3djUEhtRFdyRmx3Y25KNm9YNFNFaEp3OCtaTjJOdmJsenZrYmRDZ0FmVDA5SkNTOHYrRFhzM056UUVBS3BXcTJHMnFWcTBLRkpyeUlDb3FxaDJEV1NJaUlpSWlxaXdZMUJJUkVWRzV6SjgvSDBsSlNWaXpaZzBjSEJ4ZXVKOFRKMDRBQUxwMzcxN3ViVk5TVXBDYm13c0xDd3VwemRMU0V0V3JWOGZWcTFlUms1TURBd01EYWRuVHAwK1JtSmlJbWpWckZnNkZHZElTRVJFUkVWR2xJZE4yQVVSRVJQVDZTRTFOeGVuVHAyRm5aMWVta1BiOCtmTTRjdVJJc2N0Ky8vMTNBQ2kxbjRNSEQycU1ta1YrNkxwdzRVSUFRSzlldmFSMkhSMGQ5TzNiRitucDZkaXdZWVBVcmxhcjRldnJpOXpjWFBUdTNic01lMGxFUkVSRVJQVGY0NGhhSWlJaUtyUHIxNjhEQUJJVEV6RjU4dVJpMXpFMk5zYmN1WE9SbVptSjhlUEhRNlZTb1hidDJuanZ2ZmVrZGZMeThoQWZINC9xMWF2RHpNeXN4UHVMaUlqQWdnVUxZR05qZzNmZmZSZHBhV21JaW9wQ1dsb2FIQndjTUhUb1VJMzFSNDRjaWJObnoyTDc5dTI0ZVBFaUdqZHVqTGk0T055OGVSUE5talhENk5HaksreXhJQ0lpSWlJaXFrZ01hb21JaUtqTW5qNTlDdVNQckUxTkxmNmFaQVVYOHFwU3BRcGF0MjZObEpRVU5HellVR09kNjlldkl5OHZEeTFhdENqMS9nWVBIZ3lsVW9rclY2NGdPam9hdXJxNmFOeTRNY2FPSFl2Ky9mdERKdE04T2NqUTBCQS8vUEFETm16WWdKQ1FFTVRIeDZOT25Ub1lQbnc0Um8wYUpWMXdqSWlJaUlpSXFMSmhVRXRFUkVSbDFyTm5UL1RzMmJOTTY4cGtNbXpldkxuWVpTMWJ0c1NmZi83NTNENWF0V3FGeFlzWGw2dEdJeU1qVEpzMkRkT21UU3ZYZGtSRVJFUkVSTnJFT1dxSmlJaUlpSWlJaUlpSXRJeEJMUkVSRVJFUkVSRVJFWkdXTWFnbElpSWlJaUlpSWlJaTBySzNNcWhOUzB2RHdZTUhrWlNVcE8xU2NPdldMYWhVS20yWFFVUkVSRVJFUkVSRVJGcjBWZ2ExeWNuSjhQTHl3cFVyVjE2NGoxbXpadUdYWDM0cDB2N1RUei9CMjl1N1RIMDhldlFJWDMzMUZSWXRXdlRDZFJBUkVmMFhoRGVRdGg5VElpSWlJaUtpd25TMFhVQmxsNTZlam1QSGpoVnBqNGlJUUdabUpqSXpNelhhdzhMQ2tKcWFpcDA3ZHhiWnh0SFJFZFdyVjVkdUh6NThHQ3FWQ20zYnRrVnljbks1Nm5ybm5YZWdvL1B2dnk4N094dUJnWUU0ZnZ3NGtwT1RvYSt2RDJ0cmF6ZzdPK085OTk3VDJDNGpJd083ZCs5R1NFZ0lrcEtTSUlvaUdqUm9BQ2NuSi9UdDJ4ZHl1VnhqL2ZMMFhaTHc4SEFFQmdZaVBqNGVnaUNnWmN1VytPYWJiOUNoUTRkeTdUTVJFUkVSRVJFUkVkR2I2cTBPYWtWUkxMWTlLeXNMVmF0V0JmS25TUWdNREN5eVRucDZPcUtpb25EanhnMk45aWRQbmlBdkw2L1liZDUvLzMwcHFNM0x5OE5QUC8wRUFQRHk4aXAzN1ljT0hZS1ptUmxFVVlTenN6TnUzTGlCVnExYW9VZVBIa2hOVFVWRVJBUWlJaUxnNWVXRjNyMTdTOXRkdUhBQkd6ZHVSTnUyYmRHMWExZWtwNmZqM0xseldMaHdJYUtpb2pCLy9ueU54NmM4ZlJjbk9EZ1lDeGN1aEtHaElicDA2UUtWU29YdzhIQjg5OTEzOFBiMlJvOGVQY3E5NzBSRVJFUkVSRVJFUkcrYXR6cW9QWC8rUEJ3ZEhUWGFJaU1qNGU3dWptWExscUZkdTNabzJMQWhEaDgrWEdSYkp5Y245T3paRTZOR2pkSm9YNzU4T2VMaTRyQmx5NVpTNy92QWdRUDQ2NisvTUdIQ0JOamEycGE3OXRxMWF3TUFWQ29WRkFvRnRtM2JobGF0V2tuTC8vampEN2k1dVdIRmloVndkSFNVUnQ4MmJkb1UrL2Z2UjcxNjlhUjFFeE1UTVhqd1lCdzVjZ1RqeG8yRHFhbnBDL1g5ckx5OFBLeGV2Um9tSmliNDhjY2ZwWDRURWhJd2JOZ3dyRnk1a2tFdEVSRVJFUkVSRVJIUm14clUzcjU5R3lkUG5peDJXZCsrZmFXL1Q1dzRnU2xUcHNEUTBCQUFjUFhxVlV5ZVBCbUNJQlNaQXFCZytiMTc5d0FBSDN6d0FYUjBkSEQ4K0hHTmRVeE1UTkMyYlZzY1AzNGN0V3JWUXZ2MjdZdjBrNTZlanZYcjE4UGEyaHBEaHc3RnkweVRKNWZMRVJBUUFCTVRFNDEyQndjSDJOblpJVEl5RW5mdTNJR1ZsUlVBb0g3OStrWDZNRGMzUjh1V0xYSGh3Z1U4ZWZKRUNsVEwyL2V6SGp4NGdJeU1EUFR0MjFmcUV3QXNMQ3p3NFljZjR0aXhZMGhQVDllWURvS0lpSWlJaUlpSWlPaHQ5RVlHdFhmdjNpMHk5WUJhclVadWJpN3M3ZTJocDZjSEFNakp5Y0dlUFhzd1lzUUl4TWJHWXZ6NDhaREpaRmkzYnAzR0NOSUNJU0VoT0hEZ3dIUHZQek16RXdxRkFoMDZkQ2cycVBYMTlVVmFXaHBXcmx5SjBhTkg0K0xGaTJYZXQyN2R1bUhac21YU2JVRVFpZ1NwQlFvQzZJTDlMWWxTcVVSaVlpSU1EUTN4N3J2dlZsamZ0V3ZYaG9HQkFWSlRVNHNzUzA1T2hvbUpDWXlOalV1dGpZaUlpSWlJaUlpSTZHM3dSZ2ExWGJ0MnhlKy8vNjdSRmhBUWdBMGJOcUJKa3liU3FGZ2pJeU5zMzc0ZGpSbzF3dmZmZjQ5cTFhcGgvZnIxYU5hc1diSDl1cnE2d3RYVnRkaGxtWm1aQ0EwTnhkR2pSNUdVbEFSSFIwZDgvdm5uVUt2Vk9IcjBLQndkSFNHWHkzSGl4QWtjT0hBQS9mcjFROXUyYlRGKy9IaWtwNmVYZWQ4S3BqeDRucnk4UE1URXhNREF3RUJqbW9QQ01qSXljT2ZPSFd6WnNnVi8vLzAzNXN5WkF3TURnd3JwR3dBTURBemc0dUlDWDE5ZnJGKy9IbDk5OVJXVVNpVzJiTm1DNk9ob2VIaDR2TlJvNGdKS1pSNE1kVEN5ZGV2V0xpL2RHYjJ3dkx5OGR3UkJxQ29JZ2l6Ly8ycmVxbFdyQmxldVhMbXY3ZHFJaUlpSWlJaUlpQ3E3TnpLb0xjN0preWZoNE9BZ2pRUUZnQ0ZEaHNEZjN4K1RKazFDa3laTjRPdnJxM0dLZmdGSFIwZGtaR1FVYWYvMDAwOHhlL1pzUkVaR1lzS0VDYWhYcng2U2s1TVJGQlNFeG8wYkl5MHREVzV1YmpoLy9qeHExS2lCamgwN1l0MjZkV2phdENtbVQ1OE9BR2pUcHMwcjJkK0FnQUE4ZlBnUWd3WU5LakxxZGMrZVBmRDI5cFp1dDJqUkFvR0JnV2pldlBsTDkvMnNZY09HNGVuVHAvamhoeC93d3c4L1NPMXVibTdvMzc5L3VmZXJPSElCTUREUUd5QlVST3BMRmVselhWM2QybTNhdEJrYUhSMmRxTzFpaUlpSWlJaUlpSWdxczdjaXFMMXg0d2JpNCtNeFpNZ1FqZmFHRFJ1aVY2OWVPSFRvRUdiTm1sVnNTQXNBQ3hjdWhGS3BsRzd2M2JzWElTRWhhTmV1SFpBLzU2eENvY0QyN2RzeGQrNWNUSmd3UWJyWWxxR2hJUUlDQXFTcEZENzc3RFAwN3QwYjNicDFLL2QrRkFURHBWR3IxZGl3WVFNMmI5NE1TMHRMakIwN3RzZzZqUnMzeHFCQmc1Q1dsb2FrcENURXhzWmkzTGh4bURWclZxbDFsYVh2WngwOGVCQ0JnWUV3TWpLQ3JhMHRWQ29Wb3FLaXNHblRKcGlibTZONzkrNWwzUHVTeVFXWkFJQWhiZVdqTHdoQ2N3RG1BQmpVRWhFUkVSRVJFUkdWNHEwSWFqZHUzSWlhTld2aWswOCtLYkpzekpneENBc0x3NkpGaXhBWUdGanNDRkU3T3pzZy81VC8xYXRYSXpRMEZETm56a1R2M3IyTHJPdnA2UWtYRnhmTW5Ea1RYYnAwZ2JlM04vVDE5YVhsMzMzM0hRQmd4b3daNWRvSEh4OGY1T2JtbHJyT28wZVBNR3ZXTEVSR1JzTFcxaGJMbGkyRGtaRlJrZlZzYlcxaGEyc3IzYjUrL1RyR2poMkxHVE5tWVB2MjdjV09yQzFyMzRYRnhjVmgzcng1YU42OE9WYXZYbzJhTldzQytSY1pHemR1SEw3Ly9udnMzcjFiWTE3Y0Y1R25Ga1dsVW5sV0xwZVhYaEQ5SjJReVdXdFJGQ0VJUXA2MmF5RWlJaUlpSWlJaWVsMjg4VUh0MWF0WEVSWVdCamMzTjQzQXRFRGR1blV4YmRvMHpKa3pCNHNYTHk1eHhPcUZDeGV3ZlBseXBLU2t3TWZIQi9iMjlzakp5WUd1cmk1aVkyTWhrOG1ncDZjSEhSMGRiTnEwQ1ZPblRrVjRlRGlXTEZtQ1VhTkd3Y3pNVEtPL1BuMzZsR3MvTm0vZURKVktWZUx5bUpnWVRKa3lCV2xwYVhCeGNjSElrU01obDh2TDFIZlRwazB4YnR3NExGaXdBUHYzNzRlN3UzdUY5TDF6NTA2SW9vaHAwNlpKSVMzeUgvT3BVNmRpM0xoeDJMMTdONlpNbVZLbU9rc2kxOUhCMHp4eGZzS1Z5OGRlcWlPcUVPM2F0Uk1CUUJSRmtiTlJFQkVSRVJFUkVSR1Z6UnNkMU9ibDVjSEx5d3NtSmliNDRvc3ZTbHl2ZCsvZUNBOFB4NEVEQjFDdlhqMTgrKzIzMHJLYk4yOWkrZkxsaUl5TWhMMjlQWHg4ZkdCcWFvb3paODVnNHNTSjBucWRPM2VHanM2L0Q2ZWhvU0g4L1B5d2QrOWVyRjI3RmdjT0hJQzF0VFc4dmIxaGJtNytRdnVpcDZkWDRvamFxS2dvdUxxNnd0allHUDcrL21qYnRtMjUrMi9TcEFrQUlDVWxwY0w2dm52M0xwQS8xVUpKOTVlUWtGRHVXb21JaUlpSWlJaUlpTjQwYjNSUXUySERCdHk0Y1FQZTN0Nm9WcTFhcWV0NmVYa2hKU1VGR3pac2dDaUtHRDE2TkpBLytsTVVSU3hmdmh4ZHUzYVYxbS9YcmgxV3JGZ0J0Vm90emI5YW1Fd213OENCQTlHelowOGNQWG9VVjY5ZVJmMzY5Vjk0WDR5TWpKQ2VuZzRBeU03T2hsd3VoNTZlSG5KeWN1RHU3aTdOaFZ2U1BMdlBVeENZRnQ3K1pmdXVVYU1HQU9EKy9mdG8wYUtGeHJLQ0VMZndTRnNpSWlJaUlpSWlJcUszMVJzYjFJYUdobUxidG0zbzBxVUxldlRvOGR6MXExU3BndFdyZkZONWJ3QUFJQUJKUkVGVVY4UFoyUmtiTjI3RTMzLy9qV25UcHNISXlBZ2JOMjRFQUN4WnNnUUhEeDRzVngxYnQyNHRkVFJ2V1ptYW1pSW1KZ1lBY1A3OGVjeWFOUXVIRHgvRzc3Ly9qb2NQSDhMRnhhVk1RZXIyN2R2aDVPU2tFVnpmdjM4ZmZuNStBSUNlUFh0SzdTRWhJV1h1V3hSRkhEcDBDUFhyMTVmbTlQM2trMDhRSGg0T1gxOWZyRnk1RWxXclZnVUFwS1dsWWRXcVZRQ0Fqei8rK0lVZUR5SWlJaUlpSWlJaW9qZkpHeG5VeHNURXdNUERBL1hyMXk5eHp0bmkxS2hSQS83Ky9uQnpjME53Y0RDdVg3K096WnMzUTBkSEI1bVptWEJ5Y2tMSGpoMUwzUDdldlh0RkxveWxxNnY3VXZ0U29FbVRKamgrL0RneU1qTHcrUEZqS0JRS0dCb2FJajQrSGdBUUhoNk9hOWV1RmJ1dHJhMHRoZzRkQ2dENDhjY2Y0ZS92RHpzN085U3FWUXVwcWFtSWpJeUVVcW1FaTR1THh0UUc1ZW43N05tejhQTHlncTZ1TGs2ZE9nVURBd044OXRsbk9IWHFGRUpDUXRDL2YzL1kyZGxCcFZJaE1qSVM2ZW5wNk5PbkR6Nzg4TU1LZVh5SWlBcXJaOW1pb2I2K3ZxVzI2NmdzMG5OVVZmWGxxbVdDQUoxY05YUXRtdHQ4cE8yYUtoTlJWTis5R3g5OVI5dDFFQkc5anZpWlMrWEJ6MXg2bGN5Yk5xMnZJNnRxcGUwNjZQV1JtNmU4bFh6cnluMXQxMUhZR3huVVJrWkdRazlQRDc2K3ZqQXhNU215L01HREJ3QWdqZkFzckU2ZE90aThlVFBjM2QzUnQyOWY2T2pvUUJSRmpCZ3hBaDA3ZHNTa1NaTWdpaUltVHB3SWUzdDdEQmt5QkFBUUZoWUdIeDhmQkFZR1NxZjViOXEwQ1hQbXpFRmdZT0FMejAxYm9HQ1U2aDkvL0lIRXhFVFVyMTlmQ3BDUmY5RzBxMWV2RnJ0dDRZdW9UWjQ4R2NIQndZaUxpME5hV2hvTURRM2g0T0NBd1lNSDQvMzMzOWZZcmp4OVcxcGFvbmJ0MnJDd3NKRGFCRUhBa2lWTHNHL2ZQdXpmdngvaDRlRVFCQUZXVmxZWU1HQUFldlhxOVZLUENSRlJjU3dzYkN4Z0lPNEV4SGZMc1BwYlFaRExrQXNBSWdDaDRBOHFJSVB3dDNuamxrNkp0Mkp2YXJzV0lxTFhDVDl6cWJ6NG1VdXZTdjBtYmN4MUJObEdDR0k3YmRkQ3J3ODlYZmsxQ3dzYjU0U0VTNVhtQWtwdlpGRDd6VGZmb0dmUG50THAraGtaR2ZEeThrTDE2dFVoaWlKT256NE5IUjBkV0ZrVmY2Q2xhdFdxV0wxNnRYVDc5T25UdUgzN050emQzWUg4QUxKdTNicll2SGt6K3ZUcEEwTkRRM1R1M0JtTkd6ZkcvUG56RVJRVUpNMVJHeHdjakFrVEptRGJ0bTB3TkRSODRYMXEyN1l0TEMwdHNXWExGdWsyQUhoNmVzTFQwN1BNL2ZUbzBhTk1VMEdVdDI4ek16TWNQMzY4U0xzZ0NIQnljb0tUazFPWmF5UWllaWtHc0FDRXBqSkJNS2xTcFFya2NwbTJLNkpLU3ExU0l5czdHMnBSYmFLakkyOENnRDhhaVlqS2c1KzVWRWI4ektWWFRSY3dod0JyQVlKcGxTb0cwc1hlaVlxalZLcVFuWjBOVVJEelA4dkFvUFpWS3p5bnFwR1JFUzVldklqMDlIUUlnZ0F6TXpOTW5qeTVUSE82NXVibVl0V3FWYkN6czVOR3RRTEFpQkVqc0gvL2Z1ellzUU9qUjQrR1hDN0hoQWtUTUg3OGVGeThlQkh0MjdkSGpSbzE0TzN0RFJjWEZ5eGF0QWlMRmkxNnFYM3k4UERBakJrellHQmdnSkVqUjc1VVgwUkVienBqSXlOTWRoc0xxeWFOdFYwS1ZWSUpkKzloNVdvLy9QM3dvYlpMSVNKNnJmRXpsNTZIbjduMFg5SFYwY0Yzbzc1QkJ6dmJNcXhOYjZ0TDBWZXdkdjBtWkdabmFidVVJdDdZb1BaWm9hR2hMN1NkV3EzR2wxOStDUnNiRzQxMk16TXorUGo0YUxRN09EaGczNzU5YU5DZ2dkUm1hMnNMVDA5UFdGdGJ2MFQxLzdLeHNTbDIxQ29SRVJXbHE2dUxWdFl0WUd2VFJ0dWxVQ1ZsYkdRRWZYMDliWmRCUlBUYTQyY3VQUTgvYyttL0lzaGthR2JWQk8rLzExN2JwVkFscGxBb0lOZVJhN3VNWXIwMVFlMkxNakF3a09haGZWWnhGeFlySE5JVytQenp6MTlKYlVSRVJFUkVSRVJFUlBSbTRDUkNSRVJFUkVSRVJFUkVSRnJHb0phSWlJaUlpSWlJaUloSXl4alVFaEVSRVJFUkVSRVJFV2taZzFvaUlpSWlJaUlpSWlJaUxXTlFTMFJFUkVSRVJFUkVSS1JsREdxSmlJaUlpSWlJaUlpSXRJeEJMUkVSRVJFUkVSRVJFWkdXTWFnbElpSWlJaUlpSWlJaTBqSUd0VVJFUkVSRVJFUkVSRVJheHFDV2lJaUlpSWlJaUlpSVNNc1kxQklSRVJFUkVSRVJFUkZwR1lOYUlpSWlJaUlpSWlJaUlpMWpVRXRFUkVSRVJFUkVSRVNrWlF4cWlZaUlpSWlJaUlpSWlMUk1SOXNGRUJHOUxrUlJGTFZkUTBVU0JFSFFkZzFFVkhtOWFlOTU1Y1gzeUxmVDIvNjhMeS9MRnJaZHRWMER2WDM0T2kwZmZwNFJ2VjQ0b3BhSWlJaUlpSWlJaUloSXl5cnRpTnE4dkR4Y2lic0tSVzZ1dGt1aFNpcmg3ajBvRkh4K0VCRVJFUkVSRVJIUjY2L1NCclZQTWpLd2FzMTY2T2hVMmhKSnk1UXFKWjQ4eWRCMkdVUkVMeXdqSXdNUEhqeEFreVpObnJ1dUtJcW95RFBYY25KeUlJb2lxbFNwb3RHdVZDcVJuWjBOUTBORDZmNVVLaFd5c3JKUXRXcFZ5T1h5Q3F1QmlJaW9Ndmo3Nzc5aGFHaFk1RFB4WmVYbDVTRTFOUlZHUmtZd01UR3AwTDVmMUsxYnR4QWJHNHNlUFhyQXdNQkEyK1VRdlZWeWNuS1FucDZPR2pWcVFFOVA3Nlg3Q3cwTnhaTW5UOUN2WDcrWDdpc3RMUTNoNGVHd3M3TkQvZnIxWDdxL0F0bloyVWhLU29LWm1SbXFWcTFhWWYyK3lTcGRDcG9ycWxQMElEeFFBM2ljbnE3dGN1ZzFJQWpDRTJXZW1LanRPb2lJQ3R5NWN3Zjc5dTJEcTZ0cnFWL0N3c0xDNE9YbGhULy8vUE81ZmE1ZXZScFJVVkVJQ0FqUUNHeFRVbExnNmVtSnVYUG53dHpjWEdPYlRaczJJU01qQStQR2pTdnlZMnorL1BsSVMwdkR1blhyTk5wRFFrTHcvZmZmNDlTcFV6QXlNZ0lBeE1YRlljU0lFZGl4WXdlYU5XdFc1c2VCaUlpb0lnVUdCdUx2di8vR2xDbFROTnFqb3FLd1pzMGErUHY3bDNoQThmRGh3NGlNak1UMDZkT0xoQVZ6NXN4QlVsSVM5dS9mWDZFSFJUZHQyb1F0VzdiQTJka1pycTZ1WmRybTBxVkxDQW9Ld3ZMbHk0c3NVNmxVS0dsNlZybGNYcWJhZi8vOWQvajYrcUpqeDQ0TWFvbitZOGVQSDhlOGVmT3dkdTFhT0RnNGxIbTdodzhmb25idDJrWGFmL25sRjl5L2Y3L1lvRFl0TGExY0I0aVNrNVBoNWVXRlJZc1dsU21vall1THcrN2R1ekZqeGd5Tjk1Szh2RHhjdm53WjF0YldxRnExS21KalkrSGk0b0kxYTlhZ1k4ZU9aYTduYlZicGd0cmsrT2diNXMxYkQ5UVI1YlcwWFF1OUp0UjVqKy9maW8zVGRobEU5T0pzYkd4TWxFcmx1MWV1WElrQjhOcGZJT0xTcFV2WXNXTUhMbCsrakJVclZxQjI3ZHJJeU1pQVNxWFNXQzg3T3h2SS95TDFMQU1EQTQwdlBhR2hvYkN5c2lyeUk4elEwQkIvL2ZVWDNOemNzSFhyVmhnYkd3UDVBVzVBUUFCYXRtd0pYVjNkSXYxWDFBaGRYMTlmN05xMTY2VzJiOSsrL1V2WFFVUkViNWI5Ky9kRG9WQm90SjArZlJxUEh6OHVjbUR5eG8wYnVIejVNbmJ0MmdXWlRQTXlMTzNhdFlPVmxSWFMwOU54K1BCaFJFVkZZZG15WldqYXRDa0FJRDQrSHVmUG40ZVRreE1TRTBzZisyRnNiSXpxMWF2ajNMbHoyTDE3TitiTm00ZHExYW9WdTI1aVlpSzJiOThPVTFOVEJBVUZvWGZ2M3JDd3NDaDJ2ZlhyMThQVDB4TUdCZ1o0K1BBaGZ2dnROd0RBelpzM0VSb2FpaU5IanNEYjJ4dXpaOC9HN2R1M2k3Mi8rZlBubzJmUG5xWFdUMVRaV0ZoWUdCZ2FHbHBldVhJbEhvQmEyL1c4YW1yMXY3djQ3UHRVYVk0Y09ZSWxTNVpnNjlhdHNMUzBMTk0ydDI3ZGdyT3pNNlpQbjQ3ZXZYdS9jTDJsdVhmdkhvNGNPWUtyVjY5aTFhcFZxRmV2SGdEZ3dvVUxjSFYxaGJlM04zcjA2UEZLN3Z0TlYrbUNXZ0RxeEdzeE1kb3Vnb2lvSktJbzR0Q2hRd2dPRHNiTm16ZWhVcW5RcUZFajlPL2ZId01HRE5BSXY3cDA2WUtuVDUrVzJ0LzA2ZFB4NVpkZkZydE1yVmJqOE9IRE9IVG9FQklTRXZEMDZWUFVxMWNQWGJ0MnhiQmh3NlJRN2xsWldWbll1blVyUWtKQ2tKeWNERDA5UFRScTFBaUxGeTlHM2JwMVgvSVJxSGlpS05iWDA5UDd6ZGJXOXA0Z0NFZlZhbldZS0lvM016TXo3OTY4ZVZOUmhpNHFsZjc5KzhQWTJCaXpaczNDMEtGREVSQVFnTEZqeCtMdTNidkZydCs5ZS9jaWJXUEdqTUdvVWFPQS9COXFpWW1KR0RwMEtESXkvbi9LbHlwVnFzREl5QWhMbHk2RnM3TXp2TDI5NGUzdERRQll0R2dScWxhdGlvVUxGeFk3dWtpdFZsZklOQVlkT25Rb2NVUk9aR1Frb3FLaTRPVGtWT3dvQUFBd05UVjk2UnJvMVl1S2lzTFdyVnNSSFIyTnJLd3NtSnFhb2x1M2JoZzFhbFNKSVVXQjVPUms5Ty9mSDBxbEVrZU9IQ256ZTFCaVlpSzJiTm1DYytmTzRkR2pSekEwTkVTSERoMndlUEZpcmRkR2I0ZnM3R3dFQmdiaStQSGpTRTVPaHI2K1BxeXRyZUhzN0l6MzNudXZ5UHBLcFJJLy92Z2pEaDQ4aUtTa0pGU3ZYaDJkTzNlR3E2c3JxbGV2cnJGdVRrNE9BZ0lDY09MRUNTUW5KOFBJeUFnZmZQQUJ4bzhmWCtMN1pXRUhEaHpBdkhuemlsMzJ2Ly85RDVNbVRTcDJtVnF0Um5Cd01GYXVYSW13c0REbzYrc1hXU2NsSlFYKy92NDRlL1lzSGo5K0RHTmpZOWpiMjhQRnhRVU5HalI0Ym0wVlpkZXVYVWgvNWd6TDlQUjBxRlFxQkFZR2FyVG41T1FBQUlLQ2dvcjBVNjFhTlZoWldXSElrQ0d3c3JMQzlPblRNV0xFQ0FRSEI4UFUxRlRxS3pnNEdNSEJ3YVhXOU0wMzMyRGN1SEg0NjYrL2NPclVLWXdlUFJycjFxMHJNbXBOb1ZCZzFxeFpxRk9uRHJadjM0NlJJMGZDdzhNRFAvendRN0dmbWNlUEgwZkxsaTB4Wk1nUUlQKzUxS3RYTDZTbXBzTFMwaEtmZmZZWmF0YXNpZG16WnlNckswdGoyN0N3TU96ZXZidEllUDJpc3JPekszd0tpRmVKcjFQdHZrNWZsckd4Y1cwZEhaMC9iRzF0YjRxaUdDU1R5WDVScTlVUEwxMjZsQUZBVllZdVhpc0ZJK0xMRTlTKzk5NTcwTkhSd2FSSmt4QVVGQVJEUThOUzExY3FsWmc5ZXpheXM3T2w4UFJGYW54V3dUUm9CUndkSFZHblRoMU1uandaLy92Zi83Qng0MFkwYWRJRTRlSGgwTkhSNGVqWmwxQVpnMW9pb2twdDZkS2wyTFZyRjh6TnpkRzFhMWM4ZmZvVUVSRVI4UGIyUm14c0xPYk1tU090MjZWTEYyblU1TE11WDc2TVI0OGV3Y3JLcXNUN3lzek14Tnk1YzlHc1dUUFkyOXREcVZUaTRzV0xDQWdJUUZoWUdJS0Nnb3A4bVU1TlRZV0xpd3NTRXhOaFpXVUZSMGRIWkdkbkl5WW1CbWxwYVpVMmlCQkZVU1lJUWt0UkZLMEZRUmdqQ01KZFkyUGo2elkyTmljRlFUZ2NGUlZWZk1wWlNYWHYzaDJHaG9ZNGZmbzA2dGF0Q3o4L1ArVGw1UUg1WDZEOC9Qd1FGaFlHVVJSUnZYcDF6Snc1RTgyYk41ZTJML3hqSVRRMEZBQTBnbGprbjZwWmNDREExdFlXWm1abTJMRmpCeElURTNIMjdGbDA2OVlOSVNFaDB2Sm16WnJoOXUzYmFOS2tpVVpRZS8zNmRWU3JWZzBwS1NuU1NKMUxseTVKejYyQ3RyaTRPR1JrWktCNjllclM4N1pqeDQ0bGZoRlRLcFdJaW9yQ0YxOTh3U2tUWG1NblQ1N0V6Smt6WVdSa2hBNGRPa0F1bHlNcUtncUJnWUg0NDQ4L0VCQVFVT3FQZWo4L1B5aVZ5bkxkNTdsejV6Qmx5aFFvRkFyWTJkbkJ3Y0VCLy96ekQyS2VPWmF2amRybzdTQ0tJcHlkblhIanhnMjBhdFVLUFhyMFFHcHFLaUlpSWhBUkVRRXZMeStOVVVxaUtNTGQzUjFoWVdGU3NIYnQyalVFQndmajBxVkwyTFp0bS9RRE55c3JDOTkrK3kydVhic0dDd3NMZlBycHA3aDc5eTUrK2VVWFhMaHdBWUdCZ2FoVnEvU1RDd3ZPeEdqZnZuMlJnN2JGZmE4UVJSSGg0ZUhZdEdrVHJsMjdWbUsvOSsvZng5Q2hRNUdkblkwT0hUcWdSbzBhdUg3OU9vNGVQWXJ3OEhCczJiS2xUUE9xVjRRZE8zWVVhVnU0Y0NIdTM3K1BEUnMyYUxTSGhZVmg2dFNwT0hEZ1FLblhPT25Rb1FPMmJ0Mks4UEJ3bUpxYUlpb3FDc2VQSDhld1ljUGc2T2o0M0pvSy9pOTkrdlJCV2xvYWZIMTk4ZDEzMzJIRGhnMVNXQ3VLSXViT25ZdHIxNjdCejg4UEppWW1tRGR2SGthT0hJbnAwNmRqNWNxVkdqV2FtNXVqYytmT0NBd014S0JCZzRCL3AzYkQ4T0hEMGJGalI1aWJteU1rSkFULy9QTVBXcmR1amJDd01MUnMyUkx2dlBNT0hqeDRnR1BIanVIcnI3OUdtelp0eXZIb0F1ZlBuMGV2WHIwMDJuNzQ0UWNjUDM0Y2ZuNStxRk9uVHJuNjB3YStUclgvT3EwZ01rRVE3QUMwRTBWeGppQUlsMnh0YmMrTG9uaE9McGVmLy9QUFAxTzBYV0JGS1RpN3JqeEJiZTNhdGJGZ3dRSzR1cnBpNXN5WjhQWDFMWFg3Tld2VzROcTFheGczYmh6czdPektYZVA1OCtlTHZCOUdSa2JDM2QwZHk1WXRRN3QyN2FSMk96czdiTnEwQ1QvLy9ETWFObXdvUFllVlNpVSsvZlJUb05BbzRpbFRwaFNwZTk2OGVjVU9XSG5iTWFnbElpcW4rL2Z2RnptOUxEVTFGY09IRDhmQmd3Y3hhTkFndEdqUkFzai84Q25PdzRjUDBhZFBIOWpiMjJ0ODJEMUxYMThmQVFFQkdsKytGUW9GbkoyZEVSOGZqOURRVUkwdjJVcWxFaE1uVGtSU1VoSm16NTZOdm4zN1NzdEVVU3h5Nm4xbEpQdzdKTGthQUdzQTFqS1pyQitBZGUzYXRUdWpWcXZYeU9YeS9YLysrV2VldHVzc0MzdDdlOWpiMndPRlJvN2V1M2NQbnA2ZXlNN094cGd4WStEbjV3Y1BEdzk0ZVhsaCtQRGhHRHAwcU1aVUJYbDVlZGk3ZHk4Ky92aGpPRGs1QVFDaW82T3hZY01HVktsU0JTdFdyRUJlWGg0VUNnVmlZMk9sN2ZUMTlSRWFHb3FJaUFnQXdOaXhZNUdWbFlVeFk4WWdORFJVQ21xdlhidUdyNy8rR2wyN2RrVllXSmkwL2NTSkU0dnN6NElGQ3dBQW5UcDFncSt2N3l0NzNLaHl1WEhqQm9ZTkd3WVhGeGRwVkU5T1RnNm1USm1DYytmT1llL2V2ZmpmLy81WDdMWlhyMTdGMGFOSElaUEpwQy9xejVPY25Jd3BVNmJBd01BQW16WnRRc3VXTGFWbHo0YXEvM1Z0OVBaUXFWUlFLQlRZdG0wYldyVnFKYlgvOGNjZmNITnp3NG9WSytEbzZDZ0Zia2VPSEVGWVdCZzZkKzZNWmN1V1FVZEhCMnExR2pObXpFQm9hQ2grK3VrbmpCdzVFZ0N3Y2VOR1hMdDJEWDM2OUlHSGg0ZDAwR3pidG0xWXZYbzExcTVkcTNIUXR6Z0ZBWkM3dS90elQ0Vk5TRWpBbURGajhOZGZmOEhVMUJRbUppYkZUcm1EL05kZm16WnQ0T25wcVJIVXJWKy9Iai84OEFQV3JsMExIeCtmTWorT0ZlSEJnd2U0ZE9rU0FLQk9uVG93TmpiRzhlUEhOZFpKUzB1RGs1TVRmdjMxVjhoa3NsSlB0MjNZc0NHR0RoMktyS3dzekprekI2YW1wdmp1dSsrS0hiVlltbUhEaHVISmt5YzRldlNvTkJla1FxSEFuRGx6Y1BMa1NjeWVQVnY2MzdSczJSTHo1OCtIdTdzN0prMmFoQVVMRm1nY2tCMDRjQ0JjWFYxeDRzUUo2T3ZyUXlhVFNhRXRBSnc0Y1FLTkdqVkMwNlpORVJBUWdQVDBkR3pjdUJGejVzeEJ2WHIxTUg3OGVHbmQzMzc3VGVQN1FBRkJFREI2OUdqcDlwNDllelMrUXdZSEIyUDkrdlZvMUtoUnVVSWtiZUxydFBLOFRsK0dLSXFDSUFnRnZ3Rk1BSHdraW1KblFSRFNSRkg4MjliV05rSVV4ZTI1dWJtbjQrTGljclZkNzh0NGtSRzFBT0RnNElBUkkwWmc2OWF0V0xkdW5jWnJ2ckJqeDQ0aEtDZ0lIMzc0SVp5ZG5UV1czYjU5R3lkUG5peDJ1OEsvR1UrY09JRXBVNlpJSTNldlhyMkt5Wk1uUXhDRVlzL0dhOWFzbWZSYUNBc0xRMnBxS2dZTkdpU041azFNVE1UZXZYdlJzMmRQTkd6WVVHUGJ4bzBibCt0eGVGc3dxQ1VpS3FmNTgrZWpSbzBhR20ybXBxYjQ0b3N2c0dIREJseStmRmtLYWt2aTcrOFBoVUtCc1dQSGxycWVucDVla1JFUyt2cjYrT2lqanhBZkgxL2tsTUI5Ky9iaHhvMGJHRGx5cE1ZSEx2Sy9vSmMyeXFTeUtPNTBtL3pwSkQ2VXlXUWZxdFhxQjdhMnRzY0IvQW9nV2lhVEpmejU1NStWNXVxVENvVUNhOWV1aGJPek0ycldyQ20xUDNqd0FFRkJRUWdPRG9hZG5SMFdMRmlBVTZkT0FRQzZkZXVHbWpWcnd0M2RIYnQzNzhiQWdRUHg2YWVmb243OStqaDgrREFlUFhxRXNXUEhTbDl1OXUzYmgvcjE2K1BqanovR0o1OThndDI3ZDJQeDRzVTRlZktrZFBHeW5UdDNZdW5TcFFnSkNaSCs3M2w1ZWREVjFjWFpzMmVoVXFsZ1lHQ0FYMy85RlkwYk44YmN1WE14YmRvMG5ENTlHa3VXTE1IdTNidWwwOGJqNCtNeGFkSWtyRjI3Rm8wYU5TcjNqMWw2dlgzMTFWZEYzdk1NREF3d2F0UW9uRHQzRHBjdVhTbzJERldwVkZpd1lBRXNMQ3hnYW1xS2MrZk9sZW4rVnE5ZWpaeWNIS3hjdVZJanBBVlE1RDNzdjY2TjNoNXl1UndCQVFGRlRtbDNjSENBblowZElpTWpjZWZPSFdsVTNNNmRPNEg4RVVNRnoxT1pUSVlKRXlZZ05EUVVodzRka2dLZ1k4ZU9RUzZYWTlxMGFSby9lb2NORzRiRGh3L2orUEhqbUQ1OWVxbWp3UXNDbkdlZi84VjUvUGd4Y25Oek1YcjBhQXdkT2hURGh3OHZNUUJxM3J3NVZxMWFWZVRIK0xmZmZvdHQyN2JoOHVYTHo3Mi9pbmI5K3ZWaUw2ejFyTnpjWEFRSEJ4Y2IxSWFGaFdIWHJsMzQvdnZ2cGRQQ1Y2MWFoYVNrSkt4ZXZSckRody9IL2Z2M1MrMy84T0hEUlo0UHJxNnVHRDU4T0l5TWpIRC8vbjE0ZUhnZ05qWVcwNlpOUTRzV0xkQ3JWeTk0ZVhtaFI0OGUrT1NUVDVDVmxZV0ZDeGRpeUpBaG1EVnJsblJHaXIyOVBlclVxWU1USjA1ZzFLaFJVQ3FWV0wxNk5abzBhWUxVMUZTY09uVUtYM3p4QmVSeU9mejgvREJtekJnTUhEZ1FLcFVLUC83NG84WUIzb2lJQ096ZHUxZWpUcVZTQ1ZFVU5ZTGE2T2hveE1URW9IWHIxdGkzYng4V0xWb0VLeXNyckYrL3ZrelBxOHFBcjlQSzh6cDlHWUlnaUNqNkcwQUdvQ2FBbW9JZ05CTUVZYWkrdm42U3JhM3RUbEVVZjg3Snlia3RrOGt5S2x0d3UzRGhRaHc1Y3FURTVRVUhuTWVORzFmcXRTSzZkZXVHK2ZQbmE3U05HVE1HVVZGUjJMOS9QNFlQSDE1a2xMWlNxY1RhdFd2UnNHRkRMRml3b0VqL2QrL2VMVEp0akZxdFJtNXVMdXp0N2FYZkVEazVPZGl6Wnc5R2pCaUIyTmhZakI4L0hqS1pET3ZXclpNT2lQejExMStZUEhreTNOemNwQ2xHUkZIRXBrMmJZR1ptaHFsVHAwclB6d3NYTG1EdjNyM28zcjA3cDBNb284ci9pNTJJWGxjeVVSVDFSVkhzYkdOajgwWk5RbG5TbDYyQ280NEZIM0lsS2JpcWNKY3VYVFNPL3BmSHZYdjNBQURXMXRZYTdmdjI3WU9lbmg2R0RSdjIzRDVzYkd5S1hoNVVTd1JCYUNBSWdyelFiZUNaTDJ5Ri9xNHJDTUl3VVJRSEMvL0gzcDJIUlZXMmZ3RC9ubUZRRUZCVE5Nc05GRU5OZGluTmZXbDExOXkxUlh1MTEzeEZNY01VRjh4OUM5Y3d0VXhMelVoRmpkNDBSYVEwVnhBUVJGSHhWVUVEeEdXUVpZWjVmbi9FbkIvakRBZ0lITlR2NTdxOExqbmIzQU56bm5QbVBzOXpQNUowUmEvWG4zZDNkeituMCtsMnhjYkducTd3NEI5eTRjSUY3TnExQy92Mzc4ZWlSWXZnN3U2T3dNQkFiTnUyRFZXclZvV1BqdzhHRGh4b2N2UGs3dTZPbjM3NkNhdFhyOFpYWDMyRk5XdldZTjI2ZGRpeVpRdTZkT2tDSVFSKy9QRkhkTzdjR1dGaFlXWnY4QjQxT1ppbHBTVThQRHdRRVJFQm5VNEhDd3NMaElhR1lzU0lFYkMxdFlXdHJhM2N3NmRPblRxd3M3TUQ4bS9HQUtCV3JWcVZ0blRHNHhCQ3dGS2xkM1IzZCsrc2RDeVZVV25idksxYnQ4cERmODBOWVRibnpwMDdDQXNMZzR1TGk5d2JYYW5ZK0hsNE1taTEyczZHaElzUW9xMmJtMXRFV1J4WGtxUkNaOHQrK1BOMTkrNWRuRHQzRGs1T1RpWjFRaHMwYUlER2pSdmo2dFdyU0V0TFE0MGFOWkNXbG9ibm4zL2VxTmFmNFRWYnRXcUZTNWN1SVNFaEFlN3U3b1hHZCtmT0hhaFVxa0pyMVJmVXNtVkw3TisvdjFoMXlSK3UwV21nVnF0aFpXWDF5SHVjOHRDaFE0ZENlNEhsNWVYaCtQSGorUFhYWDNIeTVFbTgvdnJyNk5XckZ3QWdJaUlDTDcvOE1tclZxb1djbkJ6RXg4ZGowS0JCY2lMc2xWZGVnYlcxTmRxMWF3ZXRWbXRTKy9WaEQvKzlER3h0YlJFVUZJUk5temJCd3NJQ2l4WXRrb2Z5ZHV6WUVRRUJBV2pjdURHY25aM1JwMDhmMUsxYkY1OS8vam4rODUvL3dNUERBMnZYcmtXVktsV3djT0ZDTkcvZUhGWldWaGc1Y2lRT0h6Nk0zMzc3RFZaV1Z2amdndy9nN2UwdHY5NmFOV3N3WnN3WWFMVmFreDVxdnI2KzhQWDFOVm8yZnZ4NG94cjNBR0JuWjRmMTY5ZkR5OHNMSzFldWhMdTdPNVl2WDE3b1o2Q3NsT1UxbCtlcHNjTE8wMHArUGF0VE1DLzFpTzhBOVNWSjhwVWthVnkxYXRYaUFaeDBkM2VQenN2TE94SVRFeE5iNFpHYjhjb3JyOGozeithY09YTUdNVEV4Nk55NWM1SHpOSmdyWGFGV3F6Ri8vbnprNXVhYS9VeXAxV3FzWHIwYUZoWVdadXZZZHVuU0JYLysrYWZSc20rLy9SWkJRVUZ3Y25LU3YxL2EyZGxoeTVZdGFOS2tDYVpObXdZYkd4dDg5ZFZYUm1YTWREb2Rzck96TVc3Y09QajQrR0RreUpGSVNFaEFZbUlpSms2Y1dDYnpZRHpMbUtnbG92S2lCdkNjaFlYRkhKVktaYjRpK1ZNbU1qSVNBTkNrU1pNaXQ5dXdZUU4wT3AwOFVWUnhaV2RuSXlVbEJYdjI3TUd2di82Sy92MzdHOTBjM3IxN0Z3a0pDZkQyOW9hTmpRMk9IajJLczJmUFFwSWtlSGg0bUNROVZDclZ0aElGVUk2RUVKSVFva3B4RTQvNU4yeFZBRGdEZUVtbFV2VzB0TFQwOGZEd3VKU3IweC9KMUtMb2pHVTVjbkZ4d1hmZmZRY2ZIeCtNSFRzV0FRRUJjSFYxaFU2blE1TW1UV0JqWTRQOSsvZkwyMCtlUE5sb0NLZW5weWZhdFd1SG16ZHZvblhyMW1qV3JCbEdqaHlKNk9ob0xGNjhHRysvL1RibXpadG5Ob24xcUVTdDRmamZmLzg5bWpadGlpdFhydURPblR2eWw5cG5sUVRBcG9wNmtFcWxhbDZNelNtZm9jMHpOMnp0Zi8vN0g0S0NndEM5ZTNlOCt1cXJ4VTdVbmo1OUdqcWREdTNhdFVOMmRqWU9IanlJeTVjdnc4N09EaDA2ZENqMkVMbXlpSzB5dFpGa25sNnZWNnZWNnRxR3RrK1NwRm9BMnBmbmEycTFXc1RFeE1ES3lrb2UxbW1vNDExWVRVZ0hCd2RjdlhvVjE2NWRnNzI5UGFwV3JZcTB0RFNUaVZrQTRONjllMEQrME9haUVrQjM3OTZGU3FYQzNMbHpZV2xwQ1h0N2U3ejY2cXRtNjVTV3hTaUlTNWN1NGY3OSt5WWpocXBYMGY5OE4xTmJMdC9JUC8vOGN4dzVjc1JrZWQyNmRiRnIxeTVvTkJyMDdkc1gxdGJXU0V0TGc1K2ZIL3IyN1F1ZFRvZFZxMVpoMDZaTjh1UmZiNzMxRnJ5OXZSRVFFSURWcTFlamF0V3FHRFpzR0Y1Ly9YVUFRT2ZPcGM5alNaS0UrL2Z2dzhuSkNmUG16VE5Lbk02YU5RdERodzZGcjY4dnRtM2JodXJWcTZOdDI3WUlEZzdHd29VTDRlbnBLU2ZWQ3Y2OUwxeTRnUEhqeDZOcjE2N3lzc2pJU0h6MjJXZnl6NW1abVpBa0NXKysrU1p5YzNQUnNXTkhreDU0eUU4V25qaHh3bVNvOU1pUkk3RjI3VnI4K2VlZmVPT05OeEFRRUZBaGlmaUt1T2J5UERVK1R5dno5VXdJb1JKQ1ZDM2hkd0FyU1pJOGhCRHVLcFVxUjVLa1crN3U3Z25hUEhFaU0xZXZhTjJPMTE5L1hXNVh6UEgzOTVkN3NnOGRPclRJWTkyOGVSTWhJU0ZGYnBPVWxDU1hRaWxLcjE2OThPS0xMNW9zUDNEZ0FOcTJiV3VVMkIwMmJCaldyMStQU1pNbXdjbkpDU3RXckRCSktyLzQ0b3Y0OXR0dk1XblNKQVFHQmlJckt3dGp4b3pCamgwN25vajYxcFVkRTdWRVZGNkVKRWw2SWNSdElVU08wc0dVRVlmQ1ZwdzhlUktIRGgxQ2t5Wk5pcnhoUzA5UFIyaG9LRnhjWEV4Nnd4WW1LU2tKQXdZTWtIK3VWYXNXRml4WVlES3M3K0xGaXdDQWhnMGJZdXJVcWZqOTk5K04xbmZxMUFtTEZ5OUdnWjVITjRzVlFNV3dCUEJDL3YxN3NSVjR3cTRGY0FQQUZVbXcrTnlTQUFBZ0FFbEVRVlNTN2hjNlhXa0ZhZHEwS1RadDJvVFpzMmVqWmN1V2FOU29FYnAyN1lyWFgzOGRXcTIyeU40cU4yN2N3Q2VmZkNMWGxabzllemFzckt4dzZkSWxJUDlwZWZmdTNjM3VXNXhFYmZmdTNmSHl5eS9qcTYrK1F0dTJiZkhXVzI4VitlUy9NSGZ1M0RHWmhPUmhodUZkSDM3NFlaR3hOV25TQkZ1MmJDbHhER1ZKQUdvaGhPbFUzR1JXV2xvYU5tN2NDTFZhYlpMbzErbDBtRFp0R3RScXRVbXZya2RKVEV3RThudENqUmd4QWxldVhKSFhyVjY5R3VQR2pjT29VYU1xSkRaK0hwNElsdEkvS3F6Wi8vYmJiNUdXbG9aQmd3YkpTYTNVMUZRZy8vcHNqbUc1b1VkajI3WnRjZmp3WVh6NTVaZnc4L09UcjhzUkVSRUlEdzhIOGljeUtzcWRPM2VnMCttTXZzUUhCUVdoUTRjT1dMQmdRWkhEc1V0S3A5TmgyYkpsQUdCMFA0Si9yanVXS2t0VnVUd2NIVFZxRlByMi9mL0JQNGI2N0liN0xKMU9oNHlNRE15YU5Rdkp5Y2xZdUhBaHFsU3BnaDA3ZHVES2xTc21FMG5WcmwwYksxYXN3UDc5KytYcjZPalJvNDNhR1hOcTFxeUpuVHQzRnJuTnBFbVRBRFBsV2FwVnE0WjU4K1loTmpiVzZGcHJiMjl2VXM3aG0yKyt3VnR2dlFXTlJvUGp4NC9qeXBVclJ2WGd4NDRkYTlTenVFK2ZQaGcyYkJnR0R4Nk0vdjM3RjFvRDlkZGZmMFZlWHA3SnZVUFBuajJ4ZCs5ZTNMMTdGek5uenF6UTN0TGxmYzNsZVdwOG5sYm02NWtrU1pJUW9zUnRTSUUyWHkxSmtpMkFlaXFJYXBKVXVlc3J4OGZIQS9rVGRqMHFVZnYzMzMrYmxDb29LRHM3Vy83LzExOS9EU3Vyd3YvTXI3enlpa21pOXVMRmkwaElTTUN3WWNPTWxqZHUzQmc5ZXZUQTNyMTdNWDM2OUVKNy90cloyV0hObWpXWVAzOCszbm5uSFJ3NGNBQXBLYWJ6dmwyL2ZoMEFjUERnUWZrK3I2QXVYYnJJSldub0gwelVFbEY1eVJSQ1pBc2gvQURFRkdQN0owR2t1WVZoWVdIdzkvZUh0YlYxb1pPSEdRUUhCME9uMHozeXdseVFuWjBkQmcwYWhLeXNMTnk4ZVJOUlVWR1lNV01HTGwrK2pERmp4c2pGNkExMXJNTER3L0g4ODg5ajgrYk5jSFIweElVTEZ6QjM3bHlFaDRkajQ4YU5HRHQyTFBEUERVNi9rcno1OGlSSlVsTUFXd0FZM2JFYWJzTE1QV1VYUW1nQlJBa2h3dlI2L1drQVVXZlBucjNrME55OUExVFN2eXYySFppeXQ3Zkg2dFdyVFpZUEhUcFUvaHVZMDZsVEo2T2ZDN3ZwU2t0TGsydGdSVWRIQXdCKytPRUhlYjJoUHRrUFAvd0FTWkpnYTJ1TC92MzdvMUdqUm1qVXFCR1dMRmtDT3p1N1VzMEdhNGpyVVNVMlRwNDhpY2pJU1BUbzBRUDI5dmFGYnFkMExUd0I0RUd1YnF0dFZYVzhvb0ZVUG1IbUZsNjVjZ1VUSjA1RVdsb2FwaytmanJwMTZ4cXQvK3FycnhBZkg0OHZ2dmlpeEtVeURPM1l0OTkraXpadDJpQXdNQkExYXRUQTBhTkhNWC8rZkt4WnN3YXVycTVvM2JxMTJmM0xNcmJLMUVhU2VYbDVlVjNVYXZYbkFDeUZFTmVGRUVsbGNGaXpQWEwxZWoyQ2dvS3djZU5HT0RvNkd0V1lOM3haTHF4SG5DRlJsSnY3VHluRkNSTW00TXlaTTlpNWN5ZU9IeitPNXMyYkl5MHREV2ZQbmtYcjFxMXg2dFNwUnliTnZ2bm1HMVNyVmcwV0ZoWklUVTNGNmRPbnNYYnRXa1JFUkdEQmdnV1B2QjhwTG8xR2cyblRwc216Z0QrYzdMdWJJL1dHWkxtclRGN3NJWWE2b2dDd2I5OCtiTnEwQ2UrODh3NzgvZjFOdGgwOGVERE9ueitQR1RObW9INzkrdmpwcDU5TXpuL2szejhZWmlJMzdHZm9IV25PNzcvL0xqOG9OZWVubjM3Q2hRc1hNR0hDQktTa3BPRFdyVnRtdDZ0ZnZ6NysrT01QbzJXR3Nnekk3em0zWnMwYVZLdFdEWC8rK1NlNmRPbUMxMTU3RGZQbXpjUGt5Wk5SdDI1ZE5HL2VIUHYyN1VPalJvMk1lbVRldkhrVEtwWEtaRzRDNU5mTjM3UnBFenAyN0NqM0xEV3dzTENBcjY4dkprMmFoT1hMbDJQNjlPbUZ2cyt5VkViWFhMUFhKNTZuNXMvVHludzlFMExVa1NScEU0QnFEeTBIQ3ZrT0FFQW5oRWdVUXB6UzYvV1JRb2cvbzZPalR6czR1YmFHV3VwZm9XK2dCSzVldllxa3BDUzBhTkVDeDQ0ZFEwWkdScEgzd0s2dXJpYWxDZ3grL2ZWWHpKNDlHdzBhTkVCbVppYTBXaTE2OU9oUm9nZms2OWF0UTYxYXRjejJBUDczdi8rTnNMQXd6SjgvSDVzM2J5NzBzMTYxYWxVRUJBUUFBSll1WFlxVEowL0s2N0t6czZGV3ErV1NISHYyN0lFUXd1UWNkSFIwWktMMklVelVFbEc1a0NSSkwwbVNUZ2h4OGV6WnMxRkt4MU1lZERvZFZxeFlnYTFidDZKdTNicFl2bng1a1pPSWFiVmFCQWNIdzk3ZVhxNWRWaHkxYTllR241K2YvSE42ZWpyOC9QeXdmdjE2MUt4WkUwT0dEQUVLM0ZqbTVPUmd4WW9WOHMyL3U3czdGaTFhaEVHREJtSG56cDF5a2pES01JVnlKZURtNXFaVnFWVHl0T3RGVENnR0lVU3FYcS8vUVFpeFdRaHhJVG82T2dlQXptU0hTc0F3QzNSQlNVbEpDQXN6Ky8wQ01ET3JmV0ZTVTFPeGFkTW1vTUNYRDhQUHlQOGNJSDkyWXVSUGVOZS9mMytqL1d2WHJnM2tENTgwVEV5WGtaRUI1SC94TS9RcVNVdExrL2N4OUFpcVZhdFdrUWxudzN1SmpJekV1KysrYTFUWHFyS1JKQWs2dmVwS1ZGVFVZYVZqcWV6Mjd0MkxoUXNYUXEvWFkvYnMyU1k5Vmc4ZlBpd25VOTU1NTUwU0g5L3d1WDN4eFJjUkVCQWduL2R2dnZrbTd0MjdoNFVMRitMbm4zODJtNmd0NjlqNGVhajgzTnpjbnMvUCswQ1NwSjFSVVZFK1pYQllrd3RRZW5vNnBrK2ZqcE1uVDhMRHcwTiswR1ZnNkdtWGw1ZG45b0JhclJZbzhPQ3RjZVBHMkxKbEM5YXNXWVBqeDQ4aklpSUNUWm8wd2JKbHl4QVRFNE5UcDA0OXNrNW93V3RMdlhyMTBLTkhEN2k2dW1MSWtDRUlEUTJGcjY5dm9iVTdpK3ZjdVhPWU9uVXFrcE9UTVdqUUlIejY2YWVQZGJ6U3VINzlPcjc4OGt1RWg0Zmo0NDgveG9jZmZvaWNuQnhZVzF2TER5a052UkpuenB5SkdqVnFZTXVXTFpnMmJSb21USmhnZG9qNTd0Mjc4ZFpiYjhIS3lzcGtkTkxEcmw2OUtvOVlNdWZJa1NNNGMrWU1wa3laZ2g5KytBSDc5dTByOW5zTERBeEVodzRkZ0FMRDh1dlZxNGRMbHk3aDY2Ky9scmZyM0xtejNCTnU2dFNwNk5xMXE5SDdxbGV2SG9LRGc4MitSbkJ3TU5MUzBnb2RpZEN4WTBmMDd0MGJPM2Z1aEx1Nyt5Tkh5cFNGOHJybThqd3QvRHl0ek5jelYxZlhCaFlXRnNYOURwQWhoTmduaFBoUnI5Zkg1ZVRrcENVa0pOdzMyYUdTMnJadEd5UkpRa0JBQUVhT0hJa2ZmdmdCNDhlUEwvRnhidDY4aVlVTEYyTDQ4T0ZJU2tyQ3RXdlhNSGJzV1BqNStjSFQwN05ZcFZ6aTQrTVJGaGFHQ1JNbW1IMTQ4Znp6ejJQS2xDbVlOV3NXRmk1Y2lKa3paNW85VGtaR0J2UjZQV3JYcm8zQXdFQ2pkVzNhdE1HZ1FZUGs1TEdoVnJiaHV3a1Zqb2xhSXFKU1NFOVBoNit2TDJKalk5RzFhMWY0Ky9zLzhtWXRJaUlDdDIvZnhyQmh3MHlHeHBWRTdkcTFNV3ZXTFBUdDJ4ZkJ3Y0Z5b3Rid1JjWE56YzFrV0ZmVHBrMVJyMTQ5M0x4NUUvZnUzU3ZXcEFZVktiK09zWHhuVnVEcGVaNFFJaTIvck1GcEljU3VuSnljZzVWdGhsZHpybDI3aG9FREJ5SWdJTUNvOTg0ZmYvd2gxODgwcCtBd3BxSzBhTkVDaHc0ZEFnQXNXclFJNGVIaFJyUE0vdmpqajFpOGVESDI3OTl2OG5uTHpNeUVScU5CUkVRRWhnNGRpbDkvL1JVTEZpd3cyc2J3dVNySXgrZi9jeUNMRmkwcXRBUURQWDEwT2gwV0xGaUEzYnQzdzhuSkNYUG56alhxN1liOFJNT01HVFBnNE9DQWFkT21sZXAxREhVQXUzYnRhdEtMeGpCVDhNUERsQ3NxTm5vMnhjVEVZUExreWJoejV3N0dqaDJMMGFOSG0weVNZa2dHR1I1NFBjelFVOXp3Y0F6NWt4YzkzTzRpditjbzhuc1lsVlREaGczaDV1WW1ENXYzOFBBbzhURU1kdTdjaVVXTEZzSEd4Z1pMbGl3eHFwVmFFVFFhRFpZc1dZTC8vdmUvcUZldkh0YXZYdzhQRHc4OGVQQkFUbTRpZitKTFF5a3BTWkl3Y2VKRXRHdlhEdlBuejhlSEgzNG96ejV1R0sxeThlSkZmUEhGRjBoSVNEQjZDRjRZQ3dzTE9ZSDNNTVBEU0M4dkwxU3BVZ1UrUGo2UG5IL2cvUG56OFBmM3h3c3Z2SUNYWDM1WlhuN2h3Z1ZZV0ZqQTI5c2I4K2JOUTBaR2h0eldYYnQyRGVucDZhaFZxeGJ5OHZLTXJ1azdkdXhBUk1RLzgrZU5IajNhNkc5Ky9mcDF1Y3lSaTR0TG9URjkrdW1uT0gzNk5PYk1tWU02ZGVySU03Zy9TWGllS25PZWxoVkprdlFGL2cvOGs1UVZBQjRBdUtmWDYyT0VFQnRUVTFQM0pTY25GMTF2b3BLNmV2VXFRa0pDMExWclZ6UnQyaFI5K3ZUQjFxMWIwYmR2WDVQSjdZcVNucDZPVHo3NUJQYjI5aGd6Wm94OFQ5TzllM2YwN05rVDA2ZFB4L0xseTR1Y2tGV3IxU0lnSUFBMWE5YkV1KysrVytoMlBYdjJ4SkVqUnhBU0VvSVhYbmdCLy9yWHYweTJPWFRvRUJZdlhveE5tellaZFZqU2FEVFFhcldsS3E5R1ROUVNFWlZZUmtZR1JvMGFoVnUzYm1INjlPbEd2UlNMWXFnclZoYkpyWVlORzZKS2xTcEdkWUFNRi9uQ2Vnb1lFaUFLbDI4MVM2L1hTeXJWUHpYdThzc2EzQVp3UXBLa1B5UkpPcFdkblgwMkxpNnVNdFhVZmFTb3FDaG90VnFqRzM0QUdERmlSSWxLSHhUSHRXdlhUSVkwRnNYUUMrbnMyYlBZdEdrVGV2ZnViVFRwVWw1ZW5za1hIQ0dFVWVLc05GOU82TW1rMStzeGRlcFVoSVdGWWVEQWdmRDE5VFU3Qkc3Nzl1MTQ4T0FCa3BLUzBMNjkrZm1jREQxWmx5NWRpaTVkdXBpc3IxKy9QbEJJejNJYkd4dmdvVGFzSW1PalowOWtaQ1RHangrUDZ0V3JZLzM2OVhCemN6TzduV0h5cU1KcW5TWWxKVUdsVXNIQm9kQlM5MEQrNS83MDZkT29YYnQyaWI2NEYvVHdwRWVsOGNNUFAyRDU4dVh3OFBEQWdnVUxGSmtZeHRiV0ZubDVlUmcvZmp3R0R4NHNuOWZWcWxYRHlwVXJrWk9UQTB0TFM3aTV1Wm04WjI5dmJ3UUhCeU1pSWdLaG9hRkdmemREK1lIQzJvR0hWYXRXRFE4ZVBJQmVyOGUxYTlmdzk5OS93OHZMQ3lxVkNuRnhjY2pLeWtMYnRtMkIvSkVtaGRVL1JYNlNlTUdDQmFoYnQ2NDg1TmdnSVNFQlRabzBnVmFyeFpneFk0QUNiWjJoeDkyQUFRT1FtWmxwVkJLcFRwMDY4dlc3NEdSQWVyMGVNMmZPaEJBQ1U2ZE9MZkk5MnRqWVlPWEtsUmcxYWhRbVRacUVKVXVXeUEvR25nUThUNVU3VDh1US9CMEF3RDBBVVFCT0F2aExDSEV5S2lycXF0SUJQbzdjM0Z6NCsvdERDSUZQUHZrRXlLL0IvY3N2djhEUHp3L2ZmUE5Oc1NhVHUzWHJGc2FQSDQ5NzkrN2h1KysrTXltUE5tUEdES1NucDJQaXhJbVlPM2R1b1NNNGc0S0M1UGJJY0c5Vm1JQ0FBS1NrcENBb0tBaENDTGw5TW9pTmpZVmVyemVhUkJINUQ2VlE0THlqa21HaWxvaW9oTDc0NGd2Y3VIRURxMWF0a20vT0h5VTdPeHNSRVJHd3Q3YzNPd3l2cEZKU1VwQ2JtMnQwTStubzZJZ2FOV29nUGo0ZTJkblpSaGR2alVhRDY5ZXZvMWF0V28vcythdVUvTW5uVGdvaGZnQVFhbUZoOGZmcDA2YzFBTXhubml1NXFLZ29XRnBhbXZSaXVYNzlPbzRmUDE3b2ZzVXBmWkNkblkyLy92b0xuVHQzaGxhclJYUjB0Tm5hZElVNWMrWU1hdGV1alRGanhtRHg0c1Y0NVpWWDVCNGRkKy9leGIvKzlTOE1IRGdRQXdjT0JQSnYwclJhTGViTW1TUFhSS1pueC9idDJ4RVdGb2JSbzBjYjFmdDdXT3ZXclUwUy9BWVJFUkZJU1VsQnIxNjlZRzF0WGVpWFc4UG44TXlaTXlaRGRRMDMvUVVmRWxSa2JQUnN5YzdPeHRTcFUyRnJhNHR2di8yMjBNbFVrUC93dEU2ZE9vaUxpek9wT1ppU2tvTExseS9EeTh2cmtSTUg3ZG16Qi9mdTNjT0lFU05LMWRibTVPUWdOallXa2lTVittRmFmSHc4dnZ6eVMzaDdlMlBWcWxXd3RMUXMxWEhLd3R5NWN3RUErL2Z2bDJzZ0ZwZVBqdzhHRFJwa01nVDRqei8rZ0kyTlRiRjdqZGFzV1JOQ0NOeTlleGR4Y1hIdzkvZkhiNy85Qm50N2UvejExMTlBZ2Q3K3lKOFFkTXVXTGZqd3d3K042bUFuSmliaTQ0OC9ocFdWRmRhdFcyZFNJL3ZjdVhQdzh2SkN6Wm8xNVJxUDA2ZFB4L256NS9IVFR6L0puNGVPSFRzYVBhenEwcVVMQmc4ZWJCTDM4dVhMY2Zic1dVeWVQTGxZYlpxRGd3TUNBd1B4OGNjZlk5S2tTZkR6OHl0MlJ3UWw4VHhWL2p3dEkwSUlFUTBnV0t2Vi9xclg2NjliVzF1bm56NTkybngzOWllSVRxZkQxS2xURVJjWGgwbVRKc21KeXpwMTZtRGl4SW1ZTjI4ZWZIMTlzV3pac2lJbkF6dCsvTGpjZTNiMTZ0VW1FNE1odjd6SDBxVkw4ZW1ubitLenp6N0RnQUVENE92cmEzVGNRNGNPNGJ2dnZrT25UcDBlV2ZvRitTTTJWNjVjaVE4Ly9CRHIxcTFEYW1vcXBreVpJajg4TzN2MkxKeWRuVTBlUGhqS3ZCVTF5VFlBckYrL1h1NWxUUCtQaVZvaW9oSzRlZk1td3NQRDBicDE2MkluYVpHZmRNakt5a0szYnQxTWh2TWFhRFFhN051M0QrM2J0NWR2cXZmczJRTnZiMitqM3BJYWpRYno1czBEQUtOYVltcTFHbjM2OU1IbXpac1JGQlNFaVJNbkF2bTlLbGFzV0lIYzNGeWoyWThyRTYxV2UxV1NKSytvcUtoRWMvVUJuMFJSVVZGbzFhcVZ5UlB5QXdjTzRNaVJJNFh1OTZqU0IrZlBuOGU4ZWZOZ2FXbUp6cDA3WS9mdTNjak16Q3gyRDhDOHZEeUVob2FpWGJ0MkdEQmdBUGJ0MjRlWk0yZGkrL2J0ME92MThQSHh3YTFidDlDcVZTdDVIdzhQRC9sTE1wTzF6NTd0MjdmRDB0TFM3SkMzZ3Q1NDQ0MUNiL3FUazVPUmtwS0NmLy83MzNLQ1FnaUJ2WHYzb243OSt2S2tkczJiTjBmTGxpMXg3Tmd4UkVSRXlFT2M3OSsvTDAvT1Y3QWRLNi9ZaUE0ZVBJaTB0RFNNSFR1MnlPUVA4bnVCOWV2WEQxOS8vVFVDQXdNeGUvWnNTSklFdlY2UEw3LzhFc2lmU05MZy92Mzc4aVNQQnFkT25jTHk1Y3RSdlhwMWZQamhoL0p5YytkSlptWW1ZbU5qallhMlptZG5ZOEdDQlVoTlRVWFhybDFMWGZkeXg0NGRjcStweXBEOHljcktncXVyS3hZdVhGam9OdGV1WFVQOSt2V05yazBGZjdjR3FhbXBpSTZPeHV1dnYxN3M5MmJvNVgvdDJqWGN1WE1IYXJWYTdna2JIaDZPZXZYcUdmVVlPM0hpQkhidjNvM2R1M2Rqd0lBQkdEVnFGRzdmdm8yUFAvNFlhclVhNjlhdE0wbXdaR1JrNE1hTkd4ZytmTGk4TEMwdERZY1BIMFpPVGc2bVQ1K09MNzc0QWpkdjNrUm1aaWEyYk5tQ2Z2MEtueHRxNjlhdDJMWnRHenAzN215MmpGRmhYRjFkc1diTkd2ajYrbUxldkhsSVNrb3EwY1JFU3VCNVdqbk8wOGR4Ky9idDlOcTFhNzkyOXV6WmVBRDZZdXp5eExoNzl5NzgvUHh3OHVSSjlPN2RHeU5HakRCYTM3OS9mOFRIeDJQbnpwMFlOV29VNXMrZmI5S2pXNlBSWU4yNmRkaTJiUnNjSFIwUkdCZ290MHZtV0ZsWlllWEtsVmkxYWhVMmI5Nk1QLzc0QTJQR2pFR3ZYcjNraDAzMTY5Y3Z0T2FzT2M4OTl4eldyMStQQ1JNbVlPZk9uYmh3NFFJMmJ0d0lqVWFEcTFldkdyVmR5RzlyZCsvZURTOHZMN09UT2hhMGVmTm01T2JteWoyTjZSOU0xQklSbGNDRkN4ZUEvRjZSaGQyOFZxOWVIYk5uenpaYUZoc2JDd0J5SFRWek5tN2NpTTJiTitQQWdRUFl1SEVqa0gvRFAzZnVYTGk3dTZOUm8wYTRjK2NPSWlNamNlZk9IYlJ0MnhZalI0NDBPc2JvMGFOeDlPaFJiTm15QldmT25FSFRwazBSRnhlSHhNUkVPRHM3bXd4WHFTemk0dUkwQUFxZnJlTUprNXljaktTa0pKTmFZYzdPenVqYXRXdVJ2VlRHang5dk5sbGtLSE14ZHV4WU5HdldETE5temNLTkd6ZXdldlZxdEc3ZEdwNmVuc1dLTFN3c0REZHYza1R2M3IwaFNSSW1UNTZNeU1oSTVPWGx3ZGZYRnhjdlhzVHExYXVONmt6MTd0MGJtWm1aV0xwMHFUd0pBcE8xejRiTXpFemN1SEVEVmxaV1JkWnpuRHAxNmlOdnhoOTI5T2hSQkFRRXdOTFNFb2NQSDVaN2ZNeVlNUU1mZmZRUkprMmFoUGJ0MjhQT3pnNG5UcHhBV2xvYSt2ZnZMdzlaTHMvWWlCSVNFb0Q4eWFJTXZia2Y1dUhoSVYrSDMzdnZQWVNGaFdIZnZuMUlURXhFOCtiTmNlN2NPVnk4ZUJIdnZQT08wY08weE1SRStQajR3TlBURTdWcjE4YlZxMWNSR1JrSmEydHJMRisrM0NoNVkrNDh5Y3JLd3JoeDQrRGc0SUNXTFZzaUt5c0xNVEV4U0V0TGc0T0RBNlpQbjE3cTkyMjR6L25tbTIvdy9mZmZtOTFtNE1DQkpYcFkvVGdDQXdOeDd0dzVPWllOR3pZZ01URlJUdHltcGFWaHlwUXBtREJoQW9ZTkd3WUFPSG55Sk1hT0hZdEZpeFlaL2Q3Mzdkc0h2VjVmb3RJbUxWcTBnQ1JKT0g3OE9CNDhlSUFHRFJwQXBWTGgxcTFiT0gvK1BQcjI3V3UwZmI5Ky9kQzJiVnVzWDc4ZVAvMzBFM2J2M2kzUGVoNFVGR1IyWm5ORDNmcm16WnZMeTVZdFc0YXFWYXRpelpvMW1EUnBFcVpQbnc0dkx5L1kyTmhBbzlIQTM5L2ZiS2tySVFTT0hqMktGaTFhWU42OGVXYXYxWC8vL1RkUVlHNkRnanc4UExCcDB5Yk1uRGtUQXdZTUtQYnZTU2s4VHl2SGVmbzRybCsvbm5YOSt2VnpTc2RSMW80Y09ZS0ZDeGZpMXExYjZOZXZYNkgxOFQvLy9ITklrb1NmZi80WlE0Y094WkFoUS9EKysrK2paczJhaUkrUGg0K1BEOUxUMDlHN2QyOU1uanpaN0VPb2g2bFVLdmo0K0tCTm16Wll2SGd4Rmk1Y0NHZG5aNXc4ZVJKVnFsVEJpaFVyekQ0a3VIWHJGbEJJYVk0NmRlcGc0OGFObURwMUt2cjA2UU8xV28wVEowNEFCVVpESWY5aHhPZWZmNDdzN0d4OC9QSEhKc2NwMkc1cE5CbzhlUERBYkx2NHJHT2lsb2lvQkRRYURaRGZzL2JtVGZNbFU4M1ZKek1rYWdzbXZ4N202dXFLYXRXcXlVL2lrVCtoazA2blEyeHNMS0tqbzJGcGFZbW1UWnRpM0xoeDZOZXZuOGtOdUsydExUWnMySUNnb0NBY1BIZ1FDUWtKcUZPbkR0NS8vMzE4OU5GSGp4ek9SV1hEVUFQUDhMZE1URXhFVmxhV1hKczJKaWFtMEgwTGJ1UG82Q2pma0lXRmhjSEN3Z0lmZmZRUlJvMGFKVStZb1ZLcE1HUEdqR0xGcGRGb3NIejVjcmk2dXNvM1ZTNHVMbkIwZE1TNGNlTncvdng1dWQ3Wnc0WU9IUXFOUm9PZ29DQ28xV3JNbkRtejBON2g5UFRJek13RThtKzh3OFBEQzkxdXdvUUpKVDYybzZNajdPM3Q0ZURnWU5Uei9LV1hYc0xtelp1eGV2VnFuRHAxQ3RuWjJYQjBkTVNZTVdPTUhuS1VaMnhFaHM5WGZIdzg0dVBqelc1VDhITnJiVzJOOWV2WFk4MmFOVGgwNkJBdVhicUVCZzBhWVBMa3lTYTlHdXZWcXdjWEZ4ZkV4TVJBbzlIQTN0NGUvZnYzeDZoUm8wenFqWnM3VDJ4dGJkR3JWeStjUEhrUysvZnZoNFdGQlJvMGFJQUJBd1pneElnUmoxWC8wbkNmYyt6WXNVSzNxYWo2cFdscGFkaTdkeTgrK09BRGVWbWpSbzN3MVZkZlllalFvWEJ6YzRPOXZUMzY5ZXVITld2V29IdjM3cWhidHk1YXQyNk5WMTU1QmY3Ky92am1tMi9nN093TTVDZHFxMVNwZ25idDJoVTdobHExYXVHMTExN0RwazJiWUdWbGhZNGRPd0w1dldrQm1KMndwMTY5ZXBneFl3WSsrT0FEckY2OUdyLy8vanRzYlcwUkVSR0JGMTk4MFdTa1RYeDhQQ1JKd2tzdnZRUUFXTHQyTGZidjM0LzU4K2ZEM2QwZHExYXRrbXRFZHV2V0RaMDZkWUtmbng5ME9oMU9uVG9sMzl1cFZDcjA3TmtUeTVZdHc0TUhEK1NIWDVHUmtkaXhZd2RzYlcyaDBXaHc2TkFoT0RnNEZGcWJzbkhqeGsvTXJPdzhUNVUvVDhsWVRFd00xcTFiaDJQSGpzSFMwaEtmZnZxcFVVL3RoNmxVS2t5Yk5nMHRXN2JFOHVYTHNYbnpabXpidGcyOWUvZkdsQ2xUMEs1ZE8vVHExYXZZSFRJS2V2WFZWL0hqanovaS9QbnphTkdpQlZxMGFJRjMzbmxIN24xKy8vNTlCQVFFb0VhTkdoQkNJRHc4SEdxMTJtUkNWZ05EalhBRFE2TFdVTll2T1RrWjA2ZFBSM1IwTkVhTkdtVVNjNjFhdFhEcTFDbjgvUFBQcUZHamhqekNzT0FvUGlJaUtnZWVucDdDdzhORGVIaDQzUFgwOUV4eGRYVnRvM1JNWlVVOFpaVCtmWllYaCtidW5SMWF1R2Q0dCs4bXprU2VWZVIzTzM3OGVPSHQ3UzBlUEhnZ2hCQmkrUERod3RQVHM4VC8vdnp6VC9tWWx5NWRFakV4TWZMUGh3OGZGaDA3ZGhTblRwMHlHOFAyN2R1RnA2ZW4wR3ExOHJJTEZ5NklkdTNhaWVqb2FLTnRGeTFhSk5xMGFTT09IajM2eVBlMmZQbHk0ZW5wS1g3NTVaZEhicnQ2OVdyaDZla3B6cDgvLzhodGxYQXU3cnhvMysxdDRkRGNMY3ZCMmZVdHBUKzdsWTNTZngrbEtmMzdwMGR6YzNNYjdPSGhrWk4vNzdHaUxJNnA5T2Z1U1ZPZTExeC9mMy9ScVZNbmNmZnVYWGxaWGw2ZTZOZXZueGd6Wm95OExDTWpRN1J2MzE2c1c3Zk9hTm1iYjc0cGV2WHFKYkt6czBWdWJxNVl1blNwK1B6enowc2NSMHBLaWhneVpJaDQ0NDAzUkdKaW9oQkNpTWpJU0RGeDRrU1JrWkh4eVAzUG5Ea2poZzBiSmp3OVBjVTc3N3hqOUg0TTc4bHcvUTBKQ1JHZW5wNWk5ZXJWUnR0ODk5MTN3c3ZMUzhURnhRa2hoSWlPamhZK1BqNmljK2ZPOGoyRHY3Ky8yZGRQU0VpUXQzbjExVmZGOE9IRHhibHo1MHI4ZTNoY1pYbk5yZkRnbjNCbDBUWStDUnljWE5zNE5IZS80dXoyaXZqdHdDRkZmdGVMRnk4V25wNmVZdFNvVWVMU3BVc2wyamMxTlZYTW16ZFBkTzNhMWVpZXZ5aVRKazBTNzc3N2JpbWpGYUpMbHk3QzA5TlRlSGw1aVY2OWVvbDkrL1lWZTk4MzMzeFQ5TzdkV3dnaHhMRmp4OFNycjc0cXZMeThSRkJRa05udDQrTGlSTStlUGVYMnFGMjdkbUw1OHVXbGp2MXhIVDd5aDNCOXBiMXdhT0dXNHREY3ZYTXhQbUlWaGwxaGlLaE1lWHA2aXZ6N2dYdVNKRDNRNlhUOW9xT2ovMUk2cnJJZ25ySWJIZWtwN1E3cDBOeTlNeVRzcWxPN2RzMTFxNWJEdy8zeEoyOHJxY1RFUk1URnhhRjM3OTdsK2pvYWphWllRNkFLdW5uenBra2R0K3pzYkZ5NGNLSFlFOTJGaDRlalU2ZE9KWHJkeWlndVBnRmovek1KMTI4a1owT0lma2tKMGY5Vk9xYks1R2xyODBycWFXMGpueVp1Ym02RFZTclZaa21TcWdnaFZrWkdSdm84N2pHZjljOTlTVG0yOE9oU1h0ZmNnd2NQSWpjM0YyKy8vYmJSOHBpWUdOU3BVOGZvV25idDJqV1Q0Yk5uejU1RlJrYUd5WVJpU2pEVU1MMTE2MWFSTmJXenNyS3dkKzllREJvMHlHaDVlbm82L3Z2Zi81clVnbnlTbE9VMWwrZHB5VHdyMXpNSEo5YzJVS3UyVmExYXhXSGwwb1Y0bzN2eHk1eVVGWjFPaHhNblRqeFdqMmFkVGdlMXV2SVBmcjk0OFNKdTNyeUpEaDA2SUM4dkQ0R0JnWGp6elRlZm1CNnk0UkYvWXNLblUzSHYvdjJiRU5MUXBQTlJoNVdPeWFEeS8vV0ppSWllTUU1T1RuQnljaXIzMXlscGtoYjVRL2tlWm1WbFZld2tMWUNuSWtsTFJFU1ZXN2R1M2N3dWQzRnhNVmxtcnNhaG01dGJ1Y1JWR3BJa0ZldmhyYlcxdFVtU0ZnQnExNjc5UkNkcGlaNFZhclg2c2N0T1BBbEpXZ0JvMXF5WlhDYkJ3c0lDa3lkUFZqcWtwd1puQWlFaUlpSWlJaUlpSWlKU0dCTzFSRVJFUkVSRVJFUkVSQXA3TXZwVUV4RlZBczlLZlNjaUlyRE5vMmNVUC9jbFU5a21ZS0ZuQTg5VElucWFzVWN0RVJFUkVSRVJFUkVSa2NLWXFDVWlJaUlpSWlJaUlpSlNHQk8xUkVSRVJFUkVSRVJFUkFwam9wYUlpSWlJaUlpSWlJaElZVXpVRWhFUkVSRVJFUkVSRVNtTWlWb2lJaUlpSWlJaUlpSWloVEZSUzBSRVJFUkVSRVJFUktRd0ptcUppSWlJaUlpSWlJaUlGTVpFTFJFUkVSRVJFUkVSRVpIQ21LZ2xJaUlpSWlJaUlpSWlVaGdUdFVSRVJFUkVSRVJFUkVRS1k2S1dpSWlJaUlpSWlJaUlTR0ZNMUJJUkVSRVJFUkVSRVJFcFRLMTBBRVJFUk9WQnE5VWlOaTRlT2JtNVNvZENsVlRTMWY4aEo0ZWZEeUtpeDhWckxqMEtyN2xVVVlSZWo0U0xpYWhlM1U3cFVLZ1NpMCs0aUR4ZG50SmhtTVZFTFJFUlBaWHUzYitQTDFkOUJiV2Fsem95VCtRZWYwUUFBQ0FBU1VSQlZKZW53NzE3OTVVT2c0am9pY2RyTGowS3I3bFVVYlE2SFRadTJvSXRXMzlVT2hTcXhISzF1Y2pLemxZNkRMTjRKU1Vpb3FkS3J0Q25WSUYwU3c4ZzQrNWRwY09oSjRBa1NmZDBXbkZkNlRpSWlKNDB2T1pTU2ZHYVMrVkZMNG0vTFNCdUNFZzE3OTduUXdFcXRwUmNvVTlST29pQ21LZ2xJcUtuU25KQzlNVUd6VjBHcW9WRmJhVmpvU2VFWHB0eDdkSzVPS1hESUNKNjB2Q2FTeVhHYXk2VmsvOWRqRWx5ZEhZZERVZ3ZLQjBMUFRsRVh0NnQ1SXV4RjVXT295QW1hb21JNkdtanYzNCtKa2JwSUlpSWlKNEJ2T1lTVVdXaHY1SVFuUUFnUWVsQWlCNkhTdWtBaUlpSWlJaUlpSWlJaUo1MVROUVNFUkVSRVJFUkVSRVJLWXlKV2lJaUlpSWlJaUlpSWlLRk1WRkxSRVJFUkVSRVJFUkVwREFtYW9tSWlJaUlpSWlJaUlnVXhrUXRFUkVSRVJFUkVSRVJrY0xVU2dkQVJFUkV5aEpDQ0tWalVKSWtTWkxTTVJBUkVSRVJFYkZITFJFUkVSRVJFUkVSRVpIQ21LZ2xJaUlpSWlJaUlpSWlVaGdUdFVSRVJFUkVSRVJFUkVRS1k2S1dpSWlJaUlpSWlJaUlTR0ZNMUJJUkVSRVJFUkVSRVJFcGpJbGFJaUlpTWlzNU9Sbi8rdGUvc0hMbHlpSzNFMEpnMTY1ZCtPQ0REOUNoUXdlMGE5Y083Nzc3TG80ZE8xYmkxNXc3ZHk2OHZMd3daODZjU2hjYkVSRVJFUkZSZVZJckhRQVJFUkZWTHFtcHFmaisrKyt4WThjTzVPYm13c1hGcGRCdHRWb3Rwa3laZ29pSUNOamIyNk56NTg2UUpBbUppWW00Y3VVSzJyWnRXK3pYVFVwS1FraElTS1dNallpSWlJaUlxTHd4VVV0RVJFU3lwVXVYWXNlT0hjakx5ME9MRmkwUUh4OWY1UGJMbGkxRFJFUUUrdmZ2ajg4Kyt3eVdscGJ5T3AxT1Y2TFhEZ3dNckxTeEVSRVJFUkVSbFRlV1BpQWlJaUxaNWN1WDRlWGxoUTBiTnVDRER6NG9jdHZFeEVRRUJ3ZkR3OE1EMDZaTk0wcUVBb0JhWGZ6bndXRmhZWWlJaU1DZ1FZTXFYV3hFUkVSRVJFUVZnZDlTaUlpSVNMWnMyVEpZVzFzREFINy8vZmNpdHcwSkNZRVFBcU5IajRZa1NhVitUWTFHZzBXTEZzSGQzUjA5ZXZUQTl1M2JLMDFzUkVSRVJFUkVGWVdKV2lJaW9tZVh5czNON2JXQ0N3eUowT0k0ZnZ3NExDMHQ0ZTN0allzWEx5SWlJZ0tabVpsd2NuSkN0MjdkVUtWS2xXSWRKekF3RU9ucDZWaTFhaFcwV20yaDJ5a1JHeEVSRVJFUlVVVmhvcGFJaU9nWjVlN3UzbFNsVXEwc3piNDZuUTVKU1VsbzJMQWhnb09Ec1dUSkVxUDE2OWV2eDlxMWExR3ZYcjBpanhNV0ZvWmR1M1poNU1pUmFOYXNHZUxpNGtvVFRybkVSa1JFUkVSRVZKRllvNWFJaU9qWlpRT2crTjFVQzlCb05Nakx5ME5HUmdZMmJkcUVwVXVYSWp3OEhEdDM3a1NYTGwxdzllcFZ6Smd4bzhoanBLYW00b3N2dmtDVEprMHdidHk0MHI2SGNvbU5pSWlJaUlpb29qRlJTMFJFUkNXV2s1TURBTGg3OXk1bXpacUZMbDI2d05iV0ZvMGJOOGI4K2ZQeC9QUFA0OHlaTTBoS1NqSzd2MWFyeFpRcFU1Q2RuWTM1OCtlWGFTbUN4NDJOaUlpSWlJaElDVXpVRWhFUlVZbFZxMVlOQUdCbFpZVTJiZG9ZcmF0U3BRcGF0MjROQUxoeTVZclovUmNzV0lDWW1CaE1uVG9WelpvMXExU3hFUkVSRVJFUktZRTFhb21JaUtqRTdPenNVTDE2ZFdSblo1dGRiMk5qQXdBUVFwaXNTMDlQUjBoSUNBQWdJQ0FBQVFFQkp0dUVoSVFnSkNRRXpabzF3L2J0Mnlzc05pSWlJaUlpSXFVd1VVdEVSRVNsNHU3dWppTkhqaUEyTmhZdUxpNUc2ODZmUHc4QWNIUjBOTm5QeXNvS2d3WU5NbnZNakl3TUhEaHdBSTZPanZEMjlrYmR1blVyTkRZaUlpSWlJaUtsTUZGTFJFUkVwVEpnd0FBY09YSUVnWUdCV0x0MkxhcFdyUW9BQ0EwTlJYUjBORnEyYkNrblE1T1NrbkQ4K0hIMDZ0VUxOalkyOFBQek0zdk11TGc0SERod0FLNnVyb1Z1VTlheEVSRVJFUkVSVlFaTTFCSVJFVkdwdEcvZkhqMTc5c1MrZmZzd1lNQUFlSHQ3SXlVbEJTZFBua1QxNnRVeGUvWnNlZHVaTTJmaTNMbHpTRTlQeDdoeDR5cFZiRVJFUkVSRVJKVUJFN1ZFUkVSVWFqTm56b1N6c3pOKy92bG5oSWFHd3RiV0ZtKy8vVFkrL3Zoak5HalFRTjdPeThzTFNVbEpjSFYxclhTeEVSRVJFUkVSVlFhUzBnRVEwZFBGMDlOVDVFL1FjMCtTcEFjNm5hNWZkSFQwWDBySFJVU20zTjNkM1ZVcTFiYlRwMDgzVnpvV0pVbVN4UHNob2llUW01dmJZSlZLdFZtU3BDcENpSldSa1pFK1NzZEVSRVJFOURoVVNnZEFSRVJFUkVSRVJFUkU5S3hqb3BhSWlJaUlpSWlJaUloSVlVelVFaEVSRVJFUkVSRVJFU21NaVZvaUlpSWlJaUlpSWlJaWhhbVZEb0NJaUlpVTVlWGxCU0hFME1qSXlPMUt4MEpFUkVSRVJQU3NZbzlhSWlJaUlpSWlJaUlpSW9VeFVVdEVSRVJFUkVSRVJFU2tNQ1pxaVlpSWlJaUlpSWlJaUJUR1JDMFJFUkVSRVJFUkVSR1J3cGlvSlNJaUlpSWlJaUlpSWxJWUU3VkVSRVJFUkVSRVJFUkVDbU9pbG9pSWlJaUlpSWlJaUVoaFROUVNFUkVSRVJFUkVSRVJLWXlKV2lJaUlpSWlJaUlpSWlLRk1WRkxSRVJFUkVSRVJFUkVwREFtYW9tSWlJaUlpSWlJaUlnVXhrUXRFUkVSRVJFUkVSRVJrY0tZcUNVaUlpSWlJaUlpSWlKU0dCTzFSRVJFUkVSRVJFUkVSQXBqb3BhSWlJaUlpSWlJaUloSVlVelVFaEVSRVJFUkVSRVJFU2xNclhRQVJFUkVGZVVGeHhhTnExYXQ2cWgwSEpWRnhvTThheXUxV0tHU0pLdGNmVjYyUTNQM3prckhWSmtJb2I5Nk5TSDZpdEp4RUJFUkVSSFJzNEdKV2lJaWVpWTRPTGc3d0VyOENJaEdTc2RTV1VnV0t1UUlBRUw4TThoR0VrcUhWS21vSUtVMmFQcHkvK3VYemlVcUhRc1JFUkVSRVQzOW1LZ2xJcUpuZ3hVY0FPa2xsU1RWdExhMmhvVUZxLytRZWZvOFBSNWtaVUV2OURYVmFnc25BRXpVRWhFUkVSRlJ1V09pbG9pSW5pblY3ZXpnTzJFY21qazFWVG9VcXFTU3J2NFB5MWV1UldwYW10S2hFQkVSRVJIUk00U0pXaUlpZXFaWVdscWlWY3NXOEhCM1ZUb1VxcVNxMjltaGF0VXFTb2RCUkVSRVJFVFBHSTc3SkNJaUlpSWlJaUlpSWxJWUU3VkVSRVJFUkVSRVJFUkVDbU9pbG9pSWlJaUlpSWlJaUVoaFROUVNFUkVSRVJFUkVSRVJLWXlKV2lJaUlpSWlJaUlpSWlLRk1WRkxSRVJFUkVSRVJFUkVwREFtYW9tSWlJaUlpSWlJaUlnVXhrUXRFUkVSRVJFUkVSRVJrY0tZcUNVaUlpSWlJaUlpSWlKU0dCTzFSRVJFUkVSRVJFUkVSQXBqb3BhSWlJaUlpSWlJaUloSVlVelVFaEVSRVJFUkVSRVJFU21NaVZvaUlpSWlJaUlpSWlJaWhURlJTMFJFUkVSRVJFUkVSS1F3Sm1xSmlJaUlpSWlJaUlpSUZLWldPZ0Fpb3NwTUNDR1Vqa0ZKa2lSSlNzZEFSTXA1MXR2QWttS2JTVVJFUkVTUGd6MXFpWWlJaUlpSWlJaUlpQlRHUkMwUkVSRVJFUkVSRVJHUndwaW9KU0lpZXNvbEp5Y2pJeU9qV051bXBxYmk5dTNiaGE3UHpzN0d2bjM3a0plWFY0WVJFaEVSRVJFUkVSTzFSRVJFVHlDOVhvL0ZpeGZqMUtsVGo5eDJ6cHc1bURKbFNyR08rOVZYWDJIZ3dJSEl6YzAxdXo0Mk5oYXpaczNDeG8wYlN4d3pFUkVSRVJFUkZZNkpXaUlpcXJTY25KeXF1N2k0TkFmQUNYb2U4dURCQThURXhPQ1RUejdCTDcvOFV1aDJlcjBlY1hGeDhQRHdlT1F4TlJvTmZ2dnROd3dlUEJoVnFsUXh1MDNyMXEzUnZYdDNoSWFHSWljbjU3SGVBeEVSRVJFUkVmMC90ZElCRUJFOWlaS1RrekZyMWl5NHVMaGd3b1FKaFc0bmhNRHUzYnNSRWhLQ1M1Y3VRYS9YNDRVWFhzRGt5WlBSdG0zYlF2Zjc5ZGRmNGUvdmp3WU5HaUFrSktSU3hWYVJiR3hzR2xwWVdCeno4UEM0SUVuU0RyMWV2MStuMDZYRXhzYW1BOUFwSForU2JHMXQ4ZlhYWDJQaXhJbVlPWE1tZERvZFhudnROWnc5ZTlab3U5dTNieU16TXhNNm5RNi8vLzY3eVhIYXRHa0RXMXRiQUVCd2NERFVhaldHRFJzRzVDZHVlL1RvWWJLUFRxZURKRWw0NDQwM2pKWmJXMXZqdi8vOWJ4bS9VNnFNaXR2T0ZEUjM3bHpzMnJVTGZmcjB3Y3laTStYbG5UcDFna2FqS1hMZnp6NzdESU1IRHphN3p0ZlhGK0hoNFVYdTM3VnJWeXhac3FURXNabnpPTzB6RVJFUkVWRlJtS2dsSWlxQjFOUlVmUC85OTlpeFl3ZHljM1BoNHVKUzZMWmFyUlpUcGt4QlJFUUU3TzN0MGJselowaVNoTVRFUkZ5NWNxWFFaS2hXcThYYXRXc3JaV3hLRUVLb0pFbnlFa0o0U3BMMHVhV2xaWnlIaDhjWnZWNy9oMXF0UG5MNjlPa1VwV05VaXJXMU5WYXNXSUZGaXhhaFRaczJpSTJOaForZm45bHROMi9lYkhiNTFxMWI0ZXpzak96c2JHemJ0ZzNEaHcrSHJhMHRkRG9kaEJEUWFEVG8zNy8vSTN2a0hqcDBDTWVPSFN1VDkwV1ZWMG5hbVlLU2twSUtUV3AyNnRRSldWbFpadGVkUFhzVzZlbnBhTmFzV2FISGRuTnpnNFdGaGRsMS8vdmYvNUNZbUZqay9rWEY5ckRTdHM5RVJFUkVSTVhCUkMwUlVURXRYYm9VTzNic1FGNWVIbHEwYUlINCtQZ2l0MSsyYkJraUlpTFF2MzkvZlBiWlo3QzB0SlRYNlhTRmR3Yjk4Y2Nma1p5Y0RFa3EvbWovaW9wTlNkSS92NUNhQUY0VFFyU3hzTEI0WDYvWDMvUDA5RHlxMStzM1JVVkY3WDhXZTlsYVdWbGgxcXhaQUlDNHVEZ0F3UGJ0MjFHL2ZuMEF3UHZ2djQvazVHVDg5dHR2VUtuK3YrTFI2ZE9uTVhIaVJQbm5IVHQyQUFCR2poeUpsSlFVakJneFFrNzZObS9lSE1lT0hjUHc0Y1BSdkhsenMzSGN2MzhmS1NuUGJNNzhtVkRTZHFhZ3dNREFRdGZObVRQSDdQSzB0RFQwN3QwYnI3NzZLanc5UFF2ZC8vMzMzemU3WEFpQjRjT0hvMGFOR25JdjhaTEc5ckRTdE05RVJFUkVSTVhGUkMwUlVURmR2bndaWGw1ZUdETm1ETkxUMHd2dHVRZ0FpWW1KQ0E0T2hvZUhCNlpObTJieXBWNnROdC84M3J4NUUwRkJRZWpkdXpmMjc5OWZxV0pUbWhDaTRJOHFJWVNkSkVsMkFBYXFWS3FCSGg0ZU53RDhuSmVYRndMZ3d1M2J0OU92WDc5dXZwdmVVK0M3Nzc1RGNuSXlKaytlYkZKUDFzcktDdFdxVlVOVVZCUXVYNzRNNUE5VmYrbWxsK1J0Q3U2VG5wNk9qUnMzWXRLa1NiQzJ0c2JTcFVzaGhFQ2JObTBRR2hxSzhQQndoSWFHb2xtelprVW10ZXpzN0JBWkdWbXNlcmowNUNsSk8xTlFXRmdZSWlJaU1HVElFR3pmdnIzWXI3ZCsvWHJrNU9SZzNMaHhwWXIzd0lFRFNFaElnSStQajF6ZTQzRmlLMjM3VEVSRVJFUlVYSlh6MnpnUlBRMHNoQkJWQUhpNnU3dGJLUjFNV1ZpMmJCbXNyYTBCd0d5dHo0SkNRa0lnaE1EbzBhTkwxUE5xNGNLRlVLdlZtREJoUW9rU0FlVVZtN3U3ZStkaUIxRStIQ1JKa3NjMEcrSXRtTFF0OFAvNmtpUk5VS3ZWWXdDY3ExT256a2w3ZS92WXZMeThJekV4TWJFVkhuazV5OG5KUVhCd01HSmlZckJvMFNJMGJOZ1FucDZlMkxCaEErcldyUXZrbHp0bzFLZ1I5SG85VHB3NFlaU29mZm5sbDdGaHd3WTBhdFFJQnc0Y2dFYWp3YkpseTdCa3lSSmtaMmRqOHVUSnFGNjlPcXBYcjQ2UWtCQjA2TkFCSGg0ZXVILy9QcERmMjNIUG5qMTQ0NDAzMEtCQkEvbTQxYXRYVitDM1VUNkVFTEJVNlIwcndYbFFLWlNrblRIUWFEUll0R2dSM04zZDBhTkhqMkluYW0vY3VJSGR1M2VqVTZkT2FOV3FWWWxqemN2TFExQlFFT3p0N1RGbzBLQXlpYTA0N1RNL0t4VkxDTkZTa2lST2preEVSRVJQRFNacWlhaTgyQUNvSmtuU1FrbVM4cFFPcGl3WUVoVEZjZno0Y1ZoYVdzTGIyeHNYTDE1RVJFUUVNak16NGVUa2hHN2R1cG4wZ0VUK0JEVVJFUkh3OC9QRGM4ODlWeWxpa3lScFY0a0NLV09TSkttRUVGVWZUaWdYbG1ET1Q5cGFTWkxrQmNCVGtpU3RXcTIrNis3dW5xRE5rMDQ4MElxblpyenltREZqNE96c2pHblRwdUdERHo3QTd0MjdVYU5HRGJrMzY5R2pSeEVlSG83cDA2ZmozTGx6K09PUFB6Qml4QWdnLy9lMGF0VXFOR2pRQUI0ZUh1allzU1BtejUrUDJyVnJZKzNhdFVoUFQ4ZkFnUU1CQUpHUmtUaC8vang4Zkh6ZzR1SWkxeVFORFEzRm5qMTc4Si8vL0FjdnZ2aWlncitKOGlNQnNLbWlIcVJTcWN6WGUzakdsS1NkTVFnTURFUjZlanBXclZvRnJWWmI3UDAyYk5nQW5VNkhqejc2cU1TdmlmejI5T3JWcS9EeDhZR1ZsZmxuaFNXSnJianRzMHFsMmxhcWdLbFVoQkJWaFJCcWxxSWdJaUtpcHdVVHRVUlVwb1FRRVFCZUZrSThKMG1TVUtsVXVaSWtGZi9iK1ZOQXA5TWhLU2tKRFJzMlJIQndzTWxNNCt2WHI4ZmF0V3RScjE0OWVWbEtTZ29XTGx5SVZxMWE0ZDEzMzYwMHNVbVNsRjF1d1JTREVFSU5RT1RuekVxeVg4RWZjMVFxbFZibzlmb3lEMUJoblRwMXdvWU5HNUNTa2dJN096dDVlVlpXRmhZdFdvUW1UWnFnZCsvZWVPNjU1L0RaWjUvaDl1M2JxRkdqQmhZdVhJaWRPM2RpMEtCQjBPdjFxRm16SnQ1ODgwM0V4Y1hoN05teldMcDBxVnkzZU9YS2xRQWc5OFk5ZnZ3NDh2THk4TWNmZjhES3lncEpTVWxJU2tvQzhpZDFzckd4VWVSM1VWNEVvQlpDUEJXakFpcGFXRmdZZHUzYWhaRWpSNkpaczJaeURlVkhTVTlQUjJob0tGeGNYTkN5WmN0U3ZmYjMzMzhQS3lzcjlPM2I5N0ZqSzBuN3pNOUt4UkpDV0VpU3BNOHZoL08zMHZFUUVSRVJQUzRtYW9tb1RBa2gzZ1B3TG9CWkFITHo4dkptcWxTcTRuMDdyNXpDU3JxRFJxTkJYbDRlTWpJeXNHblRKaXhkdWhUZTN0NXl6NjJ3c0RETW1ERUQ2OWV2Qi9LSDZQcjcrME9uMDJIT25EbEdFejZWdFpMR3B0ZnJoNVpiTU1Yam9GS3AxZ0l3NnNwblNNUVcwdE5XSjRTNEFPQ2tYcStQRmtMOEdSMGRmZHFodVh0N1NDaGQ5N3hLckVXTEZtalJvb1hSc2psejV1RDY5ZXVZT25VcTFHbzFYbnZ0TlZoYlcyUGJ0bTFJU0VqQVgzLzlCVDgvUDZNaDRVSUlMRjY4R0sxYnQwYVhMbDBBQUwvOTlodWlvNk9OanUzcjZ3dWRUaWZYTXA0eVpRcUVFTWpKeWNIV3JWdmg3T3hjSWUrN0lnZ0FEM0oxVzIycnFvcy9hOWJUcDhSdElBQ2twcWJpaXkrK1FKTW1UVXBjWXpZNE9CZzZuUTVEaDVhdStUbDE2aFF1WHJ5SS92MzdteTNGVVpMWVN0bytDeUg2bFNwb0toVzlYdTlrWVdFeEEwQWpTWkl1S3gwUEVSRVIwZU5pb3BhSXlsUlVWRlNTcDZkbnJCQkNKMGxTTG9BelVWRlJmeWtkVjBYS3lja0JBTnk5ZXhlclY2OUcyN1p0QVFDMnRyYVlQMzgrK3ZidGl6Tm56aUFwS1FrT0RnNElEQXhFVkZRVVpzeVlnY2FORzFlcTJLS2lvZzZYYTBDUDRPYm05cklRUW0rdU5xMUJnV1J0bWhEaUo1MU90MTJ0VnNkblpHVGNUMHBLVXJSSGNFVTRkKzRjcWxXckJrZEhSd0RBMXExYjVmcVpobVJxMWFwVjBhdFhMM3p6elRlb1Zhc1cxcTFiWnpMaDE5YXRXeEVmSDQvdnYvOGVLU2twdUhmdkhsYXVYSW5xMWF2ajNyMTdSdHY2K3ZwaThPREI4czhKQ1FrWU5teFlCYnpiaWlWSkVuUjYxUldsejRNbmpWYXJ4WlFwVTVDZG5ZMzU4K2ViTGZWUzFMN0J3Y0d3dDdkSHQyN2RTdlg2MjdiOVUzMWd5SkFoangxYlNkdG5mbFlxbHJ1Nyt4MUpraDdrLzJoNmdTQWlJaUo2d3JENFBoRlJHYXRXclJvQXdNcktDbTNhdERGYVY2VktGYlJ1M1JvQWNPWEtGZnp5eXkvWXVuVXJldlRvVWVnUVhhVmlxd3hVS3BVbytPVmJraVJEWWxZUDRMWVE0b0lRWXJ0ZXIrK1huWjFkUHpJeWNseE1UTXlSeU1qSTFHY2hTUXNBUC96d0E0WU1HWUtjbkJ6czM3OGZYMzc1cGNuZkZnQ0dEUnNHdFZxTlBuMzZtQ1JwczdLeTVCSUg3NzMzSG5yMjdJbnQyN2ZEeWNrSi8vNzN2eXZzdmREVFljR0NCWWlKaWNIVXFWUFJyRm16RXUwYkVSR0IyN2R2NDQwMzNwQWZOSlJFUmtZR2podzVBbWRuWnpSdDJ2U3hZcXZvOXBtSWlJaUlpRDFxaVlqS21KMmRIYXBYcjQ3c2JQTjVRa01OVHlFRXZ2bm1HeUEvSWZETEw3K1liSHY5K25WNGVYa0JBQTRmUG14VWg3UzhZNnNNOUhxOXBGS3BKT1FuYVlVUWR3QkVTWkowQXNCZk9wM3VaSFIwOUhXbDQxUlNWRlFVWG43NVpSdzdkZ3orL3Y1bzJyUXBGaXhZSUpjdk1LaGZ2ejRHRFJxRUxWdTJvSFBuem1qVnFwVzh6dHJhR2g0ZUhtamN1REdjblozaDVPUUVKeWNuQURCYnV6TWhJUUcvLy82Ny9ITnljbks1dmtkNmNxU25weU1rSkFRQUVCQVFnSUNBQUpOdFFrSkNFQklTZ21iTm1tSDc5dTFHNnc0Y09BQUE2TjY5ZTZsZS8rREJnOURyOVdiM0wybHNoZ25HS3FwOUppSWlJaUppb3BhSXFCeTR1N3ZqeUpFamlJMk5oWXVMaTlHNjgrZlBBd0FjSFIzeDl0dHZJejA5M2V3eGR1N2NDU3NySzd6enpqc0FJRS91VkZHeFZSYVNKT24xZW4wa2dKLzBldjF2ZXIzK1J0V3FWVytmUG4zNm1acWt6cHprNUdUY3VuVkw3Z0hic0dGRHJGMjdWdTQ1L2JCeDQ4Ymh5SkVqOFBIeHdjYU5HK0hnNENDdkN3b0tLdmJySGp4NEVFZVBIcFYvMXVsMGovbE82R2xoWldWbFZQdTRvSXlNREJ3NGNBQ09qbzd3OXZaRzNicDFqZFpuWjJjaklpSUM5dmIyY0hWMUxkWHJHeEs5WGJ0MmZlelk4dkx5S3J4OUppSWlJcUpuR3hPMVJFVGxZTUNBQVRoeTVBZ0NBd094ZHUxYVZLMWFGUUFRR2hxSzZPaG90R3paRW82T2p2am9vOExudHRxelp3OXExcXdKUHo4L2Vaa1FBbnYzN2tYOSt2WGxubHpsRlZ0bG9OVnFyMHFTNUJVVkZaWEkrb09tVHAwNkJRQm8zYm8xQmc4ZURDRUVhdFdxWlpJNHpjN094cTVkdTlDclZ5OHNXYklFbzBhTndxaFJvN0JreVJLVHo1RkdvOEhseTVlUm1KaFlhRTNPY2VQR1BSTTFhcW5rYkd4c2pOcXNndUxpNG5EZ3dBRzR1cnFhM2ViTW1UUEl5c3BDdDI3ZFRDWUtOQ2lxRGN6S3lzS1pNMmRRcjE0OW80Y1FaUkhidzh5MXowUkVSRVJFajR1SldpS2ljdEMrZlh2MDdOa1QrL2J0dzRBQkErRHQ3WTJVbEJTY1BIa1MxYXRYeCt6WnMwdDEzS05IanlJZ0lBQ1dscFk0ZlBnd3JLeXNLazFzNVNFdUxrNEQ0S0xTY1ZSV0VSRVJVS3ZWY0hWMU5mdFp5TXJLd3ViTm03Rmx5eGJjdm4wYmI3LzlObDU2NlNWOCtlV1htRGh4SXNhT0hZc1BQdmdBblRwMXdxcFZxM0QxNmxXa3BhV2hjZVBHY0hOelE2dFdyVXdtRWlNcUw3R3hzUUNBbGkxYkZycE5VVzFnWEZ3YzlIcDlrZnNURVJFUkVWVm1UTlFTRVpXVG1UTm53dG5aR1QvLy9ETkNRME5oYTJ1THQ5OStHeDkvL0RFYU5HaFFxbU02T2pyQzN0NGVEZzRPY2svWXloSWJWU3l0Vm91Ly92b0xyVnExTWtuU3hzZkhBd0NXTFZzR1NaTHcrdXV2NC8zMzMwZk5talVCQU43ZTN0aXdZUVA4L2YzbFlkNHVMaTRZT1hJa1hGeGM1TzFRb05kdVFjdVhMNWNuSDBNbHFtbE1UelpEb3JaRml4YUZibE5VRzNqdTNMbEg3azlFUkVSRVZKa3hVVXRFVkFyZHUzZkg2ZE9uaTl6R3dzSUN3NFlOSy9XUThELy8vTk5rMllzdnZvamZmdnROOGRoSWViR3hzWGp3NElIWkVoZ0pDUWtBZ0M1ZHVtRGN1SEZvMHFTSnlUWXRXclJBY0hDd1BNVDhQLy81VDdGZnUwK2ZQdWpRb1lQODg0MGJON0JreVpKU3ZoTjZFaFdublhsWXk1WXRpOXluWVBLL01FVzFnZSs5OXg3ZWUrKzlFc1ZVM05nZVpxNTlKaUlpSWlKNlhFelVFaEVSUFlFOFBEeXdaODhlV0ZoWW1Ld2JNR0FBSEIwZEgxbkh1TEE2b0ErL1RrUkVoRHhCV1dFSnFpRkRoaFE3ZGlJaUlpSWlJakxGUkMwUkVkRVRxbjc5K21hWFM1SlU2c25tSG1aaFlTRW5hWW1JaUlpSWlLajhxSlFPZ0lpSWlJaUlpSWlJaU9oWngwUXRFUkVSRVJFUkVSRVJrY0pZK29DSXFBaFNjWXA0RWhFOXBkZ0dFaEVSRVJGVkhQYW9KU0lpSWlJaUlpSWlJbElZRTdWRVJFUkVSRVJFUkVSRUNtT2lsb2lJaUlpSWlJaUlpRWhoVE5RU0VSRVJFUkVSRVJFUktZeUpXaUlpSWlJaUlpSWlJaUtGTVZGTFJFUkVSRVJFUkVSRXBEQW1hb21JaUlpSWlJaUlpSWdVeGtRdEVSRVJFUkVSRVJFUmtjS1lxQ1VpSWlJaUlpSWlJaUpTR0JPMVJFUkVSRVJFUkVSRVJBcGpvcGFJaUlpSWlJaUlpSWhJWVV6VUVoRVJFUkVSRVJFUkVTbU1pVm9pSWlJaUlpSWlJaUlpaGFtVkRvQ0lpS2dpYWYrdnZYdVBxcXJNL3pqKzJZZXJGd3p2V3FpWU1vcW1uYU0vN0xKc09kbGx0SXVtcHVYTXFDMjF0S2Ewc1RLZEZET3RMRXZ4TW1FWHlzSEp5MlFhWGJBeWYzZ3JKWDhxZ2FJT21LaUFtSkNncUNEbm5QMzdRenlKSUdvS0crSDlXb3UxT0hzLys5bmZmVGh0NDhPem42ZW9TRHVTZDZudzlHbXJTMEVWbGJiL2dBb0wrWHdBQUFBQXFGd0V0UUNBR3VYWThlT2FQUzlTM3Q3OEU0aXlPVjFPSFR0MjNPb3lBQUFBQU5Rdy9KWUtBS2dSVHB2dVE3NHlEcnNsSGMzTHM3cWNLbVZmOHZaQXEydTQybHAzY09SZWFSK0dZUnh6RnBucFY2Y2lBQUFBQUNnZlFTMEFvRWJJM0pPWUV0UyswMEJ2MDZ1aDFiVlVRWEZXRjNEVm1lcDN4WDI0aTQ0ZTNMc3orYXJVQXdBQUFBQVhRVkFMQUtncDNPbTdrNUtzTGdLVkkyMTN3bHFyYXdBQUFBQ0F5Mkd6dWdBQUFBQUFBQUFBcU9rSWFnRUFBQUFBQUFEQVlnUzFBQUNnMnVuWXNXT0RtMjY2cVlYVmRRQUFBQURBcFdLT1dnQUE0TEYxNjFZdFc3Wk15Y25KeXNuSlVZTUdEZFNsU3hlTkhEbFNyVnExdXVSK1RwNDhxWVVMRjJyTm1qWEt6TXlVcjYrdmJyenhSczJZTVVOTm16YTk0SEhUcDAvWHlwVXIxYmR2WDRXSGg1ZmF2Mzc5ZWtWSFIydlBuajB5REVNZE8zYlU4T0hERlJZV1ZxS2RuNStmWGRJL0hRN0hUcGZMRmUzajQ3TnE2OWF0UlpmNWRnQUFBQUJBcFNHb0JRQUFIak5uemxSK2ZyNUNRME5WcDA0ZDdkcTFTN0d4c1lxTGk5TkhIMzJra0pDUWkvYVJsWldsVWFOR0tUMDlYU0VoSWVyVnE1ZE9uVHFscEtRazVlYm1YakNvVFV0TFUweE16QVg3WGJGaWhWNTk5VlhWclZ0WFBYcjBrTXZsMHZyMTZ6VjY5R2k5L3ZycnV2ZmVlODl0N211YVpqUERNTnA3ZTNzUGNMdmQyUTZIWTZta3p3b0xDMU55YzNPek16TXpULzZlOXdnQUFBQUFLZ0pCTFFBQThCZy9mcnpzZHJ0c3R0OW1SM3I5OWRlMWZQbHlMVjY4V0ZPbVRDbjNlS2ZUcVdlZmZWWVpHUmtLRHc5WDM3NTlQZnRNMDVUTDVicmdzUkVSRVJmY1YxUlVwTGx6NXlvd01GQWZmL3l4bWpWckpoV0h1ME9IRHRXc1diUE9EMnBMTUF5amthU25UZE44M00vUGIzZVRKazErYk55NDhTYlROTGNrSmlZbVMzS1hlMkVBQUFBQVVNR1lveFlBQUhoMDZkS2xSRWdyU1gvNjA1OGtTY2VPSGJ2bzhTdFhybFJLU29xR0R4OWVJcVRWbWJCVTN0NWwvNDA0TGk1T0d6WnMwS0JCZzhyY2YvandZUjAvZmx3OWV2VHdoTFNTRkJ3Y3JEdnV1RU5Iamh4UlhsN2V1WWVZSlY2WXBrelRsQ1Evd3pCdU5neGpwTTFtbSt2bDVmV0Z3K0g0eHVGd2pMRGI3WUVYdlVBQUFBQUFxQ0FFdFFBQW9Gejc5KytYeml6UWRkRzJLMWV1bEsrdnI0WU9IWHJKL2VmbjUrdU5OOTZRM1c3WC9mZmZYMmFiUm8wYXlkL2ZYMWxaV2FYMlpXWm1LakF3VVBYcTFUdDNzMUhpaGZIYnkrTEExcEJVMXpDTVlNTXc3allNNHdQRE1MSWNEc2VuZHJ1OWI5ZXVYWnQzN3R5NXp2bjlBQUFBQUVCRlllb0RBQUJxTGx1blRwM0tURitMaW9xVWs1T2pqUnMzYXU3Y3VRb05EZFVqanp4U2JtZDVlWG5hczJlUHdzTENWS2RPSGYzd3d3LzY2YWVmWkJpR0hBNkhicm5sbGpLUGk0aUlVRTVPanViTm02ZWlvckxYKy9MMzk5ZW9VYU0wWjg0Y1JVWkdhdkRnd1hJNm5mcnd3dytWbUppb1NaTW1sUWhqM1c1M2Q4TXdmTTd0bzR5d3RzVDNobUg0U2VvdjZTSFROUGQ1ZVhsOWYvUE5OLzlnczltMkhqbHlaR2Q2ZXZxcGN0OEF5UTlzREFBQUhzMUpSRUZVQUFBQUFMZ0NCTFVBQU5SUW5UcDFDdmIyOXA1OS92Wjc3cmxIdi83NnF5VEoyOXRianovK3VJWU1HU0kvUDc5eSswdEpTWkVrdFdqUlFoTW1UTkIzMzMxWFluK1BIajMwNXB0dmxwaitJQzR1VGl0WHJ0U1FJVU1VRWhLaTVPVGtDL1kvZE9oUTVlZm42NE1QUHRBSEgzemcyVDVtekJqMTY5ZXZSRnZETU1aS3FuMmh2czROYmM4eVRWT0dZY2d3REp1a05wSnV0TmxzZDVtbStYNjlldlhTSlJIVUFnQUFBS2d3QkxVQUFOUlFobUUwS1E0a1MramJ0Njl5YzNOMTVNZ1I3ZGl4UTVHUmtkcTllN2ZDdzhQUG4xNmdoTnpjWEVuU3VuWHIxTFJwVTBWSFI2dDE2OWI2NzMvL3ErblRwMnZkdW5XS2lvclNxRkdqSkVsSGpoelJ0R25UZE9PTk4rcXBwNTY2YUwyZmYvNjVvcU9qRlJBUUlJZkRJWmZMcGUzYnQrdTk5OTVUVUZDUTdycnJybk92emV2Y1ViTTZieFR0ZWUvRDJmMm1KSmVrSXJmYjdaTDBkMG5MRXhJU2NpOWFIQUFBQUFCY0lZSmFBQUJRd3ROUFArMzV2ckN3VVBQbXpkT1NKVXNrU1crOTlkWUZqenQ5K3JUbm1EbHo1cWhCZ3dhU0pMdmRyamZlZUVPREJnM1NpaFVyTkdyVUtCVVZGZW1GRjE1UVFVR0JYbnZ0TmZuNitwWmJVM0p5c2w1NTVSVzFiOTllYytmTzlmUjkrUEJoL2UxdmY5TS8vdkVQZmZMSkoyclpzcVYwWnVxRE1UYWI3VzFKOVhTQmtQYWNnTGJRTUl6L21xYTUyelRObjF3dTF6YlROTk4yN05peDYvTGZQUUFBQUFENGZWaE1EQUFBWEpDZm41L0dqUnVuWnMyYUtTNHVUa2VQSHIxZzIxcTFha21TYnI3NVprK1FlbGFiTm0zVXJGa3paV2RuNjlpeFkzcjk5ZGVWbEpTa0NSTW1LQ1FrNUtKMUxGdTJUS1pwNm9VWFhpalJkOU9tVGZYODg4L0w2WFRxazA4KzhXeTMyV3pwcG1tNlRkTXNGZElXQjdSdVNYc2x2ZU4ydXdlYnB2bm9MNy84OGxoQ1FzS3JTVWxKcXdocEFRQUFBRlEyUnRRQ0FJQnkyV3cydFc3ZFdsbFpXVHAwNkpEcTE2OWZacnVnb0NCSmtzdmxLbk4vN2RwbnBvek55Y2xSVEV5TUpHbnExS21hT25WcXFiWXhNVEdLaVlsUlNFaUlsaTVkcXYzNzkwdkZnZS81MnJadEswbEtTMHNydGUvOHVXaE4wenpwZHJ1L01rMHo4cWVmZmxwZlBOVUJBQUFBQUZpT29CWUFBSlRMTkUxUFVOcTBhZE1MdG12ZHVyV3V1KzQ2N2RxMVN3VUZCZkwzOS9mc3k4L1BWM3A2dWhvMGFLQW1UWnBvMEtCQlpmWng5T2hSclY2OVdxMWJ0MVpZV0ppYU5Ha2lTWjV3K09EQmd3b05EUzF4ek5uYXpoL0ZXMXo3cjRaaDdITzczYnNNdy9qcStQSGphMUpUVTQvOHJqY0NBQUFBQUNvUVFTMEFBSkFrL2ZqamovTHg4WkhENGZCc2M3bGNXckJnZ1RJek0zWHJyYmVxWWNPR25uM3g4ZkhLeWNuUmZmZmRKMG55OXZaVzM3NTlGUjBkclFVTEZ1alpaNStWenN3WHF6bHo1dWowNmRONjRJRUhWS2RPSGIzNDRvdGwxcENjbkt6VnExZXJjK2ZPSmRyY2M4ODlXcjkrdmViTW1hTlpzMlo1UnVmbTV1WnE5dXpaa3FTNzc3N2IwNzZvcUNqRDI5dDdobW1hU1U2bmMzZFNVdEorUnM4Q0FBQUFxTW9JYWdFQWdDUXBJeU5EMDZkUFYwaElpRUpEUTFWVVZLUWRPM2JvNE1HRGF0Njh1U1pQbnV4cGUrTEVDVDN6ekROeXVWeHExS2lSdW5Yckpra2FNV0tFZnZqaEJ5MWF0RWpidG0xVG16WnRsSnljck5UVVZMVnIxMDVQUFBIRTc2cXRkKy9lV3J0MnJkYXNXYU4rL2ZxcGE5ZXVjcmxjMnJKbGkvTHk4dFNuVHgvZGNjY2RudlpKU1VrN0pPMHNub3NXQUFBQUFLbzhnbG9BQUNCSnV2MzIyelY0OEdCdDJyUkpxMWV2bHN2bFVsQlFrSVlQSDY2aFE0Y3FJQ0RBMDdaV3JWcnExS21URGgwNnBGYXRXbm0yMTYxYlZ4OTg4SUVXTEZpZ05XdldhTStlUFdyY3VMR0dEUnVta1NOSGVoWWN1MXlHWWVpTk45N1F5cFVyOWRsbm4ybjkrdlV5REVNaElTRWFNR0NBN3IvLy92TVBNWXUvQUFBQUFPQ2FZRnhDR3dDNExGMjZkT2xsbXVZU3d6QUtuRTVudjhURXhNMVcxd1NndE02ZE85L3E1ZVcxWk51MmJjRlcxM0sxR2VldklnYWcyckhiN1hhYnpiWkVVbnZUTkFkdjM3NTlxZFUxQVFBQVhBbWIxUVVBQUFBQUFBQUFRRTFIVUFzQUFBQUFBQUFBRmlPb0JRQUFBQUFBQUFDTEVkUUNBQUFBQUFBQWdNVzhyUzRBQUFCWXEydlhyZ1dTK20zYnR1MXJxMnNCQUFBQWdKcUtFYlVBQUFBQUFBQUFZREdDV2dBQUFBQUFBQUN3R0VFdEFBQUFBQUFBQUZpTW9CWUFBQUFBQUFBQUxFWlFDd0FBQUFBQUFBQVdJNmdGQUFBQUFBQUFBSXNSMUFJQUFBQUFBQUNBeFFocUFRQUFBQUFBQU1CaTNsWVhBQUJBWlduZU9yU1ZuNTlmYTZ2cnFDb0tpdHdkNm5qSjN6Uk5XNEhUN0J6YzNsNWdkVTFWaVdtNjkrL2ZrN2pQNmpvQUFBQUExQXdFdFFDQUdpRTQyQjRzZjNPWlpMYTB1cGFxNHJRTXcxbmc5aktrWXk3VEhDZkRNSzJ1cVNxeHlUZ1MxS1pqLy9TOU8xT3RyZ1VBQUFCQTlVZFFDd0NvR2Z3VkxCbC9zQmxHWUsxYXRlVGx4ZXcvS0p2YjVkYkpVNmZrTnQyQjN0NWViU1VSMUFJQUFBQ29jQVMxQUlBYXBWNUFnTWFOZVVvaGJkdFlYUXFxcUxUOUJ6UnI3anM2a3AxdGRTa0FBQUFBYWhDQ1dnQkFqZUxqNDZPYk9vVEtZZTlzZFNtb291b0ZCTWpQejlmcU1nQUFBQURVTUR6M0NRQUFBQUFBQUFBV0k2Z0ZBQUFBQUFBQUFJc1IxQUlBQUFBQUFBQ0F4UWhxQVFBQUFBQUFBTUJpQkxVQUFBQUFBQUFBWURHQ1dnQUFBQUFBQUFDd0dFRXRBQUFBQUFBQUFGaU1vQllBQUFBQUFBQUFMRVpRQ3dBQUFBQUFBQUFXSTZnRkFBQUFBQUFBQUlzUjFBSUFBQUFBQUFDQXhRaHFBUUFBQUFBQUFNQmlCTFVBQUFBQUFBQUFZREdDV2dBQUFBQUFBQUN3R0VFdEFBQUFBQUFBQUZqTTIrb0NBT0JxTVUzVHRMcUdxODB3RE1QcUdnRFVYTlh4dm5vNXVBY0RBQUNnTWpHaUZnQUFBQUFBQUFBc1JsQUxBQUFBQUFBQUFCWWpxQVVBb0pwTFNVbFJYbDZlMVdVQUFBQUFBTXBCVUFzQXdEWEk2WFJxd29RSmlvMk5MYmRkZG5hMi92clh2MnJCZ2dXWDFmL0VpUlAxd2dzdnlPbDBlcmJGeDhkcjNMaHhTazFOL2QxMUF3QUFBQURLUmxBTEFLaXkyclZyRjJDMzIwTWtzYURQZVlxS2luVHk1RWxObmp4WkVSRVJjcnZkWmJacjFLaVJCZzBhcE8rKyswNG5UcHk0cEw1Ly9mVlhyVm16UmdVRkJmTDIvbTNkMGN6TVRLMWJ0MDY1dWJsWDdUb0FBQUFBQUdkNFgwSWJBTGptSER4NFVJc1hMMVo4Zkx3T0h6NnMyclZyS3lRa1JJODk5cGk2ZGV0VzVqR21hZXF6eno1VFRFeU05dTdkSzdmYnJlYk5tK3U1NTU3VGJiZmRkbG5uWDdWcWxTWk5tcVNnb0NERnhNU1Uydi96eno5cndZSUYrci8vK3o4VkZCUW9PRGhZQXdZTVVQLysvY1VpNDcveDkvZHZhYlBaZnVqU3Bjc3VTWXRPbno3OXRaK2ZYL2JXclZ1UFN5bzdtYXdoYXRXcXBkbXpaK3ZWVjEvVm9rV0w5TXN2ditpNjY2N1Q1NTkvWHFxdDIrMldhWnE2OTk1N1MrMXpPQnlhUDM5K2lXMWZmZldWWEM2WEJnNGNlRW0xbUthcEw3NzRRcjE3OTVhUGo4OFZYQldxc3ExYnQyclpzbVZLVGs1V1RrNk9HalJvb0M1ZHVtamt5SkZxMWFwVnFmYmJ0Mi9Yd29VTGxaaVlxSk1uVDZwWnMyYnEyYk9uUm80Y3FUcDE2bHowZkhsNWVYcnZ2ZmUwZHUxYTVlVGtxSEhqeHJyMzNuczFZc1FJMWE1ZDI5TGFBQUFBZ0lwQVVBdWdXbHEyYkpsV3JWcWxUcDA2eVc2M0t5TWpRL0h4OFlxUGoxZDRlTGo2OXUxYm9uMVJVWkZlZU9FRmJkaXdRWTBhTmRJZi8vaEhHWWFoMU5SVTdkdTM3N0tDMnFLaUlyM3p6anNYM0w5NzkyNk5HREZDaFlXRjZ0Njl1K3JYcjYvNCtIaTk5dHByU2tsSjBZUUpFNjdvMnFzYjB6UzlETU80eFRUTmJqNCtQa2ROMDB6bzBxWExaa21iblU1bmZHSmk0aTlXMTJnVkx5OHZoWWVIcTJIRGhnb0xDMU5BUUlDNmR1MnFBd2NPS0QwOVhiZmNjb3U4dkx5MGQrOWVHWWFoRzIrOHNWUWY5ZXZYTC9IYTZYUnF5WklsYXRXcWxicDM3MzVKZFVSR1Jpb3FLa3FwcWFrYU4yN2NWYnMrVkMwelo4NVVmbjYrUWtORFZhZE9IZTNhdFV1eHNiR0tpNHZUUng5OXBKQ1FFRS9iMWF0WGErTEVpUW9JQ0ZCWVdKaTh2THkwZmZ0MlJVZEhhOU9tVGZyb280OVVxMWF0QzU0clB6OWZ3NGNQVjFwYW1tNjY2U2JkZXV1dDJyVnJseFl1WEtqTm16ZnJ3dzgvbEorZm55VzFBUUFBQUJXRm9CWkF0WFRmZmZmcHlTZWZMREV5NnR0dnY5WEVpUk1WRlJWVktxaDkrKzIzdFdIREJ2WHYzMS9qeDQ4dk1TcnczRGs2TDhXeVpjdVVtWmw1d1pHeGtaR1JLaWdvVUVSRWhPNjQ0dzVKMHFsVHAvVDQ0NC9yazA4KzBlREJnOHNjQVZiVEdXZmUwQWFTZXBxbStVZkRNSTU2ZTNzZmNUZ2NQNWltdVRRaElTRk8wdVg5c0txSnYvM3RiNTd2UTBORE5XM2FOTVhIeDJ2U3BFbXkyV3o2ejMvK0k1ZkxwU2VlZU9LaWZjWEd4dXJ3NGNNS0R3K1h6WGJ4R1pKV3JWcWxxS2dvdFd6WjhwTDZ4N1ZyL1BqeHN0dnRKVDRYcjcvK3VwWXZYNjdGaXhkcnlwUXBudTBwS1NrYU9uU29SbzBhNVFsVUN3b0s5Tnh6ejJuejVzMzY5Tk5QOWRlLy92V0M1MXF4WW9YUzB0STBkT2hRalIwN1Zpb2V1VDFqeGd3dFg3NWNzYkd4NnRldm55VzFBUUFBQUJXRk9Xb0JWRXNkT25RbzlmanFYWGZkSlM4dkwrWGw1WlhZbnBxYXF1WExsOHZoY09nZi8vaEhxVWUzejUyajgyS3lzckswWU1FQzllblRwOFJvcjNPbHBLUW9LQ2pJRTlLcStESDIvdjM3UzVMMjd0MTd5ZWVyU1V6VDlIeEpzcG1tMlZCU2U4TXdodHRzdG04ZERzZlBEb2RqaHQxdUQydmZ2bjNERGgwNitGcGRjMFg2OTcvL3JiZmZmcnZVSHhLT0hUdW1iNy85VnYzNjlaUE5abE42ZXJxMmJkdW11KysrKzZKOUZoUVU2TjEzMzVVa2Rlelk4YUx0di8vK2UwMmRPbFgxNjlkWFJFU0U2dGF0ZXdWWGhLcXVTNWN1cGNMN1AvM3BUMUx4NSs1Y2d3Y1AxcGd4WTByY0IvMzkvVFZ5NUVoSlVrSkNRcm5uU2tsSmtTUTkrdWlqbm0yR1llZ3ZmL2xMaWYxVzFBWUFBQUJVRkViVUFxZ3dwbW42Mm15MkxuYTczZC9xV2xTOEVKTEw1U29WUU1YRXhNZzBUWTBZTWVLSzU0ZWRNV09HdkwyOU5XYk1HSDM3N2JkbHRna0tDdEtlUFh0VVVGQWdmLy9mM3ByTXpFeEpVb3NXTFR6YjdIYjdINitvb0d0ZnNHRVlYbWRmblAzNUZJZTE1My9md2pDTUZ3M0RHRnU3ZHUyZHBtbHVzZHZ0TzF3dTEvcWtwS1FkbFY1NUJUdCsvTGdXTDE2c3BLUWt6Wmd4UTgyYU5aTWtmZnp4eHlvc0xQU01HbCswYUpGTTA5VGN1WE5MelVYYnMyZFBUWnMyemZNNk9qcGFXVmxabDNUK3I3LytXbE9tVEZHdFdyVVVHUmxaTFVlQm02WXBINXNycUhQbnpyZGFYVXRWdFgvL2ZxbU1ZUC84S1RYT09odm0rL3FXLzNlVXMvZkJyS3dzTlczYTFMTTlJeU5Ea3RTeVpjdEtxWTJmZmRWbUdFYUlhWnExbU5zZEFBQlVGd1MxQUNxTVlSalhHWWJ4aXFRaXEycHd1OTNLemMxVlltS2k1cytmcjhEQVFEMzc3TE1sMnNUSHg4dkh4MGRoWVdGS1NVblJoZzBiZE9MRUNiVnQyMVozM1hYWFJRT0ZzMWF0V3FVTkd6Ym94UmRmdkdBUUlFbFBQdm1rUm84ZXJRa1RKdWo1NTU5WFlHQ2d2dnZ1T3kxYXRFajMzWGRmaWJrVWJUYmJraXU0L0d1ZWFacmVwbW42bmY5TCtJVitLUzhPYmYwTncrZ3FxWXZOWmlzMERPT3d3K0hZZWRycFRqcHhXdFhtdC9rbm4zeFM3ZHUzMTZSSmt6UjA2RkI5K3Vtbk9uWHFsQll2WHF3T0hUcW9jZVBHT25EZ2dENzc3RFAxNnRXcjFJamFpUk1ubHZoczc5Ky9YLy82MTc5a3M5bmtkcGUvVHR1S0ZTdjB6VGZmcUZHalJwby9mMzZKejJ4MVlraXE3ZWZ6aUpkaHZHUjFMVlZKVVZHUmNuSnl0SEhqUnMyZE8xZWhvYUY2NUpGSEx1blk3ZHUzUzVMYXRHbFRicnRCZ3dZcEppWkdyN3p5aXNMRHc5V3VYVHNsSmlacSt2VHBDZzRPVnA4K2ZTcWxOaTh2cnhwOUQ3NEcrRXBxYkhVUkFBQUFWd3RCTFlDcnp1bDBwbnQ3ZXg4dURzMjhpcjhxM2NTSkUwdU1hdTNWcTVmKy92ZS9xMUdqUnVmV3FyUzBOTFZvMFVMTGx5L1h6Smt6Uy9UeC92dnY2NTEzM3ZHTVZyeVFRNGNPYWNhTUdicnBwcHYwOE1NUGw5dlc0WEFvSWlKQ1k4YU0wWVlOR3p6YmUvVG9VV0llUlowSkhxdkVhR1NyR0laaE8zZjA3S1U2NXhodnd6RHFtcWJaekRDVVduMWkyalB1dlBOT2ZmREJCMHBQVDFkQVFJQ21UWnVta3lkUGVxYnZlUFBOTitWME92WFlZNC9wZi8vM2YyVVlocDU0NGdtbHBLU29xS2hJWVdGaFV2Ri9CNU1uVDViTlp0UEFnUU8xYk5teWNzLzd6VGZmcUczYnRwbzllN2F1di83NlNybFd5NWp5bDZGQXE4dW9LdTY1NXg3OSt1dXZVdkcwTUk4Ly9yaUdEQmx5d2FsZXpwV2RuYTJvcUNoNWUzdnJ3UWNmTExkdFlHQ2dvcUtpTkd6WU1BMGZQdHl6L2ZycnI5ZTc3NzZyMnJWclYxWnQvT3lydmhPU25HNjMrMmVyQ3dFQUFMaFNCTFVBcnJyRXhNVGtUcDA2RGZUeThtcFl5YWVPTy9mRmJiZmRwbnIxNmlrbkowY3BLU242K3V1dmxacWFxdGRlZTgwellpby9QMTh1bDB0SGp4N1Z3b1VMOWRaYmJ5a3NMRXc1T1RtYU4yK2U0dUxpTkhueVpMMy8vdnNYUEtuTDVkS2tTWlBrZERyMXlpdXZYSFFCcHQyN2QydktsQ2t5REVOaFlXR3FWNitla3BLU3RHN2RPdjN6bi8vMExKeWpNNEZqdjNJN3ErWk0wd3kyMld6dlNLcDEzbmFwakpHMXhhK2RwbW4rVjlJV2w4dVZhSnJtOTRtSmlWdUQyOXU3eTlEUVNyMkFTaEFhR3FyUTBGQjk4Y1VYV3JObWpXYzZqZVhMbDJ2VHBrMnkyV3phdkhtem1qZHZybGRmZlZXOWUvZlcyclZyNWUzdHJWdHZQZk5VOTVZdFc3Uno1MDVObVRKRitmbjVaWjVueTVZdCt0ZS8vaVVWQjJJdnYveHlpYWs3cWlOVFVrR2hhMW5kMmo2dldsMkxoVmFkKzZKdjM3N0t6YzNWa1NOSHRHUEhEa1ZHUm1yMzd0MEtEdzlYdlhyMUx0akp2bjM3OU95enp5bzdPMXN2dmZTU21qUnBVdTVKangwN3Bna1RKaWc3TzF2dDI3ZFh5NVl0OWZQUFB5czFOVlV2dmZTU0lpSWlWS3RXaWR0Q2hkUm1HTWJnUzNtVFlDMm4wNW1ibUppNDFlbzZBQUFBcmhSQkxZQ0s0RTVLU2txeXVvZytmZnA0SG84MVRWTmZmLzIxSmsrZXJERmp4bWo1OHVXcVZhdVdDZ3NMSlVsNWVYbWFQMysrYnJ2dE5xbDRyc0xYWG50TkR6MzBrTFp0MjZhMHREUUZCd2VYZVo2SWlBZ2xKQ1JvOHVUSkY1Mm5zNkNnUUdQSGpsVmhZYUdpbzZQVnZuMTd6L2FwVTZjcU9qcGFiZHEwMFFNUFBDQ2RXZFJtN1ZWOVU2NHhOOTk4YzBmVE5OMWx6VTE3MWpuN2ZuVzczVEdTUHBXMDgvVHAwOW5KeWNsbHA0N1Z5STgvL2lqRE1EeWYzL3IxNnlzckswdmZmLys5N3IzM1h0V3ZYMThyVnF6UTh1WEx0V1hMRnVYazVDZ21Ka1k5ZXZSUVlPQ1p3WUpoWVdFYU5HaVErdlRwbzhXTEY1Zm8vL0RodzRxTWpOUVhYM3poMmZid3d3OVgrNUJXeFordDA2WlN0MjNiOXJYVnRWUVZUei85dE9mN3dzSkN6WnMzVDB1V25Ka2Q0SzIzM2lyem1DKysrRUl6WnN5UTIrM1d5eSsvZk5IUnRKSTBaY29VSlNVbEtUdzgzRFBmc29ybllKNDFhNWJlZlBQTlVrOGdWRVJ0L093QkFBQlFtY29mOWdVQTFZUmhHT3JkdTdkNjllcWxyS3dzYmR5NFVaSThqOC82Ky90N1JoZWU1ZXZycS8vNW4vK1Jpa2RjbGVXcnI3N1M0c1dMZGYvOTkrdWhoeDY2YUIzZmZ2dXRzck96Tld6WU1FOUllL2I4a3laTmtvK1BqejcrK09NcnV0YnF4R2F6bWNVREc2WGluMk54TU91V2xDL3BrS1N2WEM3WEk4ZVBINzgrSVNGaGVFSkN3bGNKQ1FscE5TR2tsYVNsUzVkcXlwUXArdk9mLzZ6cDA2ZDdSblEvODh3em1qeDVzaDU1NUJFZE9IQkFhOWFzMGJScDA3Um56eDRkT25SSWYvN3puejE5ZUh0NzY4VVhYeXpWOSt6WnM5VzNiMS9GeHNacTBLQkJldWFaWnlyMTJsQzErZm41YWR5NGNXcldySm5pNHVKMDlPalJFdnVkVHFlbVRadW1sMTkrV1VGQlFZcU9qcjZra0RZakkwUHIxNi9YTGJmY1VpS2tsYVMvL09VdjZ0eTVzNzc4OGt2bDVlVlZlbTBBQUFCQVJXSkVMWUFhNWV5VUI0Y09IWklrQlFRRXFGNjllaW9vS0NpemZaMDZkYVFMak9TVXBBOC8vRkFxRG15Lyt1cXJVdnZUMDlQVnRXdFhTZExhdFd0MTRNQ0JFbldjZjY3cnI3L2VzMUk1SkxmYmJkaHNOa1BGSWExcG1ybVNFZ3pEK0ZIU1pxZlR1U1V4TVRIZDZqcXQ0bmE3dFczYk50MTU1NTBhTm14WWlYMDMzbmlqSktsVnExYnExYXVYSWlJaTFMeDVjODJmUDE4OWUvYVUzVzYvYVA5K2ZuNjYvZmJiTlhic1dMVnExVW9yVjY2OFlOdnM3R3o5NXovL1VaOCtmUlFVRkhRVnJnN1hBcHZOcHRhdFd5c3JLMHVIRGgzeUxLVG9kcnMxWWNJRXhjWEZhZURBZ1JvM2J0d2xMOHhZM24xU2t0cTJiYXZFeEVRZFBIaFExMTEzWGFYV0JnQUFBRlFrZ2xvQU5jclpFUFRjeGNIc2RydldyMSt2SFR0MnFGT25UaVhhNzk2OVc1TFV1blhyTXZ2cjNidTNjbkp5eXR5M1lzVUsrZnY3Njc3NzdwTWsrZmo0ZUlLQ2d3Y1BsbXBmV0Zpb3JLd3NUeHVjWVJpRzIrMTJiNWYwaWR2dC9zYnRkbWY0K2ZuOXVuWHIxaUtyYTdQYW5qMTdkUHo0Y1hYcjFxM2NkdVBIajlmQWdRTTFmUGh3Tld6WVVCTW5UcnlrL3A5NjZxbExydVdYWDM1UlZGU1VmSDE5TlhMa3lFcytEdGMyMHpROTk5V21UWnQ2dGk5ZHVsUnhjWEVhTVdMRVpYMk9KSlY3bjlRNTkvRUdEUnBVZW0wQUFBQkFSU0tvQlZEdC9QTExMOXE4ZWJNZWVPQ0JFZ3Q3YmRpd1FiR3hzUW9NRE5UdHQ5L3UyVDVnd0FDdFg3OWVFUkVSZXVlZGR6d3JoTWZHeGlveE1WRWRPblR3QkxYNStmbjY4c3N2MWIxN2R3VUZCWlViU0gzKytlY0tEQXdzOFVoNXo1NDlGUkVSb2Vqb2FOMTU1NTI2NFlZYnBPTEhjR2ZPbktuQ3drTGRjODg5RmZLK1hJc0tDZ29PK1ByNmRrdEtTdHB6N2hRSU9PT0hIMzZRcElzR3RYdjM3cFZoR0hLNzNXclVxSkZjTHRkVnJ5VWpJME9TZFAzMTExLzF2bUc5SDMvOFVUNCtQbkk0SEo1dExwZExDeFlzVUdabXBtNjk5VlkxYlBqYitwRkxseTZWajQrUEhuLzg4WXYyblphV3B2ajRlRDM0NElPcVhidTIyclZycHhZdFdtamp4bzNhdUhHanVuZnY3bW43NVpkZmF1dldyUW9ORGZWODFpcXlOZ0FBQUtBeUVkUUNxSFlLQ3dzMWRlcFVSVVpHeXVGd3lNL1BUL3YyN1ZOU1VwTDgvUHcwYmRvMDFhMWIxOU8rZS9mdWV1Q0JCL1RsbDE5cXdJQUJDZ3NMMDZGRGg3Umx5eGJWcTFkUEw3LzhzcWR0VkZTVW9xT2p0WHIxYWtWRlJWMTJiYzJiTjlkenp6Mm5tVE5uYXRDZ1FlcldyWnNDQWdJOGovR0doSVFRSHB4ano1NDl4eVh0dHJxT3Fpb3VMazV0MjdZdEVVS2Q2OVNwVS9yd3d3KzFjT0ZDdFdyVlNrOC8vYlRtekptakFRTUdhT1RJa1hyNDRZYzk4elJmaXJPUGg1ODRjYUxVdnVUa1pPbWNLUmRRdldSa1pHajY5T2tLQ1FsUmFHaW9pb3FLdEdQSERoMDhlRkRObXpmWDVNbVRQVzFQbkRpaGpJd00rZnY3bHpuMzhWa1RKa3hRa3laTkZCNGVycDA3ZHlvbkowZFBQZldVRE1QUXRHblROSHIwYUkwZE8xWmR1M2JWRFRmYzRMbVAxNjFidDhSQ1loVlpHd0FBQUZDWkNHb0JWRHRObWpUUm1ERmp0SHIxYW0zZXZGa25UcHhRbzBhTjFLZFBIdzBiTmt6QndjR2xqZ2tQRDFlN2R1MzA2YWVmS2pZMlZuWHIxbFh2M3IwMWV2VG9Fdk50ZHU3Y1diVnIxL2JNTy90N1BQcm9vMnJUcG8wV0xWcWtuMzc2U2FkT25kSU5OOXlnMGFOSGE4aVFJZkwzOS8vZGZhUG1PSHo0c0hidDJsVmlVYkJ6clZpeFFnc1dMRkJPVG83Njl1MnI4ZVBIeTkvZlg5MjdkOWZiYjcrdE9YUG1LQ29xU2tPR0RMbmtxUXBDUWtJa1NiTm16Vkp5Y3JKOGZId2tTVGs1T1ZxNWNxVWFOMjZzUC96aEQxZnhLbEZWM0g3NzdSbzhlTEEyYmRxazFhdFh5K1Z5S1Nnb1NNT0hEOWZRb1VNVkVCRGdhWHMyeUM4b0tOQzZkZXN1Mk9lWU1XTWtTVjI3ZGxWYVdwbzZkKzdzMmRlcFV5Y3RXN1pNVVZGUjJyUnBrMzc2NlNjMWJOaFEvZnYzMTRnUkkwcE1YMU9SdFFFQUFBQ1Z5YkM2QUFDNFdzd0xyZmgxRFRNTWcvdjBWUkxjM3Y1SEdWclp1R0hEd0hmbnpaTEQzdmtTanFxNjB0UFQ5ZDU3NytuQkJ4OVVXRmlZWi91VUtWT1VtWm1wdSsrK1c2dFdyZEx6enordm0yNjZxZFR4dTNidDBzS0ZDL1hvbzQrV2VHUjg4ZUxGZXZ2dHQ3VnMyVEsxYmR1MjFIRkxseTdWa2lWTGxKT1Q0MWxrejhmSFIyM2F0Tkc0Y2VQVXNXUEhDcnZteXBLOGE0OUdQZk4zcFdka0ZzZzArNlh0U2Z6YTZwcXNVaDN2cTVlRGV6QUFBQUFxRS8vekNhRGFxSTZCQWlIQjFWUGRnbHBVSElMYTMxVEgrK3JsNEI0TUFBQ0F5bVM3aERZQUFBQUFBQUFBZ0FwRVVBc0FBQUFBQUFBQUZpT29CUUFBQUFBQUFBQ0xlVnRkQUFCY0xjd2xDQUJYRi9kVkFBQUFvUEl3b2hZQUFBQUFBQUFBTEVaUUN3QUFBQUFBQUFBV0k2Z0ZBQUFBQUFBQUFJc1IxQUlBQUFBQUFBQ0F4UWhxQVFBQUFBQUFBTUJpQkxVQUFBQUFBQUFBWURHQ1dnQUFBQUFBQUFDd0dFRXRBQUFBQUFBQUFGaU1vQllBQUFBQUFBQUFMRVpRQ3dBQUFBQUFBQUFXSTZnRkFBQUFBQUFBQUlzUjFBSUFBQUFBQUFDQXhRaHFBUUFBQUFBQUFNQmkzbFlYQUFCQVpTb3FLdEtPNUYwcVBIM2E2bEpRUmFYdFA2RENRajRmQUFBQUFDb1hRUzBBb0VZNWR2eTRacytMbExjMy93U2liRTZYVThlT0hiZTZEQUFBQUFBMURMK2xBZ0JxaE5PbSs1Q3ZqTU51U1Vmejhxd3VCOWNBd3pDT09Zdk1kS3ZyQUFBQUFGQXpHRllYQUFCQUpiRUZ0ZS9VMFZ0ZURhMHVCTmNHdzExMGROOS9keVpKY2x0ZEN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VTQvOEJHeENUSEZyeHNnb0FBQUFBU1VWT1JLNUNZSUk9IiwKCSJUaGVtZSIgOiAiIiwKCSJUeXBlIiA6ICJmbG93IiwKCSJVc2VySWQiIDogIjM5NTA3OTkwOSIsCgkiVmVyc2lvbiIgOiAiMTgiCn0K"/>
    </extobj>
    <extobj name="ECB019B1-382A-4266-B25C-5B523AA43C14-4">
      <extobjdata type="ECB019B1-382A-4266-B25C-5B523AA43C14" data="ewoJIkZpbGVJZCIgOiAiNDY5MzAyNDM2MjU1IiwKCSJHcm91cElkIiA6ICI0MTk5MzY1NDMiLAoJIkltYWdlIiA6ICJpVkJPUncwS0dnb0FBQUFOU1VoRVVnQUFBZHNBQUFGM0NBWUFBQUR0cE9HaEFBQUFBWE5TUjBJQXJzNGM2UUFBSUFCSlJFRlVlSnp0M1hsY0ZlWCtCL0RQbkExUUZoVVhjTVZJVTZRRUZWR2h4ZElpYjZscHR2bXIxRFM2cWVCVzVoWDNoVkJVMUVUTlZGelNORkhVQXR4UXdUQlhGRVZjRUhESEpCV1UvWnd6dno4dXpPVjRXTlh4UUh6ZXIxZXZ5M2xtNXN6M25JdnpZWjU1NWhtQWlJaUlpSWlJaUlpSWlJaUlpSWlJaUlpSWlJaUlpSWlJaUlpSWlJaUlpSWlJaUlpSWlJaUlpSWlJaUlpSWlJaUlpSWlJaUlpSWlJaUlpSWlJaUlpSWlJaUlpSWlJaUlpSWlJaUlpSWlJaUlpSWlJaUlpSWlJaUlpSWlJaUlpSWlJaUlpSWlJaUlpSWlJaUlpSWlJaUlpSWlJaUlpSWlJaUlpSWlJaUlpSWlJaUlpSWlJbnBSZzZnS0lpTXBqMzdKdEN6TXpzNWFtcm9PcUIxSFVYN2x5SVQ3RjFIVVV4N0Fsb2lyTndjSEZBUmJpSmdETlRWMExWUStDaURzRkJkcCsxeThuSkptNmxpSXFVeGRBUkZRbWN6Z0FRbXVGSU5TeHNMQ0FVcWt3ZFVWVVJlbDFlbVRuNUVBdjZ1dW9WTXJuQVRCc2lZZ3F3OXJLQ21OOHZrYXI1eDFOWFFwVlVhbFhybUwrb21EY1NVODNkU2xHR0xaRVZDMm8xV280TzdXRnE4dExwaTZGcWlockt5dVltV2xNWFVhSjJCOURSRVFrTTRZdEVSR1J6QmkyUkVSRU1tUFlFaEVSeVl4aFMwUkVKRE9HTFJGUkRTYUtJdjc4ODAvazV1WldldHVrcENRc1dyUUlXcTIyM0hXWExsMktKVXVXUEdhVjFSOXYvU0VpS29GV3E4Vi8vdk1mN04rL0h6Tm56c1JiYjcxVm9lMXljM01mSzdpSzFLbFRCd0NRbHBhRzY5ZXZQL2I3QUlDNXVUbWNuWjNMWE9mWXNXTVlQbnc0QmcwYWhKRWpSMWJvZlVWUmhDQUlTRTFOeFpvMWErRHQ3UTJkVGdlMVdnMkY0ci9uY0E4ZlBzU0dEUnZnNWVXRjVzMmI0OEtGQzdoOCtUS0dEeC8rUkorcHVtTFlFaEU5b3FDZ0FPUEhqOGNmZi93Qkp5Y25USnMyRGJWcjE0YW5wMmU1MjI3Y3VCRS8vUEREWSs4N0ppWUd0V3JWUWtSRXhCTzlEd0E0T0RnZ05EUzB6SFcyYmRzR2pVYURqei8rdUVMdmVmdjJiUXdhTkFpclY2ODJhQThORGNXcVZhc1FGaFlHUzB0TG5EaHhBc3VYTDRlcnF5dWFOMjhPSnljbkhEcDBDQThmUG9TbHBlVVRmYTdxaUdGTFJGUk1XbG9hdnYzMlcxeStmQmx6NTg1RnQyN2RNR3ZXTEl3ZE94WWpSNDdFd0lFRElRamxUeXMvZWZKa21KdWJHN1NGaFlVaFBqNGVreWRQTmxyLzRNR0QyTFZybC9SNjhPREJHRHg0TUFEZyt2WHIwT3YxYU43OGY5TkRMMSsrSEpzMmJVSlVWRlNKKy8vcXE2OE1RaTAvUHg5YnRtd3hXRWNVUlVSRlJhRkZpeGJZdlh0M21aL25wWmRlZ3JPek14bzJiSWo4L0h6czI3Y1BqUm8xa3BZZlAzNGNUWnMybGZZWkd4c0xjM056dUxpNEFBQzZkT21DNWN1WFkrL2V2ZWpidDIrWisvb25ZdGdTRVJXS2lvckN6Smt6WVc1dWpoOS8vQkVoSVNFNGYvNDhwa3laQW50N2V5eFlzQUN4c2JHWU5Ha1M3TzN0eTN5djExOS9IVlpXVmdadHg0OGZ4N2x6NTByc2tyNTU4NlpCMkJZM2I5NDhhTFZhTEY2ODJLQmRxOVhpeUpFakJtMEtoUUx0MnJWRFhGd2N4bzBiSjdYbjVlVmgzcng1VUNnVVVDcVZVcnNnQ0xoNjlTb1dMVnBVNm1jcEtDakF2Ly85YnpnN08wTVFCSFRwMGdWUlVWSFMyWEIrZmo2T0hUc0diMjl2YVYrUmtaRjQ3YlhYb0ZhcmdjS3didHEwS2NMQ3doaTJSRVExMGZYcjF4RVFFSURZMkZoMDc5NGRreVpOZ28yTkRabzBhWUxWcTFmalgvLzZGNzc4OGt1NHVycGk2dFNwZU8rOTl6Qmd3QUFNR1RJRWRldldsYlcyZ29JQ25ENTlHZ01IRGpSYWxwV1ZoVEZqeGhpMHFWUXFiTnEwQ2ErLy9qcTZkdTFxdE0zUW9VT2xVS3lJKy9mdjQ0MDMzakJvYzNkM3gvVHAwK0hsNVFVQU9IejRNTEt6czZYMWR1N2NpWWNQSHhxRjZ2dnZ2NCtnb0NDRWg0ZWpWNjllRmE3aG40QmhTMFExVmtwS0NrSkNRaEFaR1FtdFZvdnUzYnVqWjgrZStQUFBQd0VBelpzM3g0c3Z2b2hUcDA3aDdObXpBSUF2dnZnQ1AvMzBFelpzMklETm16ZmoxVmRmeGVlZmY0NTI3ZG9adkhkYVdob2VQSGhnMEphZG5RMjlYbytiTjI4YTFaS1ptVmxpamJ0MzcwWkdSZ1lPSERpQXQ5OStHNDBiTjVhVzJkallsTnFON08vdi94amZTTVYwN2RvVlk4YU1nWVdGQlFDZ1JZc1crT3FycjJCdmI0K3NyQ3dzWDc0Y1RrNU9jSE56TTlqdXd3OC94Sll0VzdCZ3dRSjA3TmpSb0J2Nm40NWhTMFExMHNPSER6RjQ4R0FVRkJUZ3M4OCtRMXhjSEdKaVluRHk1RW1qZGVmTm15ZjluSmVYaC96OGZHemV2QmsvL2ZRVG9xS2lNR1RJRUtOdFB2cm9vMUwzL2U2NzcxYW94Z2NQSGlBNE9CanU3dTdJenM3R2UrKzloMjdkdXVHbGwxN0MrZlBuVVZCUWdEMTc5a0N2MTBPbjAwR24wMGsvNi9WNjZQVjZ0RzdkV3JwdStqUmtaV1hoeXBVcmFOMjZ0ZlJkM2IxN0Y2NnVycmh5NVFxV0wxK091M2Z2WXZiczJVYmJhalFhVEp3NEVTTkdqTUR3NGNPeGN1VksyTmpZUExYYXFqS0dMUkhWU0phV2xwZzNieDRjSEJ4Z2Eyc0xYMTlmZE9uU0JRc1hMaXh6dTAyYk5pRXdNQkNPam83dzkvZkh2WHYzU3V4S1hyUm9FY3pNekF6YTFxOWZqMlBIanBXNGo4aklTR3pidGsxNlhWQlFnRW1USmlFek14T1RKMDlHL2ZyMUVSa1ppYjE3OXlJc0xBd1BIanlBUXFIQXRHblRJSW9pZERvZFJGRTArQS9BRTQ5b2Z0U1ZLMWVNdXFGSGpCZ0JBSGp6elRkeCtmSmx2UC8rKzBabnRVVTZkKzZNQ1JNbUlDSWlva0wzNS81VE1HeUpxTWJxMkxHandldS8vLzRiZS9mdUxYT2JDeGN1R0x4K05HaDFPaDBBd00zTkRScU40ZVBlZHUzYUJaVktoVTZkT2htOTc1a3pad3hlQndZRzRzaVJJNWc3ZHk3czdPd0FBTys4OHc3ZWVlY2RBTUNwVTZjUUd4dUxyNy8rdWdLZjlIKzBXaTN5OHZJcXZINStmcjdCNitlZmZ4NWhZV0VBZ05telorUG8wYVA0OWRkZm9WYXJZV2xwQ1lWQ2dkOSsrODFvNUhOeHJWdTN4dkxseXlzMHF2dWZnbUZMUkZUbzh1WExDQXdNTEhPZG5KeWNNcGNYbmEwVmpjSjlYQjkvL0RGNjlPZ0JNek16eE1URUdDMC9lUEFnZHU3Y2lSZGZmTEhFN2R1MWE0ZDY5ZW9adGE5YXRRcXJWcTE2N0xvMEdnMmFOV3VHM054Y3hNZkhBd0FTRXhQUnMyZFBhRFFhNkhRNnJGdTNEZ0J3NTg0ZFdGcGFTdGQyaTlvR0R4Nk1sMTZxV2M4bFp0Z1NFUlhxM0xsemhidVJTNU9WbFFXbFVvbUxGeThhTGN2SXlJQk9wek02T3dhQTlQUjBnOWNPRGc1d2NIREFzR0hEY1ByMGFhUHcxbXExMEdxMStPNjc3NHplS3pjM0YwRkJRWGo1NVplTmx2WG8wUU05ZS9Zczh6TVdsNTJkalduVHBobTFSMFJFU0RObEJRY0g0L2p4NDVneVpRcVVTaVVpSXlPUmxwYUdmLzNyWHhnN2RpeDY5KzR0YmVmdTdtNTAvM0ZOd0xBbElpcjAxMTkvSVR3OHZNeDFFaElTeWx4Ky8vNTk2SFE2ZlBMSko2V3VVOWF5a3J6enpqdEdFMkZzMkxBQml4WXR3aDkvL0dHMC8wZHYxU251dWVlZVE0OGVQU3E4Ny92Mzd4dTE2ZlY2L1B6enozQjFkVVZjWEJ5bVQ1K09yNzc2Q3UzYnQ1ZHU5MGxOVFFVQU5HalFRTnBPRkVWb3RWcUdMUkZSVFphYW1scm01QTRvMW8yY2s1TmowRDFhNU5hdFczQndjQ2h4Tk83S2xTc1JHeHVMbFN0WEdpM2JzV01IZnZubGx4TDNtWmVYWjNUbW01V1ZCWlJ3Umx6YUxVUlAwMisvL1liYnQyOUxvN2lkbloweGNPQkFnelAyb212UXJWdTNsdHFLcmhXWDlMMzkwekZzaVlnS0ZYVWo1K2JtSWpBd0VOMjdkMGVYTGwwTVpsdzZkT2dRWnMrZURTOHZMNFNFaEtCbHk1YlNNcTFXaTB1WExzSGQzUjB2dlBDQzBmdmIyTmhBcVZTV3VLeCsvZnFsMWhVWkdZbkl5TWdTbDFYMEFRbFB5OTI3ZDdGdzRVSzgvLzc3cUZXcmx0VHU2K3NyRFhqUzZYVFl0bTBiMnJWckIxdGJXMm1kb201bmhpMFIwVlBnNnVyYVFLZlRXY2JIeDZlWXVwYkhjZTNhTlp3L2Z4N2J0bTFEL2ZyMThjNDc3OERaMlJsYnQyNUZiR3dzbWpkdmppRkRoaGhOMlhqaXhBazhmUGl3M0NmdFZGYVBIajJrMjJ1SzdOaXhBMnZYcmpVYTlYdjA2RkhrNU9TVWV1dk5renA3OWl6TXpjMHhiTmd3eE1iR1N1M0ZSeFp2MnJRSnQyL2ZocSt2cjhHMkR4OCtCQmkyUkVSUGh5QUlIWlZLNWErdXJxN3hnaUNzMVdxMXU3T3pzLzlPU2twNkNFQnY2dnJLMDZwVks2eGZ2eDduejUvSGxpMWJzR1hMRm9TRWhBQ0Y5NUpPblRyVjZCNWFGRTVUQ0tERWdVbmxLU2dvQUI0SkxSVE9CS1ZTcWFSSDd4V3BXN2N1QkVGQXMyYk5ETnAvK09FSEhEeDRFSTZPamlWTzF4Z1hGMmYweEo2eVBQcTRRRTlQVDlqYTJocWMxUmIzeHg5L1lNR0NCWEIzZDhlYmI3NXBzT3oyN2R0QXNjY0kxaVFNV3lLU2hTQUlDZ0RkUkZIc3FsS3AvcmF5c29wemRYVTlJZ2pDVVVFUURwODRjU0s5QW0venpOeS9meCsxYXRWQ1hGd2N6cDQ5aTlPblR5TStQaDZ6WnMzQ3VISGpzR3ZYTG16Y3VCRzdkKy9HMGFOSDBiZHZYL1R2MzErYVB2SGN1WE9JaUlpQW01dWJRZGR5YVZKU1VyQjE2MWJVcmwwYmVyMWVlalJkMFZsZlhGd2MwdExTakdhRUt2cjU1TW1UME92MVdMVnFsVFI3bEZhclJaMDZkYURWYWpGMjdGajg4TU1QNk5DaGc4Ris0K0xpak83cHJZeWlCeDA4S2pjM0YwdVdMTUhHalJ2UnRtMWJCQVFFUUJBRWJOeTRFUVVGQmRCb05OaTVjeWMwR2cxYXRXcjEyUHV2cmhpMlJDUVhBZjhOWFFGQWZVRVFlZ0o0SGNCOVVSVC82dENoUTR4T3Avdmw5T25UQjAxOXRudjU4bVZwN3VPalI0K2lWcTFhYU51MkxkNSsrMjA0T2pyQzNOd2NmZnIwUVo4K2ZYRHMyREZzM0xnUmE5YXN3YzgvLzR6ZmYvOGR0cmEyeU1yS2dscXROdXJ1TGM3YzNGeDZCSjJabVJrMmJOZ2dMYk8wdE1UbzBhT2wxOXUyYmNQdnYvOE9GRDVjUUtQUlFLUFJRSzFXdzh6TURHcTFHczg5OXh5aW9xS2dWcXVoVXFtZ1VxbWdWcXZ4eWl1djROS2xTeGc5ZWpSKyt1a25nM0FiTW1USUV6K0lvQ1FxbFFxM2I5L0dKNTk4Z3VIRGgwdG4vaGN2WHNTT0hUdUF3alBhQ1JNbTFNam4yZGFjNlR1STZKbnAwS0hEV3dDMkFxaFZORzFnY2NXN1NrVlJ2Q0tLNG5xOVhyODFQei8vU3UzYXRUTlBuRGhSVUxUY29ZM0xheEN3cllHdGJaM2xpK2ZEMWVYcFQ0WWdpaUxHangrUE5tM2F3TVBEQTYxYXRZSkNvU2h6bSt2WHIrUGN1WE1HWGFXcHFhbHdjSENvMUw2MVdpMzBlcjNSYkZORkkzYzFHczFqemJSMDY5WXR6SnMzRDVNblQ0YTF0WFdsdDMvYWREcWR3VUF6T1p4THZBRHZrYU54L2NiTlhJamllNmtYNGtzZVZXWUNQTE1scW1hY25aMmJxVlFxUjFQWFVSYTlYdDllRUFSbFVVZ1UvVy94NEMzMmN3dUZRakZSb1ZDTVVhbFU1MFJSUE9McTZubzJQei8vWUVKQ1F1S3pxRmNRQk15Wk02ZFMyelJ0MmhSTm16WTFhS3RzMEtMd2pMQWtKVjBUcmd4N2UvdHlaOE42bHVRTzJxcU9ZVXRVamJpNHVEZ0lnckJhRUlRMnBxNmxMS0lvYWdCb0htMHY3UXl0TUhndEJFSG9LSXBpQjBFUWNqVWFUWnFycTJ0aVhvSHVWTGFPblhCVXZURnNpYW9YQjBFUTJvaWkyQWhBRm9DcSt0aVV4enEyRkR2YlZRbUNZQzJLb3AwZ0tDeWdOKzZLSnFwT0dMWkUxVk9XS0lvekFCdzFkU0dsY0JNRVlRWUFnNzdRb2pCOTlBeFhFQVNJb2xnQTRKSW9pa2RFVVl6WDZYUXhaODZjT2UzUXhzVVRDbUh3c3kyZjZPbGkyQkpWVDFxRlFoRi84dVRKQTZZdXBDUWRPblF3THo3Q3VKeEJVdWw2dlg2clhxL2ZwbEFvenV2MStqdng4ZkZaejdCY2s5RHI5Y2pLeWtLdFdyV01ybWNXUGN5ZytCekNSZE5FMXNRSklmNEpHTFpFOU5UcGREcFJvVkNJSlF5UTBnUElCcEFwaXVJeHZWNi81dlRwMHpzQTZFeGM4ak4zL2ZwMXZQZmVlMWk5ZXJYUjQrWSsvZlJUZE92V0RlUEdqWlBhdnZubUcyZzBHc3lmUDk4RTFkS1RZdGdTMFZPblZDcWwwOWJDTHVLN2dpREVBVGdtQ01KUlVSU1B4TVhGM1RSdGxhWlZXcGQ2WlQxOCtQQ0o1a2R1Mzc0OWdvT0RuNmdHS2gvRGxvaGtVWGdXZTF3VXhjMEE5dWgwdXB2eDhmRjNxL0Nncm1kS3IvOXZML3VUM2hLalZxdngyV2VmbGJxUG4zNzZDUzFhdENnMWtPM3M3SjVvLzFReERGc2lldXEwV3UxSm5VN25tcENRa0dUcVdxcWFlL2Z1U1ZNdW9qQnNyMTI3Qmx0Ylc1dzdkdzRvblBydzl1M2JPSDc4dUxSZFJrWUcxR3ExMU5hMmJWdlVybDBiWm1abXBjNElwZFZxOGROUFA4SEJ3YUZTczBiUjA4ZXdKYUtuTGo0Ky9pOEFmNW02anFwby9QanhhTmV1SFhyMTZnVVVodTM4K2ZPaFZDcXhmLzkrYWIzYnQyOGpLaXJLYVB1aTBGeTNiaDJjbkp5ZVllWDBKTXFlajR5SWlKNHFkM2QzUkVkSFE2Zjc3NWl3M054Y0hENThHRysvL1RiQ3c4TVJIaDZPcGsyYm9rK2ZQdExyOFBCd2RPellFVjI3ZHBWZUYzOG9PMVY5UExNbElucUdPbmZ1ak9EZ1lLU21wZ0lBOXUvZkQwdExTN3p5eWl0UXE5VkE0ZGx1clZxMTBLaFJJMm03b2djUkZHK2o2b05udGtSRXoxRGJ0bTFoYm02T2ZmdjJBUUIyN2RxRnZuMzdTa0ZMLzB3OHN5VWllb1pVS2hXbVRadUcvUHg4UkVWRllmcjA2VVlQZ0srbytmUG5JelEwdE56MVltSmk0T0hoVWVZNk0yZk9SUGZ1M1IrckRpb2Z3NWFJNkJucjBhTUg5dXpaQXdCd2NuSXltQ21xTWpwMzdvemF0V3VYdXJ6bzFwOW16WnFWZXk5dWl4WXRIcXNHcWhpR0xSR1JDZHk1Y3dlMWE5ZVdnall0TFUyNkhVaXIxU0lyS3dzM2IvNXYzby9jM0Z6bzlYcXBUYTFXdzlQVEU1NmVucVh1ZzdmK1ZCME1XeUlpRTBoTFMwTjJkamFPSFRzR056YzNmUHJwcDdoNzk2NjAvTWFORzlpeFk0ZlJkdSsrK3k0QTRMbm5uc092di83NlRHdW14OGV3SlNJeWdmajRlS2pWYXZqNStXSFRwazFZc0dBQkNnb0twT1U2bmM1Z2RpbTlYZytGNG45ald2bEFndXFGbzVHSmlKNnhuSndjSkNZbVlzU0lFVEF6TThPMGFkUGc3T3dNVjFkWHVMcTZJaWtwQ1lHQmdYQndjSUNycXlzc0xDd3dmZnAwcU5WcWFaMDJiZHFZK21OUUpUQnNpWWllc1lpSUNHaTFXcnorK3VzWVAzNDhvcU9qc1hQblRnREEzcjE3RVJBUWdOYXRXNk5PblRvQWdLWk5tNkpXclZvWVBudzR6cDQ5YStMcTZYRXdiSW1JbmlHOVhvOU5temJCemMwTjl2YjI4UER3d01DQkE5R3BVeWRFUjBmRHo4OFByNzMyR3FaTW1TSTlFY2pTMGhMQndjR3d0YlhGOE9IRHBUbVVxZnBnMkJJUlBVTWJOMjVFVWxJU0JnMGFKTFdOR1RNR3AwK2Z4cmh4NCtEbTVvYlpzMmNiUFEyb2J0MjZXTHAwS1N3dExmSDExMS9qL1BuekpxaWVIaGZEbG9qb0dVcE1UTVRMTDcrTUxsMjZTRzEvL2ZVWHBrMmJoczZkTzJQZXZIblFhRFFsYnR1b1VTTXNXN1lNR28wRy8vblBmNlQ1bGFucTQyaGtJcUpuYU5La1Njakt5akpvYTlpd0laWXVYUW9uSjZkU2c3WklzMmJORUJ3Y0RITno4M0tmaGF0U3FYRGl4SW1uVWpjOUdZWXRFZEV6WkdabUJqTXpNNk4yRnhlWENyL0g4ODgvLzVTcklybXhHNW1JaUVobURGc2lJaUtaTVd5SmlJaGt4ckFsSWlLU0djT1dpSWhJWmh5TlRFVFZRa0ZCQWM2ZVMwUmVmcjZwUzZFcUt2WEtWZVRsVmMzZkQ0WXRFVlVMbVE4ZVlNSGlwVkNwZU5paWttbDFXbVJtUGpCMUdTWGlieTBSVlduNW92NldCc0p0UFlCN0dSbW1Mb2VxQVVFUU1yVUY0blZUMTFFY3c1YUlxclNiRitJdk5XM3o0Z0NWcUxRMWRTMVVUZWdMN2wyN25GQ2xudGJBc0NXaXFrNS8vZnlaTTZZdWd1aEpjRFF5RVJHUnpCaTJSRVJFTW1QWUVoRVJ5WXhoUzBSRUpET0dMUkVSa2N3WXRrUkVSREpqMkJJUkVjbU1ZVXRFUkNRemhpMFJFWkhNR0xaRVJFUXlZOWdTRVJISmpHRkxSRVFrTTRZdEVSR1J6QmkyUkVSRU1tUFlFaEVSeVl4aFMwUkVKRE9HTFJFUmtjd1l0a1JFUkRKajJCSVJFY21NWVV0RVJDUXpoaTBSRVpITUdMWkVSRVF5WTlnU0VSSEpqR0ZMUkVRa000WXRFUkdSekJpMlJFUkVNbVBZRWhFUnlZeGhTMFJFSkRPR0xSRVJrY3dZdGtSRVJESmoyQklSRWNtTVlVdEVSQ1F6aGkwUkVaSE1HTFpFUkVReVk5Z1NFUkhKakdGTFJFUWtNNFl0RVJHUnpCaTJSRVJFTW1QWUVoRVJ5WXhoUzBSRUpET0dMUkVSa2N3WXRrUkVSREpqMkJJUkVjbU1ZVXRFUkNRemhpMFJFWkhNR0xaRVJFUXlZOWdTRVJISmpHRkxSRVFrTTRZdEVSR1J6QmkyUkVSRU1tUFlFaEVSeVl4aFMwUkVKRE9HTFJFUmtjd1l0a1JFUkRKajJCSVJFY21NWVV0RVJDUXpoaTBSRVpITUdMWkVSRVF5WTlnU0VSSEpqR0ZMUkVRa000WXRFUkdSekZTbUxxQWs5aTNidGpBek0ydHA2anFvZWhCRi9aVXJGK0pUVEYwSHlZZkhCS3FNcW5oTXFISmg2K0RnNGdCemNSTWdOamQxTFZROUtDRGNhZXJZcnQvMXl3bEpwcTZGbmo0ZUU2aXlxdUl4b2NxRkxjemhBQWl0RllKUXg4TENBa29sZTdxcFpIcWRIdGs1T2RDTCtqb3FsZko1QUZYbUh4WTlSVHdtVUFWVjVXTkMxUXZiUXRaV1Zoamo4elZhUGU5bzZsS29pa3E5Y2hYekZ3WGpUbnE2cVV1aFo0REhCQ3BQVlQ0bVZObXdWYXZWY0hacUMxZVhsMHhkQ2xWUjFsWldNRFBUbUxvTWVrWjRUS0R5Vk9WakF2dGppSWlJWk1hd0pTSWlraG5EbG9pSVNHWU1XeUlpSXBreGJJbUlpR1RHc0NVaUlwSVp3NWFJaUVobURGc2lJaUtaTVd5SmlJaGt4ckFsSWlLU0djT1dpSWhJWmd4YklpSWltVEZzaVlpSVpNYXdKU0lpa2huRGxvaUlTR1lNV3lJaUlwa3hiSW1JaUdUR3NDVWlJcEladzFaRzRlSGhpSStQTjNVWnVIYnRHbkp5Y2t4ZEJoRTlZdHk0Y1RoKy9IaVo2d3dlUEJoUlVWSFByQ2FTaDhyVUJmeVR6Wm8xQzcxNjljSkxMNzMwV051dlhic1dkKzdjd2RpeFl3M2E0K0xpc0hqeFlxeFlzUUpLcGJMYzl4azNiaHp5OHZJUUZoYjJXSFVRMVhUcDZla0lEZzZHcjY4dmJHeHNrSkdSZ1V1WExsWDZmUndkSFZHM2JsM3A5Y21USjlHelo4OHl0MGxNVE1UZHUzY3J0WitKRXllaWE5ZXVlT2VkZHd6YU4yN2NpTlRVVkV5WU1LSE03WDE4Zk5DNmRXdU1HREhDb1AzQmd3YzRjT0FBd3NMQ01IRGdRTHorK3V1VnFxc21ZOWhXRVdGaFljakx5ek5vTzNqd0lPN2R1NGVtVFpzYXRGKzZkQW1uVDUvRzVzMmJvVkFZZGs1MDZOQUJyVnExa2w2Zk8zY09TVWxKNk5ldkgyN2V2Rm1wbXVyVXFZTmF0V285MXVlaG1zM1YxYldCVHFlempJK1BUekYxTFUvRHhZc1hFUjRlanVQSGp5TW9LQWhwYVdrWU9YSmtwZDhuSUNBQTV1Ym1NRE16ZzV1Ym05U3UxV3F4WThjT3VMaTRJQzB0eldBYlVSU1JuSnlNMk5oWWcvYm5ubnNPRmhZV2lJeU1OTnJQMGFOSGtaV1ZoYXlzTElQMi9mdjNJeTB0RFpzMmJUTGF4c3ZMQ3pZMk5zak96c2FSSTBmZzZla3BMYnR6NXc3R2p4K1BNMmZPd05MU0VtKzg4UVlhTldwVWF0aU9HREVDL2ZyMXE4UTM4OC9Ic0RXUjdPeHNneURidkhrek1qSXlETmJKeU1pQVRxZkQyclZyRGRwemMzTUJBT3ZYcnpkNjM5cTFheHVFN1pvMWF3QUFXN2R1eGRhdFd5dFY0NVFwVTlDN2QrOUtiVU1FQUlJZ2RGUXFsYis2dXJyR0M0S3dWcXZWN3M3T3p2NDdLU25wSVFDOXFldXJyRzdkdWlFNE9CaWpSbzNDNE1HRDhmMzMzK1BBZ1FQUzhnc1hMc0RiMnh0cjE2NUY4K2JONGUvdmp6dDM3bUQrL1BrRzcyTmhZWUdGQ3hjaUpTWEZJR3pqNHVJd2QrNWNmUHJwcDlpeVpZdkJObHF0RnR1M2J6Y0tWUjhmSDdpNnVob2RIMUI0N0lpTGl6TTYrODdNekVSQlFVR0oyM1RwMGdVMk5qWTRmdnc0dEZvdEdqUm9nS1NrSkFCQVRrNE9UcDgramJsejUrS1ZWMTZCU3FXQ0tJb1lOV29VUWtKQzBMQmhRL1RxMVFzQXNIRGh3a3ArdXpVRHcxWm1SNDhlaFNpS0VBUkJhdnZycjc4d1pNZ1FmUExKSi9qa2swOEFBQnMyYkREYWR0YXNXYmgyN1JxV0xWdG0wTDUvLzM2TUd6Y08yN2R2aDBwVit2K0Z5Y25KMkxkdkg5NTg4MDFwUDVYeDZCazFVV1VJZ3FBQTBFMFV4YTRxbGVwdkt5dXJPRmRYMXlPQ0lCd1ZCT0h3aVJNbjBrMWRZMlYwNk5BQlM1Y3V4Y1NKRTJGblp3Y3JLeXRwV2RFZnpyVnIxNGFWbFJYVWFqV1VTcVhCT2tWNjl1eUpvVU9INHQ2OWUxTGIzcjE3NGVIaGdhKy8vaHBmZlBHRndmcXZ2dm9xZkh4ODBMZHZYNmxOb1ZCQXJWWURBSDcvL1hlamZmVHIxdys5ZXZYQzBLRkREZG9EQXdOeDd0dzVyRnExcXRUUGVmandZYUR3OGxPUm9rdFo3ZHExUTBwS0N0TFQwOUcxYTFmMDd0MGJtelp0Z3BPVGsvU0hlWEJ3TU16TXpNcjRKbXNtaHUxanlzM05sYzRhSCtYbTVvWU9IVG9BQUs1ZnY0NGpSNDZnUzVjdVFPRmZsc09IRDhldFc3ZU11b0FCNFBidDJ6aDE2aFFBb0VHREJyQzJ0c2F1WGJzTTFybC8vejc2OWV1SHZYdjNRcUZRNE0wMzN5eXhqamx6NXNEYzNCeGp4NDVGL2ZyMW4vZ3pFMVdTZ1ArR3JnQ2d2aUFJUFFHOER1QytLSXAvZGVqUUlVYW4wLzF5K3ZUcGc5WGxiTGRkdTNZSURRMkZVcW5Fb1VPSHBHN2FHemR1QUFBT0hUcUVDeGN1NE1hTkc4ak16RFQ0dDl1NmRXdTBiTmtTenM3T3NMS3l3dDY5ZTRIQ1hxN3c4SERNbkRrVDZlbnBlT3V0dDR6Mk8yZk9ITXlaTTBkNjNhSkZDNk9lcXNURVJGeTllaFVBNE9IaEFaVktaWFRzcUZPbkR0cTNiNDlkdTNiQjF0WVduVHAxTWxpdTFXcXhaODhlZlBiWlp4ZzJiQmhPblRxRlVhTkdvV1hMbHRJNmNYRnhXTEZpQlVKRFEyRnRiWTIwdERRMGFOQkFXcDZibXd0emMvUEgvSWIvdVJpMmp5azNON2ZFcnBqYzNGeW9WQ29wYkZIWTNkdWxTeGZjdjM4ZkkwYU1RSEp5TWlaTW1JRDMzMy9mYVB1TEZ5OGlNREN3M1AzbjUrZGo2OWF0cFladGVIZzRqaDA3aHVIRGh5TTBOQlEvL3ZoamhUK2JqWTBOUnovU2t4SUwvNE1vaXNYYmxRQnNCVUd3QmRCV3FWUis2ZXJxZWtVVXhmVjZ2WDVyZm43K2xkcTFhMmVlT0hHaXdHU1ZQeUk3T3h0ejVzekJsMTkraWNhTkcwdURFdWZQbjQ4Yk4yNUlYYW9Bc0hUcFVnQkFRVUVCUkZIRTlPblRnY0xqd29nUkk5Q3laVXNvRkFxTUhEa1M3ZHUzQndyL0xmZnYzeDhlSGg0QVlIUTlkZURBZ1JnMGFKREJRQ3FOUm1OVTU3NTkrN0I5Ky9aeVAwOVdWaGJ5OHZMZzV1Wm1GTGJSMGRHNGQrOGUrdlRwZzFxMWFpRXlNaEllSGg0R1lkcXBVeWNFQlFWaDZkS2xHREJnQU83ZnYyOXc2U28zTnhjV0ZoWVYrbTVyRW9idFk2cFRwdzcrK09NUGc3WXpaODVnMEtCQmFOdTJyZFJtWldXRnc0Y1BZOSsrZlZpeVpBbHUzTGlCR1RObVNOYzNIdlh5eXk5ano1NDlKUzdUNlhRNGN1UUlJaUlpY096WU1mVHMyUlB2dnZzdUFDQW1KZ2J0MnJWRHZYcjFjTzNhTmZqNys4UFIwUkgvOTMvL2gxdTNic0hKeWFuQ242MnNydW1xU0JSRldDaDFYVjFjWE5xWXVoYTVpYUw0dkNpS3RVUlJWSWlpK0pLTGkwdXVxV3NxaVY2dmJ5OElnckxvOGtuUi94WVAzbUkvdDFBb0ZCTVZDc1VZbFVwMVRoVEZJNjZ1cm1mejgvTVBKaVFrSkpxaS91S1NrNU94ZCs5ZUhEaHdBTE5telpKQ0VZVkI2T1BqZzFPblR1R0xMNzdBNXMyYjBhUkpFMHlaTWdXM2I5K1dMZ0VWRDBxZFRtY3dTdGphMmhyOSsvZUhJQWc0ZS9Zc01qTXpqV3JJeU1qQXJWdTNETm9lUG54bzhPOTZ4SWdSUnFPSGkyUmxaU0VxS2dvUkVSRzRjZU1Hdkx5ODhPNjc3MEt2MXlNaUlnSmVYbDVRS3BYWXRtMGJYbnp4UlFpQ2dOVFVWR1JuWjZOZnYzNVNUZE9tVGNQUm8wZngvUFBQSXpZMkZ1bnA2YkQ3ZG40K0FBQWRxRWxFUVZTMXRZV0xpd3RRT0pDcW9LQUExdGJXVC9DTi96TlZyNk5xRmJkNzkyNVlXVm1oYytmT1VsdjM3dDF4NHNRSmZQdnR0N0MwdE1TU0pVdU0vcG9FZ0FrVEppQTZPdHFvdldIRGh0aTJiUnNlUG55SXZuMzd3c0xDQXVucDZSZy9mano2OXUwTHJWYUx4WXNYSXlRa0JFT0dETUh3NGNNUkVoSUNRUkF3ZCs1Y2FEUWF0R2pSQWkxYXRKRDk4NXVPQ0hPTmVxZ2dDSGFtcmtSdWhWMnlnaUFJSW9EdkJFSElxOEJtejV3b2lob0FScWRmeGNjdVBMSStBRmdJZ3RCUkZNVU9naURrYWpTYU5GZFgxOFM4QXQycGJGM0oyejBMenM3T1dMRmlCWHg4ZkRCcTFDajQrZm1oVDU4K0J1c1VqU0MydGJVdDkvMCsrdWdqSkNjblM2LzkvUHpnNStlSHRtM2Jva0dEQmpoNzlxekIrdGJXMXRpM2J4LzI3ZHRuME83aDRZR3BVNmZDeThzTER4NDhNTnJQVzIrOWhjbVRKK1BZc1dQdzlmV0Z2YjA5YnQ2OGlmWHIxOFBSMFJIMzc5K0hqNDhQamh3NWdycDE2Nkp6NTg0NGYvNDh4bzRkaXhVclZpQXZMMC9xWlFzT0RnWUt6OWhYckZnQkZ4Y1hyRjY5R2t1V0xNR01HVE93Yk5reS9QYmJiOGpLeWtMOSt2WFJ1blhyU24zSE5RSEQ5aW5KejgvSDd0MjcwYjE3ZDRNelE1VktoV0hEaG1IcTFLbjQvUFBQU3d4YUFCZ3laSWpCQUlqNCtIZ3NXN1pNK290UnE5WGkzcjE3bURKbENtN2V2SW52di84ZUdvMEdtemR2UmtwS0NxWk5teWI5dGV6cDZZbHUzYnBoN3R5NWlJdUxxOVRuS0FyMzZxWndNSTdwanNqUGxpaUtvaWdJZ2xJVXhhcDZjZXl4amkzRnpuWlZnaUJZaTZKb0p3Z0tDK2pGc2plVVdkdTJiYkY2OVdwODk5MTNKZllTUlVkSG8xV3JWdEsxU29WQ0FiMis1TXZRUVVGQktDZ29RSHg4UEtaTm00YlJvMGZEMDlNVFptWm1zTGUzUjJwcWFybjFXRnRibzE2OWVrRGhRRXF0VmlzdEN3ME54YjU5KzZSTFdSa1pHY2pMeThPNmRlc3dkZXBVK1ByNndzZkhCL1BtellPbHBTVldyMTROWjJkbkFNQ3FWYXRnYjIrUFE0Y09HZXp2d3c4L1JNdVdMZkgyMjI4REFHN2R1b1hWcTFkajJMQmg2TldyRnk1ZnZveUdEUnRDbzlIQTA5T3p4Rzd1bW81aCs1U0Vob1lpUFQwZEgzNzRvZEd5WHIxNjRkZGZmOFdxVmF2UXMyZFBOR3ZXekdpZDR0YzhmdnZ0TjRTRWhLQlhyMTd3OC9Neld2ZkREei9FK2ZQbk1XblNKRFJwMGdTLy92b3JHalpzS0MzdjNyMDdVSGliUVdtRHAwb1NGaFpXNlh0eHF3WUJPWG41UDVwcjFQY3FzUEkvZ2lpS0dhSW9waGFlNFZaRmJvSWd6QUJnTUN5MUtFd2ZQY01WQkFHaUtCWUF1Q1NLNGhGUkZPTjFPbDNNbVROblRqdTBjZkdFUWhqOGJNczMxclJwMHhKdnQ0dVBqOGVlUFhzd2V2Um9xYzNPemc0UkVSRUlEZzVHblRwMXBOdjFBS0JKa3lZQWdPWExsd01BNnRhdEMzdDdlNWlabVVHcjFhSi8vLzdsMXZMeHh4OUxvNFU3ZHV3SUZKNTFMbHEwQ0ZGUlVaZ3dZWUxSaEJZQU1HblNKSGg3ZTJQQ2hBbDQ5ZFZYNGUvdmJ6Qnl1S1JqRXdyUDJPM3M3QkFURXlPMWpSczNEdlhxMVpQYTdPM3RnY0xib0RnZzB4akQ5aW5JeWNsQlNFZ0l1blhyaGpadGpDOGJLcFZLVEo4K0haOTg4Z20rL2ZaYnJGeTVzc1RKSXE1ZnY0NEZDeGJnNE1HRCtPcXJyekI0OEdEazVlWEJ3c0pDbXZheGFPREI1TW1UWVdOamczWHIxdUUvLy9rUGZIeDhqR2FxNnRhdFc2VSt4NmxUcDNEOSt2VktmbnJURXdRQnVUcmw0Zk9uVGhuZjNVOG0wYUZEQi9QaUk0d2ZHU1FGR0FadXVsNnYzNnJYNjdjcEZJcnplcjMrVG54OGZKYlJCbFZBVmxZV2F0ZXVMYjArZCs0Y3RtM2JoaGRlZUFFZmZQQ0IxRDVnd0FERXhjVmgwNlpOMEdxMUJtR0x3aG1wb3FPam9kRm9FQndjakowN2QyTEJnZ1hTN1R3VEowNHNkV2FwUjI4TkFvRGp4NDhqTURBUXQyN2RRbEJRRU56ZDNaR2Jtd3UxV28yRWhBUW9GQXBvTkJxb1ZDcjgrT09QR0RkdUhLS2pveEVRRUlDaFE0ZWljZVBHNVg3MmdJQUFwS1NrU0QxM29pZ2lMeS9QWU9TeFhxK0hLSXI0ODg4L0svUjkxaVFNMjZkZ3dZSUZTRTlQeDl5NWMwdGR4OEhCQWFOR2pVSkFRQUMrL2ZaYkJBVUZTYiswRHg4K3hOeTVjeEVaR1FrN096dXNXTEVDcnE2dXlNN094c3N2dnl5OVI0TUdEYVF1TEVFUU1HclVLSGg0ZUdEMjdOa1lQSGd3R2pkdWpISGp4dUhWVjE5OXJNOWhabVptTklzVjBlUFE2WFNpUXFFUVN4Z2dwUWVRRFNCVEZNVmplcjEremVuVHAzY0EwSm00NUFyNTlOTlA0ZW5waVRGanhnQ0ZaN0EyTmphWU1HR0N3ZVdqZXZYcUdkd2YvMmh3cmx1M0RqMTY5RUJNVEF3R0R4Nk16WnMzdzhmSEIwRkJRUUNBbFN0WFl2UG16U1hXY08zYU5XbGNTRkpTRWdJREEzSHMyREc0dTdzaktDaElPZ01kTldxVXRFM1JSQlFBWUdscGllRGdZSVNHaHVLSEgzN0E5dTNiNGVUa0JIOS8vM0x2clI4K2ZEZysrK3d6b1BBV29LRkRoeUlxS2tvNk80NkppY0UzMzN4VHlXKzFabURZUHFIRGh3OGpORFFVL2Z2M0wzY081QTgrK0FBcEtTbll2SGt6eG93Wkk5MEhhMmxwQ1oxT2h4RWpSdURERHorVXJuZlVxbFVMaXhZdFFsNWVIdFJxTmRxM2IyOTBSdXptNW9ZdFc3WWdKaVlHNGVIaDB1MEVqOFBTMGhKWldWblFhclZRcVZUSXlNaUFqWTNOWTc4ZjFWeEtwVkk2YlMzc0lyNHJDRUljZ0dPQ0lCd1ZSZkZJWEZ4Y3RicG1rWnFhaWl0WHJoajhBWnlSa1FFdkx5OGNPWEtrekczejgvTU4zdWVYWDM3QnVuWHJFQk1UQXlzckt5eGF0QWlmZi80NXpwOC9EeFNPdXlqdDMvS1NKVXVrbnhzMWFnUlJGQkVZR0NoZFBrTGhCQnp6NXMyRFhxK0hsWlVWWEYxZERkNURvVkJnd0lBQjZOV3JGeUlpSXBDWW1DaDFiNU04R0xaUDROcTFhL0R6ODBPalJvM2c2K3Rib1cyKytlWWIzTGx6Qi92Mzc4ZS8vLzF2QkFRRW9HSERocGc1Y3laUU9LSjUyclJwbGFyRDE5Y1hIM3p3QVY1NzdiWEgraHhGN08zdElZb2kwdFBUcGZsUEZ5eFlZSEJ3SWFxb3dyUFk0NklvYmdhd1I2ZlQzWXlQajc4TFFGdUJ6YXVjb3JzRmlvK0RpSTJOeGRHalI4dmR0bmczY21CZ0lMcDI3V293WXRmT3pnNWJ0bXlSTGhPMWF0V3ExTXRBSVNFaDBzOVdWbGJTdGQrQWdBRHMyTEdqVXA4cEpDU2t4UHY5aTd0OCtUSWNIUjJCd3FBdjJsL1JwWUhpOHlPWE5paU1HTGFQcldpQ2l1enNiTXlmUDkvZ09rNVpGQW9GL1AzOU1YMzZkSVNIaCtQamp6L0dtalZyMExScFUrVGs1T0NsbDE3Qzk5OS9YK3IyMTY1ZFE1TW1UUXhtbjdLMHRId3FuNm5vSDlUNTgrZmg2T2dJVVJRNUV3dzlGcTFXZTFLbjA3a21KQ1FrbWJxV3B5VXFLZ3FOR3pkR3UzYnRwTGFpKzJ6TFU5U05yTlBwa0p5Y0xOMUtVNXlWbFpVMHF0amYzeC8rL3Y2bHZsL3gyd3RSZUMyNVg3OStaWTdUdUhyMUtwbzNiMjdRVm5TTnVEUXhNVEh3OC9QRC92MzdBUUM5ZS9kR2p4NDlnTUlRbmpkdkh1Yk1tU04xVVo4OWV4WXJWcXdvOHoxcktvYnRZN3AwNlJMdTNMbURhZE9tbGRqZGs1bVppZHpjM0JJSFFxblZhc3lZTVFOMmRuYkl6czZXcnBNRUJRVWhJU0ZCR3ZINDAwOC9JU2twU1FyZjlQUjBmUFBOTi9EeDhaSG1PajUyN0JpOHZiMFJFQkJnMEkzME9KeWNuR0JoWVlIWTJGanBHc3cvKy81Y2trdDhmUHhmQVA0eWRSMVBTM0p5c2pScHpaTlFLcFZZdkhneEhCd2N5bHh2L1BqeHBUNVJ4OXZiMjJBMHR5aUtHRFJvRUxwMTY0YlJvMGRMRHdod2QzZVhqaFA3OSs5SFVGQVExcTVkSzAyNjgrT1BQMkxLbENsWXUzYXQwYlZhblU2SGhJUUVSRWRIR3p5OXAxbXpabkIzZHdlS3pXTFZxVk1uNlhoUnZMdWNEREZzSDVPYm14dTJidDBLTzd2L3phTVFFQkNBbkp3Y3FOVnFhWDdqNG44RlAycjQ4T0hTeitucDZkaTVjNmZCUCtibXpadGo2ZEtsK1Bqamo5RytmWHZVcjE4Zjc3MzNIcFlzV1lJZVBYcWdZY09HNk5TcEV6cDM3Z3cvUHorc1dyVUtMN3p3d21OL0pyVmFqWC85NjEvNC9mZmY4ZmZmZjhQT3pzN2dsaUtpbXFyb1dkQ1Aza3IzODg4L2wvaTR1a2NWNzBZdTZrRXFpNldscFhUN3pPTEZpNkhYNjZIUmFIRC8vbjFjdlhyVjRKNzhnd2NQSWprNUdkOTk5eDFRZUkyOFVhTkdXTGx5SlhyMzdnMUxTMHU4OHNvcmNIUjB4SXdaTTdCKy9YcnBtdTNXclZ2aDYrdUxOV3ZXU0Qxa2VyMGVGeTlleE4yN2QrSG41eWZOVWdjQUtTa3AwcTArUlJOenhNYkdTbWUyQ1FrSjVYNjJtb3BoK3dTS0J5MEtweW9yNm02cFc3Y3VCZzRjV082RG9Zc3NYTGdRR28wR0gzMzBrZFRXbzBjUExGdTJETUhCd2RKMUVtOXZiL3oyMjI4SUN3dkRsMTkrQ1VFUU1IUG1USHowMFVmNDVwdHY4T3V2dno3UkV6ZTh2YjJSa0pDQUV5ZE9ZUExreVkvOVBrVC9KUGIyOXVqUm80ZlJIN05kdTNhdDBMM3NBUUVCajczdkd6ZHVJREh4djdOV3FsUXFlSGw1NGIzMzNnTUt6eVFYTEZpQWpoMDdTdmZiQXNDZ1FZTVFGaGFHRFJzMjRNc3Z2NFJTcVlTdnJ5OUdqaHlKa3lkUG9sT25UcWhidHk3OC9mM2g3ZTJOMmJOblkvYnMyUUNBdkx3OE5HblNCQk1uVGpTWTQxMmxVaUV5TWhLN2QrK1cyc3pOelEzbUF1QTEyMnJFb1kzTGF3NXRYZTY1ZWI0aG5vdzdMZFlVZS9mdUZjUER3NDNhNCtQanhWdTNiaG0wWGIxNjFXaTlVNmRPaWZ2Mzc1ZTF4cW9tNGR4NTBmT050MFdITnUxekhGNTR5Y3ZVdjdza2o1cDZUS2lJbkp3YzhlZWZmeFlURWhLTWx2M3h4eDlpVmxhV1FWdEp4NDRkTzNhSVNVbEpzdGI1ckZUbFl3TFBiS3VJTjk1NG84VDJGMTk4MGFpdHBGbGVudVNXSHlLcW5zek56VXQ5Vm5WSmc2VktPbllVN3lZbStSZy9VSldJaUlpZUtvWXRFUkdSekJpMlJFUkVNbVBZRWhFUnlZeGhTMFJFSkRPR0xSRVJrY3dZdGtSRVJESmoyQklSRWNtTVlVdEVSQ1F6aGkwUkVaSE1HTFpFUkVReVk5Z1NFUkhKakdGTFJFUWtNNFl0RVJHUnpCaTJSRVJFTW1QWUVoRVJ5YXpLUGp5K29LQUFaODhsSWk4LzM5U2xVQldWZXVVcTh2TDQrMUZUOEpoQTVhbkt4NFFxRzdhWkR4NWd3ZUtsVUttcWJJbGtZbHFkRnBtWkQweGRCajBqUENaUWVhcnlNYUhLL2RibWkvcGJHZ2kzOVFEdVpXU1l1aHlxQmdSQnlOUVdpTmROWFFmSmc4Y0VxcXlxZUV3UVRGMUFDUlJOMjd6WVRnV2xyYWtMb2VwQjBCZmNTN21ZY0FhQTN0UzFrQ3g0VEtCSzRUR0J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YWpiQjFBVVFFWlhIdm1YYkZtWm1aaTFOWFFkVkQ2S292M0xsUW55S3Flc29qbUZMUkZXYWc0T0xBeXpFVFFDYW03b1dxaDRFRVhjS0NyVDlybDlPU0RKMUxVVlVwaTZBaUtoTTVuQUFoTllLUWFoallXRUJwVkpoNm9xb2l0THI5TWpPeVlGZTFOZFJxWlRQQTJEWUVoRlZocldWRmNiNGZJMVd6enVhdWhTcW9sS3ZYTVg4UmNHNGs1NXU2bEtNTUd5SnFGcFFxOVZ3ZG1vTFY1ZVhURjBLVlZIV1ZsWXdNOU9ZdW93U3NUK0dpSWhJWmd4YklpSWltVEZzaVlpSVpNYXdKU0lpa2huRGxvaUlTR1lNV3lJaUlwa3hiSW1JaUdUR3NDVWlJcEladzVhSWlFaG1ERnNpSWlLWk1XeUppSWhreHJBbElpS1NHY09XaUloSVpneGJJaUlpbVRGc2lZaUlaTWF3SlNJaWtobkRsb2lJU0dZTVd5SWlJcGt4YkltSVRHVGN1SEU0ZnZ4NG1lc01IandZVVZGUno2d21rb2ZLMUFVUUVWVjE2ZW5wQ0E0T2hxK3ZMMnhzYkpDUmtZRkxseTVWK24wY0hSMVJ0MjVkNmZYSmt5ZlJzMmZQTXJkSlRFekUzYnQzSzdXZmlSTW5vbXZYcm5qbm5YY00yamR1M0lqVTFGUk1tRENoek8xOWZIelF1blZyakJneHdxRDl3WU1IT0hEZ0FNTEN3akJ3NEVDOC92cnJsYXFySm1QWUVoR1Y0K0xGaXdnUEQ4Zng0OGNSRkJTRXRMUTBqQnc1c3RMdkV4QVFBSE56YzVpWm1jSE56VTFxMTJxMTJMRmpCMXhjWEpDV2xtYXdqU2lLU0U1T1JteHNyRUg3Yzg4OUJ3c0xDMFJHUmhydDUralJvOGpLeWtKV1ZwWkIrLzc5KzVHV2xvWk5tellaYmVQbDVRVWJHeHRrWjJmanlKRWo4UFQwbEpiZHVYTUg0OGVQeDVreloyQnBhWWszM25nRGpSbzFLalZzUjR3WWdYNzkrbFhpbS9ublk5Z1NFWldqVzdkdUNBNE94cWhSb3pCNDhHQjgvLzMzT0hEZ2dMVDh3b1VMOFBiMnh0cTFhOUc4ZVhQNCsvdmp6cDA3bUQ5L3ZzSDdXRmhZWU9IQ2hVaEpTVEVJMjdpNE9NeWRPeGVmZnZvcHRtelpZckNOVnF2Rjl1M2JqVUxWeDhjSHJxNnVXTHQyclZHOUdSa1ppSXVMTXpyN3pzek1SRUZCUVluYmRPblNCVFkyTmpoKy9EaTBXaTBhTkdpQXBLUWtBRUJPVGc1T256Nk51WFBuNHBWWFhvRktwWUlvaWhnMWFoUkNRa0xRc0dGRDlPclZDd0N3Y09IQ1NuNjdOUVBEbG9pb0FqcDA2SUNsUzVkaTRzU0pzTE96ZzVXVmxiU3NWcTFhQUlEYXRXdkR5c29LYXJVYVNxWFNZSjBpUFh2MnhOQ2hRM0h2M2oycGJlL2V2ZkR3OE1EWFgzK05MNzc0d21EOVYxOTlGVDQrUHVqYnQ2L1VwbEFvb0ZhckFRQy8vLzY3MFQ3NjlldUhYcjE2WWVqUW9RYnRnWUdCT0hmdUhGYXRXbFhxNXp4OCtEQlFlRDI1eU5peFl3RUE3ZHExUTBwS0N0TFQwOUcxYTFmMDd0MGJtelp0Z3BPVEUzcjM3ZzBBQ0E0T2hwbVpXUm5mWk0zRXNDVWlxcUIyN2RvaE5EUVVTcVVTaHc0ZGtycHBiOXk0QVFBNGRPZ1FMbHk0Z0JzM2JpQXpNeE83ZHUyU3RtM2R1alZhdG13SloyZG5XRmxaWWUvZXZRQ0E3T3hzaEllSFkrYk1tVWhQVDhkYmI3MWx0Tjg1YytaZ3pwdzUwdXNXTFZwZzY5YXRCdXNrSmliaTZ0V3JBQUFQRHcrb1ZDcUQvUU5BblRwMTBMNTllK3phdFF1MnRyYm8xS21Ud1hLdFZvczllL2Jnczg4K3c3Qmh3M0RxMUNtTUdqVUtMVnUybE5hSmk0dkRpaFVyRUJvYUNtdHJhNlNscGFGQmd3YlM4dHpjWEppYm16L21OL3pQeGJBbElpcERkblkyNXN5Wmd5Ky8vQktOR3plR1Vxa0VBTXlmUHg4M2J0eVF1bFFCWU9uU3BRQ0Fnb0lDaUtLSTZkT25BNFVCTkdMRUNMUnMyUklLaFFJalI0NUUrL2J0QVFENStmbm8zNzgvUER3OEFNRG9ldXJBZ1FNeGFOQWdnNEZVR28zR3FNNTkrL1poKy9idDVYNmVyS3dzNU9YbHdjM056U2hzbzZPamNlL2VQZlRwMHdlMWF0VkNaR1FrUER3OERNSzBVNmRPQ0FvS3d0S2xTekZnd0FEY3YzOGZyVnExa3BibjV1YkN3c0tpUXQ5dFRjS3dKU0lxUTNKeU12YnUzWXNEQnc1ZzFxeFpVaWlpTUFoOWZIeHc2dFFwZlBIRkY5aThlVE9hTkdtQ0tWT200UGJ0MjFpMmJCbFEySFZjUktmVEdZd1N0cmEyUnYvKy9TRUlBczZlUFl2TXpFeWpHakl5TW5EcjFpMkR0b2NQSDhMSnlVbDZQV0xFQ0tQUncwV3lzcklRRlJXRmlJZ0kzTGh4QTE1ZVhuajMzWGVoMStzUkVSRUJMeTh2S0pWS2JOdTJEUysrK0NJRVFVQnFhaXF5czdQUnIxOC9xYVpwMDZiaDZOR2plUDc1NXhFYkc0djA5SFRZMnRyQ3hjVUZLQnhJVlZCUUFHdHI2eWY0eHYrWkdMWkVSR1Z3ZG5iR2loVXI0T1BqZzFHalJzSFB6dzk5K3ZReFdLZG9CTEd0clcyNTcvZlJSeDhoT1RsWmV1M241d2MvUHorMGJkc1dEUm8wd05telp3M1d0N2EyeHI1OSs3QnYzejZEZGc4UEQweWRPaFZlWGw1NDhPQ0IwWDdlZXVzdFRKNDhHY2VPSFlPdnJ5L3M3ZTF4OCtaTnJGKy9IbzZPanJoLy96NThmSHh3NU1nUjFLMWJGNTA3ZDhiNTgrY3hkdXhZckZpeEFubDVlUWdNREFRS3I4T2k4SXg5eFlvVmNIRnh3ZXJWcTdGa3lSTE1tREVEeTVZdHcyKy8vWWFzckN6VXIxOGZyVnUzcnRSM1hCTXdiSW1JeXRHMmJWdXNYcjBhMzMzM25jSFpaSkhvNkdpMGF0Vkt1bGFwVUNpZzErdExmSytnb0NBVUZCUWdQajRlMDZaTncralJvK0hwNlFrek16UFkyOXNqTlRXMTNIcXNyYTFScjE0OUFNQ3NXYk9nMVdxbFphR2hvZGkzYng4NmRPZ0FGSjRWNStYbFlkMjZkWmc2ZFNwOGZYM2g0K09EZWZQbXdkTFNFcXRYcjRhenN6TUFZTldxVmJDM3Q4ZWhRNGNNOXZmaGh4K2laY3VXZVB2dHR3RUF0Mjdkd3VyVnF6RnMyREQwNnRVTGx5OWZSc09HRGFIUmFPRHA2VmxpTjNkTng3QWxJcXFBcGsyYll2MzY5VWJ0OGZIeDJMTm5EMGFQSGkyMTJkblpJU0lpQXNIQndhaFRwdzV5YzNPbFpVMmFOQUVBTEYrK0hBQlF0MjVkMk52Ync4ek1ERnF0RnYzNzl5KzNsbzgvL2xnYUxkeXhZMGVnOEt4ejBhSkZpSXFLd29RSkU0d210QUNBU1pNbXdkdmJHeE1tVE1DcnI3NEtmMzkvZzVIRHpabzFLM0YvdHJhMnNMT3pRMHhNak5RMmJ0dzQxS3RYVDJxenQ3Y0hDbStEcWwrL2ZybWZvYVpoMkJJUlZWQldWaFpxMTY0dHZUNTM3aHkyYmR1R0YxNTRBUjk4OElIVVBtREFBTVRGeFdIVHBrM1FhclVHWVl2Q0dhbWlvNk9oMFdnUUhCeU1uVHQzWXNHQ0JkTHRQQk1uVGl4MVpxbEhidzBDZ09QSGp5TXdNQkMzYnQxQ1VGQVEzTjNka1p1YkM3VmFqWVNFQkNnVUNtZzBHcWhVS3Z6NDQ0OFlOMjRjb3FPakVSQVFnS0ZEaDZKeDQ4YmxmdmFBZ0FDa3BLUkFwZnB2YklpaWlMeThQSU9SeDNxOUhxSW80czgvLzZ6UTkxbVRNR3lKaUNybzAwOC9oYWVuSjhhTUdRTVVuc0hhMk5oZ3dvUUpVZ2dCUUwxNjlhVEJVWGhrZ0JRQXJGdTNEajE2OUVCTVRBd0dEeDZNelpzM3c4ZkhCMEZCUVFDQWxTdFhZdlBtelNYV2NPM2FOWFR1M0JrQWtKU1VoTURBUUJ3N2RnenU3dTRJQ2dxU3prQkhqUm9sYlZNMEVRVUFXRnBhSWpnNEdLR2hvZmpoaHgrd2ZmdDJPRGs1d2QvZkgwMmJOaTN6OHc4ZlBoeWZmZllaVUhnTDBOQ2hReEVWRlNXZEhjZkV4T0NiYjc2cDVMZGFNekJzaVlncUlEVTFGVmV1WE1ITEw3OHN0V1ZrWk1ETHl3dEhqaHdwYzl2OC9IeUQ5L25sbDErd2J0MDZ4TVRFd01yS0Nvc1dMY0xubjMrTzgrZlBBd0E4UFQybFc0TWV0V1RKRXVublJvMGFRUlJGQkFZR29udjM3bEo3aHc0ZE1HL2VQT2oxZWxoWldjSFYxZFhnUFJRS0JRWU1HSUJldlhvaElpSUNpWW1KVXZjMnlZTmhTMFJVQWRIUjBRQ0FOOTk4VTJxTGpZM0YwYU5IeTkyMmVEZHlZR0FndW5idGFqQmkxODdPRGx1MmJKSHVUMjNWcWhXNmRldFc0bnVGaElSSVAxdFpXVW5YZmdNQ0FyQmp4NDVLZmFhUWtCQzgvLzc3WmE1eitmSmxPRG82QW9WQlg3Uy9vbnVMaTgrUFhOcWdNR0xZRWhGVlNGUlVGQm8zYm94MjdkcEpiVVgzMlphbnFCdFpwOU1oT1RsWnVwV21PQ3NySzJsVXNiKy9QL3o5L1V0OXY2SnU1Q0paV1ZubzE2OWZxUUVOQUZldlhrWHo1czBOMm9xdUVaY21KaVlHZm41KzJMOS9Qd0NnZCsvZTZOR2pCMUFZd3ZQbXpjT2NPWE9rTHVxelo4OWl4WW9WWmI1blRjV3dKU0lxUjNKeU1zNmNPWU5CZ3dZOTBmc29sVW9zWHJ3WURnNE9aYTQzZnZ6NFVwK280KzN0RFVFUXBOZWlLR0xRb0VIbzFxMGJSbzhlTFQwZ3dOM2RIWjk4OGdsUStMU2ZvS0FnckYyN0ZtM2J0Z1VBL1Bqamo1Z3laUXJXcmwxcmRLMVdwOU1oSVNFQjBkSFJCay92YWRhc0dkemQzWUZpczFoMTZ0Ukp1bVpidkx1Y0RERnNpWWpLRVJZV0JqelNoUXdBUC8vOGM0bVBxM3RVOFc3a29pN1pzbGhhV2txM3p5eGV2Qmg2dlI0YWpRYjM3OS9IMWF0WERSNUtjUERnUVNRbkorTzc3NzREQUFpQ2dFYU5HbUhseXBYbzNiczNMQzB0OGNvcnI4RFIwUkV6WnN6QSt2WHJwV3UyVzdkdWhhK3ZMOWFzV1FOTFMwdWdzQ3Y0NHNXTHVIdjNMdno4L1BEdXUrOUsrMHBKU1pGdTlTbWFtQ00yTmxZNnMwMUlTQ2ozczlWVURGc2lvbkxZMjl1alI0OGVlT0dGRnd6YXUzYnRhaFRBSlFrSUNIanNmZCs0Y1FPSmlZa0FBSlZLQlM4dkw3ejMzbnRBNFpua2dnVUwwTEZqUitsK1d3QVlOR2dRd3NMQ3NHSERCbno1NVpkUUtwWHc5ZlhGeUpFamNmTGtTWFRxMUFsMTY5YUZ2NzgvdkwyOU1YdjJiTXllUFJzQWtKZVhoeVpObW1EaXhJblN4QmhGKzQ2TWpNVHUzYnVsTm5OemMvajUrVW12ZWMyV2lLaWFjbWpqOHBwRFc1ZDdicDV2aUNmalRvdjBQems1T2VMUFAvOHNKaVFrR0MzNzQ0OC94S3lzTElPMnExZXZHcTIzWThjT01Ta3BTZFk2bjVXRWMrZEZ6emZlRmgzYXRNOXhlT0VsTDFQLzdoYkhNMXNpb21ySzNOeGN1aTc3cUpJR1M1VTBRMVR4Ym1LU2o4TFVCUkFSRWYzVE1XeUppSWhreHJBbElpS1NHY09XaUloSVpneGJJaUlpbVRGc2lZaUlaTWF3SlNJaWtobkRsb2lJU0dZTVd5SWlJcGt4YkltSWlHVEdzQ1VpSXBJWnc1YUlpRWhtREZzaUlpS1pNV3lKaUloa3hyQWxJaUtTR2NPV2lJaElabng0UEJGVkN3VUZCVGg3TGhGNStmbW1Mb1dxcU5RclY1R1hWelYvUHhpMlJGUXRaRDU0Z0FXTGwwS2w0bUdMU3FiVmFaR1orY0RVWlpTSXY3VkVWS1hsaS9wYkdnaTM5UUR1WldTWXVoeXFCZ1JCeU5RV2lOZE5YVWR4Z3FrTElDSXFoNkpwbXhmYnFhQzBOWFVoVkQwSStvSjdLUmNUemdEUW03b1dJaUlpSWlJaUlpSWlJaUlpSWlJaUlpSWlJaUlpSWlJaUlpSWlJaUlpSWlJaUlpSWlJaUlpSWlJaUlpSWlJaUlpSWlJaUlpSWlJaUlpSWlJaUlpSWlJaUlpSWlJaUlpSWlJaUlpSWlJaUlpSWlJaUlpSWlJaUlpSWlJaUlpSWlJaUlpSWlJaUlpSWlJaUlpSWlJaUlpSWlJaUlpSWlJaUlpSWlJaUlpSWlJaUtxVWY0Zk5kcGxjZjB1czRnQUFBQUFTVVZPUks1Q1lJST0iLAoJIlRoZW1lIiA6ICIiLAoJIlR5cGUiIDogImZsb3ciLAoJIlVzZXJJZCIgOiAiIiwKCSJWZXJzaW9uIiA6ICI1MiIKfQo="/>
    </extobj>
    <extobj name="ECB019B1-382A-4266-B25C-5B523AA43C14-5">
      <extobjdata type="ECB019B1-382A-4266-B25C-5B523AA43C14" data="ewoJIkZpbGVJZCIgOiAiNDYwNDUwMjE1NTUxIiwKCSJHcm91cElkIiA6ICI0MTk5MzY1NDMiLAoJIkltYWdlIiA6ICJpVkJPUncwS0dnb0FBQUFOU1VoRVVnQUFCT3dBQUFRWUNBWUFBQUM5UmthS0FBQUFBWE5TUjBJQXJzNGM2UUFBSUFCSlJFRlVlSnpzM1hsOFZOWDkvL0gzblprc3hHQlpCRkVCQTVJaVNDQ1JSUkZackNCUzhWdVhWcTFTRVZ1RnNva0ZXV3FwSWdwRkJYRUJFUkJVS0lwSUZYOWFFUmRFUk1FSUpBUUlTTmlYQkFnUUlKQmxsdlA3dzJTYUlaT05KWE1KcitmamtRY3o1OTV6NzJmbXdaM2NlZWZjZXl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GQVpyRkFYQUFEQSthQkJreFpYT1oyTzJGRFhnZER6dU4xYjkyeEwzUkxxT2dBQUFGQjFFZGdCQUZDR0JrMWFYT1Z5T1Q4eWxsVS8xTFhBQm93NW5KOW5mcnR2KzdyTm9TNEZBQUFBVlpNcjFBVUFBR0IzVHBlcmdiRlUzK2x3MUtoZHE1YkN3OE5DWFJKQ3dPMTI2OURoSS9KNFBKSGg0V29raWNBT0FBQUE1d1NCSFFBQTVYUng5ZXA2Zk5CZjFUUzJTYWhMUVFoczM3bExFeWErckFNSEQ0YTZGQUFBQUZSeEJIWUFBSlNUeStWUzA5Z21Tb2h2R2VwU0VBSVJFUkdNcmdRQUFFQ2xjSVM2QUFBQUFBQUFBQUQvUTJBSEFBQUFBQUFBMkFpQkhRQUFBQUFBQUdBakJIWUFBQUFBQUFDQWpSRFlBUUFBQUFBQUFEWkNZQWNBQUFBQUFBRFlDSUVkQUFBQUFBQUFZQ01FZGdBQUFBQUFBSUNORU5nQkFBQUFBQUFBTmtKZ0J3QUFBQUFBQU5nSWdSMEFBQUFBQUFCZ0l3UjJBQUFBQUFBQWdJMFEyQUVBQUFBQUFBQTJRbUFIQUFBQUFBQUEyQWlCSFFBQUFBQUFBR0FqQkhZQUFBQUFBQUNBalJEWUFRQUFBQUFBQURaQ1lBY0FBQUFBQUFEWUNJRWRBQUFBQUFBQVlDTUVkZ0FBQUFBQUFJQ05FTmdCQUdCVG1abVpjcnZkb1M0alpKS1RrM1g0OE9GUWx3RUFBQUJVT2xlb0N3QUFBTUdOR0RGQ1VWRlJldlhWVi8xdGUvYnNrY2ZqS1ZmL21KZ1kvMk9QeDZQczdPelRyaVU2T2xvdWwwdloyZG5hdEduVGFXK25VS3RXclJRV0ZsYmk4dXpzYlBYdjMxK3hzYkY2NjYyM3puaC9BQUFBd1BtRXdBNEFBQnM2ZlBpd2twT1ROWHo0OElEMkFRTUdhTStlUGVYYXh1clZxLzJQVTFOVDlkQkRENTEyUFpNblQxYkhqaDIxZmZ0MjllM2I5N1MzVTJqSmtpV3FYYnQyaWNzWEwxNnMzTnpjTTZvWkFBQUFPRjhSMkFFQVlFUExsaTJUTVVZTkdqUlFXbHFhSk9uaWl5L1c4ODgvci96OC9GTDdmdmJaWjVvL2YzN1FaYjE2OVZMejVzMEQydGF0VzZmMzNudFBnd1lOMG1XWFhSYXdiUGZ1M1hyOTlkZjl6K1BpNHZ4QllGWldsakl5TWhRYkd5dW4weWxKK3Vtbm45UzNiMS9Obno5ZlRabzBLYmIvR1RObTZOMTMzMVd0V3JYOGJmLzk3MytWbFpVVnNON0NoUXNWRVJHaHZYdjNhdDY4ZVNXKzFucjE2dWszdi9sTnFlOEhBQUFBY0w0aHNBTUF3SVkrK2VRVFNkTEFnUVA5YlQxNzl0U1lNV1BLN0x0Mjdkb1NsOFhIeCt1bW0yNHExdjdlZSsrcGZmdjJhdHEwYVVCN1NrcEtRR0JYMUtlZmZxclhYMzlkeTVZdEs3WXNKU1ZGaHc0ZENtaTc1cHBydEdMRkNyVnIxMDZXWmZuYjMzbm5IVzNac2lYb0piSkZMd2MrbGR2dFZ0dTJiUW5zQUFBQVVPVVEyQUVBWUROSlNVbEtTa3JTMy8vK2Q3VnExVXB1dDF0OSt2UlJWRlNVUHZqZ2cxTDdsbmFaNmRtV21KaW91TGc0LytpNm9sNTQ0WVdBVUU2U3BrNmRxbWJObXFsTm16YkYxci8yMm1zMVk4YU1DdTMvRDMvNHcybFVEUUFBQU5nZmdSMEFBRFl6ZS9ac05XN2NXSGZkZFpjc3k5STMzM3dqdDl1dGE2KzlWazgvL1hTcGZWdTBhS0VPSFRxVXVQeklrU1BhdDI5ZnNUWkpPbmp3b0twWHJ4NndMRE16TStoMjl1M2JweFVyVnVqaWl5L1dUei85VkN5RWUrZWRkNEplRXR1cVZhdFM2d2NBQUFCQVlBY0FnSzE0UEI1dDJyUkpqei8rdUpZdVhhcXNyQ3o5OU5OUGF0U29rYnAxNjZadTNicVZ1WTEzM25tbnhHWFBQZmRjaWNzZWUreXhjdGY1d2dzdnFGYXRXcnJ4eGh2VnQyOWZ4Y1hGNmJycnJsTnVicTRrYWVYS2xkcTJiWnM4SG85OFBwOThQcCs4WHEvLzN4bzFhdWlXVzI0cDkvNEFBQUNBQ3dtQkhRQUFOdUp5dWZUODg4K3JSWXNXZXVhWlo3Ujc5MjQ5L3ZqanlzN09sZ3J1MitieitZTDJkVHFkY3JsSy85VStZTUFBdFd6Wk1xQXRNVEZSTTJmTzFELys4UTgxYU5BZ1lObTJiZHMwWWNLRWdMWlpzMmJwMjIrLzFjU0pFOVdsU3hmMTZORkRpeFl0MGxkZmZhV3NyQ3hGUjBkcjJyUnBNc2JJNi9YS0dCUHdJMGw5K3ZRaHNBTUFBQUJLUUdBSEFJRE5uSHJaYUZ4Y25QOXgvLzc5dFdiTm1xRDkvdmpIUDJyWXNHRkJsM2s4SGtrS2VnKzV3c2tobWpkdlhtelNpWWlJaUlEblM1WXMwWlFwVS9USUk0K29TNWN1a3FRMmJkcjR0NW1abWFsNTgrYnBubnZ1VWIxNjljcjltbzB4eXN2TEsvZjZoWDBBQUFDQXFvakFEZ0NBODB4OGZMeDY5ZW9WMEhicUtMaFRGUVoyd1daaXJZaE9uVHJwNmFlZlZzdVdMYlY4K2ZKaXkvZnUzYXUzMzM1Yk5XdldWRXhNVExIbDlldlhWNk5HallxMXIxMjdWamZjY0VPRjY3bmtra3NxM0FjQUFBQ3dPd0k3QUFET00zWHIxdFZOTjkwVTBQYnFxNitXMnVma3laT1NwUFQwZEczZXZEbGdXWHA2dWlScDU4NmR4ZnJ0MnJVcjRIbGtaS1J1di8xMnZmSEdHNW8rZmJvaUl5TURsaGVPZW52OTlkZUx6UktibDVlbkJ4NTRRSTgvL25peC9UUnExRWo5K3ZVcjlUV2NhdEtrU1JWYUh3QUFBRGhmRU5nQkFIQUJLSndKdHJSWlprZU5HbFdoYmRhdlgxK0xGaTBLYU51OGViUHV2LzkrdmZIR0d3R1g4a3JTSC83d2h4SzNWYk5tVFhYdDJyVkMrMy9qalRjcXRENEFBQUJ3dmlDd0F3RGdBcENSa1NFVlRCaHg2cWk0SDM3NFFhKysrcXJHangrdks2KzhNbUJaV2xxYS92blBmd2JkcHRmclZXWm1aa0RiMGFOSC9mK2V1c3pyOVo2VjF3SUFBQUJVZFFSMkFBQ2NCN0t5c3Z5VE1uejExVmZxMEtGRHdQTGMzTnhTN3dHM2NlTkcxYWhSbzlpRUZwSzBZOGNPU2RLVlYxNVpiTktKL1B6OEVyZVpucDZ1N3QyN0IxMzIyR09QQlczdjJMRmppZHNEQUFBQThBc0NPd0FBYkc3ZHVuVWFPWEtrL3ZLWHYwaVNycjc2YXYzKzk3OHZ0bDdqeG8yRDlqOTU4cVFTRXhQVnJsMjdzMXBYdlhyMU5HM2F0SUMyN2R1MzYvSEhIOWVFQ1JNQ3dyK01qQXg5OGNVWDZ0T256MW10QVFBQUFLaUtDT3dBQUxDcHJLd3NiZDI2Vlk4ODhvamk0K1BWdm4xN3JWMjdWalZyMXRULy9kLy9sZGp2eUpFakFiUEJmdjc1NThyUHp6K3QwVzF1dHp0bysvMzMzNjg3Nzd4VGRldldEV2d2bk56aTBrc3ZWWU1HRGZ6dFAvendneFl1WEtoYXRXb0ZuVndpSXlORHMyZlBybEJ0V1ZsWnFsMjdkb1g2QUFBQUFPY0RBanNBQUd6bzZOR2pXcmx5cFN6TDBwQWhRM1RmZmZmSnNpeU5IVHMyWUwwdFc3Ym93dzgvVkdSa3BNTEN3blRpeEFsOStPR0hhdEtraVZRUW9FMmJOazNSMGRIcTBhTkhtZnYxZUR4NjZhV1hGQlVWcGJDd01IMzc3YmRTUVFDbmdwbGtOMjdjS0ovUDUvL3hlcjMreDRVenpuN3l5U2RhdFdxVnZGNnZQQjZQUEI2UGF0U29vUmt6WmlncUtrb1BQdmhnd0g3VDA5TTFjK2JNQ3IxSGhaY0lBd0FBQUZVTmdSMEFBRGIwcTEvOVNuMzc5dFVOTjl5Z3E2Kyt1dFIxNTgrZkgvQThKaVpHSTBhTWtJcU1lSHZra1VkMDBVVVhCZTBmRmhhbTZPaG9PUndPdVZ3dUxWdTJ6Qis4aFlXRjZjNDc3OVN2Zi8xclNWSnljckxHakJralNYSTZuUW9MQzFONGVIakFUMnhzckRaczJDQ1h5eFh3MDdKbFN4MDZkRWd2di95eWF0YXNxZHR2djkxZlEwSkNnbWJNbUZHaDk2aTBXV2NCQUFBQUFBQlFoY1ZjSGQ4bHBsbjhrYlkzM216V3JFMDJkdVR6K1l6YjdUWnV0N3ZZc3AwN2R4cXYxMXVoN1hrOEhwT1hsMWVzbjl2dE5qazVPUlhlWHFIOC9Id3pjdVJJczNuejV0UHFIMG9iTm00eU45N2N3OFJjM1NvbnBtbkxXMFA5L3hJQUFBQlZGeVBzQUFDb0Fpekxrc3NWL05kNnc0WU5LN3c5cDlNcHA5TlpyTDF3dE56cENnc0wwL2p4NDArN1B3QUFBSEFoY0lTNkFBQUFBQUFBQUFEL1EyQUhBQUFBQUFBQTJBaUJIUUFBQUFBQUFHQWpCSFlBQUFBQUFBQ0FqUkRZQVFBQUFBQUFBRFpDWUFjQUFBQUFBQURZQ0lFZEFBQUFBQUFBWUNNRWRnQUFBQUFBQUlDTkVOZ0JBQUFBQUFBQU5rSmdCd0FBQUFBQUFOZ0lnUjBBQUFBQUFBQmdJd1IyQUFBQUFBQUFnSTBRMkFFQUFBQUFBQUEyUW1BSEFBQUFBQUFBMkFpQkhRQUFBQUFBQUdBakJIWUFBQUFBQUFDQWpSRFlBUUFBQUFBQUFEWkNZQWNBQUFBQUFBRFlpQ3ZVQlFBQWNMN3dlRDNhdm5PWElpSWlRbDBLUW1EcjloMXl1OTJoTGdNQUFBQVhBQUk3QUFESzZmang0NXIweWxSRlJoTFlYWWp5OHZKMStNaVJVSmNCQUFDQUN3Q0JIUUFBWmZCNTNBZWNZV0hIUEI1djVONTkrMEpkVGtnWVkyUVZQcFprV1ZZWlBhb3VTMVoydnZHa2g3b09BQUFBVkYwWDd0azJBQURsNTR4cDByS3RISTU2b1M0a1ZNSmRwbjZreTdyZjRiRENUdVI3NTdzOWpyUlExeFFxeHVFNXNIUFQrbFdTdktHdUJRQUFBRlVUZ1IwQUFDaFR5NVl0cjNPNVhCOFpZeUl0eTdwdnpabzFuNGU2SmdBQUFLQ3FZcFpZQUFBQUFBQUF3RVlJN0FBQUFBQUFBQUFiSWJBREFBQUFBQUFBYklUQURnQUFBQUFBQUxBUkFqc0FBQUFBQUFEQVJnanNBQUFBQUFBQUFCc2hzQU1BQUFBQUFBQnNoTUFPQUFBQUFBQUFzQkVDT3dBQUFBQUFBTUJHQ093QUFBQUFBQUFBR3lHd0F3QUFBQUFBQUd5RXdBNEFBQUFBQUFDd0VRSTdBQUFBQUFBQXdFWUk3QUFBQUFBQUFBQWJJYkFEQUFBQUFBQUFiSVRBRGdBQUFBQUFBTEFSQWpzQUFBQUFBQURBUmdqc0FBQUFBQUFBQUJzaHNBTUFBQUFBQUFCc2hNQU9BQUFBQUFBQXNCRUNPd0FBQUFBQUFNQkdDT3dBQUFBQUFBQUFHeUd3QXdBQUFBQUFBR3lFd0E0QUFBQUFBQUN3RVZlb0N3QUFBUGJTdW5YcktKL1BWNmRvbXpIbU1tT00wN0lzaHpIbTBvU0VoQ3VMTHZkNnZabnIxcTA3VWVuRkFnQUFBRlVRZ1IwQUFBamc4WGlhT3AzT05VWGJMTXNxK3ZqdFUvczRISTUya2hJcnFVUUFBQUNnU3VPU1dBQUFFQ0E1T1htZE1TYWx2T3NiWTFLVGtwTFdsR05WQUFBQUFPVkFZQWNBQUU3bE5jYk0xUzlobkl3eHhWWW8ybTZNZVYrU3QvTExCQUFBQUtvbUFqc0FBRkNNeitkYlpJekpLbXM5WTB5MngrUDVwSEtxQWdBQUFDNE1CSFlBQUtBWWg4T3hYMUppMFh2WG5hcGcyVWF2MTd1M01tc0RBQUFBcWpvQ093QUFVRXhTVXRKeFNkOGFZM3dxdUFTMlVKRkxZWTJrdGFtcHFabWhxeFFBQUFDb2VnanNBQUJBTUY3THNuNlNkTFNVZFU1S1dpSEpYWWwxQVFBQUFGVWVnUjBBQUFncUp5Y25XZExCd3VlblRrQmhXZFl4WTh6eVVOVUhBQUFBVkZVRWRnQUFJS2pVMU5SMFNXdUMzY2V1b0cxTlVsTFNqbERVQmdBQUFGUmxCSFlBQUtCRUhvL25uWktXK1h5K21aVmJEUUFBQUhCaElMQURBQUFseXNuSitkb1lzLy9VZG1QTXdheXNyTVdocVFvQUFBQ28yZ2pzQUFCQWlkTFMwdklzeTNxMzhMSll5N0prV1phTU1SL3UyTEVqTjlUMUFRQUFBRlVSZ1IwQUFDaVYxK3Q5MXhpVFYvamNHSk12NllQUVZnVUFBQUJVWFFSMkFBQ2dWRGs1T2Rza3BSUVpaYmZONlhSdURuVmRBQUFBUUZWRllBY0FBRXJsOC9tT0cyT1dtLzlKZHJ2ZGgwSmRGd0FBQUZCVkVkZ0JBSUJTcGFXbDVVbGFKeW5mc2l5UHorZGJ2MjdkdWhPaHJnc0FBQUNvcWdqc0FBQkFtYnhlNzBwSkdaS09TbG9TNm5vQUFBQUFBQUNBQzUyVmtKRHdaVUpDUWlKLzhBTUFBQURPTFN2VUJRQjJkdm12ZjMxSnVJbXFIK282WUErNUpudHZSbHJhd1ZEWGdkQ28yNmpGcFZFdTEyV2hyaU9Vb3F2cERzdXlJbzZmTlBORFhVc29tZnk4L1R0M3BxYUh1ZzVVREwvVGNiWndQZ0FBcUF3RWRrQUpZbUthMXpNUlljOWJsdHFHdWhiWWd5VnJ2ZHRuaHV6NU9YbHZxR3RCNWFyLzYxWlhoRGswelVoTlFsMUxpRGtML3ZXR3VJNlFzaXp0emN0elA3eHYyOFpkb2E0RjVjUHZkSnhObkE4QUFDcURLOVFGQUxibGNzVllsdFhSc2hRVDZsSmdEMGFtaHN0aHhVcmlCUDBDNDNKWXNjYlNqWlpVSTlTMUlQU01NVEhoWWE3bWtnanN6aGY4VHNkWnhQa0FBS0F5RU5nQlpYQzVYUHJ6UTM5U1FzdTRVSmVDRUZtL01WVnZ2ajFISjNOeVFsMEtRdXppNnRYVjc1RSthaHpEZC80TDBlNDllL1g2ekZrNmRPaHdxRXZCYWVKM09zN0U1aTFwbWpaekZ1Y0RBSUJLUVdBSGxNSGhjQ2loWlp4dTZYcFRxRXRCaUVSRWhPdnRmNzhiNmpKZ0ErSGg0YnF1VFdzbHhMY01kU2tJZ1kycG0vWFczSG1oTGdObmdOL3BPQk1YWDF4ZE05L2k2eE1Bb0hJd3l4c0FBQUFBQUFCZ0l3UjJBQUFBQUFBQWdJMFEyQUVBQUFBQUFBQTJRbUFIQUFBQUFBQUEyQWlCSFFBQUFBQUFBR0FqQkhZQUFBQUFBQUNBalJEWUFRQUFBQUFBQURaQ1lBY0FBQUFBQUFEWUNJRWRBQUFBQUFBQVlDTUVkZ0FBQUFBQUFJQ05FTmdCQUFBQUFBQUFOa0pnQndBQUFBQUFBTmdJZ1IwQUFBQUFBQUJnSXdSMkFBQUFBQUFBZ0kwUTJBRUFBQUFBQUFBMlFtQUhBQUFBQUFBQTJBaUJIUUFBQUFBQUFHQWpCSFlBQUFBQUFBQ0FqUkRZQVFBQUFBQUFBRFpDWUFjQUFBQUFBQURZQ0lFZGdIUGk1TW1UT25Ma1NLakxBSENLdzRjUGg3cUUwMktNMGRxMWEzWG8wS0ZRbHdMWVZtNXVydmJ2MzEvaGZvY09IVkptWnVZNXFha3ljTTRCQUtpS0NPd0FsQ2szTjFlWm1abWwvdVRuNS92WGQ3dmQ2dG16cHlaTm1oVFN1Z0VFT25EZ2dHNjc3VGJObmoxYktqaTJUNTQ4V2VwUFhsNWV3RGJjYnJlZWVPSUpmZlBOTi80Mmo4ZFQ1bWRFMForc3JDeC8zK1RrWkEwWk1xVE1MOXNaR1JsNjlORkg5ZDU3NzUzMTl3V29Lb1lNR2FJQkF3WW9OemUzUXYxbXpweXBXMis5VlJrWkdlZXN0dkxpbkFNQWdGKzRRbDBBZ0hQbjQ0OC8xdGF0V3l2Yzc4b3JyOVJkZDkzbGYvNmYvL3hIRXlkT0xMWFBxRkdqMUtCQkEvL3oyTmhZZmZIRkY3cmxsbHNVSGg3dWIyL1hycDBzeTZwd1RVQkZ4Y1RFUkVaSFJ6ZGF2Mzc5WmttK1VOZGpCek5tekpETDVkSnR0OTBtU2VyYnQ2L1dyMTlmYXAvMjdkdnJ0ZGRlOHovUHk4dFRWbGFXaGc0ZHFrR0RCdW1oaHg1U1NrcUsvdktYdjVTN2pzYU5HMnZCZ2dWU3djaVkxYXRYcTFldlhwbzhlYkppWTJPRDlybnNzc3ZVdVhObnBhYW1sbnMvT0wrZHI4ZHdWbGFXRml4WW9CVXJWbWpYcmwwNmNlS0VhdFNvb1RwMTZxaDkrL2E2NDQ0N2RNVVZWd1R0dTIvZlBqMzExRk9LaTR2VDRNR0RLN3p2d1lNSHEwK2ZQbnJycmJmVXIxKy9jdlhKejgvWDRzV0wxYVJKRS9sOFB1M2J0Ni9jKzR1S2lsS05HalVremprQUFEanJDT3lBS3V5SEgzN1F0OTkrVys3MUMvOGkzN1p0MjRDVDU5Lys5cmRxMTY2ZEpPbkZGMTlVMjdadGxadWJxeTFidG1qZ3dJR1NwRzNidHVsdmYvdGJ3UGFjVHFkR2pod1owUGJ0dDkvSzZYU2UwZXNDeXVQaWl5Kyt4T1Z5L1pDUWtKQm1qSm5yY0RnKzhmbDhtVWxKU2NjbGVVTmRYMlZMUzB2VFJ4OTlwR0hEaHFsdTNicVNwTWNmZjF6cDZlbjZ4ei8rb1Y2OWVxbE5temIrOVUrZVBLblJvMGVyVHAwNkFkdUpqbzdXYTYrOXBoRWpSdWpWVjEvVmdRTUgxSzFiTjBuUy9mZmZyMmJObXBWYXg1dzVjK1R4ZVB6UDI3ZHZyMW16Wm1uQWdBSHEwNmVQcGs2ZHFxTkhqeGI3N0pBa244OG5oOE9oRGgwNkJMVFhybDFiSDMvODhXbStNN0NyOC9FWS91eXp6elJ1M0RpZFBIbFM0ZUhoYXR5NHNhS2lvblQwNkZGdDJiSkZxYW1wcWw2OXVoNTg4TUdBZmdjUEh0VGN1WFAxL3Z2dkt6OC9YM0Z4Y1NYdW8zZnYzbVVHN1RObXpOQ01HVE5LWEw1cTFTcTVYTDk4RGZqb280OTA3Tmd4SFR0MlRMZmZmbnVGWG0vUG5qMDFac3dZaVhNT0FBRE9PZ0k3b0FvYlAzNTh1ZGJ6ZXIyYU1tV0szbjc3YmRXdVhidllTSmthTldyNC80SWVGUldsT25YcUtDY25SK25wNldyU3BJa2txVW1USnJybGxsdk93YXNBem9qRHNxeldrcTQxeGp4bFdWWlNRa0xDS21QTVNxZlR1V3IxNnRYcG9TNndNaGhqTkdIQ0JNWEZ4ZWtQZi9pRE1qTXo5YTkvL1V1UFB2cW8vNHR4MDZaTjFiRmpSMytmMmJObnkrZnpGUXNXSkNraUlrSXZ2dmlpbm5ycUtWMTc3YlgrOW11dnZWWTMzWFJUcWJWOC92bm54VWJ3eE1iR2F0YXNXWm85ZTdhYU5tMnE3Ny8vWHJtNXVlclRwNDlxMWFwVjZ2YVdMRm1pdlh2M2x2dTl3SG5udkRtR0Z5NWNxSEhqeGlreU1sSlBQUEdFN3JqakRrVkdSdnFYNStibTZ0dHZ2dzBZQWFhQ1VPcjk5OStYMSt0VnMyYk55aldLTkQ0K1huLys4NStMdFh1OTNtSUJWWFoydHFLam93UGFDdGR4dTkxNisrMjMxYkJoUXozenpETVZmczAxYTliMFArYWNBd0NBczR2QURyakFIVGx5UktOR2pWSmlZcUphdDI2dGNlUEc2WkpMTGltMlhtSmlvbncrbjQ0Y09hTHQyN2Y3N3pHemF0VXFPUndPdFczYlZwczNidzY0cjlXcEhuNzRZWVdGaFozalZ3VDhqekhHc2l4TDFpL1hSTldRMU1VWTA4bXlyQ3hqek1HRWhJUWZqVEZ6OHZQemwyM2N1REcvSEpzOEw3MzMzbnZhdUhHajNuMzNYVGtjRGsyY09GRS8vdmlqaGcwYkptT01WREI2clZCdWJxN216cDJyVzI2NVJZMGFOUXE2VFpmTHBlZWVlMDZTbEpTVUpJZkRJWWVqN0Z2ak9oeU9nRURCR0NQTHNsUy9mbjJOSGowNllOMmVQWHNxSmlhbTFPMmxwYVVSMkZWaDU4c3h2R1hMRmozLy9QT0tqSXpVakJrejFMeDU4MkxyUkVaR0JnMlp0bTNicHRhdFcrdlJSeC9Wb1VPSE5HTEVpREwzVjZ0V0xkMXd3dzFhdVhLbFZxMWFwYjU5K3lveU1sSTlldlRRN2JmZnJ2NzkrMHVTbGk1ZHFyRmp4K3F2Zi8ycjdyMzMzbUpoM2x0dnZhV01qQXhObmp5NTFGRjlad3ZuSEFBQWxCK0JIWEFCUzAxTjFkQ2hRN1YvLzM3MTZkTkhmLzNyWDB1OGRLUi8vLzRLQ3d1VDIrMVdhbXFxakRFeXhtamR1blZ5dTkxS1RFelU1czJiOWZiYmI2dHQyN1lCZlk4ZlA2N2s1R1Q5NlU5LzR1UVpsY3F5TEtPQ1VLZ0loNlJha21wWmx0WFVzcXcvUlVSRTdFMUlTSmh2akhrdk56ZDNtOFBoT0Y1VkFyd3RXN1pvOHVUSmF0MjZ0Yjc3N2pzZFBIaFFTNVlzMGVqUm8xV3ZYajMvakpKSlNVbnEyYk9uSk9uOTk5L1gwYU5IOWVpamp4YmIzb0lGQzdSOSszWU5HVExFUDFJb1BqNWVpWW1KOG5nODJyMTdkNG0xMUt0WFR5Kzk5SkwvK2NHREJ6Vm8wQ0FOR0RBZ1lIVGZGVmRjb2J2dXVrdlZxMWN2OC9VbEpDUVVHejJFcXVOOE9ZYW5UNTh1ajhlandZTUhCdzNyU2pOeDRrUlZxMVpOa3ZUbGwxOVdxTy9jdVhPVmxaV2x4eDU3VEZsWldUcHc0SURxMWF2blg5NnhZMGZkZDk5OWV1bWxsN1JreVJMTm5EblRmeW5zcmwyN05HdldMRjEvL2ZXcVZxMmFXcmR1WGFGOXo1OC8zei9pclR3NDV3QUFvR0lJN0lBTDFPZWZmNjR4WThiSTZYVHF4UmRmTFBNeU5rbWFNbVdLNXN5Wm95NWR1aWduSjBjcEtTbTYrKzY3QTc3VTE2eFpVeSsvL0hKQXY1U1VGRDMwMEVQbjVIVlVKbU9Nd2h6ZXh2SHg4VExHV0tjc3MxUXc2cWpvOHlLc1U5Y04xci9vK2tXK3lBVGRWMmw5Z3kwdnovYk81cllxdWkrbjAxblcrMUtoZlZtV1ZWdFNXSkhuaGYyS2JxUHc0UldXWmYzTnNxeitVVkZScVpJUzQrUGpVOTF1OTlJTkd6YXNPN1d1ODBsMGRMUWFOR2dncjllckgzLzhVY3VYTDFmSGpoMTF4eDEzU0pKeWNuS2tncEU0STBlT2xNdmwwcG8xYTJTTTBRTVBQT0RmenRLbFN4VWVIcTVEaHc1cC92ejVTazVPMXNTSkV3UENnUU1IRHZpM0c4eThlZlBVdEdsVC8zT2Z6eWVYeTZVaFE0WUVmSUdQaW9wU216WnQ5Tk5QUDVYNStzTER3M1hOTmRjRXZlenZYREhHS01LaHh2SHg4VjJDL1o5MnVWd1YrZ3c0OWYvNWFSeXJ4ZHFEYmFPOHg3b3h4am9sU0NuM2ZvTnR1K2l4WFlIM3hiSXNxOWI1Y0F6bjV1YnF1Kysrazh2bENyZ1hXM2tWaG5VVmxaR1JvWlVyVjJyNDhPSEt6TXhVU2txS1ZIQlB4OHpNVFA5Njk5NTdyNW8yYmFwRGh3NHBLeXRMTHBkTFVWRlJHamx5cEJ3T2g1NTQ0Z25WcUZGRGt5ZFBydEQrTDd2c3NuS3Z5emtIQUFBVlIyQUhYR0NNTVpvNmRhcG16WnFsSzYrOFVwTW1UU3J6a3JPaWNuSnlGQmtaNmYrU2Y2cURCdy9xZDcvN1hVQmJmbjZWR0tna1M3S2l3c0x1ZHppc2E0SXROOFpZcDR3Q0NiNmRJRlBXQlp2RkxsaXdGMHlSeXhETE94WGVxY0ZXME1mQjloL3NDM05GOWx2U3ZrcXFyN1RaL1lvc0M3cVNNY1poaklrNGRSc2xiYlBnTlVWYWxwVmdqSW0zTE1zZEhoNmVIaDhmdjludE5XdFA1SmY3ZFo0UlkweUp4MWRGT1J3T1hYYlpaZnJnZ3cra2dudE0xYXhaVS8vODV6Lzk2eFR1S3lzclM5OTk5NTI2ZE9taWUrKzlWNTA3ZDVZSzdzdTFmZnQyZndEVXIxOC9OV3pZVUdQR2pORUREenlnZWZQbTZkSkxMdzNZNysyMzMrN3ZMMG5yMXEzVE8rKzhVNnkrU3krOVZHKysrYWFlZnZwcHpaNDlXNUkwY09CQUpTWW02dGxubjYzUWE2M29hSjh6WVVtS0RIZmM3M0E0cmpwMVdYaytCMDc5RERqMS8yUlp4MzdCSmFJcTU3RVg5SGdxY2l3SFBjNkR2SWF5YWlyUGNSdnM0Ky9VbWdKQ3U3TjREUDk0SXQ5WDlqWGJwMkg3OXUzS3o4OVhzMmJOVGp0OE94MC8vdmlqLy82VUV5Wk04TGVmT2hsRFVjOC8vN3hpWTJQMTRJTVBhdlBtelJvM2Jwei9IS0RvS05lemhYTU9BQUJPSDRFZGNBSEp5OHZUVTA4OXBTKysrRUkzM0hDRHhvOGZYK0VSS1R0MzdsU2RPblYwNU1pUm9NdXJWNit1UVlNR0JiVHQyclZMVTZaTU9hUGFiY015WWNZb3NraEwyUWxkeWM2a3IvOVNzWE8xNzFLMkg3UzlQR0hsdWV3ZmhFTlNWQVVDeFlBNkNwS0ZhRW4xTE10VXE1eTRUanAwNkpDNmQrOStWcmJWdUhGakxWaXdRSkswYk5reWZmREJCM3JsbFZjQ0puSW9QSmFiTm0ycTk5NTdUMTI2ZEZINzl1MmxncEZETDczMGtycDM3eDV3NmRwdmYvdGIxYTFiVnovODhFT3hzSzV3djBWSDBIaTlKVS9vR1JFUm9YSGp4aWt1THM3L3hmdjIyMjhQK2g3ODVTOS8wUlZYWE9HZmxiS29vamYzcnd5V0paY3hwbkNucDNzc1ZxamZHUnp6SmZhcnlIRmVqbVAwZEkvdGtsWndTcnJvYkJ6RERwa295em9uZVoyeXNyS2tnc2tTVHJWMDZWSU5Hellzb0sxWnMyYWFPM2Z1R2UzVHNpeDE2dFJKYytiTThiZU5IajFhMWF0WDEvRGh3MHZ0R3hrWnFabzFhK3IrKysvWDNyMTdpODI2WEI3ejU4OVgvZnIxUzEySGN3NEFBTTRNZ1Ixd2djakt5dEtRSVVPVWtwS2llKys5VjBPSERpM3gzakVsU1V4TTFKRWpSM1QxMVZkcnk1WXQyclZybDlMUzB2ekxiN3p4UmpWcDBxVFkvWHRPbkRpaGhJU0VTdjlDZmJZWnlaek05N3dkSGU3YWRzcVgzTUMvM0RaeEFBQWdBRWxFUVZUaFprRytBSHU5WGxQSzhsTDdGMzN1OFhpS0Qzc3BaZjNTbGdYYlhsbnJWNlMyWU85RDBUYUh3MUd1YlJlT2xpanRkUVZyOC9sODlaeE81MmNGWC9qOWlueVpQN1cvSkhtTU1XbkdtSjhrSmZwOHZwWEp5Y2xyWXE2T3YxR1dpaytYZWc1RVJrYjY3eVYzcHVyV3JTc1ZUTXd3ZXZSb1BmamdnMnJhdEtsU1VsSzBmLzkrZGVqUXdYL3AzR09QUGFiKy9mdHIvZnIxYXRHaWhWUXdBK3VKRXlkMDk5MTNGOXQybXpadDFLWk5tNkQ3TFcwVVZVbnIzMy8vL2Y3bkxwZExXN2R1VlhKeXN1Njg4MDcvZmFnY0RvZi9jcjVRTXBKeThuenZSRVU0TnBiMFdWQzB2YnpIZjNtUHIvSWU4MmZhdjdSdGxOYXY2TEVkYkoyeWp1bkN4MTZ2OXpLWHkvWGZzM0lNTjJuWlJpNnI0dGVybGtQaDc3WVRKMDRVVzFhN2RtMS9BSjZmbjYvVnExZWY4ZjV5Y25KVXJWcTFnTmxVOSsvZnJ4MDdkcWhmdjM1cTBLQkJpWDJqbzZQOTc5dlFvVU8xZWZQbW9KTStsQ1FwS1VtTEZpMHFNNFRsbkFNQWdETkhZQWRjQURJeU1qUmd3QUR0M0xsVEkwYU0wRDMzM0ZObW4vejhmUDhONVFzdFdMQkF2L3ZkNzFTdFdqVmRlKzIxV3JCZ2dhWk5tK1pmL3R4enoybmx5cFVsYnZPMTExNVRRa0xDR2I2YTBMRXNTeDZmYTF0U1VsTEowOUxCTmxxMmJKbFROQXdKOWdXenlHV0JSNHd4bnhoajV2dDh2bzE1ZVhtWm16ZHZQbDY1RmY4aU9qbzY2QWl5TXpGcDBpU2RPSEZDYytmTzlWK2FXcWRPSFhYcTFFazdkdXhRZEhTMHJydnVPclZvMFVLVEowL1d6Smt6bForZnJ6ZmZmRlBObWpYVE5kY1V2d284SXlORGFXbHA2dENoZy85OUxBeGlUdjNzS0krbFM1ZXFZOGVPL3Z0QWZ2ZmRkNW8rZmJwKy8vdmZCNnpuZHJ2OUk1b0toWWVIVjJxSVoxbVc4bjFtMjg5OEZweFQ1OHN4ZlBubGwwc0ZzNzM2Zkw2QTJaSmJ0bXlwMTE1N1RTb0kxWDc3MjkrZThmNU9uanlwaXk0S3lEQzFaTWtTU2RLMGFkTUNmaStmNnB0dnZnbVl6S1ZwMDZZQjk1VXNpOHZsMHFKRmkwb2ROY3M1QndBQVp3ZUJIVkRGRmY3RlBTc3JTODgvLzd4Kzg1dmZsS3ZmMHFWTE5YWHFWRDN6ekROcTFhcVZWSEJmbkU2ZE9rbVNtalJwb2dVTEZtanQyclgrRzBEMzc5OWZ2WHIxQ3RqTzExOS9yWGZmZlZmeDhmRVZ1bThOY0RaWWx1VXI4bGo2NVl1OWtYUlMwakdmejVkaWpIbno0TUdEbit6YnQrOWtLR3M5bCs2NjZ5NWRmLzMxaW9tSlVjT0dEWFg1NVpmN3Z4eHYzTGhSc2JHeFVzRXgzTDkvZjMzd3dRYzZmUGl3OXV6Wm94a3paZ1RkNWxkZmZhVkpreVpwNXN5Wi9pL0Z4NC8va285VU5Eekx5TWpRc0dIRE5IVG9VUDlJdTR5TUROV3JWeThnL0ZEQlo5UFNwVXNEMm5yMDZGSGhlOTdoL0hBK0hNT1hYbnFwcnJ6eVN1M2N1VlBmZnZ1dHVuVHBjazczZC96NDhZQkxTejBlajk1Nzd6M1ZybDFiV1ZsWm1qaHhvbjkwclFvdVNSOHhZb1JxMTY1ZExPaXJxTUxQalpMdUU4YzVCd0FBWncrQkhWQ0ZIVHQyVEFNR0RGQjJkcmFtVEptaTFxMWJsN3Z2MGFOSHRXZlBIbms4SG4vYjJyVnJsWkdSRWJCZWVucTYvL0ZWVi8zdi91c25UcHpRczg4K3E2VkxsMnJ3NE1IcTFhdFhzUy9lUUNYNDVTNzJ2M3pSUHlZcFNWS2lwSlhHbU1Ta3BLU2RvUzZ3TW5UdDJyVlltOWZyVlY1ZW5wS1NrdnhmZ0srNzdqcjE2TkZEa3laTmtqRkd0OTEybTY2OTl0cWcyMXl4WW9XaW82TVZGeGZuYjl1elo0OVV3ZGtqVmZEWklpbGdOTXpQUC8vc0R4S0xpbytQTC9ZbHZlaE10YWh5em90aitJOS8vS1ArOWE5L2FlTEVpWXFQanc5NlA3dXpJVE16VTluWjJXcllzS0cvYmRHaVJjckl5TkQwNmRNMWRlcFV6WjgvM3orcVQ1S21UcDJxZ3djUDZ0VlhYejNqMzhPRm8vT09IajBxRlZ6Nld2aGFPZWNBQU9Ec0lyQURxckFaTTJZb0l5TkRFeWRPck5DSnN5VHQyN2RQa2dMdWhiTnExYXBpTStBVnp0eTJZOGNPN2Q2OTI5KytZOGNPTFZteVJQMzY5Vk9qUm8yMFlzVUtTVkpjWE53NSt5SURCR0dNTWVza2ZlQjJ1ei96K1h4N3FsV3JkbWoxNnRYdVVCZFcyZkx6ODVXU2txS2ZmdnBKaVltSmNqcWQ2dDY5dTl4dXQyNjg4VWIvZW4vNjA1LzAyV2VmU1FXVFB3U1RtNXVyTld2V3FFdVhMdjVMV0ZVd2E2WEQ0VkN6WnMxS3JXWHExS2s2ZXZTb1JvMGFKUlY4TVkrT2p2WmZtbmY4K0hGdDNMaFJyVnExa2pFbTRGNWxkZXZXRFpqUUFsWGVlWEVNMzNYWFhmcnFxNitVbUppbzNyMTdhOFNJRVdyZnZuM0EvOTJmZi83NWpQZXpkZXRXcVVoWWxaV1ZwZW5UcDZ0MTY5WnEzYnExUm80Y3FkNjllMnZDaEFrYVBueTQ1cytmcjFtelp1bnZmLy83V1JseFZoaU83OSsvWHlvWTVYYjk5ZGRyOE9EQm5ITUFBSENXRWRnQlZkajMzMyt2dW5Ycm50YmxPUnMyYkZCMGRIVEFaVFZQUC8xMHNmdkJGRjZlc25qeDRvRFo2Z3J2TmZUV1cyOEZyUC95eXkrWGVLTjY0R3c2ZlBqd29kcTFhOStRbkp5Y0tzbFhqaTVWMHFaTm16UjU4bVN0VzdkT2VYbDV1dXl5eTlTK2ZYdDE2dFJKTDc3NG91TGo0L1hyWC85YUtoZ2hOMnpZTUxsY0xybGNMZzBkT2xRVEprenczelMvMEtwVnErUjJ1d05tbDl5M2I1K1dMRm1pRGgwNmxIblpYWHA2dWxKU1V2elBWNjllcmZqNGVQK0ltQysvL0ZJK24wOXIxNjdWN05tejlmRERENS9sZHdYbmcvUHBHSFk2blpvNGNhS2VmUEpKTFYrK1hJTUdEZEt2ZnZVck5XellVTVlZcGFlbjY5Q2hRMUlKczhtVzEvZmZmNi9JeUVoL1lEZHUzRGhsWldWcDZ0U3BrcVRZMkZpOThNSUwrdHZmL3FZTkd6Wm93NFlOR2pGaWhPNjY2K3pNdDNIRkZWY29NakpTbXpkdlZzK2VQWFg0OEdIL3BEQ2Njd0FBY0hZUjJBRlZXTzNhdGJWejUwNTkvUEhIdXZubW04djhFdTEydTVXZW5xNkZDeGRxelpvMXhTNmo4M2c4eXN2TEs5WW1TZjM2OVZPL2Z2Mzg3U2twS1hyb29ZZjA2YWVmOHRkdGhNU2VQWHR5OXV6WnN5SFVkWVJhNFgzZy92clh2NnBqeDQ3K1VUYXZ2LzY2OXV6Wm83Ly8vZTlTd2V5UHc0Y1BWM1oydGlaUG5xem82R2dOSGp4WWd3Y1Axa01QUGFRLy8vblAvbGtYdi96eVMwbnlCM2JaMmRrYVBueTRQQjZQQmc0Y1dHWk5SNDRjOFkvVTJiZHZuM2JzMktIZi9lNTNVc0ZueXV6WnN4VWJHNnViYjc1WlU2Wk1VVlpXbHZyMzczK08zaUhZMWZsMkRGOTAwVVdhUEhteVZxeFlvWTgvL2xqcjFxMVRhbXFxbkU2bjZ0U3BvKzdkdTZ0cjE2N3EzTG56YVczZjUvUHA2NisvVnFkT25SUWVIcTYzM25wTFgzMzFsUVlPSE9nUDhJd3h5c3ZMVSszYXRiVmh3d1pWcjE1ZFlXRmhRU2QxT0IwdWwwdXRXclhTOTk5L3J3RURCdWpnd1lPNjhzb3JKYzQ1QUFBNDZ3anNnQ3FzOE12Mm1ERmpOR2JNR0lXRmhjbnBkTXF5TFA5SUZxL1hLNC9ISTYvWEd6QURYOE9HRFRWbzBLQ0E3UlU5T1M2cWNGdTdkKy9XZi83ekgwVkdSaW9wS1VrdWx5dmd4dGdBS2wrTkdqWDhvMjhLZmZmZGQ1bzFhNVk2ZCs2c1ZxMWFhZEtrU1pvM2I1NmlvNk0xWmNvVS82aVdXYk5tYWVqUW9abzFhNVlXTDE2czU1OS9YbGRkZFpXV0xWdW01czJicTFhdFd0cTJiWnRHakJpaGJkdTJhY3lZTVdyU3BFbXhHZ28vQitiTW1hT0dEUnRxelpvMXV2UE9PLzIxU1BKZlFqZHg0a1R0M2J0WDQ4YU5VL2Z1M1dXTTBadHZ2cWxGaXhiSkdDT3YxNnQvLy92Zjh2bDg4bnE5eXMvUFYxNWVubHEzYnEwYmJyamhuTCtmUUZrNmRPZ1FNUHEwSXJwMjdhclZxMWNIWGZicHA1OXEzNzU5R2pac21CWXVYS2hYWDMxVk45OThzeDU2NkNIdDNMbFRLMWFzMEgvKzh4OXQzNzVkdDk1NnErNjk5MTY5ODg0N2V2YlpaelZ0MmpUMTZORkQ3ZHExVTBKQ1FyRkxUU3Zpamp2dTBLaFJvL1RjYzg5SkJUUGhpbk1PQUFET09nSTdvQXByMGFLRlB2dnNNNjFhdFVwNzl1eFJkbloyd0FseTBYdnJGSjVRVjY5ZVhURXhNV3JkdXJXY1RtZkE5cDU2NmluL1BhWUtiZDY4V1dQSGpwVUtia2I5OWRkZnkrUHhLQ29xU2lOSGpneTR2eFVBZTFpL2ZyM3ExYXVuTVdQR2FQbnk1ZnIzdi8rdGpoMDc2c2tubjFTZE9uWDg2elZxMUVqejVzM1R4SWtUdFdYTEZqVnExRWliTm0xU2JtNnVicnp4Umhsak5INzhlTzNkdTFmUFB2dXNldlRvRVhSL0NRa0ppb3VMODk4YnIzSGp4bnJnZ1Fla2dza3JvcUtpZFBYVlYrdklrU1A2NktPUDFMNTllOTF5eXkyU3BFY2ZmVlJkdTNiVm9rV0w5TU1QUDJqZnZuMmFOR2xTc1gyYzY1azVnVkJMU2twU2l4WXQxS2xUSjIzWXNFRzMzbnFybm43NmFZMGFOVXBmZlBHRklpSWkxTGx6WjQwZE85Wi9IOGtYWDN4UnFhbXBtamR2bnQ1Ly8zM05tVE5ISFRwMDBDdXZ2SExhZFhUcjFrM0xseS9YMTE5L3JkNjllNnQrL2ZvUzV4d0FBQUNvTERGTldsNGZjM1g4OXFhdDJwblB2L2phWE9pT0h6OXVQQjVQcU1zSWlXKysvYzYwYkhlamlXbldLajNtNm5oU2dRdFF6Tlh4WFdLYXhSOXBlK1BOWnMzYTVGRC9sendyamh3NTRuK2NrcEpTNXZwdXR6dWdiMlptcGpFRm53MWJ0MjQ5N1RvT0hqeG9saTFiNW4vKytlZWZtMlBIanBYYXgrdjFHby9IWTd4ZTcybnY5M1JzMkxqSjNIaHpEeE56ZGF1Y21LWXRidzMxLzB1VVgxWDRuWjZUazJQUzB0S0t0ZS9hdGN2OHYvLzMvMHgyZG5hcC9VK2NPR0crL3ZwcmMvRGd3WE5ZNWRsaDEzT09IMVlsY2o0QUFLZzAvQmtLUUxsd21RbFF0UlM5ejFPTEZpM0tYTC9veUpXaWZhT2pvOC9vOCtHU1N5NVJwMDZkL004TFI5YVZwdkNTT09CQ1VuU3lpYUlhTkdnUU1MdHFTYUtpb3M2YkdaWTU1d0FBUU9LTUZ3QUFBQUFBQUxBUkFqc0FBQUFBQUFEQVJnanNBQUFBQUFBQUFCc2hzQU1BQUFBQUFBQnNoTUFPQUFBQUFBQUFzQkVDT3dBQUFBQUFBTUJHQ093QUFBQUFBQUFBR3lHd0F3QUFBQUFBQUd5RXdBNEFBQUFBQUFDd0VRSTdBQUFBQUFBQXdFWUk3QUFBQUFBQUFBQWJJYkFEQUFBQUFBQUFiSVRBRGdBQUFBQUFBTEFSQWpzQUFBQUFBQURBUmdqc0FBQUFBQUFBQUJzaHNBTUFBQUFBQUFCc2hNQU9BQUFBQUFBQXNCRUNPd0FBQUFBQUFNQkdDT3dBQUFBQUFBQUFHM0dGdWdEQTdudytuOVp2VEZWRVJIaW9TMEdJckZ1L1VSNlBOOVJsd0FieTNmbGFrN3hPeDQ0ZkQzVXBDSUdkdS9jb056Y3YxR1hnRFBBN0hXY2lkZk1XemdjQUFKV0d3QTRvZzhmajBiU1pzK1Z3TUNEMVF1WHorZVR4ZUVKZEJtemcyTEhqZW43U0s3SXNLOVNsSUFTTU1YSzczYUV1QTJlQTMrazRFOGJuazV2ekFRQkFKU0d3QTBxUTcvUHNpMURZZW1Nc3VkMmNuRUd5TEczMWVyMjdRbDBIS3AvUDY5M2xjRHBUalhSWmZ2NkZHOWhZbG5GS2t2SEpKOHN5b2E0blpDeGx1V1Z0QzNVWktEOStwK05zNG53QUFGQVpHQ0lBbE14cUdCdlh5R0dzdXFFdUJQYmdNZDdNUFZzM2JKUGtDM1V0cUhTT1JrMWJ4aHF2YW9hNmtGQnhPYzFWRjFWelBtYkpDc3R6ZTZmazVHbDlxR3NLRldQNWp1N2NzbjR6bndYbkZYNm40NnpoZkFBQVVCa0k3QUFBUUpsYXRteDVuY3ZsK3NnWUUybFoxbjFyMXF6NVBOUTFBUUFBQUZVVk4vQUFBQUFBQUFBQWJJVEFEZ0FBQUFBQUFMQVJBanNBQUFBQUFBREFSZ2pzQUFBQUFBQUFBQnNoc0FNQUFBQUFBQUJzaE1BT0FBQUFBQUFBc0JFQ093QUFBQUFBQU1CR0NPd0FBQUFBQUFBQUd5R3dBd0FBQUFBQUFHeUV3QTRBQUFBQUFBQ3dFUUk3QUFBQUFBQUF3RVlJN0FBQUFBQUFBQUFiSWJBREFBQUFBQUFBYklUQURnQUFBQUFBQUxBUkFqc0FBQUFBQUFEQVJnanNBQUFBQUFBQUFCc2hzQU1BQUFBQUFBQnNoTUFPQUFBQUFBQUFzQkVDT3dBQUFBQUFBTUJHQ093QUFBQUFBQUFBR3lHd0F3QUFBQUFBQUd5RXdBNEFBQUFBQUFDd0VRSTdBQUFBQUFBQXdFWUk3QUFBQUFBQUFBQWJJYkFEQUFBQUFBQUFiSVRBRGdBQUFBQUFBTEFSQWpzQUFBQUFBQURBUmdqc0FBQUFBQUFBQUJzaHNBTUFBQUFBQUFCc2hNQU9BQUFBQUFBQXNCRUNPd0FBQUFBQUFNQkdDT3dBQUFBQUFBQUFHN0ZDWFFBQUFMQ1hWcTFhZFhjNm5Zc3Iwc2ZuOC9WTVNrcjY5TnhWQlFBQUFGdzRHR0VIQUFBQ25EaHg0aHRqek00S2RObWRuWjM5NVRrc0NRQUFBTGlnRU5nQkFJQUFhV2xwZWNhWStXV3RaNHdwL1BmRHRMUzB2TXFvRFFBQUFMZ1FFTmdCQUlCaXZGN3ZYRW01eGhoL01GZFVrYkF1M3hqemZnaEtCQUFBQUtvc0Fqc0FBRkNNMiszZVo0eFphMWtsMys3V3NpeFpsclhaNS9OVjVQSlpBQUFBQUdVZ3NBTUFBTVZjZE5GRnh5UXRLM3hlZEpUZEtZL1huang1OG1EbFZ3Z0FBQUJVWFFSMkFBQ2dtTldyVjd0OVB0K1BrbzZYc2xxT3BKWGN2dzRBQUFBNHV3anNBQUJBVUQ2ZkwxbVNmL1RjcWZlek04WWM5M3E5eTBOVkh3QUFBRkJWRWRnQkFJQ2dVbEpTdGh0ak5wU3lTdXE2ZGV0S1d3NEFBQURnTkJEWUFRQ0FraGhqekh2QkpwNG9hSnNqcWZnVXNnQUFBQURPQ0lFZEFBQW9VWFoyOWlmR21DT250aHRqc293eEMwTlRGUUFBQUZDMUVkZ0JBSUFTcGFXbEhaUDBZZEZSZGdXUFAwdEtTc29LWlcwQUFBQkFWVVZnQndBQVNtV01tU1BKcmYrRmRSNWp6UHhRMXdVQUFBQlVWUVIyQUFDZ1ZENmZiNk9rellXajdJd3h1NzFlYjBxbzZ3SUFBQUNxS2dJN0FBQlFxbVBIamgwenhueFRwR21OMStzOUVNS1NBQUFBZ0NxTndBNEFBSlJxeDQ0ZHVjYVlaR09NVzVMSDUvTnQzTGh4WTNhbzZ3SUFBQUNxS2xlb0N3QUFBUFpuV1ZhaXBQM0dtQ2lmei9kbHFPc0JBQUFBQUFBQUxuUldRa0xDZHdrSkNlc2xPVU5kREFBQUFGQ1ZXYUV1QUFDQTgwSGRSaTB1alhLNUxndDFIYUVVSGFIN0xjdEVIcysxWm9XNmxsQXkrWG43ZCs1TVRROTFIUUFBQUtpNkNPd0FBQ2hEL1YrM3VpTE1vV2xHYWhMcVdrTEpZY2xsakU5R0RrK29hd2tseTlMZXZEejN3L3UyYmR3VjZsb0FBQUJRTlhFUE93QUF5dUJ5V0xIRzBvMldWQ1BVdFlTU2tTVExlY0gvdGM4WUV4TWU1bW91aWNBT0FBQUE1d1NCSFFBQTVYUng5ZXJxOTBnZk5ZNkpDWFVwQ0lIZGUvYnE5Wm16ZE9qUTRWQ1hBZ0FBZ0NxT3dBNEFnSElLRHcvWGRXMWFLeUcrWmFoTFFRaHNUTjJzdCtiT0MzVVpBQUFBdUFBNFFsMEFBQUFBQUFBQWdQOGhzQU1BQUFBQUFBQnNoTUFPQUFBQUFBQUFzQkVDT3dBQUFBQUFBTUJHQ093QUFBQUFBQUFBR3lHd0F3QUFBQUFBQUd5RXdBNEFBQUFBQUFDd0VRSTdBQUFBQUFBQXdFWmNvUzRBQUFBQXFFcU1NU2JVTlZRMnk3S3NVTmNBQUVCVndnZzdBQUFBQUFBQXdFWUk3QUFBQUFBQUFBQWJJYkFEQUFBQUFBQUFiSVRBRGdBQUFEaEhjbk56SzdUK3BrMmJ0R3pac3RQZW44L25rOWZyUGUzK3A4ck56VlZLU3NwWjJ4NEFBQ2dmQWpzQUFBRGdIRmkrZkxsNjl1eXBYYnQybGJ2UHdvVUw5YzkvL2pQb3NwZGZmbGtyVjY0c3RmLzQ4ZVBWdTNmdk12ZVRtSmlveHg1N1RGbFpXYVd1OThvcnI2aHYzNzdLeU1nb2M1c0FBT0RzSWJBREFBQUF6b0c0dURoWmxxVmh3NFlwTHkvdmpMWjEvUGh4clZxMVNnTUhEdFQwNmROVjJrUzBtelp0VW9jT0hZcjkvT1kzdi9Hdms1dWJxNTkrK2trUFBQQ0EwdExTU3R6V3d3OC9MTXV5OVBubm41OVIvUUFBb0dKY29TNEFBQUFBcUlwcTFLaWhmL3pqSC9yYjMvNm1WMTU1UlU4ODhjUnBiNnQ2OWVxYU9YT21ubmppQ2IzeHhodmFzV09IeG8wYkYzVGRtSmdZUGZmY2M4WGFIWTcvL2EyK1k4ZU9takZqaGdZTkdxUStmZnBvN05peGV2TEpKNE51eisxMmEvcjA2Wm8rZlhxeFphKzk5cG9TRWhKTyszVUJBSURnQ093QUFBQ0FjNlJ6NTg3cTFxMmJQdjc0WXozODhNTmFzMmFORGg0OFdPTDZhV2xweXMvUDE3eDU4L3h0dDl4eWl5NjU1QkpGUlVWcDh1VEpHajE2dExwMTY2YjA5UFJpbDZvZU9uUklQcDlQSjArZURMcjlIVHQyS0NZbVJwTFV2SGx6dmZubW01b3paNDdhdEdtak1XUEdTSktXTGwycXBrMmI2dkxMTDVjeFJpdFhybFNyVnEwVUZSVlZiSHVGMndJQUFHY1hnUjBBQUFCd0RnMGZQbHc1T1RtcVhidTJQdnp3UXlVbko1ZTRydHZ0bHRmcjFaUXBVL3h0clZxMTBpV1hYQ0pKQ2dzTDA3Lys5UytwNFA1eWI3Lzl0aUlqSTR0dForREFnY1hhOHZMeWROTk5OK21GRjE3d3Q4WEV4R2owNk5HU3BLNWR1eW9qSTBNalI0NVUyN1p0MWJWclY2MWV2Vm9mZmZTUnVuZnZybmJ0MnAzaE93RUFBTXFMd0E0QUFLQUNqREVLYzNqcnQyelo4dnBRMTRMelE2MWF0ZnlQcDA2ZFd1cTZ6ejMzbkpZc1dWSnNwdGdsUzVib3dJRUQ2dFdyVjdGdGYvSEZGLzduMzMzM25YSnljdFN0VzdlQTlmYnMyYVBmLy83M2lvK1AxNUVqUnpScTFDZ05HalJJMTF4elRjQjZDeGN1VkZSVWxMcDM3eTVKK3ZqamoxV2pSZzIxYnQyNjFMbzVIbkMrc2l4cmQzSnk4dDVRMXdFQXB5S3dBd0FBcUFCTFVsUkUyTDFPeXdwK3d5OUFVa1pHUmtEbzFxWk5HMTExMVZXU3BHM2J0dW40OGVOcTFhcFZ1YmUzZlBseS9mZS8vOVhxMWF2MTdMUFA2cUtMTGdxNjN1TEZpNVdabWFsdTNicko0L0hvNk5HamNqcWQrdkRERDNYeHhSZnI3cnZ2VmtaR2hqSXlNdlR3d3c5cjZOQ2h1dWVlZTZTQ2lTM2VmLzk5OWVqUlE5V3FWZE9CQXdlMGVQRmllYjFlZGVyVXFkaSs1czZkcTBhTkdrbVNuRTdudXhWK2t3QWJzQ3hyZS9QbXpSL2F1SEZqK2FkekJvQktRR0FIQU1BRklEYzNOK2hsY3lYWnRHbVQ5dS9mcjg2ZE81L1cvbncrbjR3eGNqcWRwOVhmOW93aVphbEdxTXVBZmUzY3VWT3Z2UEtLVkhEOGpSbzF5aC9ZalI4L1h0dTJiZE9jT1hOMCtlV1hsMnQ3WThlT1ZjT0dEVFZ0MmpUMTd0MWI3N3p6am4vWmxpMWJORy9lUEIwK2ZGanIxNi9YaVJNbjFMbHpaMlZuWjB1Uzdybm5Ic1hGeGVtbGwxNVNaR1NrWW1KaU5IZnVYSTBjT1ZJVEprelFpUk1uMUtkUEgwMmZQbDNaMmRucTBxV0xKR25LbENseU9wMGFPM2Fzd3NMQy9QdGJ1blNwUHYzMDAxUHZhY2Z4Z1BPTlMxS1VNYVpHZUhoNFkwa0VkZ0JzaGNBT0FJQXFidm55NVJvelpveG16WnFsaGcwYmxxdlB3b1VMZzE2V0owa3Z2L3l5cnJ2dU9sMS9mY2xYd0kwZlAxNnBxYW1hTzNmdUdkVnVSMFpTYnA1M2ZuUlVXUEZwT0lGZmZIYmRkZGRweFlvVk9uNzh1RDhBS3pSMjdGajk4WTkvMU5DaFF6Vjc5dXh5aCttUFBQS0lMci84Y3UzZHV6Y2dMSXVJaU5BbGwxeWkyTmhZSFQxNlZHNjNXMDgvL2JScTFxeXBHalZxeU9WeTZiNzc3bE44Zkx6L0V0am82R2k5L1BMTG1qdDNydTYrKzI3OS9QUFBtajkvdmxSd243ems1R1I5OHNrbnV1bW1tOVMwYVZPTkhUdFdFeVpNVU8zYXRmWHBwNStxWWNPR3V2VFNTLzAxV0piMXg3UDAzZ0dWd3VmenRiUXNhNFFrUnpsV0I0QktSMkFIQUVBVkZ4Y1hKOHV5Tkd6WU1NMlpNMGNSRVJHbnZhM2p4NDlyMWFwVm1qTm5qaDU5OUZFOThzZ2pzaXdyNkxxYk5tMVNodzRkaXJWSFJFVG82NisvUHUwYVFzMnlMT1VicGExWnMyWnhxR3ZCK2FsZXZYcDY1cGxuTkdUSUVJMGJOMDdQUFBOTXVmdmVkdHR0L3NmR0dEa2NEalZzMkZBREJneVFKS1ducCt2RER6OVVXbHFhLzk1NXUzZnYxdGF0VzNYdnZmY0diTXZwZEtwMzc5N0t6YzNWazA4K3FiQ3dNSG05WHVYazVHanMyTEZ5T0J4YXZYcTE2dGF0cTh6TVRMMzIybXNhUG55NFZxMWFwVHZ1dUNOZ1d4d1BPTi9FeDhmbldwYVZiNHdwLy9CekFLaEVCSGI0Lyt6ZGVWeFU5ZjQvOE5lWkdXQkE4S0tJK3k1RXBpZ2pvcGxyTjhVc3ZaWGRzbHVab3VXdWVkMjlYVFBTTkUyTkxMaCszYzJsdkdxTHY4cXRwRnhLSkZsVklwQkZFVkJCVUxaaGx2UDUvU0djeXppQTREWWp2cDZQQjllWnovbWN6M21mNllGWFhuek81ME5FUkhXY3U3czcvdjN2ZjJQR2pCbFl2WG8xWnMrZWZkdGp1Ym01WWYzNjlaZzllemIrNy8vK0QybHBhVml5WkVtbGZkdTJiWXNQUHJDZWhLWlNjVElEVWQrK2ZmSFNTeS9od0lFRHlNN09SdE9tVFd0MFhtWm1KcG8xYXdaSmtsQllXR2kxbHQwcnI3eUNNMmZPWVBueTVaQmxHUUNnMFdqUXYzOS9aU09KY2tJSWZQbmxseWd1TGtaNmVqb1dMbHlJZDk5OUYrbnA2Ymh5NVFwV3IxNk42ZE9uSXp3OEhETm56a1JrWkNUMjdkdUg0dUppcThDT2lJaUk3aTRHZGtSRVJBK0IvdjM3WTlDZ1FkaTdkeS9HakJtRHFLZ29YTGx5cGNyK3ljbkpNQmdNMkxGamg5SVdHQmlJUm8wYXdjWEZCU0VoSVZpd1lBRUdEUnFFckt3c1pHZG5XNXlmbTVzTFdaWlJYRnhjNmZocGFXbG8yN2J0WGJ4RG9nZlA5T25UTVhic1dIaDZldGI0bktsVHA4TGIyeHNmZnZnaENnb0tVTDkrZll2akxWcTB3Tml4WTdGNzkyNHNXclFJcnE2dVZZNzE1NTkvWXNXS0ZaZzhlVEttVDU4T25VNEhBSGowMFVleGR1MWFkTzdjR1FNSERzU21UWnZ3NVpkZklpQWdBTU9IRDBmUG5qMlY5ZmlJaUlqbzNtQmdSMFJFOUpDWU0yY09Ta3BLNE9IaGdhKy8vaHF4c2JGVjlqVWFqVENielFnTkRWWGF1bmJ0aWthTkdnRmxhMXg5K09HSEFJRFZxMWRqeTVZdGxhN0ROV1hLRkt1MjB0SlNQUG5ray9qb280L3UwcDBSUFppMFdxM1Y5MDFSVVZHVnMxRHo4L09SbHBhR3dNQkFBRUJxYWlyYXRHbURuSndjNU9ibW9sNjllZ2dPRHNiRWlST1JrcEtDOGVQSDQ5TlBQMFhEaGcwUkhoNk90TFEwQkFVRktlUDkvdnZ2QUlCbm5ua0dUWnMyUldabXBuS3NjK2ZPQUlBeFk4YmcxVmRmeFJkZmZJRzB0RFJjdVhJRklTRWg5K1R6SUNJaW92OWhZRWRFUlBTUUtGL1BDZ0RDd3NLcTdmdkJCeDlVdXVuRXdZTUhjZm55WmJ6Kyt1dFdZeDg2ZEVoNWYrellNWlNVbEdEUW9FRVcvVEl5TXZEM3YvOGRmbjUrZDNnM1JIWER2bjM3Y1BMa1NkU3JWdzhHZ3dHSER4K0dsNWRYcFgzajR1SUFBTjI2ZFVOaFlTSE9uVHVIWWNPR1lkKytmUWdMQzhPR0RSc1FGUlVGclZhTDBOQlFiTnk0RVJyTmpYL3VKeVltWXV2V3JYajU1WmVWeDJnakl5UFJxbFdyYWgvSDdkQ2hBOGFORzRkUFB2a0VzaXhqOHVUSmVPU1JSKzdKWjBGRVJFVC93OENPaUlpb0Rzdk96cllJM2JwMzc2NDh5cGFTa29LQ2dnSjA3ZHExeHVNZFBYb1VQL3p3QTA2ZE9vWEZpeGRiclo5VmJ2LysvY2pKeWNHZ1FZTmdNcGx3N2RvMXFOVnFmUDMxMTZoZnZ6NWVmUEhGdTNCM3RpR0VnQnFpV2RldVhYVVYycVR5UHgwY0hLemFLdjU1MDJzSk54Yi92N21QMVRtVjlMSHFWOWsxeXMrcnJtK0ZZeWF6MlJ4OTVzeVpxM2Zqc3lMZ3h4OS9CTW9lRTY5TWNYRXg5dTdkcTd6MzlQVEUyMisvWFduZjZPaG9hRFFhK1ByNll0KytmUkJDUUtmVFlmMzY5ZWphdFNzY0hSMlZ2aTFidHNTNzc3NkxxS2dvckZtekJpTkhqb1JlcjhmaHc0Y3hiTmd3R0F3Ry9QNzc3eGFiV0ZSR3I5Y2pLeXRMV1EvUDNkMzl0ajRISWlJaXFoMEdka1JFUkhWWWVubzZWcTllRFpUOTREMS8vbndsc0Z1NmRDbFNVbEt3ZGV0V05HL2V2RWJqTFZxMENLMWJ0OGFhTldzd2F0UW9mUDc1NThxeHBLUWs3Tml4QTFldlhzWHAwNmRSVkZTRS92MzdvN0N3RUFEdzhzc3Z3OWZYRng5Ly9IR2xqODgrS0NRSmNIVlN2YVpXcStlV3QxVVJ4dDNvTGtrMy9xZENXeVY5cGJMT2xiNis2VHlydHZLK0ZSNmx0T3BiZnEzeXZwV05MMG1TU2FWU0xRSlEvUlJNcXBIdnZrYW5WYklBQUNBQVNVUkJWUHNPaXhjdlJwczJiYkJod3dZMGE5WU1mL3ZiM3l6NnZQRENDeGd5WkFoa1dZWktwWUtMaTB1VjR4MDdkZ3lkT25XQ2c0TUR0bS9mRGg4Zkg3UnMyUkluVHB6QXBFbVRsQjJieldhemNzN2x5NWR4NnRRcC9QdmYvMGJMbGkzeHd3OC9ZTml3WVlpSWlFQkpTUWw2OXV4WjVmVmlZMk94ZVBGaXBLYW00cTIzM2tKMmRyWXkrM2JLbENuS1k3TkVSRVIwOXpHd0l5SWlxc042OXV5SjQ4ZVBvNkNnQUFNR0RMQTR0bWpSSXZ6akgvL0F6Smt6c1duVHBocUhhRys5OVJhYU4yK09peGN2V29RTFRrNU9hTlNvRWJ5OXZYSHQyalVZalVhODk5NTdhTkNnQWR6ZDNhSFJhUERLSzYvQXo4OFBuVHAxdXV2M2VyOUlrQ0JCMVJpQWo5Sm1rY2ZWWXF6Yk9POWVYMHVTSk4vYnVnQlpPSFBtRElLRGd4RVFFSUJQUC8wVUlTRWhDQTRPeHZidDI5RzdkMjgwYWRJRVRrNU8wR2cwMEdnMFVLdlYwR2cwTUJxTk1CZ01LQzB0UldscEtRd0dBNTU0NGduVXIxOGZLU2twR0RObUROYXVYWXZVMUZRc1hib1VKMDZjZ01sa3dwQWhRNVRIWDdkczJZTEF3RURJc294dDI3YkJ4Y1VGelpzM3g1dHZ2Z20xV2cwQStQbm5ueUZKRXJwMzcyNVZlMVpXRm1iTm1vWHc4SEEwYWRJRVlXRmg2TkdqQndDZ1Q1OCtXTEZpQlVhTkdnVmZYMThzV3JRSXJWcTF1cytmTGhFUlVkM0h3STZJaU9naDFiUnBVN3ovL3Z1WVBuMDZsaXhaZ3ZmZmY3L0c1MVo4akU0SUFaVktoZGF0VzJQeTVNbEEyUS84WDMvOU5aS1RrNVcxOHk1Y3VJQno1ODVoeElnUjkrQnU3aDhCUUc4eWJYZFJhZEp0WGN0ZDlvWWtTVU5zWFVSZDBhRkRCM1RxMUFuTGxpMkRnNE1EWnMrZWpYNzkrdUhycjcvR1R6LzloS3RYcjZLMHROUmlObHhsMUdvMWhnNGRxbXdRMGExYk4yellzQUdCZ1lISzVoTitmbjdLaGpCVHBrekI1NTkvanZEd2NBQ0FoNGNIWnMrZURZMUdnMkhEaGlualB2cm9veEJDV08weUN3Q3VycTdJeU1qQStQSGo4Y1liYjFpRStRTUhEa1NmUG4yd1o4OGVKQ1Vsb1dYTGxuZnBFeU1pSXFLS0dOZ1JFUkU5eFByMjdZdVhYbm9KQnc0Y1FIWjJkcldMejFlVW1abUpaczJhUVpJa0ZCWVdXcTFsOThvcnIrRE1tVE5Zdm55NXN2YVZScU5CLy83OU1Yanc0SHR5TC9kVHFVbUtUVHdUdmQvV2RkeE4zYnAxNndtQWdkMWRvdFZxc1g3OWVtWFdHOHBtdk43OENLb1FBZ2FEQVVhakVTYVRDV3ExR21xMUdpcVZTcGw1SjBrU25uNzZhZmo2K3FKUm8wWjQ1SkZINE96c3JJelJwRWtUNVhWUVVKREZUckJWZWVtbGw2emFtamR2amxPblRnRUFubnp5eVdydjdiWFhYcXZCcDBCRVJFUzNpNEVkRVJIUlEyNzY5T2tZTzNZc1BEMDlhM3pPMUtsVDRlM3RqUTgvL0JBRkJRVldzM1JhdEdpQnNXUEhZdmZ1M1ZpMGFCRmNYVjN2UWVWRTlxMWlXRmNWU1pMZzVPUUVKeWVuVy9adDBhSUZVUGI0T1JFUkVkVnRxaHIwSVNJaW9qcE1xOVZhaFhWRlJVV29zSUdCaGZ6OGZLU2xwYUZkdTNZQWdOVFVWRFJ1M0JnNU9UbElURXhFUmtZRzNucnJMVGc3T3lNbEpRWGp4NC9IMWFzM05oME5Edy9IcGsyYjdzTmRFUkVSRVJFOXVEakRqb2lJaUxCdjN6NmNQSGtTOWVyVmc4Rmd3T0hEaCtIbDVWVnAzN2k0T0tCc0xhM0N3a0tjTzNjT3c0WU53NzU5K3hBV0ZvWU5HellnS2lvS1dxMFdvYUdoMkxoeG96TFRLREV4RVZ1M2JzWExMNzlzOVJndFVWMGgzZTdPSUVSRVJFUmxPTU9PaUlqb0lmRGpqejhDQUhKemN5czlYbHhjakwxNzkrS0xMNzdBbmoxNzRPN3VqcmZmZnJ2U3Z0SFIwZEJvTlBEMTljV2hRNGNnaElCT3AwTlVWQlM2ZHUwS1IwZEhwVy9MbGkzeDdydnZJams1R2VQR2pVT25UcDJnMSt0eCtQRGhlM1NuUkVSRVJFUVBQZ1oyUkVSRWRkeDMzMzJIeFlzWG8wMmJOdGl3WVFQMjd0MXIxZWVGRjE3QTBhTkg4Y3N2ditEbzBhUFl2MzgvQWdJQ0toM3YyTEZqNk5TcEV4d2NITEI5KzNiNCtQaWdaY3VXT0hIaUJIcjM3bzN5eVVVVmQ3KzhmUGt5VHAwNmhUWnQycUJseTViNDRZY2Y3dUVkRXhFUkVSRTkyUGhJTEJFUlVSMTI1c3daQkFjSEl5QWdBSjkrK2lsQ1FrSVFIQnlNN2R1M28zZnYzbWpTcEFtY25KeWcwV2lVSFNrMUdnMk1SaU1NQmdOS1MwdFJXbG9LZzhHQUo1NTRBdlhyMTBkS1NnckdqQm1EdFd2WElqVTFGVXVYTHNXSkV5ZGdNcGt3Wk1nUTVmSFhMVnUySURBd0VMSXNZOXUyYlhCeGNVSHo1czN4NXB0dlFxMVcyL3FqSVNJaUlpS3lXd3pzaUlpSTZyQU9IVHFnVTZkT1dMWnNHUndjSERCNzltejA2OWNQWDMvOU5YNzY2U2RjdlhvVnBhV2xGclBoS3FOV3F6RjA2RkQ4L3Z2dlFObjZkUnMyYkVCZ1lDQUNBd01CQUg1K2ZtalVxQkVBWU1xVUtmajg4ODhSSGg0T0FQRHc4TURzMmJPaDBXZ3diTml3ZTM3ZlJFUkVSRVFQTWdaMlJFUkVkWmhXcThYNjlldVZXVzhBMExOblQvVHMyZE9pbnhBQ0JvTUJScU1SSnBNSmFyVWFhclVhS3BWS21Ya25TUktlZnZwcCtQcjZvbEdqUm5qa2tVZmc3T3lzak5Ha1NSUGxkVkJRRUlLQ2d1N1RYUklSRVJFUjFTME03SWlJaU9xNGltRmRWU1JKZ3BPVEU1eWNuRzdadDBXTEZnQlFvNzVFUkVSRVJGUjczSFNDaUlpSWlJaUlpSWpJampDd0l5SWlJaUlpSWlJaXNpTjhKSmFJaUlpSTZyeTJiZjNjNFdodWF1czY2TUZuS3BZdloyU2N1V3JyT29pSXFHNWpZRWRFUkVSRWRWcFRMNTBuTlBJaVNPcWVOZWhPVkMyTnF6cTJUWnVPODlQVEU3SnNYUXNSRWRWZERPeUlpSWlJcUU3VHd0d0JVQTJXZ0xhMnJvVWVmRUlTVFNWbnA4MEFHTmdSRWRFOXc4Q09pSWlJaUI0S0dvMEdvMTU3QlYwNmQ3SjFLZlFBU2pxWGd2V2J0NkpFWDJMclVvaUk2Q0hBd0k2SWlJaUlIZ29xbFFvQi90MFFPUEJKVzVkQ0Q2QVRKMy9IbHUxZm9FUnY2MHFJaU9oaHdGMWlpWWlJaUlpSWlJaUk3QWdET3lJaUlpSWlJaUlpSWp2Q3dJNklpSWlJaUlpSWlNaU9NTEFqSWlJaUlpSWlJaUt5SXd6c2lJaUlpSWlJaUlpSTdBZ0RPeUlpSWlJaUlpSWlJanZDd0k2SWlJaUlpSWlJaU1pT01MQWpJaUlpSWlJaUlpS3lJd3pzaUlpSWlJaUlpSWlJN0FnRE95SWlJaUlpSWlJaUlqdkN3STZJaUlpSWlJaUlpTWlPTUxBaklpSWlJaUlpSWlLeUl4cGJGMEJFUlBTZ01CZ05pSXFOdy9XQ0FsdVhRamFRZmlFRGVuMnByY3NnSWlJaW9vY0FBenNpSXFJYXVuNjlBTXRYcllZa1NiWXVoV3hBQ0FHajBXanJNb2lJaUlqb0ljREFqb2lJNkJaa3MvbThTcTFPRUVBemcrSGhEV3drU2FnQlFNaVFJVW5DMXZYWWpJUjhJNlFVVzVkQlJFUkVSSFVYQXpzaUlxSmJPSjhVbjliT3AwdVFNS09Ccld1eEZZMWFkS2luVmI4dFFYSW9OWnBEUzByRmFWdlhaQ3RDa3E5ZFREcWRiT3M2aUlpSWlLanVZbUJIUkVSMGEzSnFZbHlpcll1d3BTNWR1Z2kxU3RWS0NLRjFkdEpjU0RnVGRjTFdOUkVSRVJFUjFWWGNKWmFJaUlpSWlJaUlpTWlPTUxBaklpSWlJaUlpSWlLeUl3enNpSWlJaUlpSWlJaUk3QWdET3lJaUlpS2lPa0N2MStQU3BVdTFQaTgzTnhjNU9UbjNwS2I3b2JpNEdIbDVlYll1ZzRpSTZLNWlZRWRFUkVSRVZBZE1uejRka3lkUGhsNnZyOVY1Njlldng5TlBQNDNzN094N1ZsdE42ZlY2NU9Ua1ZQdGxNQmlVL2thakVVT0hEc1dxVmF0c1dqY1JFZEhkeGwxaWlZaUlpTWp1K1BuNXVVdVNOQkpBbk5sc1BoY1hGNWNGd0d6cnVtNGxQejhmdTNidHd2SGp4M0grL0hrVUZSWEIzZDBkbnA2ZTZOV3JGNTUvL25tMGFORkM2VjlTVW9MUFAvOGNCdzRjUUdabUpweWNuUERZWTQ4aEtDZ0lQWHIwcU5XMXAwMmJocUNnSUd6ZXZCa1RKa3lvMFRrR2d3SDc5KytIbDVjWFpGbEdabVptamEvbjR1SUNkM2QzQU1EZXZYdHg3dHk1V3RVTEFHM2F0TUh3NGNPVjkxOTk5UlZXcmx4WjdUbno1ODlIcTFhdGxQZmUzdDQ0ZE9nUUFnTUQ0ZWpvcUxUMzZORURraVRWdWlZaUlpSjd3TUNPaUlpSWlPeU9MTXV1R28xbXNSQkNyMWFyLy9Eejg0c0M4TXYxNjlmRFUxSlNydG02dnNyczI3Y1BTNVlzUVhGeE1Sd2RIZEcrZlh1NHVMamcyclZyU0VwS1FrSkNBdHpjM1BER0cyOEFBSVFRQ0FvS1FsSlNFanAzN296QXdFQmtaMmZqNU1tVE9IbnlKSUtEZ3pGMDZGQ0xhNHdhTlFxblQ1K3V0bzUxNjlaaDNicDFWUjZQaUlpQVJuUGp4NEJ2dnZrRzE2OWZ4L1hyMXpGczJMQmEzZS9Rb1VNUkhCd01BUGp0dDk5dzVNaVJHcDliUGdzd0lDREFJckI3NXBsbmxLQnl4WW9WQ0FnSWdGNnZSMUpTRXFaTW1RSUFTRWxKd1l3Wk15ekdVNnZWbURkdm5rWGJrU05Ib0ZhcmEzVlBSRVJFOW9LQkhSRVJFUkhaSzBtU3BNWkNDRTlKa3ZwSWtqVGhMMy81UzRGT3A5c040UCtpbzZOamJWMWd1VDE3OW1ESmtpWFFhcldZUFhzMm5uLytlV2kxV3VXNFhxL0hrU05ITEdhQW1jMW1sSmFXWXN1V0xlamN1YlBTL3R0dnYySGF0R2xZdVhJbG5uNzZhU1ZjSytmbjU0ZXhZOGRhMVdBMm02MENxc0xDUXJpNnVscTBsZmN4R28zWXNtVUxXcmR1amZmZmY3L1c5OXlnUVFQbDlkS2xTMnQwanRsc1JtaG9LTFpzMlFJUER3KzgrZWFiRnNmZDNkMlZXWHN1TGk3dzlQUkVTVWtKc3JLeTRPWGxCUUR3OHZKQ1lHQmdyZXNsSWlKNmtEQ3dJeUlpSWlKN0p3R1FoQkJhQUZwSmtpWUNtTml0VzdkRVdaYjNBdmhGQ0pGMDdkcTE4MmxwYWJWYndPMHVTRXBLd3ZMbHk2SFZhckZ1M1RvODl0aGpWbjIwV3ExVnlLUldxN0ZwMHlZbG9DclhxMWN2K1B2N0l6SXlFcW1wcWZEMjlyWTQzckJoUXp6eHhCTTRjZUlFSWlJaU1INzhlR2kxV2d3Wk1nVERoZzNEcEVtVEFBRGg0ZUZZdEdnUkprNmNpQkVqUmxpRmVaczNiMFoyZGpaQ1FrTGc2K3Q3RnorUnl1WGw1V0grL1BtSWpJeUV2NzgvbGl4WmdrYU5HbG4xaTR5TWhDekx5TXZMUTJwcXFyS3VYVVJFQkZRcUZRSUNBcENZbUlpZmYvNjV5bXVOR1RNR0RnNE85L2lPaUlpSTdoMEdka1JFUkVUMFFCRkNsSzlONXFOU3FXWUxJU2FxVktxa2hnMGJ4alpvME9DbzJXd09qNHVMUzcxZjlheGR1eFlta3duVHBrMnJOS3lyaWlSSlZtRmR1ZkpaY1JWbjVOMXMyN1p0eU0vUHg5dHZ2NDM4L0h4Y3Zud1pUWnMyVlk3Mzdkc1hyN3p5Q2o3KytHTWNQSGdRNjlldlYyYnJuVDkvSGhzM2JzVGpqejhPWjJkbitQdjcxK0tPZ1owN2R5b3ozbW9pSVNFQk0yZk94S1ZMbHhBVUZJU0pFeWRXK2JqcXBFbVQ0T0RnQUtQUmlJU0VCQWdoSUlSQVhGd2NqRVlqSWlNamtaaVlpQzFidGlBZ0lNRGkzSUtDQXNUR3htTGt5SkVNN0lpSTZJSEd3STZJaUlpSTdGNzU1Z0ZDQ0tXdHdtdFhBRG9oaEIrQWY2alY2aEkvUDcvakFOYkZ4TVQ4djN0WmwxNnZ4N0ZqeDZEUmFDeldZcnNUUnFNUjhmSHgwR3ExYU5hc1dhVjlzck96Y2VMRUNjeVpNd2M1T1RtSWo0OEhBSGg0ZUNBbkowZnBOMkxFQ1BqNCtDQTNOeGY1K2ZuUWFEUndjWEhCdkhuem9GS3BNSHYyYkxpN3V5TWtKS1JXTlZaVlYyVU9IRGlBNE9CZ3FOVnFyRml4QWs4KytlUXR6d2tORGNYV3JWc3hZTUFBbEpTVUlENCtIaSsrK0NMR2pSdW45R25Rb0FFKytlUVRpL1BpNCtNeGV2VG9XdDBMRVJHUlBXSmdSMFJFUkVTUVpSa3FsUW9BWHRMcGRJL2J1aDRBamdCY2JtNnN1T3VuSkVsS2FGZjJwd1RBU1pJa0owbVNuZ1h3ckU2bnl6S2F4ZGVGQmxsMUw0cE1UVTJGd1dCQXg0NGQ0ZXpzZkZmRzNMUnBFM0p5Y3ZEeXl5OVhPY1B1NU1tVEVFSmcyYkpsV0xac21kSis4MllNRlMxZnZoemUzdDU0NDQwM2tKaVlpQ1ZMbHFCdDI3WkEyV3k4dTAwSWdiQ3dNR3pjdUJGdDJyVEJxbFdybE92VlJFbEpDYlJhTFVwS1NpbzlmdVhLRlR6MzNITVdiUWFENFk3ckppSWlzZ2NNN0lpSWlJZ0lRb2dMdUJHQ2VRRHdzSU42S2o3NldtV2ZhdHBMQUJ3RThKUFJaQ3FDVUQ5N0wrck16ODhIeWpaTHVGbDRlRGhtelpwbDBkYXhZMGRzMjdhdDByRmtXY2FhTld1d1ljTUd0R3ZYVGxtTDdtYVNKS0ZmdjM3WXVuV3Iwclpnd1FLNHVibGh6cHc1MWRhcjFXclJvRUVEdlBycXE3aDQ4U0o2OSs1ZG8vdXNhT2ZPbldqWnNtVzFmVXBMUzdGdzRVSWNPblFJVHp6eEJKWXVYV3ExK2NXdHBLZW53OVBURTNsNWVaVWVkM056dzlTcFV5M2F6cDgvajlEUTBGcGRoNGlJeUI0eHNDTWlJaUlpWExseVpVMlRKazFPQ1NGcWw2cmNPNTRxbFNvTWdNVzB0ZktRN3VZZ3IyeTJuVUdXNVNpVlN2V0R3V0E0WmpLWmZrOU1UQ3hvNjlYbGNXaWt5dE85TzFTK0UyeFJVWkhWTVE4UEQvVHExUXNvbS9sMTZ0U3BLc2ZKemMzRk8rKzhnOGpJU09oME9uejAwVWR3YzNPejZsZFNVZ0puWjJlTDNWUXZYYnFFdExRMFRKZ3dBYTFhdGFyeUdxNnVyc3JuTm5QbVRDUW1KbGE2NlVOVlltSmk4TzIzMzFZWmxKYkx6OC9IOU9uVEVSOGZqeEVqUm1EbXpKbFZybGRYbGNqSVNPVGw1ZUhSUng5RlVsSVN6cDgvaitUa1pPVjRuejU5NE9YbFpiVm1ZRkZSRVhRNm5jVU92VVJFUkE4aUJuWkVSRVJFaE16TXpPTE16TXhmYkYxSHVTNWR1clJVcVZTbTh2Y1ZRNklLWVYyUkpFa1hoQkJKUW9oOVJVVkZlLy84ODgrTDk3UE81czJiQXdCU1VsSXFQbFlNM0xnSGZQYlpaMEJacVBiTU04OVVPa1o4ZkR4bXpweUovUHg4akI4L0htUEhqcTB5NENvdUxrYTlldlVzMmc0ZVBBZ0FXTE5tRGRhc1dWTmxyVC8vL0xORkNPamo0d01mSDU4YTM2dEdvOEczMzM0THM5bGNaWi9zN0d4TW5qd1o2ZW5wbUR0M0xsNSsrZVZiam1zd0dLd2UvZDIxYXhlZWUrNDVPRHM3bzF1M2J0aTFhNWZGdlgzd3dRYzRjZUpFbFdOKzl0bG4wT2wwTmI0M0lpSWllOFBBam9pSWlJanNYb1dRemdRZ1hnaHhUSmJsa3dDaVkyTmovd1JndEVWZFRabzBRWnMyYlpDZW5vNGpSNDVnd0lBQnRUby9Pam9hVTZaTVFmMzY5YkZ1M1RwMDdkcTEydjRGQlFVV2o1YWFUQ1o4K2VXWDhQRHdRSDUrUGxhdVhJbkdqUnNyeDgxbU0rYk9uUXNQRHcrcm9LKzJ5a08xcXRhSks1L2xsNStmaitYTGwrT3ZmLzFyamNZTkR3OUhXRmdZM24vL2ZlWCtaOHlZZ1g3OStnRUF2THk4c0d2WExrUkhSeXViVGt5YU5BbXZ2LzY2eFRpSER4L0dGMTk4QVQ4L3YxcXRsVWRFUkdTUEdOZ1JFUkVSa1YwckMrdXlBT3dSUXV3QWtGeFFVSEE5T1RtNTFOYTFBY0EvL3ZFUGZQamhoMWk1Y2lYOC9Qd3FYYyt1TW5xOUh2UG16WU9ycXlzMmJkcUVwazJiVnRzL0p5Y0hoWVdGYU4yNnRkTDI3YmZmSWpzN0cydlhya1ZZV0JoMjd0eXB6T29EZ0xDd01GeTVjZ1dmZnZxcHhleS8yMUUrTysvYXRXdEEyYU92NWZkNi9mcDFUSjQ4R1lXRmhRZ05EWVcvdjMrTng3MTI3Um95TWpKZ01pa1RLaEVkSFkzczdHeUxmbGxaV2NyckRoMDZLSytMaW9xd2VQRmloSWVIWTlxMGFYajk5ZGZ2K0Y2SmlJaHNqWUVkRVJFUkVka2RvOUZvVnF2VlNRRE9tTTNtWFZldlh2MHhJeU9qOHUxQ2JXejQ4T0g0NmFlZkVCa1ppVkdqUm1IdTNMbm8xYXVYeFRwN2YvNzVwOVY1UC8zMEUzSnljakIrL1BoYmhuVUFjTzdjT2FCQ1dKV2ZuNCsxYTlmQzM5OGYvdjcrbURkdkhrYU5Hb1ZseTVaaHpwdzUyTGx6SnpadTNJaC8vZXRmZDJYR1dYbU5seTVkQXNwbXVUMysrT09ZTm0wYTFxMWJoK3pzYkt4Y3ViSldZUjF1UEk0TkFCYnI3MFZFUkZqdHVsdStXMnhhV2hvdVhMaWd0S2VscGVIZ3dZT1lNR0VDMnJWcmgrUEhqd01BZkgxOWF4eWVFaEVSMlJzR2RrUkVSRVJrZHhJU0VxN29kTHFubzZPamN3RGNrdzBqN2hhMVdvMlZLMWZpblhmZXdkR2pSekYxNmxUODVTOS9RZXZXclNHRVFGWldGbkp6YzRHYmRwTk5URXdFQUJ3NWNnUi8vUEZIcFdQcmREcU1IRGtTQVBEcnI3OUNxOVVxZ2QyU0pVdVFuNStQc0xBd0FJQzN0emMrK3VnanpKZ3hBMmZPbk1HWk0yY3dkKzVjREI4Ky9LN2NaNHNXTGFEVmFwR1ltSWloUTRmaTZ0V3JjSEJ3VUdwcjNMaHhyUjhKQm9Belo4N0ExZFhWNGxIZTk5NTd6Mm9OdXZKSFl2ZnYzMit4UTI3NStvYWJOMisyNlAvSko1K2dlL2Z1dGE2SGlJaklIakN3SXlJaUlpSjdaSXFPanI1aTZ5SnFxbDY5ZWdnSkNjSHg0OGV4ZCs5ZXhNWEZJU0VoQVdxMUdwNmVuaGc4ZURBR0RoeUkvdjM3SytlVTd5eWJrSkNBaElTRVNzZDFjbklDQU1peWpNT0hENk5mdjM1d2RIVEU1czJiOGROUFAySEtsQ2xLZ0NlRVFHbHBLVHc4UEhEbXpCbTR1Ym5Cd2NHaDBrMGRib2RHbzBIWHJsM3g2NisvWXZMa3liaHk1UXJhdEdrRGxPMkltNTZlanIxNzkrS3BwNTY2NVhwNVJxTVJXVmxaMkxObkQ2S2lvakJ3NEVDTDR5YVRDYVdscFZadEFEQmh3Z1JNbURCQmFZK1BqOGZvMGFQeC9mZmZjMFlkRVJIVkdRenNpSWlJaUlqdWt0NjllNk4zNzk0MTZydGd3UUlzV0xDZ1JuMi8vLzU3WkdabVl0YXNXZGl6Wnc4Ky9mUlRQUFhVVXhnOWVqVFMwOU54L1BoeGZQWFZWMGhOVGNYVFR6K05FU05HNFBQUFA4Zml4WXV4WnMwYURCa3lCRDE2OUlCT3A3TjYxTFEybm4vK2VjeWZQeDhmZlBBQlVMWVRMZ0JNbXpZTjA2Wk5RM0J3TUlLRGcrSGc0QUMxV2cxSmtwVDE1TXhtTTB3bUU4eG1zOFd1djYxYnQ4YlVxVk10cmxNeGtLdW9mS3dMRnk3Z3E2KytnbGFyUlV4TUREUWFqY1ZtSEVSRVJBODZCblpFUkVSRVJIWXVKaVlHblR0M1JyOSsvWERtekJrOC9mVFRlTys5OXpCLy9ud2NPblFJVGs1TzZOKy9QeFl0V29TT0hUc0NBRmFzV0lHRWhBVHMyTEVELy8zdmY3RjE2MWIwN3QwYnExZXZ2dTA2QmcwYWhLTkhqK0x3NGNNWU5Xb1VXclpzQ1FEbzNMa3o5dTNiaDRpSUNHUmtaS0N3c05BaWxLdTRubDk1aU9mbTVvYTJiZHZDMzk4ZmFyWGE0am9MRnk2RWo0K1BSVnRpWWlJV0xWb0VsRzJBY2Zqd1laaE1Kcmk0dUdEZXZIblFhUGlqRFJFUjFSMVNEZm9RRVJIUlE2NUxseTQ5TlJyTk4wSUlyU1JKcjBSRlJSMndkVTFFTmRYV3E4dmowS2krY0hKeWJMdDZ4WWNJSFBpa3JVdXFOYjFlajRzWEwxcnNqb3F5bVdheHNiRjQ4c2tucTMwTXRiaTRHQkVSRWZEMTlVV2pSbzN1UThXM3I3Q3dFTTdPemxZaG5xMmRPUGs3eGsvOUo2NFhGR1JEU1A5SSt5UG1aMXZYUkxmUHo4OXZnRXFsK2tJSW9SVkN2QkFUdy8rZVJHUmYrR3NvSWlJaUlpSTdWM0d6aVlwYXRXcGxzYnRxVlZ4Y1hQRGtrdzlHVU1sSFc0bUlpQUNWclFzZ0lpSWlJaUlpSWlLaS8yRmdSMFJFUkVSRVJFUkVaRWNZMkJFUkVSRVJFUkVSRWRrUkJuWkVSRVJFUkVSRVJFUjJoSUVkRVJFUkVSRVJFUkdSSFdGZ1IwUkVSRVJFUkVSRVpFY1kyQkVSRVJFUkVSRVJFZGtSQm5aRVJFUkVSRVJFUkVSMlJHUHJBb2lJaU1pK2RPM2FkYkJhcmQ1ZjJURkprZ0JnZjdkdTNTemFaVmtlR2hNVDgvMTlLcEdJaUlpSXFFN2pERHNpSWlLeVVGUlU5TE1RSXIwV3Axd29MQ3o4OFI2V1JFUkVSRVQwVUdGZ1IwUkVSQmFTazVOTGhSQTdiOVZQQ0ZIKzU5Zkp5Y21sOTZNMklpSWlJcUtIQVFNN0lpSWlzbUkybTdjQjBBc2hsR0N1b2dwaG5VRUk4VjhibEVoRVJFUkVWR2N4c0NNaUlpSXJScU14VXdnUlhiWm1YYVVrU1lJa1NZbXlMTmZtOFZraUlpSWlJcm9GQm5aRVJFUmtwVjY5ZXRjQi9GTCt2dUlzdTV0ZVJ4Y1hGMSs1L3hVU0VSRVJFZFZkRE95SWlJakl5cWxUcDR5eUxKOEVVRkJOdHhJQUo3aCtIUkVSRVJIUjNjWEFqb2lJaUNvbHkzSXNBR1gyM00zcjJRa2hDc3htODFGYjFVZEVSRVJFVkZjeHNDTWlJcUpLeGNmSHB3b2h6bFRUSlNFdUxxNjY0MFJFUkVSRWRCc1kyQkVSRVZGVmhCRGl5OG8ybmlocjJ3ckFlZ3RaSWlJaUlpSzZJeHBiRjBCRVJFVDJxN0N3OERzM043YzhBQTBxdGdzaDhvVVFlMnhYR1ZIdG1jMW0vTDhmOXVQc0g0bTJMb1VlUUJrWE0xRmFhckIxR1VSRTlKQmdZRWRFUkVSVlNrNU92cTdUNmI2V0pHbE0rZnAxa2lSQkNMRXZKaVltMzliMUVkV0VBQXlTQkxQWmJNYjMrdy9hdWh4NjBBbkpMR0RtWmp0RVJIUlBNYkFqSWlLaWFna2h0a3FTTkJLQVE5bWpzQ1loeEU1YjEwVlVVOElnVWlXTjJDNkUxTVhXdFZBZElJay9UQVhHUDIxZEJoRVIxVzBNN0lpSWlLaGFzaXlmVmFsVWlaSWtkY2FOQU8rQzJXeU90M1ZkUkRWMS9ueDhIb0JGYmR1MjViOTk2WTZscGFXWkFSaHRYUWNSRWRWdC9FY0xFUkVSVmV2NjlldlhHelJvOEhONVlBY2d5bXcyWDdaeFdVUzFaVXBMU3pQWnVnZ2lJaUtpbXVBdXNVUkVSRlN0dExRMHZSQWlWZ2hoQkdDU1pmbnMyYk5uQzIxZEZ4RVJFUkZSWGNVWmRrUkVSSFJMa2lSRkFyZ2toSENSWmZsSFc5ZERSRVJFUkZTWGNZWWRFUkVSM1ZKMGRIUWNnSFFBV2ZIeDhjZHRYUThSRVJFUlVWM0dHWFpFZDZqNUk0ODBjaFF1TFcxZEI5a0h2U2k4bUoyY2ZNWFdkZERkMTdoZDV5WXVHazB6VzlkaFMwYWorRldTaExhdHQ1K3ZyV3V4SldFb3ZaU2VucEJsNnpxSWlJaUlxTzVpWUVkMEI5cTJmYXlwa0J5V1F5VUNiRjBMMlFkbnVKNXUrVWpYNlJsL3hsNjBkUzEwOTdSOHBHc0xCeFhXQ0Fndlc5ZGlTOFZtYUlTUUFiVnFrSzFyc1NXVmkrUEY1dTBmRzVPWmN2YThyV3NoSWlJaW9ycUpnUjNSbmRCbzJrcVMxRmVTME5iV3BaQjlFQkR1R3BYa0RZQ0JYUjJpVVVuZVFrSWZDWEMzZFMyMkpBQkFVa095ZFNFMkpvUm82K2lnZVF3QUF6c2lJaUlpdWljWTJCSGRCUnFOQm1OSGo0U3V5MFA5bE5oRDdmVFpCR3pZc2hYRkpTVzJMb1h1b2ZwdWJwandWaERhdDJWRy96QzZrSEVSLzFtL0VibTVWMjFkQ2hFUkVSSFZjUXpzaU80Q2xVb0ZYUmRmQkE1ODB0YWxrSTA0T1RsaXkvWXZiRjBHM1dPT2pvN28yZDBmT3I4dXRpNkZiT0JzUWlJMmI5dGg2ektJaUlpSTZDSEFYV0tKaUlpSWlJaUlpSWpzQ0FNN0lpSWlJaUlpSWlJaU84TEFqb2lJaUlpSWlJaUl5STR3c0NNaUlpSWlJaUlpSXJJakRPeUlpSWlJaUlpSWlJanNDQU03SWlJaUlpSWlJaUlpTzhMQWpvaUlpSWlJaUlpSXlJNHdzQ01pSWlJaUlpSWlJcklqRE95SWlJaUlpSWlJaUlqc0NBTTdJaUlpSWlJaUlpSWlPOExBam9pSWlJaUlpSWlJeUk0d3NDTWlJaUlpSWlJaUlySWpHbHNYUUVSRVJFUjBOelh2MExtVm80T21nNjNyb0lkSGFXbHBhbFpxUXJxdDZ5QWlvcnFEZ1IwUkVSRVIxUm5OMnovVzJzbFJ2VXNBajlpNkZucDRhSjBjTTFwNWRYNytRdkxwYzdhdWhZaUk2Z1lHZGtSRVJFUlVaemlxTk0wRjBGb2xTZTV1YnE1d2RIQzBkVWxVaHhtTlJsd3ZLSUFNUUszUnRBTEF3STZJaU80S0JuWkVSRVJFVk9jNE96dGo2c1J4Nk5hMWk2MUxvVHJzOU5rRWZQenBmNUIzN1pxdFN5RWlvanFHZ1IwUkVSRVIxVGxxdFFwZTdkdEI1OGZBanU2ZFVvTUJHZzEvcENJaW9ydVB1OFFTRVJFUkVSRVJFUkhaRVFaMlJFUkVSRVJFUkVSRWRvU0JIUkVSRVJFUkVSRVJrUjFoWUVkRU5sTmNYSXk4dkR4YmwwSDBVTGw2OWFxdFM3Z3RRZ2hFUjBjak56ZlgxcVVRRVJFUkVkMXpET3lJNks3UTYvWEl5Y21wOXN0Z01DajlqVVlqaGc0ZGlsV3JWdG0wYnFLSHllWExsL0hzczg5aTA2Wk5RTm4zYlhGeGNiVmZwYVdsRm1NWWpVYk1uajBiUC8vOHM5Sm1NcGx1K2YxZjhTcy9QMTg1TnpZMkZ0T25UNzlsZUorZG5ZMXg0OGJoZTJDck9nQUFJQUJKUkVGVXl5Ky92T3VmQ3hFUkVSR1J2ZUdXUmtRUHViMTc5K0xjdVhPMVBxOU5tellZUG55NDh2NnJyNzdDeXBVcnF6MW4vdno1YU5XcWxmTGUyOXNiaHc0ZFFtQmdJQndkSFpYMkhqMTZRSktrV3RkRVZGSGJ0bTIxOWV2WDk0cUxpenNMUUxaMVBmWmczYnAxMEdnMGVQYlpad0VBNDhlUHgrblRwNnM5cDFldlh2anNzOCtVOTZXbHBjalB6OGZNbVRNeGRlcFVqQjQ5R3ZIeDhYanp6VGRyWEVmNzl1MnhhOWN1b0d5bTdhbFRwL0Q2NjY4akpDUUUzdDdlbFo3VHJGa3o5Ty9mSHdrSkNUVytEaEVSRVJIUmc0cUJIZEZEN3JmZmZzT1JJMGRxM0YrdjF3TUFBZ0lDTEFLN1o1NTVCajE2OUFBQXJGaXhBZ0VCQWREcjlVaEtTc0tVS1ZNQUFDa3BLWmd4WTRiRmVHcTFHdlBtemJOb08zTGtDTlJxOVIzZEYxSDkrdlVicWRYcW96cWQ3cHdRWXBzUTRnZEpraTdIeE1RVUFERGJ1cjViU1U5UHh5ZWZmSExiNXdjRkJjSFgxMWQ1bjV5Y2pHKysrUWF6WnMxQzQ4YU5BUUQvL09jL2taV1ZoWC8vKzk5NC9mWFgwYjE3ZDZWL2NYRXhGaXhZQUU5UFQ0dHhYVjFkOGRsbm4ySHUzTG40OU5OUGNmbnlaUXdhTkFnQThPcXJyNkpqeDQ3VjFyVjE2MWFZVENibGZhOWV2YkJ4NDBaTW5qd1pRVUZCQ0FzTHc3VnIxNnorWGdBQVdaYWhVcW5RdTNkdmkzWVBEdy9zM2J1MzFwOFJFUkVSRVpHOVltQkg5SkJidW5ScGpmcVp6V2FFaG9aaXk1WXQ4UER3c0pwTjQrN3VEbmQzZHdDQWk0c0xQRDA5VVZKU2dxeXNMSGg1ZVFFQXZMeThFQmdZZUEvdWdxaHlraVNwQVBnRDZLWlNxWUtGRUZFNm5TNUNrcVNUa2lUOWR1clVxU3hiMTFpVndzSkNSRVJFM1BiNUw3endndkphQ0lGbHk1YkIxOWNYTDczMEVuSnljdkRoaHg5aTNMaHhTdER1NCtPRHZuMzdLdWRzMnJRSnNpempqVGZlc0JyYnlja0pLMWFzd01LRkM5R3RXemVsdlZ1M2Juanl5U2VycmV2QWdRUEl6TXkwYVBQMjlzYkdqUnV4YWRNbStQajQ0TmRmZjRWZXIwZFFVQkFhTm14WTdYZ0hEeDdFeFlzWGEvQ0prRDE3NUpGSEdqazdPemVKalkwOUMwRFl1aDRpSWlJaVcyTmdSMFMzbEplWGgvbno1eU15TWhMKy92NVlzbVFKR2pWcVpOVXZNaklTc2l3akx5OFBxYW1weXJwMkVSRVJVS2xVQ0FnSVFHSmlvc1hhVnpjYk0yWU1IQndjN3ZFZDBjTkd1dkdNZFgxSmtnWUlJZm9KSWE0QnVLelQ2VTRDK0tLMHRQU25zMmZQR21vdzFIM1RxVk1uSEQ5Ky9LNk05ZVdYWCtMczJiUDQ0b3N2b0ZLcHNITGxTcHc4ZVJLelpzMkNFRGV5RVZuKzMxUERlcjBlMjdadFEyQmdJTnExYTFmcG1CcU5CaDk4OEFFQUlDWW1CaXFWQ2lyVnJaZkdWYWxVRmpOb2hSQ1FKQWt0VzdiRWdnVUxMUG9PSFRvVWJkdTJyWGE4NU9Sa0JuWjFRTDE2OWJ3bFNUcWcwK24rbENUcHY3SXNIelNaVEZtblQ1L09CV0Nxd1JCRVJFUkVkUW9ET3lLcVZrSkNBbWJPbklsTGx5NGhLQ2dJRXlkT3JQSngxVW1USnNIQndRRkdveEVKQ1FrUVFrQUlnYmk0T0JpTlJrUkdSaUl4TVJGYnRteEJRRUNBeGJrRkJRV0lqWTNGeUpFakdkalJYVmNlU3BWUkFXZ0FvSUVrU1Q0QVJqbzVPVjNVNlhRN2hSQmY2dlg2RkpWS1ZXQnZBZDd0U2twS1FraElDUHo5L1hIczJERmN1WElGQnc4ZXhJSUZDOUMwYVZOY3VuUUpLQXZkaGc0ZENnRDQ3My8vaTJ2WHJtSGN1SEZXNCszYXRRdXBxYW1ZUG4yNnN2YWtuNThmSWlNallUS1pjT0hDaFNwcmFkcTBLVDcrK0dQbC9aVXJWekIxNmxSTW5qelpZblpmaXhZdE1IejRjTGk1dWQzeS9uUTZIVnhkWFd2NXFaQTlFa0tvSkVueUYwSjBreVJwcnFPalkweTNidDFPQURoaE1wa2k0dUxpTHR1NlJpSWlJcUw3aFlFZEVWWHB3SUVEQ0E0T2hscXR4b29WSzI3NXFCc0FoSWFHWXV2V3JSZ3dZQUJLU2tvUUh4K1BGMTk4MGVJSC93WU5HbGl0elJVZkg0L1JvMGZmay91NG40UVFjRkNaMi92NStVRUlJZDEwVEVMWnpLU2Jqd0dvdE8vTnJ5djJMUXRPcXp5dmt2ZVZIcnVUY1NxMjEyU2NxczY5dVo5YXJiNnRjU3EyUzVMa0FjQ2h3dnZ5L2hYSExYL1pRcEtrR1pJa1RYSnhjVWtBRU9ubjU1ZGdOQnJEejV3NUU0Y0htS3VySzFxMWFnV3oyWXlUSjAvaTZOR2o2TnUzTDU1Ly9ua0FRRWxKQ1FBZ1BEd2M4K2JOZzBhalFWUlVGSVFRZU8yMTE1Unh3c1BENGVqb2lOemNYT3pjdVJPeHNiRll1WElsbWpadHF2UzVmUG15TW01bGR1ellBUjhmSCtXOUxNdlFhRFNZUG4yNnhTOEVYRnhjMEwxN2QveisrKyszdkQ5SFIwZDA2dFFKaFlXRkRPN3FpTElac1EwQi9CVkFmd0NYMUdyMVJaMU85NXNRNHV1WW1KaGpuSFZIUkVSRWRSMERPeUt5SW9SQVdGZ1lObTdjaURadDJtRFZxbFczZkN5dG9wS1NFbWkxV2lVSXVObVZLMWZ3M0hQUFdiUVpESFZpTWhNa1FISnhjSGhWcFpJNlZYWmNDQ0hkTk51cjBtRXE3cEpiMVk2NWxZUllOdzlTZm01TnR0eTE2SFB6TlNWSnF2UjZGZnZkZEYrM3ZHYkZtNnhtVjJEcEZzZXJ2RWNoaEVvSW9hM3NYaXBUVnI5V2tpU2RFTUpQa2lTam82TmpscCtmWDZMUkxLS0xERFg2SE8xT3MyYk5zSHYzYnFCc3pjb0dEUnJnM1hmZlZZNlhmNS9tNStmajJMRmpHREJnQUVhTUdJSCsvZnNEQVBiczJZUFUxRlJsWnUyRUNSUFF1blZyQkFjSDQ3WFhYc09PSFR2UXBFa1RpMnNPR3paTU9SOEE0dUxpOFBubm4xdlYxcVJKRTJ6WXNBSHZ2ZmNlTm0zYUJBQ1lNbVVLSWlNanNYang0bHJkNTg2ZE81WDFNdTg1SWVDaWtRYnBkTHJlQUl4Q0NKTktwVEtaeldhVFNxVXlBakFKSVV6bDdXVjl6T1Y5MVdxMXlXZzBtdFJxdFFtQVVaWmxzeERDcU5Gb1RMSXNtNFFRSmxtV1RiSXNHeDBjSE13bEpTV2xibTV1eHZMTDUrWGxBVGNlTDFhKzZkUnF0Y1UzWU1YM0dvM0c0cGlEZzRQeVBpc3J5MktjbS90V2ZPL282R2h4ek5uWldYbC82dFFwM0xUMjNNMS8wZFgwMk0xL2w2Z0JOSmNrcVRtQUFFbVNwdWwwdW5RaHhHWlpscis0ZXZYcStZeU1ETU9Ec0pFTUVSRVJVVzB3c0NNaUM2V2xwVmk0Y0NFT0hUcUVKNTU0QWt1WExxMzFySlgwOUhSNGVub3FQMVRlek0zTkRWT25UclZvTzMvK1BFSkRRKytvZHJzaENRY2hvQzE3ZDd1THA5LzJvdXVTSk4zSmd1MVZubnVMY2EyTzFTQ1lyUEo2TlRpM0pvT3JBTGpVTUxDMHVuWlpvT2dLb0tra0NlY0hNNjc3bjE5KytRVzdkKy9HNnRXckxUWnlLUDgrOWZIeHdaZGZmb2tCQXdhZ1Y2OWVRTmxhZGg5Ly9ERUdEeDVzOFNqOE04ODhnOGFORytPMzMzNnpDdXNBb0gzNzloWXpjczNtcXJNVUp5Y25MRm15Qkw2K3ZrcVFQMnpZTUF3ZVBOaXE3NXR2dm9rV0xWb2dPRGpZNnBoV3E3VnF1MWNrU1lMR1Flb25TVkozVkFpQkszNUd0d3FLS3o3NlgzSHR2OHFXSEhCMWRTMWZZa0NXSk1uczd1NXVMZ3NBcS9zeUFaQUJtQ1JKa29VUXB2SmpzaXliSlVreUN5SE1UWm8wVWM0UlFpanRraVJaakNlRU1FbVNWRDZlV1FoaDhlWG41MmR4YnNVL0s5YWdVcW5Nc2l5YlZTcVZjcTRrU1daWmxyM1VGVzcrRmpOaTI2aFVxb1dTSk0xcTNMang4Y2FORys4M204MW5WQ3JWNmVqbzZFeXJENUNJaUlqb0FjVEFqb2dVK2ZuNW1ENTlPdUxqNHpGaXhBak1uRG16eXZYcXFoSVpHWW04dkR3OCt1aWpTRXBLd3ZuejU1R2NuS3djNzlPbkQ3eTh2UERZWTQ5Wm5GZFVWQVNkVG5kZmYraStGd1FnaWcybUxhNk9tcFNiQWk3bDljM0JsOWxzdHB5YVpoMk1WWHJ1emYxTUpsTzE0MVIxcmoyTVUzR0dUMVg5eW1kaDFyUWVXWmFiYWpTYTd3RllMSVJXSVpERFRlT2diR1pVc2hEaWR3Q1JzaXlmaUkyTmpXcjdxRjhmU0xEZUx2VUJrWnljakFVTEZ1Q05OOTZBajQ4UDR1UGpjZW5TSmZUdTNSczVPVGtBZ0xmZmZodVRKazNDNmRPbjBibHpaNkJzQjlhaW9pSzgrT0tMVm1OMjc5NGQzYnQzci9SNjFjMklyS3IvcTYrK3FyelhhRFE0ZCs0Y1ltTmo4Y0lMTHlqaGxrcWxna2FqZ1l1TFM2M0d2OXNFQU5rcy9wQWhaMHVTcEJaQ3FNditWRW1TcEM2YkZhWXErL1BtTHhVQWkvNUNDS3ZqRmQ5TGt1U0UvKzE2ckFMZ2NEdWY4YTNheXQvWHRtOWxNNElyRzZ2OGRYbEFXZkZjbFVxbGJFQnlxN3J4disvamVnQUNoUkNEVkNwVkVZRGZ1M2J0ZXNwZ3dzVVN1Zm9aeUVSRVJFVDJqb0VkRVFFQXNyT3pNWG55WktTbnAyUHUzTGw0K2VXWGIzbU93V0JRRnAwdnQydlhManozM0hOd2RuWkd0Mjdkc0d2WExxeFpzMFk1L3NFSEgrREVpUk5WanZuWlo1OUJwOVBkNGQzWWppUkpNTW1hbEppWW1LcTN3cVg3b2t1WExpVVZ3ODdLWnUxVm1NV1RKNFQ0VGdpeFU1YmxzNldscFRtSmlZa0Y5N2ZpZTJmVnFsVW9LaXJDdG0zYmxFZFRQVDA5MGE5ZlA2U2xwY0hWMVJVOWUvWkU1ODZkRVJJU2d2WHIxOE5nTUdERGhnM28yTEVqT25XeWZzSTdPenNieWNuSjZOMjd0L0k1bG9lcU4vKzlVQlBoNGVIbzI3Y3ZOSm9iL3pRNWR1d1kxcTVkaTcvLy9lOFcvWXhHSS9Mejh5M2FIQjBkNzJ1SUo0UkFvVUhzZG5kVy8ySXltU1RjQ0lnbHM5bXN2SFp6YzRNc3l4SnVoUEpLZTNtYkVFSnljWEZSK2xSc3I5am03T3hjY1J5VlNxWFNtRXdtalNSSkdwVktwVkdwVkdxVHllU2dVcW5Va2lScEpFblNtTTFtVGZsclNaSTBzaXlyeTBJK2RZVTJEUUNOSkVrYUFKcXkwTkNoTEhCVStraVNkUE14QnlHRVdxVlNPWlMxbDUrdmpGVStYc1gzWmVNbzc4dkN5SXJ2SGN1K3FsVDJhTDdWZjRzS3MyRUhxRlNxUnpVYWZBc0RuNUFsSWlLaUJ4c0RPeUpDV2xvYUpreVlnUHo4ZkN4ZnZoeC8vZXRmYTNSZWVIZzR3c0xDOFA3Nzc2TnIxNjRBZ0JrelpxQmZ2MzRBQUM4dkwremF0UXZSMGRIS3BoT1RKazNDNjYrL2JqSE80Y09IOGNVWFg4RFB6NjlXYStVUjNZb1FRdHc4MDZlc3JSakFkVm1XNHdGc3VYejU4amVabVpuRk5pNzNuaGsrZkRnZWYveHh0RzNiRnExYnQwYno1czJWVU8zczJiUHc5dllHeXI0L0owMmFoTjI3ZCtQcTFhdkl5TWpBdW5YcktoM3pwNTkrd3FwVnE3QisvWG9sWkM4b3VKRngxalk4eTg3T3hxeFpzekJ6NWt4bHBsMTJkamFhTm0xcThiZ295djdlQ1E4UHQyZ2JNbVJJcmRlOHV4T1NKQUVDcFRFeE1mazE2RTQxb05QcGVnRTRXQmE4S1NyT2lLMFkxcFc5bHdGY0YwSmNBWEJXbHVYUGpVYmpkOFVHVFRjNFNNOVpYNFdJaUlqb3djSEFqdWdoZC8zNmRVeWVQQm1GaFlVSURRMkZ2NzkvamMrOWR1MGFNakl5WURMOWI3Tys2T2hvWkdkblcvVEx5c3BTWG5mbzBFRjVYVlJVaE1XTEZ5TThQQnpUcGszRDY2Ky9idlhET2RHZEtOL1lvdXlQQWdEUkFDSUJSQW9oVHNURXhLVGJ1c2I3WWVEQWdWWnRack1acGFXbGlJbUpVUUwxbmoxN1lzaVFJVmkxYWhXRUVIajIyV2ZSclZ1M1NzYzhmdnc0WEYxZDRldnJxN1JsWkdRQVpSdGQxRVowZERSd0k3UlIydjc4ODA4bFNLekl6OC9QS3ZTdnVGTXRQZEFxN3Y1c2ZmQi9qOGNXQ3lIT0NDRmlBUHdLNEhoTVRNeTVzalg3ME5hcnkvMnIyTTdvOVhwY3UzYXQwclVscTVPYm13c2hCQm8xYW5UUGFydVhpb3VMVVZwYWlnWU5HdGk2RkNJaW9ydUdnUjNSUTI3ZHVuWEl6czdHeXBVcmF4WFdBVUJtNW8yMXZWdTFhcVcwUlVSRXdObloyYUpmK1M2VWFXbHB1SERoZ3RLZWxwYUdnd2NQWXNLRUNXalhyaDJPSHo4T0FQRDE5WVc3dS9zZDNSY1JidnpRTHdPSUE3QmJsdVVEUnFQeHZMT3pjKzZwVTZlTU5UaTlUakVZRElpUGo4ZnZ2LytPeU1oSXFOVnFEQjQ4R0VhakVYMzY5Rkg2alJ3NUV2djI3UVBLTm4rb2pGNnZSMVJVRkFZTUdLQTh3Z29BSjArZWhFcWxRc2VPSGF1dEpTd3NETmV1WGNQOCtmT0Jzc0RPMWRVVlBqNCtRTmxNdmJObno2SnIxNjVXNjVvMWJ0ellZa01McWxNcTNVeW13dXpZSkNIRTF3RDJ5YktjZnZYcTFleU1qSXpLdHlOL1NFMmZQaDA1T1RuWXRtMWJyZGFFWGI5K1BYYnQyb1h2dnZ2TzVnRzRYcTlIWVdGaHRYM3ExNit2ekJJMkdvMFlPblFvZXZmdWpVV0xGdDJuS29tSWlPNDlCblpFRDdsZmYvMFZqUnMzeG9BQkEycDk3cGt6WitEcTZvckdqUnNyYmUrOTk1N1ZHblRsajhUdTM3OGZXN2R1VmRyTFoxQnMzcnpab3Y4bm4zeFM1V0wyUkRWMTllclZYRTlQendIUjBkSHg1VE52SGhSNnZSNUc0NTFuaWc0T0RraExTME5JU0FqaTR1SlFXbHFLWnMyYW9WZXZYdWpYcng5V3JGZ0JQejgvUFBMSUkwRFpETGxaczJaQm85RkFvOUZnNXN5WldMWnNtYkpyYkxtSWlBZ1lqVWIwN3QxYmFjdk16TVRCZ3dmUnUzZHYxS3RYcjlxNnNyS3lFQjhmcjd3L2Rlb1UvUHo4bEJtMlAvNzRJMlJaUm5SME5EWnQyb1F4WThiYzhXZEJENFNLTTJMTGxRRFlJNFFJaTQ2Ty9zMW1sZFZDZm40K2R1M2FoZVBIaitQOCtmTW9LaXFDdTdzN1BEMDkwYXRYTHp6Ly9QTm8wYUtGMHYvVXFWUFl1WE1uenA0OWk5emNYRFJzMkJEZHVuWERtMisraVRadDJ0VHEydE9tVFVOUVVCQTJiOTZNQ1JNbTFPZ2NnOEdBL2Z2M3c4dkxDN0lzSzcrTXF3a1hGeGZsRjJ4NzkrN0Z1WFBuYWxVdkFMUnAwd2JEaHc5WDNuLzExVmRZdVhKbHRlZk1uei9mNHBlRjN0N2VPSFRvRUFJREF5M1cwT3pSbzBldE44RWhJaUt5Rnd6c2lCNXlIaDRlU0U5UHg5NjllL0hVVTAvZDhnZHRvOUdJckt3czdObXpCMUZSVVZhUDJwbE1KcFNXbGxxMUFjQ0VDUk1zZm9DSWo0L0g2TkdqOGYzMzMzTkdIZDExR1JrWkpSa1pHYkcycnVOMkxGMjZGTjk5OTkwZGovUFh2LzRWNzd6ekRsUXFGU1pPbklpK2Zmc3E2MFQrNXovL1FVWkdCdjcxcjM4QkFHSmlZakJuemh3VUZoWWlKQ1FFcnE2dW1EWnRHcVpObTRiUm8wZGo3Tml4eW95ZEgzLzhFUUNVd0s2d3NCQno1c3lCeVdUQ2xDbFRibGxYWGw2ZU1vc25Nek1UYVdscGVPNjVHMHVPbVV3bWJOcTBDZDdlM25qcXFhY1FHaHFLL1B4OFRKbzA2WTQvRDdKN0FrQ3VFQ0lWUUp3a1NRZUxpNHQvL09PUFAzSnRYVmhON2R1M0QwdVdMRUZ4Y1RFY0hSM1J2bjE3dUxpNDROcTFhMGhLU2tKQ1FnTGMzTnp3eGh2LzIzVDZvNDgrUW1GaElUcDI3SWg2OWVvaElTRUJQL3p3QThMRHc1WHZoWXBHalJxRjA2ZFBWMXZIdW5YcnFseC9FbVdoZS9uczJHKysrUWJYcjEvSDlldlhxNXhWVzVXaFE0Y2lPRGdZQVBEYmI3L2h5SkVqTlQ1WHI5Y0RBQUlDQWl3Q3UyZWVlUVk5ZXZRQUFLeFlzUUlCQVFIUTYvVklTa3BTL241SlNVbkJqQmt6TE1aVHE5V1lOMitlUmR1UkkwZHF2ZHM5RVJHUnZXQmdSL1NRSy8rQlBEZzRHTUhCd1hCd2NJQmFyWVlrU2Nwc0Y3UFpESlBKQkxQWmJMR3VVT3ZXclRGMTZsU0w4YXI2alg3NVdCY3VYTUJYWDMwRnJWYUxtSmdZYURRYXVMcTZWbm9PMGNPcVQ1OCs4UER3dU9OeHZMeTg0Tzd1anJDd01JdjJZOGVPWWVQR2plamZ2eis2ZHUyS1ZhdFdZY2VPSFhCMWRVVm9hS2d5UzNianhvMllPWE1tTm03Y2lQMzc5MlA1OHVYbzBLRURmdm5sRnp6MjJHTm8yTEFoVWxKU01IZnVYS1NrcENBNE9CaGVYbDVXZFpSL2oyL2R1aFd0VzdkR1ZGUVVYbmpoQmFVV0FNb2orU3RYcnNURml4ZXhaTWtTREI0OEdFSUliTml3QWQ5Kyt5MkVFRENiemRpK2ZUdGtXWWJaYkliQllFQnBhU244L2YzeHhCTlAzUEZuUnJZaFNkSVZJVVNJMld5T0YwTEV4c1hGblFOZ3FzR3BkbVBQbmoxWXNtUUp0Rm90WnMrZWplZWZmOTdpc1ZTOVhvOGpSNDVZN2FJOFo4NGNpeG1tS0F2dGQrL2VqUjA3ZG1EaHdvVlcxL0x6ODhQWXNXT3QyczFtczFWQVZWaFlhUFgvcytWOWpFWWp0bXpaZ3RhdFcrUDk5OSt2OVQxWFhETnU2ZEtsTlRySGJEWWpORFFVVzdac2dZZUhCOTU4ODAyTDQrN3U3c292OFZ4Y1hPRHA2WW1Ta2hKa1pXVXBmNzk0ZVhraE1EQ3cxdlVTRVJFOVNCallFVDNrT25mdWpIMzc5aUVpSWdJWkdSa29MQ3kwMm9tdjRtdVZTZ1UzTnplMGJkc1cvdjcrVmo4WUxGeTRVRm1IcWx4aVlxS3lyb3libXhzT0h6NE1rOGtFRnhjWHpKczN6MklOTENJQ0JnMGFoRUdEQnQyejhVK2ZQbzJtVFpzaU9EZ1lSNDhleGZidDI5RzNiMSs4ODg0NzhQVDBWUHExYTljT08zYnN3TXFWSzVHVWxJUjI3ZHJoanovK2dGNnZSNTgrZlNDRXdOS2xTM0h4NGtVc1hyd1lRNFlNcWZSNk9wME92cjYreXRwNDdkdTN4MnV2dlFhVWJWN2g0dUtDUng5OUZIbDVlZmptbTIvUXExY3Y1WWZ4Y2VQR1llREFnZmoyMjIveDIyKy9JVE16RTZ0V3JiSzZ4dTA4MWsvMkl5b3FLc1hmMy8vOTZPam9CM0o5eWFTa0pDeGZ2aHhhclJicjFxM0RZNDg5WnRWSHE5VldHakpWdHJITDRNR0RzWHYzYmx5L2ZyM1M2elZzMkJCUFBQRUVUcHc0Z1lpSUNJd2ZQeDVhclJaRGhnekJzR0hEbEJtcDRlSGhXTFJvRVNaT25JZ1JJMFpZL1gvMjVzMmJrWjJkalpDUUVJc05aTzZWdkx3OHpKOC9INUdSa2ZEMzk4ZVNKVXNxM2VnaU1qSVNzaXdqTHk4UHFhbXAwT3YxeU1uSlFVUkVCRlFxRlFJQ0FwQ1ltSWlmZi82NXltdU5HVE1HRGc0TzkvaU9pSWlJN2gzK2xFeEVjSEp5UXI5Ky9lNTRuUER3Y0RnN08xdjlRT0RqNDRPLy9lMXZRTmx2enIvOTl0czd2aFlSM2I0SkV5YmdsVmRlZ1p1Ykd3WU5Hb1JtelpxaGMrZk9sZmJWYXJWNDU1MTNZREtab05GbzBLVkxGeHc4ZUJCbXN4bVNKT0hqanovRzVjdVgwYjU5K3lxdjUrVGtaTFZXWmJrRkN4Ymc3Tm16VUt2VmFOQ2dBWUtEZzlHclZ5K0xYeGEwYjk4ZS8vem5QL0hQZi80VEFDRExzcklaQlhlV3JqUGtVNmRPUFZCclRWYTBkdTFhbUV3bVRKczJyZEt3cnJiUzAyOXNZTjJwVTZkcSsyM2J0ZzM1K2ZsNCsrMjNrWitmajh1WEwxdHNHdEczYjErODhzb3IrUGpqajNIdzRFR3NYNzllK1NYWitmUG5zWEhqUmp6KytPTndkbmF1OWNaVE8zZnVySFJHYlZVU0VoSXdjK1pNWExwMENVRkJRWmc0Y1dLVmo2dE9talFKRGc0T01CcU5TRWhJZ0JBQ1FnakV4Y1hCYURRaU1qSVNpWW1KMkxKbEN3SUNBaXpPTFNnb1FHeHNMRWFPSE1uQWpvaUlIbWdNN0lqb3J1R2pyVVFQam9yclJsWVYxbFZVY1Nac3hYTmRYVjN2Nkh1L1VhTkdGcjh3cU1samJnenB5SjdvOVhvY08zWU1HbzNHWWkyMjJqSWFqY2pOemNXeFk4ZXdldlZxZE96WUVTTkdqS2l5ZjNaMk5rNmNPSUU1YytZZ0p5ZEgyY2pGdzhNRE9UazVTcjhSSTBiQXg4Y0h1Ym01eU0vUGgwYWpVV2E0cTFRcXpKNDlHKzd1N2dnSkNhbFZ2YzJhTmF0eDN3TUhEaUE0T0JocXRSb3JWcXlvMFU3UG9hR2gyTHAxS3dZTUdJQ1NraExFeDhmanhSZGZ4TGh4NDVRK0RSbzB3Q2VmZkdKeFh2bjZ1RVJFUkE4NkJuWkVSRVJFUkxjcE5UVVZCb01CSFR0MmhMT3o4MjJOTVdqUUlGeTllaFVvQzhmZmV1c3RqQnc1RWs1T1RsV2VjL0xrU1FnaHNHelpNaXhidGt4cHYza3pob3FXTDE4T2IyOXZ2UEhHRzBoTVRNU1NKVXVValdqNjl1MTdXN1ZYUndpQnNMQXdiTnk0RVczYXRNR3FWYXVVNjlWRVNVa0p0Rm90U2twS0tqMSs1Y29WWmNPYWNnYUQ0WTdySmlJaXNnY003SWlJaUlpSWJsTitmajV3MDh6VGN1SGg0WmcxYTVaRlc4ZU9IYkZ0MnphTHR1ZWVldzc1K2ZtNGN1VUtUcDgramYvODV6LzQ0NDgvOE82Nzc2SisvZnBXNDBxU2hINzkrbUhyMXExSzI0SUZDK0RtNW9ZNWMrWlVXNjlXcTBXREJnM3c2cXV2NHVMRmk4cHV6N1d4YytkT3RHelpzdG8rcGFXbFdQai8yYnZ2K0tpcS9QL2o3enN6YVlRbUFVRnFhQ0lJSktIb0FrcHh3UzVyVjc2cklpakNUNm9JZ29vb1VsVXNJTERBaWczVUZVVldGRUZaUVpmRkJSRVNTaWdTU2lDUUtDMlFCRkptNXZ6K2tNd3lwQkFJNUE3SjYvbDQ4TmprM0hQUC9kd0JXZlAybEJkZjFMSmx5OVMrZlh0Tm5EanhuR2ZqSmlZbXFscTFhanA2OUdpKzF5dFVxSkRuOEt1OWUvZHErdlRwNS9RY0FBQUNFWUVkQUFBQWNKNXlUNExOeU1qSWN5MGlJa0x0MnJXVFRzMzhXcmR1WGI1akRCZ3d3UGQxVmxhVzNuNzdiWDN5eVNlU3BNbVRKL3YxUFhueXBNTEN3dnhPVS8zdHQ5KzBaODhlOWV2WFQzWHExQ213MXZMbHkvdjJoM3o2NmFlMWZmdjJmQTk5S0VoY1hKenZ4T2JDcEthbWFzaVFJZHEwYVpNZWVPQUJQZjMwMHdYdVYxZVF0V3ZYNnVqUm83cnFxcXUwWThjTzdkMjdWd2tKQ2I3cjExMTNuUm8xYXBSbno4Q01qQXpGeE1UNG5kQUxBTUNsaU1BT0FBQUFPRTgxYTlhVUpPM2F0VXRlcjlkdmo4V1dMVnRxMnJScDBxbFE3ZFpiYnozcmVDRWhJUm82ZEtoV3JGaWhGU3RXNk9qUm83cnNzc3Q4MTArY09LSHc4SEMvZTc3NzdqdEowc3laTXpWejVzd0N4LzdoaHg5VW9VSUYzL2RObWpUSmM3SjdZVnd1bDc3ODhrdDVQSjRDKzZTa3BLaC8vLzVLVEV6VWlCRWpkUC85OTU5MTNPenNiQVVIQi91MWZmYlpaL3JMWC82aXNMQXd0V3JWU3A5OTlwbmZ1NDBmUDE2clY2OHVjTXhwMDZZcEppYW15TzhHQUVDZ0liQURBQUFBemxQMTZ0VlZyMTQ5SlNZbTZ0Ly8vcmM2ZCs1YzdERWREb2ZxMTYrdmxKUVVKU2NuK3dWMmFXbHBma3RMM1c2My92R1BmeWdpSWtLcHFhbDYvZlhYZGZubGwvdXVlendlalJneFFoRVJFWG1Ddm5PVkc2b1Z0RTljN2l5LzFOUlV2ZnJxcTdyaGhodUtOTzZLRlNzMFk4WU12Znp5eTRxS2lwSk83Y1dYZXlCTm8wYU45TmxubnlrMk50WjM2TVNUVHo2cGh4NTZ5RytjNWN1WDY1TlBQbEYwZFBRNTdaVUhBRUFnSXJBREFBQUFpcUZIang2YU5HbVNYbi85ZFVWSFIrZTduOTI1TU1Zb01URlJPaFVJNWpwMDZKRFMwOU5WdDI1ZFg5dVhYMzZwbEpRVXpaNDlXek5tek5Dbm4zN3FtOVVuU1RObXpOREJnd2YxOXR0dkYvdUU1ZHpaZWNlT0haTk9MWDNOZmRmang0K3JmLy8rU2s5UDEvVHAwOVc2ZGVzaWozdnMyREVsSlNYSjdYYjcybUpqWTVXU2t1TFhMems1MmZkMXc0WU5mVjluWkdSbzNMaHhXckZpaFFZTkdxU0hIbnFJMDZRQkFKYzhBanNBQUFDZ0dPNisrMjU5Ly8zM1dydDJyWHIyN0trUkkwYW9YYnQydnYzaUpPblhYMy9OYzkvUFAvK3NvS0FndjZXYkhvOUhNMmZPMUlFREIvU25QLzFKRVJFUnZtczdkKzZVVGd1clVsTlROWHYyYkxWdTNWcXRXN2ZXeUpFajFiTm5UNzN5eWl0NjVwbG45T21ubityZGQ5L1ZjODg5ZDBGbW5OV29VVU02dGJ4WHAyYTUvZWxQZjlLZ1FZUDA5Ny8vWFNrcEtYcjk5ZGZQS2F5VHBBTUhEa2lTMy81N2E5YXN5WFBxYnU1cHNYdjI3TkcrZmZ0ODdYdjI3TkYzMzMybmZ2MzZxWDc5K2xxMWFwVWtxVVdMRnNVT1R3RUFzQXVCSFFBQUFGQU1UcWRUcjcvK3VwNS8vbm10WExsU0F3Y09WS1ZLbFZTM2JsMFpZNVNjbkt6RGh3OUxaNXdtdTMvL2ZvMGJOMDZOR3pkVzA2Wk5sWk9UbzgyYk4ydmZ2bjI2NG9vcjlNSUxML2c5NTZlZmZsSm9hS2d2c0pzd1lZSlNVMU0xWThZTVNWTGp4bzMxMm11dmFlalFvWXFQajFkOGZMeEdqQmlodSsrKys0SzhaNjFhdFJRYUdxcnQyN2ZyOXR0djE1RWpSeFFVRk9TcjdmTExMeit2SmNIeDhmRXFYNzY4MzFMZWwxNTZLYzhlZExsTFlwY3VYZXAzUW03dUlSanZ2LysrWC84cFU2YW9UWnMyNTF3UEFBQ0JnTUFPQUFBQUtLYnc4SEM5OWRaYldyVnFsUll0V3FTTkd6ZHE2OWF0Y2pxZHFsYXRtbTY2NlNaMTdkcFZuVHAxOHQzVHZuM0NJaVVDQUFBZ0FFbEVRVlI3OWVqUlEvLzk3MysxYk5reWVUd2UxYTVkVzcxNzk5WWpqenppZDBDRTErdlY4dVhMMWJGalJ3VUhCK3Y5OTkvWDk5OS9yd0VEQnZnQ1BHT01zckt5RkJFUm9majRlRldvVUVGQlFVSDVIdXB3UGx3dWw2S2lvdlRUVHorcGYvLytPbmp3b09yVnF5ZWRPaEUzTVRGUml4WXQwcC8vL09lejdwZVhrNU9qNU9Sa0xWaXdRT3ZYcjFmWHJsMzlycnZkYm1WbFplVnBrNlIrL2ZxcFg3OSt2dlpObXpicDBVY2YxZUxGaTVsUkJ3QW9OUWpzQUFBQWdBdWtRNGNPNnRDaFE1SDZWcTllWGNPR0RTdFMzOFdMRit2QWdRTWFObXlZRml4WW9MZmZmbHQvL3ZPZjllaWpqeW94TVZHclZxM1NGMTk4b2QyN2Qrdm1tMi9XQXc4OG9BOC8vRkRqeG8zVHpKa3pkY3N0dCtpYWE2NVJURXhNbnFXbTUrTE9PKy9Vczg4K3EvSGp4MHVuVHNLVnBFR0RCbW5Rb0VFYU0yYU14b3dabzZDZ0lEbWRUbG1XNWR0UHp1UHh5TzEyeStQeCtHYkZTVkxkdW5VMWNPQkF2K2VjSHNpZExuZXNmZnYyNllzdnZsQm9hS2ppNHVMa2NybjhEdU1BQU9CU1IyQUhBQUFBQkxpNHVEZzFiOTVjSFR0MlZIeDh2RzYrK1dhOTlOSkxldmJaWjdWczJUS0ZoSVNvVTZkT0dqdDJySm8yYlNwSm1qeDVzclp1M2FxUFAvNVk4K2ZQMTl5NWM5V2hRd2ROblRyMXZPdm8xcTJiVnE1Y3FlWExsNnRuejU2cVhidTJKS2w1OCtaYXNtU0oxcXhabzZTa0pLV25wL3VGY3FmdjU1Y2I0bFdvVUVHUmtaRnEzYnExbkU2bjMzTmVmUEZGTlduU3hLOXQrL2J0R2p0MnJIVHFBSXpseTVmTDdYYXJYTGx5R2pseXBGd3VmclFCQUpRZS9MOGFBQUFBRU9DR0R4K3UvZnYzeTdJc05XL2UzRGZEclgvLy9ycnV1dXZVcFV1WGZKZWhObTNhVkdQSGp0V3p6ejZyTld2V3FFV0xGc1dxdzdJc2pSMDcxaGVjblM0a0pFUWRPM1lzMXZpU3RHTEZDb1dGaGVVSjhabzBhYUx1M2J0THAvWUMvUExMTDR2OUxBQUFBaFdCSFFBQUFCRGdUajlzNG5SMTZ0VHhPMTIxSU9YS2xWT1hMbDB1VW5VWEZrdGJBUUNRSEhZWEFBQUFBQUFBQU9CL0NPd0FBQUFBQUFDQUFFSmdCd0FBQUFBQUFBUVFBanNBQUFBQUFBQWdnQkRZQVFBQUFBQUFBQUdFd0E0QUFBQUFBQUFJSUM2N0N3QktBNi9YcTgxYnRpb2tKTmp1VW1DVGpadTN5TzMyMkYwR0xyTHNuR3l0MzdCUng5UFM3QzRGTmtqY2w2VE16Q3k3eXdBQUFFQVpRR0FIWEFCdXQxc3ozM2xQRGdlVFZzc3FyOWNydDl0dGR4bTR5STRmVDlPcmIweVZaVmwybHdJYkdHT1VrNU5qZHhrQUFBQW9Bd2pzZ0dMSTlyb1BoQ2hvc3pHV2NuSUlheUJabG5aNlBKNjlkdGVCQzh2cjhleDFPSjFialhSRmRuYlpEV3dzeXpnbHlYamxsV1VadSt1eGphWFVIRm03N0M0REFBQUFwUmVCSFZBTUIzWnQyVmUzY1l2QkRtTmRibmN0Q0F3NXhuTW9hV2Y4SHJ2cndJVzFkOGVtUGZXYnRPeGxQTHJNN2xyczRuS2FodUdoenNHV3JLQ3NITS8wazFsbXM5MDEyY1ZZM21QN2QyeE9zTHNPQUFBQWxGNEVka0R4bUwwN051MlN4RXdMb0hUejd0NitjYnZkUmRpcFpjdVd4dWx3MURIR2hJYUZ1UFp0alYrLzJ1NmFBQUFBZ05LS0RiY0FBQUFBQUFDQUFFSmdCd0FBQUFBQUFBUVFBanNBQUFBQUFBQWdnQkRZQVFBQUFBQUFBQUdFUXljQUFBQlE2dVRrdUxYeXA5VTZlT2l3M2FXZ0ZOdTVhN2N5czdMc0xnTUFVQW9SMkFFQUFLRFVjRHNzcjh0WUpqTXpVKzkrTU0vdWNsQm1HT1B4ZUwxMlZ3RUFLRDBJN0FBQUFGQnFaT2Q0RXAzQnp1OGxOYks3RnBRZGxxVjl4c3JhYVhjZEFJRFNnOEFPQUFBQXBjYnZ1emYvWHFOUm82R2hydkxoZHRlQ3N1TkV0dmZFYnp0L1BXaDNIUUNBMG9QQURnQUFBS1dKU1VsSU9DaUo4QVFBQUZ5eU9DVVdBQUFBQUFBQUNDQUVkZ0FBQUFBQUFFQUFJYkFEQUFBQUFBQUFBZ2lCSFFBQUFBQUFBQkJBQ093QUFBQUFBQUNBQUVKZ0J3QUFBQUFBQUFRUUFqc0FBQUFBQUFBZ2dCRFlBUUFBQUFBQUFBR0V3QTRBQUFBQUFBQUlJQVIyQUFBQUFBQUFRQUFoc0FNQUFBQUFBQUFDQ0lFZEFBQUFBQUFBRUVBSTdBQUFBQUFBQUlBQVFtQUhBQUFBQUFBQUJCQUNPd0FBQUFBQUFDQ0FFTmdCQUFBQUFBQUFBWVRBRGdBQUFBQUFBQWdnQkhZQUFBQUFBQUJBQUNHd0F3QUFBQUFBQUFJSWdSMEFBQUFBQUFBUVFBanNBQUFBQUFBQWdBQkNZQWNBQUFBQUFBQUVFQUk3QUFBQUFBQUFJSUM0N0M0QUFBQUVscWlvcUp1Y1R1ZlMvSzVabGlWSlMxdTFhdVhYN3ZWNmI0K0xpMXRjUWlVQ0FBQUFwUm96N0FBQWdKK01qSXdmakRHSjUzREx2dlQwOUg5ZHhKSUFBQUNBTW9YQURnQUErRWxJU01neXhueDZ0bjdHbU56L1haaVFrSkJWRXJVQkFBQUFaUUdCSFFBQXlNUGo4Y3lUbEdtTThRVnpwenN0ck1zMnhzeTNvVVFBQUFDZzFDS3dBd0FBZWVUazVCd3d4c1NlMnJNdVg1Wmx5YktzN1Y2djkxeVd6d0lBQUFBNEN3STdBQUNRUjNoNCtIRkpQK1orZi9vc3V6TytqajF4NHNUQmtxOFFBQUFBS0wwSTdBQUFRQjdyMXEzTDhYcTlQMHRLSzZUYlNVbXIyYjhPQUFBQXVMQUk3QUFBUUw2OFh1OEdTYjdaYzJmdVoyZU1TZk40UEN2dHFnOEFBQUFvclFqc0FBQkF2alp0MnJUYkdCTmZTSmV0R3pkdUxPdzZBQUFBZ1BOQVlBY0FBQXBpakRIL3lPL2dpVk50Y3lYbFBVSVdBQUFBUUxFUTJBRUFnQUtscDZkL2JZdzVlbWE3TVNiVkdMUEFucW9BQUFDQTBvM0FEZ0FBRkNnaEllRzRwSVduejdJNzlmV1N1TGk0VkR0ckF3QUFBRW9yQWpzQUFGQW9ZOHhjU1RuNlgxam5Oc1o4YW5kZEFBQUFRR2xGWUFjQUFBcmw5WHEzU05xZU84dk9HTFBQNC9Gc3Nyc3VBQUFBb0xRaXNBTUFBSVU2ZnZ6NGNXUE1ENmMxcmZkNFBML2JXQklBQUFCUXFoSFlBUUNBUXUzWnN5ZlRHTFBCR0pNanllMzFlcmRzMmJJbDNlNjZBQUFBZ05MS1pYY0JBQUFnOEZtV3RWYlNiOGFZY2w2djkxOTIxd01BQUFDVVpzeXdBd0FBWnhVYkc3dFJVcUtrNUUyYk5xMnl1eDRBQUFDZ05HT0dIUUFBUlhCNS9lYlZ5N2xjVjloZGg1MXljc3hQbG1WQ0l4dEh0N0M3Rmp1WjdLemZFaE8zSnR0ZEJ3QUFBRW92QWpzQUFNNmk5cFZSdFlJY21tbGtHdGxkaTUxT2VPUXl4aXM1SGQzc3JzVk9qbkxCKzJzMmFOYjd3SzR0ZSsydUJRQUFBS1VUZ1IwQUFHZmhjbGlOamFYckxLbXkzYlhZeVVpUzVaUmxkeUUyTThaRUJnZTVta2tpc0FNQUFNQkZRV0FIQUVBUlZheFFRZjM2OUZLRHlFaTdTNEVOOWlYdDE5L2VlVmVIRHgreHV4UUFBQUNVY2dSMkFBQVVVWEJ3c0s1dDAxb3gwUzN0TGdVMjJMSjF1OTZmOTdIZFpRQUFBS0FNNEpSWUFBQUFBQUFBSUlBUTJBRUFBQUFBQUFBQmhNQU9BQUFBQUFBQUNDQUVkZ0FBQUFBQUFFQUFJYkFEQUFBQUFBQUFBZ2lCSFFBQUFBQUFBQkJBQ093QUFBQUFBQUNBQUVKZ0J3QUFBQUFBQUFRUUFqc0FBQUFBQUFBZ2dCRFlBUUFBQUFBQUFBR0V3QTRBQUFBQUFBQUlJQVIyQUFBQUFBQUFRQUFoc0FNQUFBQUFBQUFDQ0lFZEFBQUFBQUFBRUVBSTdBQUFBQUFBQUlBQVFtQUhBQUFBQUFBQUJCQUNPd0FBQUFBQUFDQ0F1T3d1QUFBQUFMaFVHR09NM1RXVU5NdXlMTHRyQUFDZ3JHR0dIUUFBQUFBQUFCQkFDT3dBQUFBQUFBQ0FBRUpnQndCQUdaQ1ptWGxPL2JkdDI2WWZmL3p4dkovbjlYcmw4WGpPKzM0QUFBQ2dMQ093QXdDZ2xGdTVjcVZ1di8xMjdkMjd0OGozTEZpd1FLTkhqODczMnBRcFU3UjY5ZXBDNzU4NGNhSjY5dXg1enJVQ2w1SkxQUWpQek16VXBrMmJMdGg0QUFEZ3dpR3dBd0NnbEd2Um9vVXN5OUt3WWNPVWxaVlZyTEhTMHRLMFpzMGFEUmd3UUxObnoxWmgrKzl2MjdaTkhUcDB5UFByaGh0dUtGWU5RQ0FJNUNCODdkcTFHang0c0ZKVFV3dnROM1hxVlBYdDIxY3BLU2xuSFJNQUFKUXNBanNBQUVxNXlwVXJhOVNvVWRxNWM2ZW1UcDFhckxFcVZLaWdkOTU1UjlkZWU2MW16WnFsNTU5L3ZzQytrWkdSZXZmZGQvUDhtalZyVnJGcUFBSkJJQWZobVptWit1V1hYL1RYdi81VkNRa0pCWTdWdTNkdldaYWxiNy85dGxqMUF3Q0FDODlsZHdFQUFPRGk2OVNwazdwMTY2WkZpeGFwZCsvZVdyOSt2UTRlUEZoZy80U0VCR1ZuWit2amp6LzJ0ZDE0NDQycVdyV3F5cFVycDdmZWVrc3Z2UENDdW5YcnB1VGs1RHd6ZEE0ZlBpeXYxNnNUSjA3a08vNmVQWHNVR1JsNUFkOFFLRm01UWZqUW9VTTFkZXBVRFI4Ky9Mekh5ZzNDaHc4ZnJsbXpabW5QbmoyYU1HRkN2bjBqSXlNMWZ2ejRQTzBPeC8vK08vejExMSt2di8vOTd4bzRjS0I2OWVxbHNXUEhGaGl1NStUa2FQYnMyWm85ZTNhZWE5T21UVk5NVE14NXZ4Y0FBRGgvQkhZQUFKUVJ6enp6akU2ZVBLbUlpQWd0WExoUUd6WnNLTEJ2VGs2T1BCNlBwaytmN211TGlvcFMxYXBWSlVsQlFVR2FOR21TZEdwWjNRY2ZmS0RRME5BODR3d1lNQ0JQVzFaV2xycDA2YUxYWG52dEFyMFpZSTlBRHNLYk5XdW1PWFBtYU83Y3VXclRwbzNHakJralNWcXhZb1dhTkdtaW1qVnJ5aGlqMWF0WEt5b3FTdVhLbGNzekhxRTZBQUQySWJBREFLQ01xRktsaXUvckdUTm1GTnAzL1BqeCt1Njc3L0pza1AvZGQ5L3A5OTkvMTBNUFBaUm43R1hMbHZtKy84OS8vcU9USjArcVc3ZHVmdjJTa3BKMDc3MzNLam82dXBodkF3U0dRQTdDSXlNajljSUxMMGlTdW5idHFwU1VGSTBjT1ZKdDI3WlYxNjVkdFc3ZE92M3puLy9VVFRmZHBHdXV1YWFZbndRQUFMaVFDT3dBQUNqRlVsSlMvRUszTm0zYXFHSERocEtrWGJ0MktTMHRUVkZSVVVVZWIrWEtsZnJtbTIrMGJ0MDZqUnMzVHVIaDRmbjJXN3AwcVE0ZE9xUnUzYnJKN1hicjJMRmpjanFkV3Jod29TcFdyS2g3N3JubkFyeWRQYnhlcjRJZG5tYk5temNQeStleWxmdUZNY2FTSktmVGFaM1pLZmZhbVYvcmo2V05lZllZZGpxZCtZNTk2dXVDOWlRK2MxemY5eDZQNTh5YU10eHVkMHBRVUZBQlF4VmMvL24yZGJrSy9OZlFJbzk5cnMrOFVQMVBGMmhCK05HalIvWHNzODlxNE1DQnV2cnFxLzM2TFZpd1FPWEtsZE5OTjkwa1NWcTBhSkVxVjY2czFxMWJGMXAzVkZUVWpZVjIrSU4xNnM5cFVaWFk3MUV4eHJob05WNkk5OG52NzVZTC9NeUErY3dMK3JOMWp1UDc5VFhHWEcyTUNUWEdPQy9FN3djQVhHZ0VkZ0FBbEdLSmlZbStneVl5TXpQMTdMUFArZ0s3aVJNbmF0ZXVYWm83ZDY1cTFxeFpwUEhHamgycnVuWHJhdWJNbWVyWnM2YysvUEJEMzdVZE8zYm80NDgvMXBFalI3UjU4MlpsWkdTb1U2ZE9TazlQbHlUZGYvLzlhdEdpaGQ1ODg4MThadzFkS2h5V1ZDNDBlTERUc3FxZmNjbks3N0FBeThyMzUwQmYzd0t1NXp0RzdnK1ZwOStUKy9XWjQ1eFJpOS9GM0xETUdDUExzbVNNY2J0Y3J0OGxuZmtDRisySDJJdjVBN0pWbEEvVnYvODVqUi9JUVhoS1NvcFNVbExVdTNkdlBmMzAwN3IvL3Z1bFV3ZGJ6SjgvWDdmY2NvdkN3c0wwKysrL2ErblNwZko0UE9yWXNXT2VaODJiTjAvMTY5ZVgvZ2hMUGlqS2UxemswS1BZWXhmeSszeEI2czRuYTc5Z1l4ZWl5T09mNjUvekMvSDdlYUUrODhJT1lpbkcyQzVKNFpabGVZMHh0YzdsQVFCUUVnanNBQUFveGE2OTlscXRXclZLYVdscDZ0eTVzOSsxc1dQSHFrZVBIbnI2NmFmMTNudnZGVGxFNjlPbmoycldyS245Ky9mNzdYc1ZFaEtpcWxXcnFuSGp4anAyN0poeWNuTDAwa3N2NmJMTExsUGx5cFhsY3JuMDRJTVBLam82T3MvTW4wdUp3M0xJSVZXMExDdmt6R3ZuOGdQeHVmN3dmREhHUDYyUFUxSzFjeTZvR003bi9RTkZJQWZoa1pHUm1qZHZua2FPSEtsWFhubEZHUmtaNnRXcmwyYlBucTMwOUhUZjN3UFRwMCtYMCtuVTJMRmpkZnJNeWhVclZtang0c1ZuN21sWHVTanZjU24vbmlLdk12RDc2VHdWN2prc3k2cHFkekVBY0NZQ093QUF5cWdhTldybzVaZGYxcEFoUXpSaHdnUzkvUExMUmI3M3R0dHU4MzF0akpIRDRWRGR1blhWdjM5L1NWSnljcklXTGx5b2hJUUUzNUxCZmZ2MmFlZk9uWHJnZ1FjdXd0dVVISS94S3Nmam1POHlIcS9kdFZ3SVRxZXpuMlZaOG5xOWowbksvelFEbkc1aG9BZmg1Y3VYMTVRcFV6UnYzanpkYzg4OSt2WFhYL1hwcDU5S3AvYkoyN0JoZzc3KyttdDE2ZEpGVFpvMDBkaXhZL1hLSzY4b0lpSkNpeGN2VnQyNmRWVzkrdjhta0hxOTNoNFg2TE1EQW9abFdYZEk2bVYzSFFCUUVBSTdBQURLc091dnYxNzMzWGVmdnYzMlc2V2twS2hHalJwRnV1L0FnUU82NG9vclpGbVcwdFBUOHl6aGUvREJCeFVmSDY5WFgzMVZYdThmdVpiTDVWS25UcDE4KzJkZHFpekxvWXhzczNEUDlvMUw3YTdsUW1qVnFsVS8vUkhjTFY2M2J0MHh1K3U1MUFWS0VPNTBPdFd6WjA5bFptYnErZWVmVjFCUWtEd2VqMDZlUEtteFk4Zks0WEJvM2JwMXV2enl5M1hvMENGTm16Wk56enp6ak5hc1dhTTc3N3pUYjZ5NHVMaC9Gdk5qQVFKT2RIUjBwR1ZacGdTV0xRUEFlU0d3QXdDZ2pCc3laSWdlZSt3eFZhdFc5QldSQXdjT1ZPUEdqVFZwMGlTbHBhV3BZc1dLZnRkcjFhcWx4eDU3VEo5Ly9ybkdqaDJyOHVYTFg0VEtnY0FVQ0VHNE1VYi8rTWMvZE9MRUNTVW1KdXJGRjEvVTZOR2psWmlZcUlNSEQycnExS2thTW1TSVZxeFlvYWVmZmxwcjE2N1ZraVZMZE9MRWlUeUJIUUFBS0hrRm5Tb0dBQURLaU5EUTBEeGhYVVpHUmtFYnFDczFOVlY3OXV6eGJVaS9lL2R1M3l5ZDdkdTNLeWtwU1gzNjlGRllXSmgyN2RxbHZuMzc2c2lSSTlLcC9iSGVlKys5RW5ncndGNURoZ3pSL1Bueml4elc2VlFRL3V5enowcW5Eb2tvS0FpUGpvN1c0c1dMOWVPUFArcjc3Ny9YNU1tVHo5eHpUci8rK3FzbVQ1NHN5N0kwWk1nUXhjVEVTSkt1dXVvcXpaNDlXKzNhdFZQWHJsMzEzbnZ2cVgzNzlucnl5U2Yxemp2djZOcHJyL1h0eHdjQUFPeERZQWNBQUxSa3lSS05HVE5Ha3lkUDFvUUpFN1I4K1hMVnFwWC9vWGtiTjI2VS9saEtxZlQwZE8zY3VWTXRXN2JVa2lWTDlPaWpqK3I0OGVOYXYzNjlRa05ETlgzNmREVnAwc1IzS3VuMjdkdjF6anZ2S0NNam8wVGZEeWhwZGdmaHYvenlpeVRwMWx0djFmLzkzLy81WFd2ZXZMa2txWGZ2M3RxN2Q2OCsrZVFUVFo0OFdRY1BIdFNRSVVNdTRLY0FBQURPRjB0aUFRQW9BLzcxcjM5SmtnNGZQcHp2OVJNblRtalJva1crNzZ0VnE2YkJnd2ZuMnpjMk5sWXVsMHN0V3JUUWtpVkxaSXhSVEV5TTNubm5IVVZGUlNrNE9Oalh0M2J0MmhvOWVyVFdyMSt2bVRObjZ1R0hIMVptWnFhV0wxK3VPKzY0NDRLL0p4QklsaXhab3A5Ly9sbmg0ZUhLenM3Vzh1WEwxYWhSbzN6NzVoZUUzM0hISFZxeVpJbG16SmloT1hQbStBWGg3Nzc3cmw4UVBuZnVYTjEvLy8yK1piUnIxNjVWblRwMUNwM2gxN0JoUXozeHhCT2FNbVdLdkY2dit2ZnZyeXV2dlBLaWZCWUFBT0RjTU1NT0FJQlM3dXV2djlhNGNlTlVyMTQ5elprenh5K1l5M1hYWFhkcDVjcVYrdkhISDdWeTVVb3RYYnBVYmR1MnpYZTgvL3puUDdyNjZxc1ZGQlNrano3NlNFMmFORkh0MnJXMWV2VnFkZWpRUVpiMXgvN2RIby9IZDgvdnYvK3VkZXZXcVY2OWVxcGR1N2ErK2VhYmkvakdRTWtvYWhEK3lTZWZhTUdDQmFwY3VYS1JndkJseTViNWd2RDE2OWNYR0lRbkpDVG9pU2VlME5WWFgrMEx3aVVwT3p0YnYvenlpNjY5OXRwQzY4L016RlJ5Y3JKdlA3ektsU3VmOTJjQkFBQXVMR2JZQVFCUWlzWEh4MnZNbURGcTI3YXQzbjc3YmIzMTFsc2FNMmFNUHZyb0kzWG8wRUhWcTFkWFNFaUlYQzZYWEM2WG5FNm5YQzZYY25KeWxKMmRyYXlzTEdWbFpTazdPMXZ0MjdkWHhZb1Z0V3ZYTHZYdTNWdXpaOC9XN3QyN05YSGlSSzFldlZwdXQxdTMzSEtMYjliUEJ4OThvQnR2dkZGZXIxZno1czFUdVhMbFZMTm1UVDMrK09OeU9wMTJmelJBc1p3WmhGOXh4UlhxM3IyN1g1Kzc3cnBMdDl4eWk3eGVyeHdPUjU1OTVrNVhXQkQrNUpOUEZocUVqeG8xeWhlRTMzSEhIVnF6Wm8xT25qeFphR0MzWWNNR2pSczNUcnQzNzFhZlBuMlVrcEtpOGVQSDY3dnZ2dE9BQVFOOHkyWUJBSUE5Q093QUFDakZHalpzcUt1dnZscXZ2UEtLZ29LQ05IejRjSFhzMkZFTEZ5N1U5OTkvcnlOSGppZ3JLOHN2Qk1pUDArblU3YmZmN3RzWHExV3JWcG96WjQ1dXZQRkczWGpqalpLazZPaG9WYTFhVlpJMFlNQUFmZmpoaDFxeFlvVWtLU0lpUXNPSEQ1Zkw1V0lwTEM1NWdSNkUvL0RERDdJc1MyM2F0TWxUZTNKeXNvWU5HNllWSzFhb2V2WHFtakZqaHE2NTVocEowblhYWGFmSmt5ZXJaOCtlYXRHaWhjYU9IYXM2ZGVxVThLY0xBQUJFWUFjQVFPa1dHaHFxZDk1NXgvZkR2aVJkZSsyMWVXYmVHR09VbloydG5Kd2N1ZDF1T1oxT09aMU9PUndPWCtCZ1daWnV2dmxtdFdqUlFsV3JWdFdWVjE2cHNMQXczeGpWcTFmM2ZkMnJWeS8xNnRXcmhONFNLRm1CSG9SZmRkVlZNc2JrT1dWV2tzcVhMNitrcENUMTdkdFhqenp5aUVKRFEzM1h1bmJ0cXV1dXUwNExGaXpRamgwN1ZMdDI3UXYwaVFFQWdITmwyVjBBQUFDQkx2S3E2TTZ5dExCYVJFVGxXVysvb1pqb2xuYVhCQnRzMmJwZGZRYytwYVQ5QnpKbHpGMTd0bTljYW5kTkYwS3JWcTJNSkZtV1ZYbmR1blhIN0s0bjBCbGpqQ1M1M1c2L0lMeUF2a1VLd2lWcC8vNzlxbHExcXRMVDB4VVdGbGJvOHRtU1p1VVdDWlFpMGRIUlF5ekxlbDJTWll3WkdoY1g5NWJkTlFIQTZaaGhCd0FBQUp5anM0VjEraVBvVWtoSWlFSkNRczdhdDFhdFdwSlVwTDRBQUtEMDQ1UllBQUFBQUFBQUlJQXd3dzRBQUFBb0lwYUhBZ0NBa3NBTU93QUFBQUFBQUNDQUVOZ0JBQUFBQUFBQUFZVEFEZ0FBQUFBQUFBZ2dCSFlBQUFBQUFBQkFBQ0d3QXdBQUFBQUFBQUlJZ1IwQUFBQUFBQUFRUUFqc0FBQUFBQUFBZ0FCQ1lBY0FBQUFBQUFBRUVBSTdBQUFBQUFBQUlJQVEyQUVBQUFBQUFBQUJoTUFPQUFBQUFBQUFDQ0FFZGdBQUFBQUFBRUFBSWJBREFBQUFBQUFBQWdpQkhRQUFBQUFBQUJCQUNPd0FBQUFBQUFDQUFFSmdCd0FBQUFBQUFBUVFsOTBGQUFCd3Fjak95ZGI2RFJ0MVBDM043bEpnZzhSOVNjck16TEs3REJSQnZYcE5yN0NDZ3VyWlhRY3VUVzVINXI2a1gzL2RiM2NkQUlDeWpjQU9BSUFpT240OFRhKytNVldXWmRsZENteGdqRkZPVG83ZFplQXNhalpvVnRjS0N2NmJMRFd6dXhaY21sd0syMTJ2U2N2SEVyZHYzRzEzTFFDQXNvdkFEZ0NBcy9CNlBIc2RUdWRXSTEyUm5WMTJBeHZMTWs1Sk1sNTVaVm5HN25wc1l5azFSOVl1dTh0QS9vS0RneHZJTXEwc1dUV0NYQzVaRG5hQVFkSGtodkpHVm1YTG1DYVNDT3dBQUxZaHNBTUE0Q3oyN3RpMHAzNlRscjJNUjVmWlhZdGRYRTdUTUR6VU9kaVNGWlNWNDVsK01zdHN0cnNtdXhqTGUyei9qczBKZHRlQndsV3NXRUg5SHUrdHBrMGEyMTBLTGhFSnUzWnI1dC9mMDZFalIrd3VCUUFBQWpzQUFJckF1M3Y3eHUxMkYyR25saTFiR3FmRFVjY1lFeG9XNHRxM05YNzlhcnRyQWdvVEhCU3M2SmJOOWFkcjJ0aGRDaTRSRlN0VVVHaG9pTjFsQUFBZ2NVb3NBQUFBQUFBQUVGZ0k3QUFBQUFBQUFJQUFRbUFIQUFBQUFBQUFCQkFDT3dBQUFBQUFBQ0NBRU5nQkFBQUFBQUFBQVlUQURnQUFBQUFBQUFnZ0JIWUFBQUFBQUFCQUFDR3dBd0FBQUFBQUFBSUlnUjBBQUFBQUFBQVFRQWpzQUFBQUFBQUFnQUJDWUFjQUFBQUFBQUFFRUFJN0FBQUFBQUFBSUlBUTJBRUFBQUFBQUFBQmhNQU9BQUFBQUFBQUNDQUVkZ0FBQUFBQUFFQUFJYkFEQUFBQUFBQUFBZ2lCSFFBQUFBQUFBQkJBQ093QUFBQUFBQUNBQUVKZ0J3QUFBQUFBQUFRUUFqc0FBQUFBQUFBZ2dCRFlBUUFBQUplUXhNVEU4N3B2NTg2ZDhuZzhGN3lla3JKLy8zNjdTd0FBb01RUTJBRUFBQUNYaVBYcjErdnV1Ky9XVjE5OWRVNzNIVDU4V0QxNjlOQ0VDUk11V20zbjRzaVJJenAwNkZDQnYxSlRVLzM2ejUwN1Y5MjdkOWUrZmZ0c3F4a0FnSkxrc3JzQUFBQUFsRzNObWpVTDlucTlGYlp0MjNaVWt0ZnVlb3BpMTY1ZCt2enp6N1YyN1ZyOTl0dHZ5c25KVVpVcVZWUzdkbTExN05oUmQ5NTVwOExEd3d1OGY4bVNKUm8xYXBScTE2NnRMNy84c3NqUGJkV3FsYnAwNmFMSmt5ZXJVNmRPcWxpeFlwSHVXN3g0c1R3ZWo2S2lvblRnd0lFaVAwK1NMci84Y3JsY0xoMDhlRkR6NXMwN3AzdHpQZkRBQTZwWnM2YnYrN3Z1dWt2cDZla0Y5bS9Rb0lGZWZQRkZaV1JrU0pJcVZhb2tTWm85ZTdadXYvMTJYNzlhdFdxcGR1M2E1MVVUQUFDQmpNQU9BQUFBdGdvTkRiMUswa3N4TVRHYmpERS9XNWIxYzJ4czdFRzc2OHFQeCtQUjFLbFQ5ZEZISDhrWW8wcVZLcWxCZ3daeU9CdzZkT2lRZnZubEYvM3l5eStLaVlsUnMyYk44aDBqSnlkSE0yYk1LUEFaUC8zMGt3WU9ISGpXV3JwMDZWTGd0ZDY5ZTZ0Ly8vNis1MzN5eVNlU3BERmp4aFRoTGYxOTlkVlhxbG16cGxKVFUvWDU1NThYK1Q2UHg2T2NuQnhKVXVmT25mMEN1L2ZmZjE4ZWowZUppWWw2OWRWWE5YMzZkRDMyMkdPYU1HR0NxbGV2cnBDUUVJMFpNMFpidDI3MTNSTWFHcXJseTVkcitmTGx2clpISDMxVWZmcjBPZWQzQWdBZzBCSFlBUUFBd0ZiR21IQkozU3pMNm01WjFsRkpLVEV4TWYveGVyM3pOMnpZc0ZLUzIrNGFjNzN3d2d2Njl0dHZWYnQyYlEwYk5rd2RPblNRdy9HL1hXYU9IRG1peFlzWEZ6cTc3dE5QUDlXQkF3ZGtXVmFoejNydXVlZDB4UlZYK0xWNVBCNDVuVTYvdHZUMGRKVXZYOTZ2N2ZSWloxOSsrYVYrLy8xM0RSNDhXREV4TVVWKzExeFZxMWFWSkRWdTNGaXJWcTBxMGowN2R1elFzR0hEbEpTVXBEdnV1RU5ObXpiMXUxNi9mbjNmKzdoY0xqVnExRWhPcDFOMTY5WlZuVHAxSkVudnZQUE9PZGNLQUVCcFFXQUhBQUNBUU9FMHhsU1ZWTld5ck9ZT2g2TnZURXhNZ2pIbUk2L1h1OERqOFJ5SWo0OC9ibGVBOS9ubm4rdmJiNzlWWkdTazVzeVpvOHFWSytmcFU2VktGVDM4OE1NRmpwR1NrcUtaTTJlcWUvZnUrdTY3N3dwOVhsUlVsQm8xYXFSWFgzMVYxMTkvdmRxMWE2Y3Z2dmhDYjc3NXBwWXNXYUx5NWN2TDYvWHE0WWNmVm5oNHVKNTc3amxGUmtiNmpYSHMyREg5N1c5L1U3Tm16ZlR3d3crZk5TUzhFTDc1NWh1Tkh6OWV4aGlOSGoxYWYvbkxYL0wwT1hEZ2dQYnQyNmVrcENSbFoyZHJ6Wm8xY3J2ZDJyQmhndzRjT0tBNmRlcW9aczJhK3Zqamo1V1dscGJ2YzFxMmJLbDI3ZHBkOVBjQkFNQU9CSFlBQUFBSU9NWVlXWCtrUzQwdHkzcko0WENNZExsY3Y4VEV4UHhnakZrbktTNHVMaTVSa2ltSmV0eHV0MmJQbmkxSkdqZHVYTDVoWFZGTW1qUkpMcGRMZ3dZTk9tdGdKMG1iTm0zU3A1OSs2Z3VtZHV6WW9YTGx5dmxtMURrY0RyM3d3Z3NhTldxVUhuendRWTBmUDE1Ly92T2ZmZmRQbVRKRnFhbXBldU9OTi9URUUwOW8vZnIxUmE3MWhodHUwR3V2dlZiay9oNlBSMisrK2FZKytlUVQxYWxUUjYrOTlwb2FOMjZjYjk5dnZ2bEdzMmJOVWxCUWtMS3lzalIwNkZCbFptWnE0c1NKeXM3T1Z0KytmZlg0NDQvcm80OCtVb1VLRlZTOWVuVy8remR2M3F3VEowNFEyQUVBU2kwQ093QUFBQVNDZktkK0dmTkhIbWRaVnFpazZ5UjFzQ3pycUdWWlNURXhNYkZlcjNlUnkrWDZmdDI2ZGNjdVpuRnhjWEU2ZlBpd29xS2k4aXp2TEJuYmo4c0FBQ0FBU1VSQlZLb2xTNVpvNWNxVkdqRmloQzY3N0xJaTNmUFBmLzVUTld2V1ZOT21UWFhvMENGdDI3Wk5kZXJVMGFGRGgzeDlxbGF0cWlsVHBtamV2SG02OHNvcmRlalFJVldzV0ZFLy9QQ0R2dnp5UzkxNTU1Mktpb3JTd0lFRGRleFkwVCttM0tXd1JYSHMyREdOR0RGQ2E5ZXUxZlhYWDY5eDQ4YmxXYVo3cHRhdFcrdXBwNTdTMEtGRHRYanhZdDF3d3czNjRJTVBOSDc4ZUw5Ky8vZC8vNmZ1M2J2N3RRMFlNS0RJdFFFQWNDa2lzQU1BQUlDOFh1L1M2T2hvdS9hS3F5Z3BOUGViMDVkdDVuNmRHOXlkQ3ZhcUdHT3FTR3JwZERwN2VyM2VqSmlZbUhsZXIvZmRZNW5lMElzeDVXN2J0bTNTcVdXWTV5TTVPVm1USmsxUzgrYk5kZSs5OXhiNXZ0V3JWeXNsSlVVMzNYU1RYL3VaMytlYVAzKytKR255NU1tYVBuMjZycnp5U2ozenpEUEZxdjFzOXV6Wm84R0RCeXNwS1VsOSt2UlIzNzU5aTd6MDl1VEprd29ORFMyMHo5U3BVelZuemh5L3RrT0hEcWxodzRiRnFoc0FnRUJHWUFjQUFGQ0dHV09PV1paVnliS3NQNVhFL21ZRjFGQ3MreTNMQ2pmR1BPRndPRzZzRUdKV3AyZDdIVVc0N1p5a3BxWktraXBWcXBUbjJ1VEprMzJuc09aNjZLR0g5TlJUVDBtbmxvcU9HalZLYnJkYkw3LzhzdDhoRllXeExFdHZ2ZldXNzZUVnVMZzR2Zjc2NjNyeHhSZlZxRkdqUXUrdFU2ZU9icm5sRnQxKysrMjY0WVliaXZ5ZXVXNjY2U2FOSGozNnJQM1dybDJyWWNPR3llMTJhL0xreVlXZVhKdWZ4TVJFVmF0V3JkQSszYnAxVSt2V3JmM2F6Z3p3QUFBb2JRanNBQUFBeXJiSHZWN3ZsUVV0U1MwaGRTM0w2aWtwcEtnM25CWXVabnE5M25XU1B2WjZ2ZXZTczFUZGErbmNVcU1peUowRmR1TEVpVHpYNnRldjc5dEw3ZENoUTlxeFk0ZmY5YmZlZWt0eGNYRjY0WVVYVks5ZXZiTSs2K1RKazVLa3NMQXcxYXhaMDllK1lNRUNoWWVIcTJQSGpubE9pczBWRkJUa3E3VmZ2MzZTcEJFalJwekRtLzVSYjNaMjlsbjdmZlhWVnhvM2JweXFWS21pTjk5OFUxZGRkZFU1UFNkM2pOd3d6cklzL2Z6eno4ckl5UEJkZisyMTExU2pSZzFWcVZMRjc3NzY5ZXNyTEN6c25KOEhBTUNsZ3NBT0FBQ2dESXVOamYzYzdocGlZbUxhU2ZxcnBKQjhsc0JLWnl5VE5jWjRqVEhiTGN1YWNmejQ4UThURWhLTzUxNkx2Q3E2czJWZCtFV3h1Y0habVdHY0pOMXp6ejI2NTU1N3BGT0hLYnp3d2d1K2E0c1hMOWJISDMrczIyNjdUWGZlZVdlUm5wVWJDb2FIaC92YWNuSnl0SHo1Y21Wa1pQZ2RLbkdtSGoxNmFOaXdZWDV0Wis3L2RqWno1c3lSeCtNcHRNLzc3Nyt2dDk5K1cwMmFOTkhVcVZPTHROOWRWbGFXUWtMK2w4a21KQ1RveElrVEdqZHVuQ1RwbGx0dTBadzVjM1RreUJGMTZ0Uko4Zkh4ZXVLSkp3b2NMeVltUnRPbVRUdW5kd01BNEZKQllBY0FBUHhFUlVYZDVIUTZsK1ozN1ZSb3NyUlZxMVorN1Y2djkvYTR1TGpGSlZRaVNpZWpNNEs2MDhLN0hFbUp4cGdFWTh4S3I5ZTdkT1BHalJzbGxkaWVlMjNidHBWbFdWcXpabzBPSHo2c2lJaUlJdDMzN3J2dlNxZUN1OFdMOC80amtwU1U1SnRoOXNNUFA2aENoUW82ZnZ5UC9QSDB3RzdSb2tVNmZ2eTRJaUlpMUtKRml6eEIxcXBWcXpSOSt2UUxjbXBxY0hCd29UUHMzbnp6VGMyYk4wOXQyN2JWNjYrLzdsZG5ZWHIyN0ttbVRadnF4UmRmbENRMWF0Ukl3NGNQVjQwYU5TUkp3NFlOMDdCaHczd3pBeU1qSS9NRWNxbXBxWm95WllvT0hqeW9HMis4c1JodkNRQkFZQ093QXdBQWZqSXlNbjZvVUtGQ29tVlpaMSs3OTRkOTZlbnAvN3JJWmFIMHM1UjNKbDJTTVdhWnBIOGJZK0tQSHovKzY2NWR1eTdxYWJBRnFWYXRtcnAyN2FwbHk1WnB3b1FKZXZYVlZ3dGNsbnE2VzI2NVJZY1BIODczMmhkZmZLSFEwRkRkZXV1dDBxbmxyRHAxaUVQTm1qWGxjdjN4citwdXQxdnZ2dnV1MnJScG8xNjllbW5BZ0FGNjVKRkhGQlVWSloxYWh2dlJSeC9wdHR0dVU0Y09IWXI5cmhVcVZQQ2RKbnZ5NUVrNW5VNEZCd2RMa3ViTm02ZDU4K2FwUzVjdW1qaHhvcS9tb2poNDhLQXFWcXpvK3o0NU9Wbi8vdmUvOWU5Ly85dXZYM0p5c25RcXNJeUppZkcxcjF5NVV1UEhqMWZObWpVMVpjcVVJaTB2QmdEZ1VrVmdCd0FBL0NRa0pHUkZSMGQvYWxuV000WDFNOGJJc2l3Wll4WW1KQ1JrbFZ5RktLVnlaOWhsU2ZwSzByVFkyTmdmN1M3cWRNT0dEZFA2OWV2MXd3OC9hT0RBZ1JvNmRLamY0UTg1T1RuYXZYdTMzejJQUC81NGdlTXRXclJJbFN0WHpyUEgzTTZkTy8xT1FQM3d3dytWa3BLaWwxOStXYTFidDliTk45K3NZY09HYWViTW1hcFVxWktlZlBKSlZhbFNKYzlTMlBOVm8wWU5iZHEwU1pLMFpzMGFQZi84ODFxOGVMRzhYcSttVDUrdVpzMmFhZEtrU2I1QXNTaE9uanlwMU5SVTFhbFR4OWQyK1BCaGZmdnR0M242SGo1OFdGNnZWeXRYcnZScm56bHpwcXBVcWFKZXZYcHA3OTY5MnJ0M3J5cFdyT2dMTGdFQUtFMEk3QUFBUUI0ZWoyZWV3K0VZWkl3SjFSbXpublRhc2tWalRMWXhacjQ5VmFLMHNDd3IxUmp6a2RmclhlbDJ1LysxZWZQbTMreXVLVDlWcTFiVjdObXo5ZFJUVDJuTm1qVjY0SUVIZE1VVlY2aEdqUm82Y2VLRWtwS1NmQWNtWEhiWlplZjFqTFMwTk1YSHg2dFBuejZTcEczYnRtbldyRm02K2VhYmZVdG5SNDhlclVHREJ1bUpKNTVRZUhpNFFrSkNOR3ZXTEwvWmE4WFJxRkVqZmZ2dHQwcExTOVBSbzBlVmxaV2w4dVhMYS9ueTVjck96dGE5OTk1N1RtR2RKTVhIeDB1U1h4RFp2SGx6elp3NU0wL2ZmdjM2eWUxMmErVElrWDd0MmRuWmNqZ2NHalZxbEs4dEtpcEtNMmJNT0krM0JBQWdzQkhZQVFDQVBISnljZzY0WEs1WXk3TGFuYm41ZjY1VElkNTJqOGVUV05MMW9YUlp2Mzc5ZGtrRFNuSlB1dk1WR1JtcCtmUG5hOUdpUlZxMmJKbDI3TmloalJzM0tpUWtSTFZxMVZKTVRJeHV2ZlZXdFdqUjRyekdYN0ZpaGR4dXQ3cDI3YXFEQncvcW1XZWV5VE43TGpVMVZiVnIxOWJhdFd1Vm1wcXF6cDA3S3pVMU5jOUpxdWNyTnhqODczLy9xNlNrSk5XcVZVc3VsOHUzYjkvWFgzK3RsaTFicWw2OWVuSTRISVdPbFphV3BnMGJOdWkxMTE2VEpGMTc3YlcrYThZWVpXWGxuWnhyakZGd2NMQldyVnJsMXo1Z3dBRFZxVlBubkUrOUJRRGdVa1JnQndBQThnZ1BEei91OVhwL2xOUk9weTEvMVJtSEFoaGpZaytjT0hIUXZrcFJTbmhQL2Jva0JBVUYrWjBNZTc3T0RLUnk5NnByMHFTSklpSWk5T2lqaitydzRjT2FOV3VXd3NMQ3RITGxTaTFmdmx6ZmZQT05JaUlpOU5KTEwwbVNwa3lab3Z2dXUwL3QyN2RYeDQ0ZDFiWnRXMFZHUnA1M1hWRlJVYXBmdjc3dndJemNKYWN4TVRHNjdiYmJ0SGp4WXQxNzc3MnlMRXZCd2NHeUxFc09oME1PaDBNZWo4ZnZWeTdMc3RTM2IxKy9HWGEvL1BLTDJyZHZuMjhOYmR1MmxTVE5uejlmQnc4ZWxNZmowWVlORzg0N0NBVUE0RkpEWUFjQUFQSll0MjVkVGxSVTFNOU9wek5OVW9VQ3VwMlV0SnI5NjRBTEl6azVXYi85OXBzbVQ1NnM4UEJ3dFd6WlVpTkhqcFRMNVZLWExsMlVuWjJ0eU1oSURSZ3dRUGZkZDU5Q1EwTWxTZDI2ZGRQQ2hRdjF4UmRmYU5La1NiSXNTKys5OTE2eHdxMVJvMFpweElnUkNnME4xV09QUFNaSmNqZ2Nldm5sbDlXclZ5OXQyclJKaHc0ZFVrNU9qdStlMDVmTzUzNGRIQnlzcWxXcnFtM2J0cnI4OHN2OW50RzhlWE05OTl4emVaNDlZY0lFMzlkSGpoelIwcVZMWll4UjY5YXRkZSs5OTU3M093RUFjQ214aXRBSEFBQ1VRUzFhdEdnUUZCUzB6QmpUb0lBdXYzczhuajl2M0xoeGN3bVhCaFFvOHFyb3pyTE1KOVVpcXRhWSt2b2svZW1hTm5hWGRFNDJiOTZzNXMyYjUybi82cXV2MUxoeFkxMTExVldGM3I5cjF5NGRPSEJBMTExMzNVV3Nzdml5czdQbDhYZ1VGaFptZHlrK3NYRWJOV2pZU0NVZFNFNlYxOXRqei9hTlMrMnVDUmRQZEhUMEVNdXlYcGRrR1dPR3hzWEZ2V1YzVFFCd09tYllBUUNBZkczYXRHbDNURXhNdktTQ0FydXRHemR1akMvaHNvQlNMYit3VHBMdXVPT09JdDNmb0VFRE5XaFEwRCt5Z1NNNE9OanVFZ0FBQ0dpRjd4SUxBQURLTW1PTStjZVpKOFRxZjh2ZDVrcksvMFFLQUFBQUFPZU53QTRBQUJRb1BUMzlhMlBNMFRQYmpUR3B4cGdGOWxRRkFBQUFsRzRFZGdBQW9FQUpDUW5ISlMzTVp6UDVKWEZ4Y2FsMjFnWUFBQUNVVmdSMkFBQ2dVTWFZdVpKeTlMK3d6bTJNK2RUdXVnQUFBSURTaXNBT0FBQVV5dXYxYnBHMFBYZVduVEZtbjhmajJXUjNYUUFBQUVCcFJXQUhBQUFLZGZ6NDhlUEdtQjlPYTFydjhYaCt0N0VrQUFBQW9GUWpzQU1BQUlYYXMyZFBwakZtZ3pFbVI1TGI2L1Z1MmJKbFM3cmRkUUVBQUFDbGxjdnVBZ0FBUU9DekxHdXRwTitNTWVXOFh1Ky83SzRIQUFBQUtNMllZUWNBQU00cU5qWjJvNlJFU2NtYk5tMWFaWGM5QUFBQVFHbkdERHNBQUlyZzh2ck5xNWR6dWE2d3V3NDc1ZVNZbnl6TGhFWTJqbTVoZHkxMk10bFp2eVVtYmsyMnV3NEFBQUNVWGdSMkFBQ2NSZTBybzJvRk9UVFR5RFN5dXhZN25mRElaWXhYY2pxNjJWMkxuUnpsZ3ZmWGJOQ3M5NEZkVy9iYVhRc0FBQUJLSndJN0FBRE93dVd3R2h0TDExbFNaYnRyc1pPUkpNc3B5KzVDYkdhTWlRd09jaldUUkdBSEFBQ0FpNExBRGdDQUlxcFlvWUw2OWVtbEJwR1JkcGNDRyt4TDJxKy92Zk91RGg4K1luY3BBQUFBS09VSTdBQUFLS0xnNEdCZDI2YTFZcUpiMmwwS2JMQmw2M2E5UCs5anU4c0FBQUJBR2NBcHNRQUFBQUFBQUVBQUliQURBQUFBQUFBQUFnaUJIUUFBQUFBQUFCQkFDT3dBQUFBQUFBQ0FBRUpnQndBQUFBQUFBQVFRVG9rRkFBQkFxWFBrNkZFTkdqWlNJY0hCZHBlQ1MwUjJkbzZPSEQxcWR4a0FBRWdFZGdBQUFDaE5QTWFkN3BUenBOZnIxYUZEaCswdUI1Y2trMmtzNzNHN3F3QUFsRzBFZGdBQUFDZzFzbE1kVzhNcWE2eVI2dHBkQ3k1VjN1UVRoNzBiN2E0Q0FGQzJFZGdCQUFDZzFQanR0NDBaK2szdjJWMEhBQUJBY1hEb0JBQUFBQUFBQUJCQUNPd0FBQUFBQUFDQUFFSmdCd0FBQUFBQUFBUVFBanNBQUFBQUFBQWdnQkRZQVFBQUFBQUFBQUdFd0E0QUFBQUFBQUFJSUFSMkFBQUFBQUFBUUFBaHNBTUFBQUFBQUFBQ0NJRWRBQUFBQUFBQUVFQUk3QUFBQUFBQUFJQUFRbUFIQUFBQUFBQUFCQkFDT3dBQXlvak16RXlkUEhreVQ3dmI3VlphV3BxTU1iNDJqOGVqdExRMGVUeWVFcTRTQUFBQUFJRWRBQUJseE5peFl6VnMyTEE4N2Q5Ly83MDZkKzZzOVBSMFg5dVdMVnZVdVhObkpTUWtsSENWQUFBQUFGeDJGd0FBQUVxR01VYVdaUlY3bkNsVHBtaisvUG5GdXI5Tm16YkZyZ01BQUFBb3JRanNBQUFvSTd4ZXI1eE9aN0hIYWR1MnJVSkRRL085dG5idFdzWEd4dXJ1dSs5VzFhcFY4KzFUbzBhTll0Y0FBQUFBbEdZRWRnQUFsR0plcjFlN2R1MVNvMGFOL0FLN1gzLzlWZUhoNFVwT1R0YXVYYnNrU1hGeGNRb0xDNU1rWDl1V0xWdVVscGFtU3BVcXFYSGp4cEtrOXUzYnEzMzc5dmsreisxMkt6WTJWdmZlZTYrYU5HbFNRbThKQUFBQWxDNEVkZ0FBbEdLeHNiSDZmLy92LzJuNTh1Vyt3RzdidG0zNjYxLy9xaTVkdW1qRmloVyt2a09HRE1sei83aHg0eVJKMTExM25hWk1tVktpdFFNQUFBQmxGWUVkQUFDbFdNdVdMUlVVRktTZmZ2cEpIbzlIb2FHaCt0ZS8vcVdHRFJ2cXBaZGUwdkRody9Yamp6L3FsVmRlMFdlZmZhYnc4SEJKMHZidDIvWFVVMDlwMnJScGF0Q2dnVUpDUXV4K0ZRQUFBS0RNSUxBRGdQeFp6Wm8xcXhNVUZGUlhraXpMTWdYMHk3Yzl2LzV1dDd2QWE0V05kWlo3Q3J4V25IdHljbkl1eUxQT3A3YWNuSndMK2prNEhJNGkxWkNkblYzZ09DZXpQZFZ5ektWNXNIcFFVSkJpWW1LMGN1Vkt1ZDF1T1oxT2ZmUE5OM3Jvb1lkVXZueDVsUzlmWHBVcVZaSWtWYXRXVFJVcVZKQWsvZjc3NzVLa0tsV3FxSHIxNnJhK1E2QXh4c2hsbVJyUjBkSFJwN1hsT2MzanpMYlR2dzhLQ2pybmV3cHJrNVR2ZlM2WDY3enVPN1B0OUhFSzZGZWtPb3Z5Zms2bjg3enJMTXA5THBjcmNmMzY5ZHNLK3pzWEFBREFiZ1IyQUpDUHBrMmIxZ2dKQ1psb1dkWU5aMXp5K3dIUEdGUGs4TzNVRDd4NTJzOGp3RE9ubmwya2ZrVjQzdjhHT2pYbXFYM09DdnRodHNBeHp2S3N3dm9iblJFd25NdTduZS9ubUNzb0tLakE5dzF6bUYzdTdFdjNaL3RXclZwcDNyeDVhdGl3b1hidjNxM1UxRlRkY2NjZGRwZDF5YklzS1R6RTlZRERZWTNJYmNxdlgyRUJVajUvZFZoL2pQMi9XNnlDai9ROTUrZWRNWForYlFXT1cwRDdXZnZtOXp5SHc1R25yU2hqbi9sdWhieExVZDVoVS9QbXpmdHMzcng1WnlFMUFBQUEySXJBRGdEeUVSb2FlcmxsV1RHU0NqM09zdUNmcHkrK2kvbnMwdnBlNS90Y2gzVFN2aytrK0xwMjdhcXJyNzVhZi92YjM5U3VYVHZkZlBQTnZwbDA1eUkxTlZXMzNYWmJvWDF5WjVMMjZ0V3IwTSswUVlNR21qdDM3am5YRUFnc1daSzgxU1RuVllYMksrRS95eVg1dkV2ODNacTZYSzQ2a2dqc0FBQkF3Q0t3QTRCOEdHT3NVN05iY293eE00MHg2KzJ1Q2ZiSjhwZ0lJMnVVM1hXY3I3cDE2NnB1M2JwNjdiWFhWS0ZDQmJWdTNmcTh4Z2tORGRVamp6eFNhSisxYTljcU5qWld0OTEybTZwV3JWcGd2OHN1dSt5OGFnZ0U1bzgvRTU4NkhXYXkzYlhnbkRTVE5ORE8veUFCQUFCUVZBUjJBRkE0anpGbWVWeGMzRC90TGdUMmlid3F1bk9oQy9ndUVRY1BIbFJFUklRa0tTTWpROGVPSFpNa0hUMTZWSktVa3BLaXRMUTBTZEtoUTRkODkrVE94cXRTcFlyNjl1MWI2RFBjYnJkaVkyTjE3NzMzcWttVEpoZjFmZXlVbGFOTjJ6ZkhMclc3RGhSZGRIUjBaNGZEMGNmdU9nQUFBSXFDd0E0QWdESWdJeU5ENmVucFdybHlwWHIwNktFbFM1Wm80c1NKZm4wZWZQREJQUGNOSGp6WTkvVXJyN3lpcmwyN2xraTlBQUFBUUZsR1lBY0FRQm13Y2VOR1NkS0dEUnYwL3Z2dnEzdjM3bXJZc0tIdnVzZmp5VDFzeE1jWTQ3ZDNXUDM2OVV1d1lnQUFBS0RzSXJBREFLQU1XTDkrdlNJaUl2VEVFMC9vMVZkZjFUWFhYS09ZbUJoSjByRmp4OVNuVHgvZGQ5OTl1dSsrK3lSSlk4YU1VVTVPamw1KytlWFRUL1lFQUFBQVVBTDROM0FBQUVvNWo4ZWpiNzc1UmgwNmROQTk5OXlqWnMyYWFmVG8wY3JPemxabVpxWUdEeDZzMzM3N1RjMmJOL2ZkRXhNVG95VkxsbWowNk5IeWVyMjIxZzhBQUFDVU5jeXdBd0NnbEZ1eFlvVlNVbExVdlh0M1daYWxwNTkrV3JHeHNmSjRQQm82ZEtoMjdOaWhhZE9tcVduVHByNTd1bmZ2cm95TURFMmVQRm1XWlduTW1ESE10QU1BQUFCS0NJRWRBQUNsV0hwNnV0NTQ0dzIxYk5uU3R3UzJSWXNXcWwrL3ZwNTg4a2x0MjdaTmI3enhodS9hNlhyMDZLSDA5SFRObkRsVExwZExvMGVQOXR2VERnQUFBTURGUVdBSEFFQXBscHljck9QSGordVZWMTd4YTU4eFk0WXZyR3ZYcmwyQjkvZnAwMGZwNmVtYU4yK2Uyclp0cTF0dnZiVUVxZ1lBQUFES05nSTdBQUJLc2NhTkcrdnp6ejlYalJvMS9Ob0hEUnFrbTIrK1dTMWJ0anpyR0U4OTlaUmF0V3FsVHAwNm5iVnYvLzc5MWI5Ly8yTFZEQUFBQUpSMWJFWURBRUFwZDJaWUowbWhvYUZGQ3V0eUZTV3NBd0FBQUhCaEVOZ0JBQUFBQUFBQUFZVEFEZ0FBQUFBQUFBZ2dCSFlBQUFBQUFBQkFBQ0d3QXdBQUFBQUFBQUlJZ1IwQUFBQUFBQUFRUUFqc0FBQUFBQUFBZ0FCQ1lBY0FBQUFBQUFBRUVBSTdBQUFBQUFBQUlJQVEyQUVBQUFBQUFBQUJoTUFPQUFBQUFBQUFDQ0FFZGdBQUFBQUFBRUFBSWJBREFBQUFBQUFBQW9qTDdnSUFBQUJRdWhoampOMDFuTVVLdXdzb2pHVlpsdDAxQUFBQWV6SEREZ0FBQUFBQUFBZ2dCSFlBQUFBQUFBQkFBR0ZKTElBeUx5b3E2bXFuMC9uNEdjM1ZqREdYVzVibHNpeXJkNnRXclRxZGZ0RVlNejgyTnZhL0pWc3BBQUFBQUtBc0lMQURVT2E1M2U1a3A5TTU1TXoyM0MyRUxNdTY0OHhyRG9majFSSXFEd0F1YVY2dlZ4a1pHU3BYcnB5Y1RxZmZ0WXlNRERtZFRvV0dodnJhVHA0OEtVa0tDd3Nyc1JwMzd0eXB5TWpJUFBXZGoyKy8vVlpIamh6UlhYZmQ1ZmRla3JSMTYxWjk5TkZIR2pseXBNcVhMMS9zWndFQWdOS0xKYkVBeXJ6NCtQZ2p4cGhGWit1WHU0ZTZNZWEvNjlhdFN5NkoyZ0RnVXBlVWxLVE9uVHNyUGo0K3o3V0hIMzVZMDZaTjgyc2JQbnk0bm4vKytSS3I3L0RodytyUm80Y21USmh3UWNiNzVKUC96OTZkaDBWVi9YOEFmNTlaQUJFVUZCZE1Fd2wzUlhERFZEUzFyNXFsbFdVdXBXWGFpbnZ1Ky9JMWpjelVFRFZ4clo5YmFlNjdVcG9wVXJJWmlLQ2l1SUNpZ29BTXpNeTl2eitFKzJXWXdhWFVHZVQ5ZWg2ZlorYWNjKy85M0l0YzVuN21MT3NSRWhJQ2pjYjhlL0dVbEJUczJiTUhPcDN1c1J5TGlJaUlubDNzWVVkRWRLK1gzVkt0VnR1aklDbFhkSUcrd2dzZXlySzg4NmtIU0VSVVFoVjNYMzFVV1ZsWjZOS2x5ei9ldmttVEpnZ09EallyMzdWckY0eEdJNW8wYVlLclY2OCswajRyVjY1c2twaExUMC9INmRPbjBiTm5UNHNKT3lJaUlxS0h4VThTUkVUM2htWDlVYjU4K1VzQW5yOWZPMW1XYjBtU2RPTHBSVWEySkUrZmgxTlIwYmlUbVdudFVNZ0tMaVpmaGs2WGErMHdTaHhKa2dEZ1h3ODMxV3ExR0RCZ1FMSEhDQWtKUWMyYU5ZdE42bFd0V3RXc1RLL1hZLzM2OVFDQUdUTm1QSEpNTzNic1FMVnExWlQzKy9mdmh5ekw2TmF0MnlQdmk0aUlpS2d3SnV5SWlBQTRPRGprQ0NFT0EvaEFsbVhJc3F6MEJpbmNPMFNXNVROcXRmcWNsY01sSzdsekp4T0I4eGY5NjU1Q1ZETEpzZ3k5WG0vdE1FcU0yN2R2dzJnMG1pVHNrcE9UVWJGaVJjVEd4Z0lBZERvZFVsTlQ4ZWVmZnlyYlpXUmtRS3ZWS21YMTY5ZEgyYkpsWVc5dmowOCsrY1Rpc1F3R0EwSkNRdURoNFZGc0cwdTJiZHVHNjlldlkvanc0ZkQxOVgza2MzUnpjek41djNYclZuaDZlcUpPblRvbTUxVGczTGw3Zno2aW82TlJybHc1cy9xR0RScysxYm43aUlpSXlIWXhZVWRFQkNBMk5qYlB4OGZuTnlGRVB3QjI5MmthRlJFUmNlVXBoa1kyUURJYUw2blU2amdaY00vTFk4S20xQk5JMTBPY3QzWVl0bTdjdUhGbzJMQ2gwdHRNclZaai92ejVVS3ZWQ0EwTlZkcWxwcWJpOE9IRFp0c1hKTjUrK09FSE5HalE0TEhIbDVHUmdTVkxscUJCZ3dibzM3Ly92MDdFLy8zMzM0aVBqOGNYWDN5QjVPVGsreVlPeDR3Wlk3Rjg0OGFOOFBMeStsZHhFQkVSMGJPQkNUc2lvbnhDaU5OQ2lGUlpsbXNVMThab05CNEJZSGk2a1pHMVhVcUlTYXBWMTN1Z2JJU3J0V01oNjVPRmxIRWw0WFNpdGVPd2RYNStmdGk5ZTdjeVJGV24wK0g0OGVPWVBYdTJrckQ2K09PUDBheFpNNVBrMXBRcFUyQm5aNGNwVTZZQUFDcFdyUGhFNGx1NGNDSFMwOU14Zi81OGZQenh4emgxNnRSRGI5dXhZMGQ4L2ZYWEptVXJWcXdBQUxpN3UrT0ZGMTdBN3QyN2xUcFpsakZ3NEVDVUsxY09pWW1KY0hkM1I2ZE9uZEN2WHorVGZUeXBjeVVpSXFLU2h3azdJcUo4ZCsvZWpYZDBkTHdFb0FhS0xEU1JUeTlKVXFqRmplbFpKMTJJajQ2M2RoQkVKVW5MbGkwUkhCeU1wS1FrQUVCb2FDaWNuSnpRcmwwN2FMVmFJTC9YbmFPakk2cFVxYUpzWjJkbkJ6czdPNU95eDIzLy92M1l0bTBiM25qakRUUnAwZ1JEaHc1RlJrYkdRMjlmZENqczJiTm44ZHR2dnludk5ScU5TZnduVDU3RTlldlg4ZmJiYnlNeE1SRWRPblRBMGFOSE1YTGt5TWQwUmtSRVJQU3NZY0tPaUNoZmZIeDhwcSt2NzJFaFJKdWl5YnI4b1ZLN1RwOCtuV3F0K0lpSVNwTDY5ZXZEd2NFQmh3NGRBZ0RzMjdjUGI3enhocEtzczZiRml4ZWpUcDA2R0R0MkxBREEyOXY3WCswdk1EQVFaY3FVUVU1T2pzWDZ6WnMzdzlQVEU1NmVua0IrRDcxMTY5WWhPanI2WHgrYmlJaUluazFNMkJFUkZTTEw4aFloeEpSaXFyOTd5dUVRRVpWWUdvMEdNMmJNUUY1ZUhnNGZQb3laTTJlaVJvMWlaeHk0ci9uejUyUHo1czBQYkhmMDZGRzBhZFBtdm0zKys5Ly80cFZYWHNGcnI3MkdqaDA3UG5Jc1hicDB3ZFNwVTVYM2UvYnNRVVJFQkVhUEhvMTU4K2FadFU5SVNNQ2hRNGN3YXRRb3BheEdqUnBvMkxBaGxpOWZqdSsrNDU4V0lpSWlNc2VFSFJGUklaR1JrWkcrdnI1bmhCRDFpcXdPbXh3UkVXRStLem9SRVJYcjVaZGZ4b0VEQndBQURSbzBnSU9Ed3ovYVQ4dVdMVkcyYk5saTZ5VkpRa2hJQ0dyVXFLSE1tVmVjbWpWcm9rT0hEa0Qrd2hpUFlzR0NCY2pMeXpNcHM3T3p3MHN2dllTT0hUdGFUTmd0WExnUUxpNHU2Tm16SjQ0ZlA2NlVmL0RCQnhnelpnekN3OFBSb2tXTFI0cURpSWlJbm4xTTJCRVJGU0hMOGxJaHhBTDhieWdzQU95eWFsQkVSQ1hValJzM1VMWnNXU1ZabDVLU0FrbVNBQUFHZ3dIWjJkbTRldldxMGw2bjAwR1NKS1ZNcTlXaWJkdTJhTnUyYmJISE1CZ01DQWtKZ1llSHgzMVhaeTJxUjQ4ZWozUXVLMWFzZ05Gb05DbHIzNzQ5bWpScFlsWU9BQWNQSHNUeDQ4Y3hmUGh3czJUbFN5KzlCQThQRDh5ZE94Yy8vUEFESEIwZEh5a1dJaUlpZXJZeFlVZEVWSVFzeXovTHN2eGZBRTc1NzNNQkhMSjJYRVJFSlZGS1NncnUzcjJyOUNUcjM3OC9idDI2cGRSZnVYSUYyN2R2Tjl1dWUvZnVBQUJQVDAvODlOTlBUelhtNHRqWjJabjFzTk5vTkhCemMwTnFxdWtVcDlldVhjT3NXYk5RdTNadDlPM2IxMnhmS3BVS1k4YU1RVUJBQUtaUG40N0F3TUFuSGo4UkVSR1ZIRXpZRVJFVmtaR1JjZFBWMWZXWUVLSmdYTlU1bzlGNHhzcGhFUkdWU05IUjBkQnF0Wmc4ZVRJMmJ0eUliNy85Rm5xOVhxazNHbzFRcTlYS2UwbVNvRktwbFBkbHlwUjU2akVYeDluWldWbE5OaWNuQjJxMUduWjJkbWJ0c3JLeU1IcjBhT2gwT3N5YU5hdlloVFphdFdxRmQ5NTVCNXMyYmNLTUdUTXdhZElrYURUOGVFNUVSRVNBNmlIYUVCR1ZLa2xKU1hrQVFtVlpsdVI3RTltZHljM052V2p0dUlpSVNwcWNuQnpFeGNWaHlKQWhzTGUzeDR3Wk05Q29VU1A0K3ZyQzE5Y1hpWW1KbURkdkhqdzhQT0RyNjRzeVpjcGc1c3laMEdxMVNwdDY5ZXBaK3pRVVZhdFdWWHJTaFlXRm9VT0hEa2hQVHpkcGs1MmRqWUNBQUp3NWN3WVRKMDZFczdNejJyUnBnelp0Mm1EaXhJa0FnTmRmZngxdDJyVEJtMisraWVIRGg2Tmx5NWJZdm4wN0ZpeFlZSlh6SWlJaUl0dkRoQjBSa1RsSmtxUy9BZHdSUWhnbFNUb2RIeCtmYWUyZ2lJaEttajE3OXNCZ01LQmp4NDRZTjI0Y2podzVnaDA3ZGdENTg3dDk5ZFZYcUZPbkRseGNYQUFBMWF0WGg2T2pJd0lDQW5ENjlHa3JSMi9PeThzTFY2OWVSV1ptSm03ZnZvM2MzRnc0T1RtWnRNbkx5ME5lWGg3R2pCbUQxMTkvSGM3T3poZzJiQmlHRFJ1R1YxOTlGUUF3YU5BZ0RCczJEQU1IRG9TRGd3TVdMbHlJTjk1NEErKy8vNzZWem95SWlJaHNEZnZjRXhGWm9OZnIvM1J3Y0lnQjRBTmdrN1hqSVNJcWFTUkp3c2FORzlHaVJRdTR1N3ZEM2QwZDc3NzdMcG8zYjQ0alI0NWc4dVRKZU9tbGx6QnQyalJsZ1I4bkp5Y0VCd2RqMEtCQkNBZ0l3SklsUzlDZ1FRTnJuNHFpV2JObUFJRGp4NC9qOHVYTGVPNjU1OHlHc0xxNnVtTHQyclhLTU5peVpjdWlkKy9lQUlEUTBGRDg4c3N2Nk5HakI5emMzSlJ0N096c01HWEtsS2Q2TGtSRVJHVGIyTU9PaU1pQzJOallJanVsbUFBQUlBQkpSRUZVRkZtV0l5VkppbzJLaW9xemRqeEVSQ1hOK3ZYcmtaaVlpQTgrK0VBcEd6VnFGS0tpb2pCNjlHaTBhTkVDWDM3NXBjbjhkY2hQZUMxWnNnUk9Uazc0L1BQUGNlYU03VXdoMnFSSkU5U3FWUXNyVjY3RXNXUEgwS1JKRTR2dGlwdXpqb2lJaU9oaDJXUVB1eHBlalY1UXExVzFyUjBIV1o5QnJ6OTMrWHhjZ3JYaktJMnFlVFo0M2s2cnNaMXVEVmFneTVPdXE0Ujh3cU91ZDJkcngySjFJdTlNMHBrelNkWU9nNGhLanJpNE9QajcrNk5WcTFaSzJmWHIxekZqeGd5MGJOa1MzM3p6amNVRkd3Q2dTcFVxV0xwMEtRWU5Hb1NKRXlmaXA1OStNa3ZzV2N2a3laTXhidHc0T0RnNFlOQ2dRVXE1RUFJcWxjcGt3UXdpSWlLaWYwcFlPNENpYW5nMWVrR2pVVytWaGFodTdWaklCc2p5cmJ4Y3VkdlZDOUh4MWc2bE5Lbm0yZUI1T3p1N05SRHdzWFlzVmlYSmtHVVpRczJITHdINXJFRnY3SmVjZVBxY3RXTWhJdHNueTdLY201dUw3T3hzVktoUXdhUXVNaklTRFJvMEtEWlpWMWhpWWlJY0hCeFF2WHJwK2xnb0NzWUlFOUVUNCtQak0wSUk4UTBBSWN2eXFNaklTSzc2UWtRMnhlWjYyS2sxbWhxeVFIVzFTdVZTc1VJRjJObHhTRUZwcE5mcmNmUFdiUmdNQmdjN085UUN3SVRkVTJTbjBsUUQ0Q0VBbHdvVlhGSEd3Y0hhSVpHVjZIUzV1SFg3TmlSWmZsNnQwZFFBd0lRZEVUMFVlM3Q3Mk52Ym01WDcrRHo4ZDBGZVhsNlBPU29pSWlLaWtzSG1FbllGeWprN1krVFF6MUMzTmorb2xVWVhMbDdDVjk4c3hQVWJONndkU3FtbTFXb3grSVArOEd2ZXpOcWhrSldjaW9yR3Q5OHRRZmJkYkd1SFFrUkVSRVJFVkdyWWJNSk9vOUdnYm0wditQcDRXenNVc2dKN2UzdjJyclFCUWdoNGVuanc5N0FVdTVPWkNUV0hCQlBSSTdMRklaMCtQajR2cVZTcTliaTNnbTNmeU1qSVg2MGRFeEVSRVZGeCtCUkdSRVJFUkVSRVJFUmtRNWl3SXlJaUlpSWlJaUlpc2lGTTJCRVJFUkVSRVJFUkVka1FKdXlJaUlpSWlJaUlpSWhzQ0JOMlJFUkVSRVJFUkVSRU5vUUpPeUlpSWlJaUlpSWlJaHZDaEIwUkVSRVJFUkVSRVpFTlljS09pSWlJaUlpSWlJakloakJoUjBSRVJFUkVSRVJFWkVPWXNDTWlJaUlpSWlJaUlySWhUTmdSRVJFUkVSRVJFUkhaRUNic2lJaUlpSWlJaUlpSWJBZ1Rka1JFUkVSRVJFUkVSRGFFQ1RzaUlpSWlJaUlpSWlJYndvUWRFUkVSRVJFUkVSR1JEV0hDam9pSWlJaUlpSWlJeUlZd1lVZEVSRVJFUkVSRVJHUkRtTEFqSWlJaUlpSWlJaUt5SVV6WUVSRVJFUkVSRVJFUjJSQW03SWlJaUlpSWlJaUlpR3dJRTNZMjVMZmZmc09tVFpzZTJDNHJLd3ZUcDAvSDNyMTdIL2tZa2lRaE56Y1hzaXovd3lpSm5qMUpTVW5ZdUhFampFYmpZOW1mWHE5L0xQc2hJaUlpSWlLaTBva0pPeHRRa0R3N2NlSUVkdTNhQlFESXlja3hhUk1YRjRkMTY5WWhLeXNMWmN1V3hlSERoeEVXRnZiSXg5cTdkeTlhdDI2TjA2ZFBQNmJvaVVxKzZPaG9CQVlHd21Bdy9PdDlIVGh3QUYyN2RrVktTc3BqaVkySWlJaUlpSWhLSDQyMUF5aEpqaDgvamwyN2RpRXlNaEszYnQyQ1dxMUdoUW9WVUx0MmJYVHExQW12dlBLS1NmdHUzYm9oTlRYVjRyNk9IajBLUjBkSEhEMTZGSXNYTDhhR0RSdE02aWRQbm96YzNGd0VCUVVCQUhidjNvMmZmdm9KUFh2MmhCQUM5ZXJWdzltelo1L2cyVDV6aEkrUGoxZGVYdDYxMk5qWUxHc0hRMC9XNmRPbmNlZk9IYk55UjBkSCtQajRQUEwrVWxKU0xQYWFFMEtnZXZYcUptWE5temRIYm00dUZpNWNpRGx6NWp6eXNZaUlpSWlJaUlpWXNIc0k2ZW5wbURScEVrNmNPQUVBcUZxMUtobzBhQUNEd1lBclY2NGdORFFVeDQ4Zk4wdllwYWVubzBLRkNoWVRCR3ExR2dEZzd1Nk9oSVFFbkRselJxbVRKQWwvL2ZVWDNuNzdiYVhzanovK2dJK1BEeHdjSEFBQXJWcTF3dUxGaTVHY25Jd2FOV29VRzN0Y1hCeUNnb0l3WThZTXVMbTVXVHkzNmRPblkrVElrYWhacytZL3VqNDJTdTNqNCtNTW9CS0Fia0tJOTRRUWRiVmE3WXNBL3JaMmNQUmtMVnk0RUtkT25USXI5L1QweEpkZmZtbld3elE2T2hvQXNHUEhEdVYzRXdEczdPenc2cXV2WXVqUW9UaC8vcnpaL3JSYUxaWXZYNDdZMkZpVGNpOHZMMGlTaEkwYk41cVVkK2pRQVpVclYvN1g1MGRFUkVSRVJFVFBOaWJzSGlBckt3dURCZzFDVWxJU1dyUm9nVkdqUnFGT25Ub21iUzVjdUlBZE8zYVlsT2wwT3VUbTVxSmR1M2FZTzNkdXNmdjM4dkpDcFVxVmNQandZYVVzT2pvYW1abVo2TlNwRXdBZ0ppWUdTVWxKZVBmZGQ1VTIzYnAxdytMRmk3RjE2MVlNSFRyVTRyN1BuajJMenovL0hMSXNJeTB0eldMQzd0cTFhNGlPanNiNzc3K1B3TUJBdEd6WjhoR3VqdTN4OXZhdXJ0Rm9XZ0x3azJYWkQwQVRJWVFMN2cwOXpyWjJmUFIweko0OUc3bTV1VGh5NUFqbXo1K1BOV3ZXb0h6NTh0QnF0ZGkvZno4V0xseW9KTDhCS0hQWGZmdnR0MHFad1dDQW01c2JYbjMxVlV5ZE9oVjM3OTdGN2R1M01XblNKQXdZTUFDdFdyV0NTcVhDaVJNbnNIcjFhck1ZRWhJUzhQdnZ2NXVVMWFsVGh3azdJcUtud052YnU2NUtwZXBhdUV3STRRWEFNZi8xV3o0K1BrMEsxMHVTdERjNk9qcithY2RLUkU5ZS9mcjFhMm8wbWphRnkyUlpibnJ2ZGlDRUxNdE5HemR1M0s5d2ZWNWUzdkg0K1BnTFR6MVlJcUo4VE5nOXdPelpzNUdVbElRdVhicGcxcXhaSnIxdkN0U3FWUXZEaGcwektVdFBUd2NBdUxxNlB2QVlmbjUrK1BYWFg5R3NXVE1Bd0tGRGgxQ3RXalhVcjE4ZkFMQnUzVG80T0RpZ1M1Y3V5alpWcTFhRnY3OC8xcTFiaHpmZmZOTnNXTjZaTTJjUUVCQUFXWmF4Wk1rUzFLdFh6K0t4NjlldmoxV3JWbUhJa0NFWU1tUUlKa3lZZ0RmZmZQT2hybzJ0YU5DZ2daMVdxKzJzVXFuZUJkQlVsdVZLQU1vTElZck8wU2lyVkNxdXRsRUtGQ1RGenAwN0IyOXZielJxMU1pazNzSEJBY2VPSFZQZWI5KytIVE5tek1EaHc0ZGhiMjhQQVBqeXl5K1Zubk9OR3pkVzJnSEFXMis5cGZ6T3RXalJBaDk5OUJGR2pCZ0JWMWRYVEpzMlRkbHZiR3dzaGd3WmdnVUxGc0RiMi91Sm56Y1JFZDJqMVdvTnNpd3ZLSzVlQ0RGRUNHRlNwbGFydlo1R2JFVDA5R2swR2wrTlJ2Ti94ZFdyVktyK0twV3FmNUhpZHdBd1lVZEVWc05GSis0aklTRUIrL2Z2UjhXS0ZURjE2bFNMeWJyaVBFckNybnYzN3ZqNDQ0K1Y5NjFidDFiZXg4VEVZUC8rL1hqbm5YZFF0bXhaaysxR2pCZ0JTWkl3YytaTWs4bnlqeDQ5aXNHREIwT1NKQ3hac2tSSi9CV25aczJhV0wxNk5XclZxb1gvL3ZlLytQNzc3eC82UEszQnc4UER3ZHZidTNMRGhnM2IrUHI2QmpzNE9GeFZxOVU3aEJCOUFOUUI0QXBBSmNzeUN2N2xFNUlraWZ2dm5aNFZraVRoMkxGamVQbmxsLy9SOWpkdTNJQ0xpNHRKMmI1OSsxQzllbld6QlBuTm16ZHg3Tmd4czZUY3dZTUhvZGZyMGFCQmczOFVBeEVSL1ROLy9mWFhPVW1TSHJnNlY4Rm5CRW1Td3Y3NjY2OXpUeU0ySW5yNlltSmlkZ0RJRTBMZ1lmN0pzcXlQaVluNXhkcHhFMUhweGg1MjkxRXdUUFgxMTE4M0dUNzNNREl5TW9EOHVlZFNVMVBoNk9nSUx5OHZkT3pZRWM3T3prcTdncFVrWFZ4Y2NQMzZkV1JsWlVHcjFjTGQzUjJYTDEvRzFLbFQ0ZXpzakE4KytNRHNHQjRlSGhnMGFCQ1dMVnVHcVZPbll2YnMyZGl6WncrbVRadUd5cFVySXlnb0NMVnExWHFvZUN0V3JJaGx5NWJoODg4L3g3Smx5K0RxNm9wZXZYbzkwamsvWVJwdmIrOW1LcFdxblJDaUVZRG1hclc2dGhCQ1d5Z2haNkxnbS9OQzlSb2h4S3MrUGo1TmhCQ0ZONUlMYlNQajNoQkpzN0tpcnkxdFYxQmVNTVR5WWRvWGV2MlB0OFAvaG5VK1ZOdkNaUWFEd2F6dDNWeTVSbDRKNzR2NDU1OS9JaTB0RFMrKytDTHUzcjBMQUVydnVZY3hhOVlzU0pLa3ZFOUtTc0tKRXlmdytlZWZtN1hkdEdrVEpFbENkdmIvUmwzbjVlVmgyN1p0cUZXckZqUWEzbXFKaUo0MkljUzYvQ2t5Q3Q2YjFCZisvSkRmbG9pZVhVWkpra0xWYW5XWDRwNGRDdVRmSzQ0RE1OeTNJUkhSRThhbnlQdUlpNHNEN3MyRDhzamJGdlN3aTRtSlFVeE1qRkkrZi81OHpKdzVFKzNidHdjQVpUNnR3ajc1NUJNQXdMdnZ2b3ZidDI5ajRzU0pLRisrdk1YamZQenh4MGhPVG9hVGt4T01SaU1hTldxRUprMmE0TXN2djN6a3ViSmNYRnl3Yk5reUxGNjhHTjI3ZDMva2MzNHlaSlMxVTNWdTJyVHBHRm1XNndDb2twOTRFMFY2endFV1Bvd1hZU2VFbUNLRU1EN29xQThZT210V1Z5Z09PWDk3aXhzV1NjU1o3ZVlCdlRqbHd1ZGI5TnovYWN3YWpjYXNyb3lkZEVhZlY3Sjc0RzdidGcwQVRCTFB5NVl0QS9Mbm1PemE5WDlURytsME9pQS9PVi9BM3Q1ZTJRY0FMRjI2VkNuZnQyOGZBS0J0MjdiSXljbkJ1blhyNE9MaWdvVUxGOExEd3dOdDI3YkZoZzBia0o2ZWp2VDBkTXlhTlFzVEowNThwRjY2UkVUMDcrajErbC90N094dUFxajRnS1kzOVhyOXIwOHBMQ0t5RXFQUkdLUlNxWlE1aG9wTDRzdXlES1BSYUQ1Qk1SSFJVOGFFM1gwVUpOMktEb3NEZ0Q1OStpQWhJY0drYk1HQ0JmRDM5d2NBdEd2WERyLzk5aHNjSEJ5UW01dUxTNWN1WWRPbVRkaStmVHZHamgyTGpSczN3c1BEQTIrKytTWTZkT2dBU1pJd1lNQUFWS3RXRFlHQmdVQityN2N1WGJvZ0xpNE9QLy84YzdGeGZ2YlpaNmhXclJvQTRQbm5uMGRJU0VpeGJWOTg4VVdFaElUQTA5UFRZcjJ6c3pQR2p4Ly9VTmZuNlpHRUxBc0hBSFlBSkZoSVZ0MVA0VC9HUW9oY1daWUxmMXYycUVOa0xiWXZKbEg0S1BzV0Q5RmU1SGZSZnl3eEY3QndMWVVRS2cxa3lmSUdKY0MxYTlkdzRNQUJPRGc0WU1PR0RkRHBkT2pUcDQ5U3I5VnEwYWRQSDN6MzNYZm8wYU1IYXRldWJiTDlqaDA3a0pxYXFydy9kZW9VRGh3NEFMVmFqU1ZMbGtDV1plVG01bUx6NXMxWXRHZ1I4dkx5c0diTkdtemR1aFhqeDQvSHpKa3pzWHo1Y2pSdjNoenZ2ZmNlSmt5WWdKeWNuR0xud1NRaW9zZFBxOVZlazJVNVhBalJ0ZUJMdnFLOTcvUC9yb1pydGRwclZnNlhpSjR3bzlFWW85VnE3d2doeXQxdmhJNHN5M2VNUm1QRVV3K1FpS2dJSnV6dW8yQVliT0ZoYmdWOGZIeVVWVmZQblR1SDY5ZXZtOVNYS1ZOR2VhM1JhRkMvZm4xTW16WU5HbzBHVzdac3djOC8vNHpSbzBmRDJka1p6czdPaUlpSVFGWldGbVJaUm54OHZETHZWbDVlSGtKQ1FxRFg2NUdlbm80S0ZTb29EL3dHZ3dHM2I5OUdVRkNRa3JCN2tPUEhqMlBLbENrSUNRbUJyNi92djdnNlQ0dEFkcDY4NysrWWlGR05HaldxcDlGbzJnZ2htZ2toV2dLb0Q2Qk1jYjNPQ244b3ozK2RJMG5TQUZtV0UvUExSYUh0aEoyZG5WbFp3ZXZDYzk5WmFxUFZhdTliZjcvWEdvM21vZHMvNm5ZRnlickNaV3ExK3I1dEFlQnVydkY1R1dJbVNxaVFrQkFZalVab3RWclVxRkZER1JLTC9OK2JzbVhMNG9NUFBzQ21UWnZnN3U2T2Z2Myt0eWlZTE10WXMyWU4vUHo4QUFDWm1abVlNbVVLQU9DVlYxN0JqQmt6RUJzYmkvNzkrK1B2di8vR3NXUEhNSGJzV0hoNmVtTGt5SkY0N3JubkVCNGVEa2RIUjh5YU5RdVZLMWZHOHVYTE1YejRjSVNGaGFGMTY5Wld1Q0pFUktWUFJFVEVyYVpObTRZQitBK0E0cjR0TVFnaHdrNmRPblhyS1lkSFJFK1pFT0lhZ0xPeUxEZUg2VE9DU2U4NkFBazNiOTVNdU8vT2lJaWVBaWJzN3FNZ0NaYVFrSUJXclZxWjFCWHVoVFp6NWt5VG9YUDM4OXBycjJITGxpMUlURXcwS2QrOGVUTUE0TmF0VzVnOGVUSnljM1B4NnF1dnd0ZlhGM3YzN3NXdVhic3dkZXBVckZtelJva3JPam9hQXdjT2ZPVDU5VW9vK2ZUcDAzRUE0cXBYci81L0xpNHVibHF0MWhQQVd3RGVFa0pVUTVHRW5ZVnZ6bVJabGk5R1JVV2RmY3F4bHpnZVh0NnRvSG5Vam55MjRjS0ZDOWkyYlJ2OC9mMFJIaDV1VnArVmxRVW5KeWNBUVBQbXpmSHJyNythTFBweTVNZ1JwS1dsNFQvLytRK1FuN0FEQUM4djg4VURHelpzaUsxYnQ4TGQzUjNJVHhMMzd0MGJzMmZQeHZqeDQ1Vmg2ZlhyMThldVhidWcxV3FmMEZrVEVaRUZSa21Td2xVcVZUYUFjc1cwU1pja0tSekFBNmZMSUtLU0xUWTJOcy9IeCtlWUVLTFovVWFneUxMOGUycHFxbm1QRFNLaXA0d0p1L3Z3OC9QRHRtM2JzR2ZQSHZUdlgzU1Y3My9HMGRIUnJDd2xKUVVIRGh5QWo0OFBEQVlEK3Zmdmo5bXpaNk5PblRyS1VMMmtwQ1FJSVZDaFFnVmx1N3k4UEtCUVQ4QUNseTlmeHQ2OWV5MGUvK3paZTdtcVhidDI0YSsvL3JMWTVzMDMzMFRGaWcrYTdzVjZMbCsrbkhQNTh1VmtBTWtBZmdQd2hhK3Y3OHRDaUlFQVd1ZDNjeThyaEZDaHlQeHlENWpualo0Qk5XclV3SUFCQTFDblRoMkxDYnZzN0d4bHhlV3VYYnRpNk5DaGlJbUpRZVBHalNGSkVwWXZYNDVxMWFvcDgweFdxMVlOR3pac3dJUUpFeXdlcnlCWlY5aVdMVnZNRm54aHNvNkk2T2tUUXB5VVpUbXpJR0ZuNGN1OE5DSEVTYXNFUjBSUG5TUko2OVZxOWVjQXRMQjhUNUNNUnVOR3F3UkhSRlFFRTNiMzBiRmpSMVNwVWdYeDhmSDQ4Y2NmOGQ1NzcvM3JmUllreVY1NDRRV2xMRGc0R043ZTN2RHk4a0pzYkN6ZWZmZGRIRGx5QkFrSkNVckNMaVltQmg0ZUhpYkp1ZHpjWEtESThGc0F1SExsQ2xhdFdtWHgrQVdya083ZXZidllCUnJhdDI5djB3azdDL1FSRVJGN0FPeng5dmF1ckZhcld3Rm9sYjh5bkM4QWw0STU0Z29QYmFWbmswYWp3YkJodzVTRklZcTZlUEdpMGt1MVZhdFdxRldyRmhZdFdvVHZ2LzhlNjlldlIxeGNIQUlEQTAzbW1pdThzbk5oWjg2Y3didnZ2bXV4YnVIQ2hWaThlTEZKMlp0dnZvblJvMGYvaTdNaklxSkhFUkVSY2NQWDEvZVFFR0tBcFlXcVpGbitOU0lpNG9iVkFpU2lweW82T2pyTTE5YzNSUWhSbzVoN3dxMlltSmpqVmd1UWlLZ1FKdXp1UTZ2Vll0cTBhUmd5WkFpKy9mWmJwS1NrNE1NUFB6VHA1WmFSa1lHVWxCU3piY1BEdzFHdlhqMlRCLzNvNkdnc1diSUVRZ2k4OGNZYkFJQ1RKMDlpMTY1ZFdMaHdJWTRkT3dia3J6RDYvZmZmS3dtMXBLUWtoSWVIWThDQUFTYkh5TW5KQVN3azdQejgvSlI5RmJWNzkyNU1tVElGaXhjdkxpRnoyRDJhNk9qbzZ3QzJBOWpkcUZHamltcTF1cHBLcGVvc3kvSTdRb2phRDdFTGVzYkZ4OGNyYzlhcFZDb01IVG9VbzBhTnd1VEprM0hnd0FGMDZ0UUpuVHAxZXFoOVZhbFNCU05IampRcm56Tm5EbDU2NlNXMGFOSENwTHh3b3A2SWlKNE9TWkpXcTlYcUFjVlVyMy9LNFJDUmxjbXkvS01Rd3VMUUNWbVcvKy9wUjBSRVpCa1RkZy9nNStlSGVmUG1ZZkxreVZpL2ZqMDJiTmlBV3JWcW9YejU4a2hQVDBkeWNqSU1CZ1BVYXJVeUx4WUE3TisvSHlOR2pFQ3paczNnNnVxS3k1Y3ZJekl5RWdBd1pzd1lwZWZjNzcvL2pvNGRPNkp0MjdZbVNiYkNFNkFHQlFWQm85R2dkKy9lSnJFVkxJWmhhWmd0d1hENjlPbFVBS2tBSWdBRU5tN2N1RzVlWHQ0VmF3ZEdUNDlPcHpPWmYvTDA2ZE80YytjTzZ0ZXZyNVMxYjk4ZWJkcTB3ZDY5ZStIcTZvcHAwNlk5OVA1ZFhWM3g5dHR2bTVYUG1UTUhUWm8wc1ZoSFJFUlBWMVJVVktpdnIrOVZJVVMxSXF2RFhvMklpRGhpN2ZpSTZPbTZjdVhLbDg4OTk5eDRVV1M0a1NSSjhxVkxsNlphTHpJaUlsTk0yRDJFOXUzYlkvdjI3ZGk0Y1NOKy8vMTNKQ2NuNCtMRmkzQnlja0tqUm8zUXNtVkxkTy9lM1dTbDFuYnQydUhzMmJPSWlJaUFUcWREdVhMbDBMNTllL1R2Mzkra1oxdS9mdjJnMFJUL1l3Z09Ea1pvYUNnQ0FnSlF0V3BWazdyVTFGUm9OQm9tN0I2T0hCTVRjOGJhUWREVFpXZG5oMisrK1VaNS84c3Z2NkJjdVhMS0NyQzV1Ym40N3J2dmNPellNWlF0V3hhM2I5L0cwS0ZETVhIaVJJdUxUT3pac3djSER4NjBOTjhKRVJIWk1GbVcvMDhJTVFhRnZoUUZzTUdxUVJHUlZkeTRjU09yZXZYcTBVS0lKa1ZXaWoxNzY5YXRPOWFPajRpb0FCTjJEOG5WMVJXZmZ2b3BQdjMwMDRkcTcrL3ZEMzkvL3dlMks1cUVLM0R0MmpYTW5qMGJ4NDhmUjgrZVBURnc0RUFZREFZRUJ3ZWpZc1dLTUJxTjJMaHhJK3JYcjI4eTExYWZQbjJRbkp4YzdQRUs1ckFMQ0Fnb2RnNDdBUEQwOU1RUFAvend3UGlKYkpXYm14dGF0MjZOMXExYkF3RE9uVHVISTBlTzRNMDMzd1FBYk51MkRTdFhyc1RseTVmUnAwOGZEQjA2RkQvOTlCTVdMMTZNUG4zNm9FV0xGdWpldlRzNmQrNnNKTlY5ZlgzUnAwOGZYTDU4R1FzV0xMRHErUkVSMGNPVEpHbUhTcVVhQ3FCZ01tQmQvaFFhUkZRS1NaSzBWS1ZTTFNsNEw4c3laRmxlWjkyb2lJaE1NV0Zub3pRYURUSXpNekY1OG1RbHdhRFJhSER3NEVGY3VYSnZWR2ZObWpVeGR1eFlrKzFlZi8xMTNMbno3NzhZY25WMS9kZjdJTEttWnMyYW9WbXpac3I3bjMvK0dRNE9EdWpmdnovNjlPbURwS1FrMUs1ZEcwRkJRWGp4eFJjQkFQMzc5NGUvdno5V3JseUpmZnYyUWExVzQ1VlhYbEgyVWJWcVZYVG8wQUZ4Y1hGUXFWUldPUzhpSW5wMFFvanpzaXhIQ3lGYTR0N0RlWXdrU1luV2pvdUlyRU9uMDRXV0xWdFdWeWlKbjJzd0dBNVpPU3dpSWhOTTJObVFjZVBHS2E4clZhcUVOV3ZXbUxYWnZuMTd3VGRBRmhNR2ZmdjJmZUp4RXBWRXc0Y1BSN3QyN2ZEY2M4OWh4SWdSeU12TFE4ZU9IYzE2bW5wNGVHRG16SmtJQ0FpQXZiMjlVaDhVRktTMHFWKy9Qc0xEdzRzOVZzRnEwRVJFWkJzeU1qSnV1cmk0aEFOb2dYc0p2UENNakl5YjFvNkxpS3pqNXMyYlY4dVVLWE5KQ0ZFSDk1TDRGMi9ldkhuVzJuRVJFUlhHTGlJbGtCQ0N2WHVJSHBHRGc0UFNrODdmM3grZE9uVzY3N0R3S2xXcXdNWEY1U2xHU0VSRVQwcFNVcElPUUt3UVFpZUV5SlVrS1RhL2pJaEtvYlMwdEV4Smt1SUtQZ3RLa2hTWGtwSnl3OXB4RVJFVnhxd1BFUkVSRVQzelpGaytDT0NhTE12WGpFWWpoNzRSbFhKQ2lQV3lMQnNCeUVLSW42MGREeEZSVVV6WUVSRVJFZEV6THlvcUtnRkFISUM0bUpnWURuMGpLdVdpb3FLMkFNaVVaVGtuS2lwcWs3WGpJU0lxaW5QWUVSRVJFWlVDTmJ3YXZhQldxMnBiT3c1cnl0RWIvd1lBajdyZW5hMGRpelVaOVBwemw4L0hKVmc3RHJJdTNoTUFnOEVZSlZUQzNxT3VkMGRyeDJKTnBmV2VVTTJ6d2ZOMldrMERhOGRCTmtMa25VazZjeWJKMm1FVXhvUWRFUkVSMFRPdWhsZWpGelFhOVZaWmlPcldqc1dhY2d3eVpBa1FLdFhIMW83Rm1qUjJkcmVxMWZMdWR2VkNkTHkxWXlIcjREM2huaXk5ZkcvRW1VcTEzdHF4V0ZOcHZDZFU4Mnp3dkoyZDNSb0krRmc3RnJJTkF2Wm5hM2cxNnBlY2VQcWN0V01wd0lRZEVSRVIwVE5PcmRIVWtBV3FxMVVxbDRvVktzRE9UbXZ0a01nSzlIbzlidDY2RFlQQjRHQm5oMW9BU3MzRE9abmlQWUZReXU4SmRpcE5OUUFlQW5DcFVNRVZaUndjckIwU1dZbE9sNHRidDI5RGt1WG4xUnBORFFCTTJCRVJFUkhSMDFYTzJSa2poMzZHdXJXOXJCMEtXY0dGaTVmdzFUY0xjZjBHRjhPa2UzaFBLTjE0VHdDMFdpMEdmOUFmZnMyYldUc1VzcEpUVWRINDlyc2x5TDZiYmUxUXpEQmhSMFJFUkZSS2FEUWExSzN0QlY4ZmIydUhRbFpnYjIvUG5sUmtndmVFMG8zM0JFQUlBVThQRC80T2xHSjNNak9oVnR2bWVxeTJHUlVSRVJFUkVSRVJFVkVweFlRZEVSRVJFUkVSRVJHUkRXSENqb2lJaUlpSWlJaUl5SVl3WVVkRVJFUkVSRVJFUkdSRG1MQWpJaUlpSWlJaUlpS3lJVXpZRVJFUkVSRVJFUkVSMlJBbTdJaUlpSWlJaUlpSWlHd0lFM1pFUkVSRVJFUkVSRVEyaEFrN0lpSWlJaUlpSWlJaUc4S0VIUkVSRVJFUkVSRVJrUTFod282SWlJaUlpSWlJaU1pR2FLd2RRSEVNUmdNdVhMd0VlM3Q3YTRkQ1ZuRHVRaEwwZXIyMXd5ajFaRmxHOHVVcmlJMkx0M1lvWkNVWGt5OURNa3JXRG9PSWlJaUlpS2hVc2RtRVhXWm1KdVl2Q29hREF4TjJwVkZ1Ymg1dTNiNXQ3VEJLUFlOQmo1RFZQMkQ5VDV1dEhRcFp5ZDI3T2NqUjVWZzdEQ0lpSWlJaW9sTEY1aEoya2tGL1hhM1YzakVZakE1WHJsNjFkamhrWlFJaUswODJYTE4ySEtXTlFUYW1hU0J1U1JLcXBxU21XanNjcTVCbEdhTGdOUUFoeEFPMmVPYWxTd2I5ZFdzSFFVUkVSRVJFVkJyWVhNTHVVdUxmOFI1ZTNyMmhVbFcxZGl4a2ZaTEtjUDNLMmI5UFd6dU8wdWJ5dWIvUDEvUnFNbGlvUkUxcngySXQ5aHBVZDlDSWZpcVYwR2JuR1RmcURTTFIyakZaazZReUpsOUsvSnRqbzRtSWlJaUlpSjRDbTB2WUFUQW1KVWFmc0hZUVJLV2NkREV4S2dKQWhMVURzUlp2YjI4L2pVWTlTWlpsQjJjSFRjeXBVNmYyV1RzbUlpSWlJaUlpS2gyNFNpd1JFUkVSRVJFUkVaRU5zY1VlZGtSRVJFUkVWRUxKc2l4Yk80YVNUSERpWENJaVlnODdJaUlpSWlJaUlpSWkyOEtFSFJFUkVSRVJFUkVSa1ExaHdvNklpSWlJbmdsWldWbElUazZHVHFlemRpaEVSRVFsaGl6THVIVHAwbVBmNTZsVHB4N3JQa3NiSnV5SWlJaUk2Smt3Yk5nd3ZQSEdHNGlJZVBoRnpuLysrV2NzWGJyVVlwM0JZQ2oySHowN2twT1RrWk9UODFqMkZSOGZqNlZMbHlJbEpjV3NUcWZUWWZMa3lZaUppWGtzeHlKVGt5Wk53czZkTzgzSzE2OWZqemx6NWp4dysySERoaUVvS01pc1BETXpFenQyN01DZ1FZTncrUERoeHhZdmtTMEpDUWxCMzc1OWNmNzgrUWUydlg3OU9qNzk5Rk9jT1hQbXZ1MUNRMFB4MFVjZjRlREJnNDh4MHRLRmkwNFFFUkVSa1UxYnVYSWxzck96TVhUbzBHTGI3TjY5RzFGUlVhaFNwUXErL3ZwcnJGKy9IdmIyOW1idFRwNDhpYU5IaitLTEw3NEFBSnc3ZHc3Snlja3dHQXlJaW9yQy92MzdFUjRlanFWTGwrS1ZWMTY1Ny9HcVZLbnltTTZ3NUtwZnYzNU5BSGx4Y1hIWEh0UTJJeU1ESTBlT3hJUUpFMUM3ZG0yVHV1blRwOFBiMnhzOWUvWXNkdnZjM0Z5ODhjWWJHRHQyTERwMDZHQlNkKzNhTmV6YnR3OTc5dXpCb2tXTEh1bG5NM3IwYU9UbTVtTHIxcTBQdlUxeDl1L2ZqOVdyVjZOang0Nm9XcldxU1oxZXI4ZWVQWHZnNysrUHhvMGIvK3RqbFZZWkdSbll1M2V2V2ZuSmt5ZVJuWjJON094c2svTFEwRkNrcEtSZzQ4YU5adHQwN2RvVjVjdVh4OTI3ZHhFV0ZvYTJiZHNxZFRkdTNNQzRjZU1RRXhNREp5Y25kT3JVQ1ZXcVZFSEhqaDB0eGpWa3lKRDcvditsZjgvRHc4UEJ5Y21wMXVuVHArTUJTTmFPNTBtNWVQRWlmdnp4UjV3OGVWSkovcnU0dUtCaHc0YVlPblVxWEZ4Y2xMWVJFUkZZdlhvMW9xT2pjZmZ1WFZTdFdoVWRPM2JFNE1HRFViWnMyWWMrWnQrK2ZiRnQyelo4K2VXWENBa0p1VzliblU2SGE5ZXU0Y01QUDhUMDZkUFJ1WE5uaSswNmRPaUF1blhyWXZ2MjdYajU1WmNmT2hiNkh5YnNpSWlJaU1pbVhieDRFVHQzN3NUTm16Y3hkZXBVcUZTbWcwU1NrNVB4OWRkZm8zUG56dmprazAvUXQyOWZmUHZ0dHhnL2Zyelp2bEpTVXJCdTNUcTg5dHBycUZ1M0xnRGc5T25UNk5TcEU3S3pzK0hqNDRNK2ZmckEwZEVSd2NIQlp0c3ZXN1lNRnk5ZWhMT3o4eE04WTV1bDl2THlLdXZvNkZoUkNQRWZJY1FBSVlTUEpFa2ZBdGhVdUdGQ1FvTFpVS2pzN0d4RVJVVmgrL2J0cUY2OXVrbmRpUk1ua0phV0JyMWViMUp1YjIrUE45NTRBd0J3NnRRcFhMOStIYzgvLzd4U0h4WVdoc0RBUUNRbEphRjY5ZXJvMHFVTElpTWo4ZFZYWDFrOGdlWExsK09GRjE1UTNzZkd4aUl4TVJFOWUvYkUxYXRYSCtsaXVMaTR3TkhSMGFUelNjdWJBQUFnQUVsRVFWVHM5OTkvaDRlSEIrclVxZk5JKzZLSGw1NmVqclZyMTVxVloyUmtJQ0lpQWdrSkNTYmxkKzdjZ1Y2dnQ3aE5xMWF0VUw1OGVmejU1NTh3R0F5b1ZLa1NFaE1UQVFBNU9UbUlpb3JDMTE5L2pYYnQya0dqMFVDV1pZd1lNUUtyVjY5RzVjcVYwYTFiTndEQXdvVUxuOWo1MHYrVUsxZk9UYVBSSFBmMTlVMlVaZmxIbFVxMVU1S2t0TWpJeUV3QVJtdkg5emdjT1hJRVk4ZU9oVjZ2UjhXS0ZkRzRjV1BjdlhzWFY2NWN3VysvL1liMDlIUWxZWGZnd0FGTW1EQUJ6czdPYU5HaUJkUnFOU0lpSXJCMjdWb2NQMzRjcTFhdFFwa3laWlI5TDFxMENHdldyTG52OGE5ZHU0Wm16Wm9WV3g4Y0hBdy9QeitzV2JNR1E0WU13WVFKRTNEbnpoMzgvUFBQU0U1T05tdHZNQmh3OGVKRnRHblR4cXh1MEtCQitQREREeC94Q3BVdVROZ1JFUkVSa1UyYk9uV3FNaXhOa2lSTW56NWRTZHBsWm1aaXhJZ1JzTGUzeDVneFkxQ2hRZ1VNR3pZTTgrYk5RNlZLbFRCbzBDQ1RmWFh0MmhYZmZmY2RWcTFhaGJsejV3TDNIZ0lSRUJBQVB6OC91TGk0WVAzNjlkRHBkR2pac2lWKytlVVg5T2pSQXhxTkJrZVBIa1ZVVkJUbXo1OXZscWg1bGpWcTFLaUtScU5wcFZLcFdzaXk3Q2VFOEFWUU1iL2E0b1NCOGZIeFpna1NTYnJYSVdiZnZuM1FhclVtZGJkdjMwWk1UQXd1WExoZ1VsNitmSGtsWVhmOCtIRTRPVGxCbG1VbHFaS1VsSVE3ZCs1Z3c0WU5TcSs5dExRMGpCZ3hBak5tek1BNzc3eUQrdlhySXlNakF3c1dMSUJHWS9yNFUvRHd1bVhMRm16WnN1V1Jyc3UwYWRQUW8wY1A1ZjI1YytlUW1KaUl6ei8vL0pIMlE0K21aczJhMkxWcmwxbDV6NTQ5MGExYk53d2VQTmlrZk42OGVZaU5qY1hLbFN1TDNlZng0OGVCL042V0JRcDY0VFpzMkJBWExseEFXbG9hWG56eFJmVG8wUU1iTjI1RWd3WU5sSjkvY0hDd3hSNjk5RVNvaEJETkFEU1ZaWG1hRUNMUzE5YzNUSmJsRTJxMU91eXZ2LzU2WUc5Zlc1V2JtNHRwMDZaQnI5ZGozTGh4ZVB2dHQ1Vy9kVWFqRWFHaG9TWmZGaVVrSkdEQWdBSDQ1Sk5QbFA5L09wME9YM3p4QlU2Y09JSE5temZqdmZmZU16bEcyYkpsbGI5OWhSbU5ScWpWYXBPeXJLd3NPRGs1bVpRVmZOSGw0dUtDWmN1V0lUQXdFUDcrL3FoV3JScnUzcjJMaUlnSTJOdmJvMEdEQmtCK0Q4QWFOV3JBemMzTjdKaWVucDcvNG1xVkRrellFUkVSRVpGTlU2dlZtRHQzTG9ZT0hZb2JOMjVBcDlQQjBkRVJLU2twR0Q1OE9LNWZ2NDRWSzFZbzdmdjI3WXRMbHk0aE9EZ1lPVGs1K095eno1UUhFVHM3Ty9UbzBRTnIxNjdGdFd2M251dWVlKzQ1ZE9uU1JkbCt4WW9WcUYyN052THk4aEFVRklTalI0OWkvUGp4bURGakJ0NSsrMjIwYjkvZUNsZmhxVk43ZTN2L1I2VlM5VmFwVkMvS3Nsd0pRSGtoaExwSU8xa0lJUmZkK0xYWFhzTnJyNzFtVXBhV2xvWXVYYnJncTYrK2dxK3ZyMGxkbno1OTRPL3ZqNENBZ0dJRE9uNzhPTEt5c3RDN2QyK2w3SXN2dm9Dam95TnExNjZOdzRjUG8wNmRPcWhldlRvNmRlcUVHVE5td04vZkg2MWJ0MFp5Y2pJV0xGaGdrbFE1Zi80OERoMDZoTTZkTzZOZnYzNlBmSUdLOWhMY3VuVXIxR28xWG4vOWRVUkVSTUJvTk8zd1V6QlAzdm56NS9Ibm4zK2E3ZS81NTU5SDVjcVZIem1PMGl3dUxrNlpLTDlObXpiUWFEVFl0MitmU1JzWEZ4YzBhZElFKy9idFE4V0tGZEc4ZVhPVGVvUEJnQU1IRG1EQWdBSDQ2S09QRUJrWmlSRWpScUJXclZwS200aUlDQ3hmdmh5Yk4yOUd1WExsa0pLU2drcVZLaW4xT3AwT0RnNE9UL3g4Q1pCbFdRZ2hJSVFRQUZ3QXZDVExjanNoUkxvc3l6ZDhmWDFQeXJMOFExNWUzbSt4c2JGNTFvNzNVWnc5ZXhaMzd0eEI3ZHExOGM0Nzc1alVxZFZxczJHbGZmdjJoYXVycTBtWmc0TURCZzhlakJNblRpQXlNdElzWWFmUmFOQzZkV3VrcGFWaDZkS2xlTys5OStEaDRZRkpreVloTlRWVkdRNmJrcEtDM3IxN28zUG56aGcyYkpqRlh1Vmx5NWJGakJrekFFQ1poaUFvS0FpTkd6Zkd5eSsvREoxT2gyblRwdUhkZDk5Rm56NTlIdE5WS2wyWXNDTWlJaUlpbTJkblo0Y0ZDeFpBcTlWQ285RWdMQ3dNa3lkUGhsNnZ4NkpGaXhBVEU0TkZpeFpoN2RxMXFGbXpKc2FNR1lPOHZEeXNXclVLVVZGUm1EaHhvdklBM3IxN2Q2eGV2Um9IRHg1RTFhcFZzV1BIRG16YXRBbGx5NVpGUkVRRWNuSnkwTEJoUTVRcFV3YkxsaTNEcDU5K2lyZmZmaHVWSzFmR3lKRWpyWDBwbmdndkx5OTdaMmZuY2thajBWT3RWcjhEWUlBUXdxUkxoQ3liNXVYdVBTOUR5TElzN3JmdlAvNzRBNW1abWREcjllalpzeWZPbnorUDY5ZXZtN1R4OC9ORG1USmxzRy9mUHRTdVhkdXM1MFZDUWdMT256K1BCUXNXb0ZtelpsaTFhaFZDUTBOTmVvVHMzYnNYbXpkdnh1TEZpNVY1bndxU0tnVXJCeGRPcWdRR0JzTEJ3UUZmZlBHRnhkNGZqMEtuMDJIMzd0M3c5L2VIbTVzYjNucnJMV1JsWlZsc0d4SVNZbkdPcUxGang1b2tJK25CRGgwNmhHM2J0ajJ3WFhaMk5uSnpjOUdpUlF1emhOMlJJMGR3Ky9adHZQNzY2M0IwZE1UZXZYdlJwazBiazRSYzgrYk5zV0RCQWl4WnNnUzlldlZDZW5xNnlUeU1PcDNPWk9naFBUa0ZYeEFVdVIrcEFGUUFVRUVJVVZjSTBkL2UzdjZLcjYvdlJsbVdOK2gwdXZNcWxTclQxaE40QmZlbnpNeE1pejNlaWlxYXJDdFEwQ3ZPenM2dTJHMTM3dHlKM2J0M0sxK1NuRDE3MXVUL2ROV3FWVEZ4NGtUTW1UTUh2LzMyRzFhc1dJRWFOV3BBa2lSTW1USUZyVnExUXZmdTNVMzJHUllXaHVUa1pFeWJOZzNJbjlOVHA5UGhQLy81ejBOZkF6TEZoQjBSRVJFUmxRaGx5cFJCUmtZRzVzNmRpLzM3OThQZDNSM0xsaTJEcDZjbmF0ZXVqYlZyMTJMVXFGRllzMllObkp5Y01HWEtGRlN2WGgzQndjSG8xYXNYK3ZYcmgxR2pSc0hEdzBPWmgrZk9uVHVJaVluQmp6LytDS1BSaVBMbHkyUEdqQm5LdzNmdDJyVVJGQlNFVHovOUZFMmJObjNXZXRHb0d6ZHU3S1BSYUY0Q1VGOEk0YWRXcStzS0liU3lMQ3NQeFBtSk9aUFhCWFd5TEt0VktwVi8wNlpON1NSSk11dHBCd0NyVnExQ1VsS1M4djdYWDMrMUdFeDZlam9rU2NKbm4zMW1sckQ3NVpkZjRPYm1oalp0MmtBSWdiMTc5NXIxMkdqYnRpMW16SmlCZ3djUDR0YXRXOUJxdGFoWnN5WlFLR0ZYOEhQZHZYczN3c1BERVJBUWdNMmJOK1A3Nzc5LzZJdFd2bng1czlWQ3QyelpndlQwZExpN3V3UDVxdzhYREFGRy9yRE1TNWN1SVRFeEVlN3U3cWhVcVpMWnNMUnk1Y29CQUpvMGFXSXlnM3ZSSG93V2VqVEtsdW9LVmpPMnRIMVduc0ZUYjd4L01xQWtHREprQ0lZTUdXS3hManM3RzRjUEg4YWVQWHR3NWNvVmRPM2FGZDI3ZDRja1NkaXpadys2ZHUwS3RWcU5YMzc1QlkwYk40WVFBa2xKU2JoNzl5NTY5dXlKTzNmdUFBQm16SmlCa3lkUHdzdkxDMy84OFFmUzB0SlFzV0pGK1BqNEFQbUxVK2oxZXVYblZ4TEpzZ3g3RlR4OWZIeGVrbVZaeUxJczh1ZnNLL2psTjBuTTU3OFcrUWtsVVZCV0pIa3ZaRm4rUjIwS1hoZmRKdjlMQkdVOGZkSDdVWkhYendraFJna2hQbmQwZEl3REVPN2o0eE9uMSt0RC8vNzc3K2pIZWYwZUYwOVBUM2g0ZUNBcEtRa3paODdFMkxGakgybmhpQUlGSzZVWG5xK3pxRzNidHFGRGh3NHdHbzFJVFUzRnhZc1g0ZS92ajdTME5LVk5zMmJORUJ3Y2pQMzc5Nk5NbVRKSVMwdERtVEpsa0ptWmllblRweU15TWhKang0NVZlaTR2WDc0Y0hoNGU4UFgxaFN6TCtPR0hId0FBSDN6d2dkbnh2L2ppQ3k3UzhoQ1lzQ01pSWlLaUVxTk1tVEs0ZlBreXVuWHJobkhqeGlrOUNaeWNuQkFZR0lqMzMzOGZreWRQeG9JRkN3QUFBd2NPaEorZkgrYk1tV1B5TGIrZm54K1EvM0NYbUppSVpjdVdLY2tXQUZpOWVqWCs3Ly8rVDJtVGs1T0RBd2NPNE5kZmY0Vk9wOFBJa1NOTDdNT0dMTXNvcTFWMTh2WDFIU1dFcUNmTGNwWDhoK0NDQjJhemJRb243WXJRQ0NFR0FSaFFkREdRQXN1WEx5ODJsdFRVVk96ZHV4ZDc5dXlCdTdzN1hudnROWFR0MmhWWldWa0lDd3REcDA2ZGtKZVhoejE3OXFCbno1NklpNHVEU3FWQ3VYTGw4T3FycjJMVHBrM0l5TWpBZ0FFRGNPYk1HWGg2ZXVMZ3dZT0lqWTFGMjdadGxSNG1seTlmaHIyOVBlenQ3Wkdjbkl3NWMrYmdoUmRld0h2dnZZZHIxNjRwOHkwOWpLTHo0T2wwT3JPSjNBdjN6c3JLeXNJZmYveUJRWU1HSVRFeEVSMDZkTUQ2OWVzaGhMQTRCRmFsVXYzd2dCQXNKa1pSNUdlbjBXaUtiZWVvMWY1OXgxaHlGOW5zMnJVck1qTXp6Y3E3ZE9tQ3FWT25Janc4SE1PSEQ0ZTd1enV1WHIyS0gzLzhFUys4OEFMUzA5TXhiTmd3aElXRndkWFZGUzFidHNTWk0yZnd4UmRmWVBueTVjak56Y1c4ZWZPQS9IbnBrTCs2Ny9MbHkrSGo0NE5WcTFaaDhlTEZtRFZyRnBZdVhZcWRPM2NpT3pzYmJtNXVKWHFoRVFIQXdVN1ZUNlZTdllEL0pjbE0yeFM2Q1JSS2xKbmNHUEx2QVpadUZnVUpON050aFJDRi85OFczVllVM2tZSW9aSmwyYjdvL2FpNCsxUCtmaDJFRUw2eUxQc0lJZlIyZG5iWGZIeDg0blAxOHNrY0l5emZ0S3hFclZaajl1elpHRDU4T0hidTNJbGp4NDdod3c4L3hGdHZ2ZlhRY3lTbXBhVmh4WW9WMEdnMFpqM2dDbHk1Y2dXWExsM0NwVXVYVEZaY1hyTm1UYkdMVWhRazMzNzk5VmNzWExnUXdjSEJXTGx5SlZKVFV4RVVGSVRmZnZzTkVSRVJHRGh3SUFCZ3g0NGRPSC8rUEFJQ0FreUdseWNuSjJQaHdvWFAycGRmVHd3VGRrUkVSRVJVWXRqWjJXSDU4dVVXUCt6WHJWc1hFeWRPTkVtOEFVQ0RCZzJVaHcza1B6Q0VoWVdoYTlldTJMVnJGNUtUay9IcHA1K2FiUFBkZDk4cHZRSlNVMVBSclZzM2hJU0V3Tm5aR2ErOTl0cDlleTZVRExJQWhMMHN5M1pDQ0tsd2o3cUhVZmdCV1pibFhBQzVoYXJMSlNRa1dPeFZBUURqeDQ5SDkrN2RzWExsU2l4YnRnelZxbFdEU3FWU1ZqUThlL1lzeG93Wmc2eXNMRFJwMGdScGFXbkl5Y2xCcjE2OThNRUhIMkRnd0lGS01qVXNMQXpaMmRudzlQVEVuRGx6VUs1Y09jeWFOUXMzYjk3RWtDRkQ4TkZISCtIcTFhdElTMHREdTNidGdQeGtyQkFDWDMvOU5lenM3RkN6WmsybEo5NC9zV3JWS3R5OGViUFlCOURkdTNjakx5OFBIVHQyeE9MRmk5R3dZVU5VcWxRSk8zZnVMRzZGeE9LZTBlNDc5TGdvQ3ovUFFsMGxaVzNSeXBKazl1elpTZzlDQU5pOGVUTU9IVHFFcGsyYkF2a3J4dWJtNXVLSEgzN0E5T25UTVh6NGNBd2JOZ3pmZlBNTm5KeWNzR3JWS2pScTFBZ0FzSExsU3JpN3UrUDMzMzgzT1VidjNyMVJxMVl0dlBMS0swRCs2cG1yVnEzQ1J4OTloRzdkdXVIY3VYT29YTGt5N096c1RKTERKWlVRME1peTdIQy9oUEQ5Nml6TlpYbS83WXEwdHpUTTFkSzJxdnozLytoM0lUL3A2QVNncW9Cc2t5c0gxYXRYRHhzM2JzVGl4WXV4YmRzMmZQUE5OMWl6WmcyR0R4K3VyRXBjbkFzWExtREVpQkZJUzB2RHBFbVRMSDRoSUlSQXBVcVZUUDRtcmwrL0hvY09IY0t5WmNzZU9BelgwZEVSUWdnbEVWZW5UaDNrNU9RZ01EQVFBS0RWYW5IbnpoMEVCUVdoWExseTZOKy9QOGFNR1lQZXZYdmp4UmRmeElZTkd3QUFMVnEwK0lkWHFIUmh3bzZJaUlpSVNvVFpzMmZEM2QwZEgzNzRJY0xEdzVWaGpvVzV1cnBDcDlQaDZOR2pKdVd0VzdkV0hrU2lvNk14Wjg0Y2VIbDVZZFdxVlJnMGFCQ3lzN094YytkT1RKa3lCY2dmOXJocTFTcTgrdXFySnZ1Smo0OUhzMmJOMEtSSmt5ZDZyaytTRUFKMzlmTEIyTk1SWTVvMGFWSWJRQnVWU3VVTG9KVVFvaUVBeDZJUHprV0h4OHF5WFBBNkQ4QTBJY1J1U1pJS0hxTFBQdmZjYzVnL2Y3Nnl2ZEZveFB6NTgzSGp4ZzNVcTFjUHlCOUtXTHQyYlN4ZHVoVDkrdlhEaEFrVDBMSmxTeXhhdEFoK2ZuNllNbVVLM056YzRPYm1odlhyMTZOcTFhcG01eElRRUFBSEJ3ZWxoOXpodzRmeCsrKy80K3V2djRhSGh3Y0dEUnFFcEtRa3VMcTY0cVdYWGdMeWg4NjJidDBhWDMvOXRUSjA3R0ZWcmx3WnYvenlpL0wreXBVcldMTm1EZDU1NXgwY08zYk1ySDF1Ymk1V3IxNE5mMzkvVkt4WVVibUdYYnQyeGJwMTY5Q25UeDlMS3c2L1ptRmVRSlAzaGV2VmFuV3hkWmEybDJWWjNNMHplTXBRZi9PdzUyMXJtalZyQnVUM2ZsdTBhQkVPSHo2TUNSTW1tQzEwQWdCVHBrekJKNTk4Z2drVEpxQjkrL2FZTTJlT1NXK2xHalZxV0R4R3hZb1ZVYlZxVlpON3llalJvMUdoUWdXbHJPRExnZmo0K0g4OUQ2STF5UUJ5Y3FXMVpSM1VmeGNkWW0wMEdtV1lKdGhNRnBvUlFzZ0dnOEdralJEaXNiVlJxVlJLRzZQUldFV2xVdTBBWURKTzFOTHcvVUx2RGJJc0o4cXkvQ2VBY0VtU1RrUkZSWjN5OFBKdURvMnd5VzdTTGk0dW1EUnBFdDUvLzMyc1dMRkMrZHNVRVJHQlNaTW1XZHhteDQ0ZG1EdDNycktTdXFYZWRUazVPWEJ3Y0lDZG5aMUpyK0tZbUJqNCt2ckN3OE9qMkpqS2xDbGoxcnU0SUlFNGZmcDBYTDkrWFVsYXo1a3pCN2R2MzRZa1NVaE1URVQ1OHVVUkdCaUluMzc2Q2IvKytpdnExcTFyMGd1WmlzZUVIUkVSRVJIWlBLUFJpTDE3OTZKaHc0YjQ4TU1QTVgzNmRHVmhnWWR4OU9oUkpURnk3dHc1T0RnNElEczdHNjZ1cnZqa2swK3djK2RPT0RrNUthdnczYjE3RjBGQlFXaldySm15K2gwQXRHdlhUdW1wOVF5UW82S2l6Z0k0NitIaHNiNWN1WEp1UWdnUElVUVBBSDFWS2xWMXN3M01oOG5KUnFNeEpTb3FLckZ3dWFPam96THNPQzB0RFpNblQwWmFXaHFDZ29KTUpqWkhvZUhNbjMzMkdZNGVQWW9oUTRZb3c2b0tGQjVTVlppM3R6ZU9Ieit1SkZDMFdpM0dqUnNIU1pLVXN1ZWVldzdJWDdpaVVhTkc2TkNoQTVEL0FOcTVjMmVMKzdWazY5YXR1SHIxcWttWnZiMDlLbFdxaElDQUFJc0p1L1hyMXlNMU5WVVpabG5nM1hmZnhmcjE2N0YyN1ZxejNwMFJFUkhISHpxb2Y4aWpuZytFVFEwR2ZIUi8vdmtuNXMyYmgydlhybUhCZ2dYdzgvT0RUcWVEVnF2RjMzLy9EWlZLQlRzN08yZzBHbnovL2ZjWVBYbzBqaHc1Z3ErKytncURCdzlHdFdyVkhuaU1yNzc2Q2hjdVhGQVNGYklzSXpjMzE2UTNwU1JKa0dVWkowNmNlS0xuK3lRSklaQW55ZWZQUmtUOFp1MVk3c2ZiMi90TzRZVGkvWWJ2eTdKOFc1YmxuYklzYjVRa0tUWTNOemN0UGo3ZWZCeTFEYXRldlRxbVRadUdkOTU1QjhPSEQ4ZVdMVnZRb2tVTGsvdVd3V0RBbkRsenNIWHJWbmg1ZWVHLy8vMnYyVDIyUUU1T2pqS05SSUc0dURna0p5Y2pPVGxaK1ZMRGtubno1aW4zemdLN2QrK0dvNk1qZHV6WW9jd0hxdGZyY2ZMa1NZd2ZQeDQvL2ZRVGZ2NzVad3daTWdUZmZQTU5ZbUppRUI0ZWpuSGp4djNyYTFOYU1HRkhSRVJFUkRZdk5qWVdkKy9lUmV2V3JZSDhsVFlMRDRtelpOdTJiVmkxYWhVNmRPaGdzb0xqMmJOblViZHVYVFJxMUFnVEpreEFiR3dzNHVQam9kVnFFUk1UQXhSYWZhL3c4S0F2di94U1Nmck5uVHZYN01HbkpFdEtTdElCdUp6LzczY0E0MzE4ZkRvSklkNEQwRkVJVVI2QUl3QTFUQitVNWVLR3drbVNoRzNidGlFb0tBZ3VMaTc0NFljZlVLbFNKZWoxZWhnTUJpUWtKQ2cvbDNyMTZtSEZpaFVZT25Rb1ZxNWNDUURvMWF2WEE2OXhUazRPUm93WUFYdDdlK1ZCM1dBd3dHZzBtdlNpTWhnTWFOR2lCWUtDZ3BTeWd2OUxEeXN5TWhLWEwxODJLWE56YzhQeTVjc3RUZ3gvK2ZKbHJGeTVFbTNhdEVHREJnMU01bHh6YzNORDkrN2RzWGJ0V25UcTFLbllCMnd5bDVpWWlIbno1aUU4UEJ4K2ZuNVlzR0NCMGhOdXhJZ1JTcnQyN2RvcGlUWW5KeWNFQndkajgrYk5DQW9Ld3JadDI5Q2dRUVBNbVRNSDFhdWI1YVZOQkFRRVlNQ0FBVUQrWlA2REJ3L0c0Y09IbGY5ZlI0OGV4Wmd4WTU3b09kUC9DQ0drUXErQmUvY2pHY0JkQUhja1NZcVJaWG5GalJzM2RsNjlldld1TldOOVhPclhyNC9odzRkajZ0U3AyTDkvdjVLd2t5UUo0OGVQUjJob0tIcjE2b1ZSbzBiZGQyaDJSa2FHMlQxMTdkcTFjSEp5UW01dUxqNzY2Q08wYmR2V3BINzU4dVVJRHc5SDQ4YU5UY29sU1VKZ1lDRDgvZjJWcVFvMmI5NE1yVmFMaFFzWG9sR2pSaEJDSURBd0VJTUhEOGJjdVhNeFpzd1l1TGk0UEhCb0wvMFBFM1pFUkVSRVpQUEN3OE1CQUMrKytDSlFhQ2hhY1hidjNvM1ZxMWVqYmR1Mm1ETm5qc2xRcWZqNGVIVHUzQmwvL2ZXWDhrMS93WXFlQlhPS0RSMDZGQ2kwcWlnQVBQLzg4eWhmdmp4Z1llR0JaNUFVR1JsNUFNQ0J4bzBidTZyVjZ0WkNpSlpDQ0Q5Wmxwc0NjTXNmWmxsMDFVY0FRR2hvS0w3NzdqdGN1blFKZmZyMHdaQWhRK0RnNElBRkN4YVl6SjAwYXRRbzViV25weWMyYmRxRTRPQmdCQWNIWStuU3BmRDM5OGZjdVhNZmVMMURRa0tVSVY0aElTRTRldlNveWVUcDMzNzdMYzZkTy9ldkxvaTl2VDF5YzNQTnlpME4xVFVZREpnNGNTS01SaVBHamgxcmNYK2ZmUElKRGgwNmhOR2pSK1BISDMrRXM3UHp2NHF2dEtoU3BRcGtXVGJyOGRPMGFWTjg4ODAza0NRSnpzN084UFgxTmRsT3BWS2hWNjllNk5hdEcvYnMyWU80dURpbDl5V1ZLTXBpRlFEdUFJZ0VFQTdnaEN6TDRaR1JrUmV0SGVDVFVMQUtjVlpXbGxLMlljTUdoSWFHWXRDZ1Fmajg4ODhmdUkra3BDUmxkV1BrejNsMzRNQUJmUHp4eDlEcjlkaTBhUk42OWVxbEhDc3NMQXlob2FHWU5tMmEyWkR2czJmUElqTXpFMzUrZm1aRDBRdm1oK3pXclJ2V3JGbUR3TUJBZE83Y0dZY1BIOGJZc1dPZnFTKzduclJuL3BNR0VSRVJFWlY4WVdGaGNITnpNK21KRkJvYWlvc1hMNkozNzk0bWliVTllL1pnMnJScGFOR2lCUUlEQTZIVi9tOSsvWlNVRk55NmRRdjE2OWRIeDQ0ZEVSNGVEbG1XMGExYk43UnQyMWFaSHlndUxnNG9sTWdEZ1BmZWV3OWVYbDVQNll4dFIweE16RzBBdXdEOFAzdDNIaC9UdWY4Qi9QUE1URlpCU2lLeFZVcFFSQ1NFcXEycWxsdGF0OVR1VXFXcWVtMnRVaTJWRnRWeTdUdS9sbHBxdTVhV1VxMnRxS1hJdmhON2JKV1FpRWd5bVRQUDd3L0p1UmxKU0N3NVkvSjV2MTVlelR6bk9XZStSODBrK2N5ejdQTDM5eTluTXBrODlYcDlHd0E5QWZqbWQ0NmJteHNxVmFxRWI3NzVCclZyMTFiYnUzZnZqZ1lOR2tCS2lZb1ZLNkpPblRvVzU1VXFWUXBqeG94QnYzNzlzSFhyVnBRcFU4WnF3bEVYRnhla3BhWEJaRExCWURBZ0pTVkZEWEJ6azFKaTZ0U3BpSXFLd21lZmZWYmdDQzQzTnplTUh6OGVZOGVPeGRDaFF6Rm56cHhuZWgyMDRsSzZkR2tzWGJvVXlKNnl1bTNidGlLZC84TVBQNkJidDI0UDdIUG16QmwxWTVtRkN4ZXF6NWN6c3JSTm16WnEzOXp2RVZRc3BKUXlITUNtckt5c1g4MW1jNEtUazFOU1VGQlFsdGFGUGE0VEowN2crUEhqNk5tenA4Vjd3ZTNidDlVUE9uSUgwZXZYcjRlZG5SMEdEeDc4MEd0blptYmk4dVhMZVB2dHQ0SHNmOHN6WnN4QTZkS2wwYXRYTDlqYjIyUDM3dDBZT1hJazVzK2ZqL2o0ZUl3ZE94YXZ2LzQ2T25mdW5PZDZKMCtlQkhMdHVKNGZSMGRIZlBubGx4ZzhlREQrL1BOUHZQenl5K2pldlhzUi8xWktOdXY0N2tkRVJFUkVWSURidDI4akpDUkUzYTB4eDhHREI3RnQyemI4K09PUGVQZmRkL0gyMjI5ajc5NjlDQXdNUklNR0RUQjc5bXlMYVpFQUVCa1pDV1JQd2N6eDU1OS80dSsvLzhiUFAvK01HalZxb0ZldlhvaUxpd095ZDVBY09YSmtzZHpuTTBBSkNRbTVBZUFHZ0FnQWMvMzgvTHdBNVBsRnVYNzkrdXIwMDE2OWV1SFNwVXVGZnBMU3BVdGoxNjVkR0RwMDZBUDc1ZXpTQ1FEdnZmZGVuaW14elpzM1Yvdm1USWw5SEJVclZvU1VFb21KaVhCeGNjRnJyNzJHMmJObm8yWExsaGI5cGsyYmhwOS8vaGx2dlBFR3VuWHJobTdkdXVIcTFhdnE4Y0RBUUV5YU5Ba0FzR0hEQmd3Y09CRExseS9IOE9IRHNYYnQyc2Vxc1NSSlMwdEQxNjVkSHppMStlTEZpM2orK2VjdDJuSUgrUGs1ZE9nUUpreVlnUDM3OXdNQU9uZnVySzV0ZWViTUdjeWNPUlBUcDA5WGcrVEl5RWo4My8vOTN4TzRJM3FZbXpkdkpwVXZYNzVaV0ZoWURBQ2JTMHF6c3JLd2ZQbHlMRisrSEMrODhBSThQRHh3NTg0ZG5ENTlHcG1abWFoVnF4Yis5YTkvQWRuLy9pOWZ2Z3hIUjhjSHJnazNidHc0VktoUUFjZVBINGVpS0toWHJ4NEFZT1BHalRoMjdCakdqeCt2anFoYnZIZ3hCZzRjaUlFREIrTHk1Y3RvMWFvVnZ2cnFxM3l2ZS9qd1lYaDVlVDEwODRqNCtIam85WHFZVENhNHU3dkRaREk5OHpzcUZ5Y0dka1JFUkVSazFmNzg4MDhvaXBMbmsvekF3RUIwN2RvVkN4Y3V4TXlaTS9IRER6L2c1czJiOFBIeHdieDU4eXdXaHM4UkhCd01Cd2NIZFJPRE8zZnVZT2JNbVdqU3BBbmVmUE5OVEp3NEVUcWREa0ZCUWZEMDlNUnZ2LzJtaGtLVVYyaG82UGtISFU5TFM4UG8wYVB6M2RFWDJVSGE5ZXZYTGFZbUtvcFM0T2kxSElzV0xVSkVSQVNtVDU4T0FCZzFhaFNxVmFzR1pJK3dqSWlJc0ppS3VtWExGcVNscFJYOUJuUEpHWEVWR3h1TEdqVnFRRXFaNTkrWW9paElTMHREdTNidE1ISGlSQURBZ0FFRGtKYVdoc3pNVE15ZE94ZXZ2LzY2R2hpN3VycmkzLy8rTjV5ZG5WRzNidDA4dTF4Uy9xU1VHREJnQUpvMWE0YVBQdm9JVWtxTUdqVUtMNzMwRXZyMDZRTmtqOENkTTJjT1ZxMWFwWTdrWExac0dRSURBN0ZxMWFvOEl4OFZSVUZVVkJRT0hqeUlybDMvdDNsbzFhcFYxZmVlbktBaElDQkEvVERBYURRVzIzMlhkQWtKQ2VrSkNRbFJXdGZ4dFBqNit1TEREei9FMGFOSGNmYnNXVnk0Y0FIT3pzNm9WYXNXMnJadGkyN2R1cW52T1Rudlp4a1pHVGh3b09DOVFrYU1HQUVBMkxObkQ5emMzTkNnUVFPY1BIa1NjK2JNUWJObXpkQ2xTeGUxNzYxYnQxQzVjbVYxOSt3cVZhb2dOVFVWcnE2dUZ0ZE1UVTFGY0hDd09sb3ZQOWV1WGNQMDZkTng0TUFCdlBMS0svRDM5OGVDQlFzUUhCeU1ZY09HNGJYWFhvTk85NHp2ZkZNTUdOZ1JFUkVSa1ZYTCtXVWt2NmszOWV2WHg1SWxTM0RpeEFuTW1UTUhTVWxKU0VsSndiRmp4eXltcmVXSWlZbUJ0N2MzOUhvOU1qSXk4T21ubnlJeE1SSHo1ODlIMWFwVm9TZ0szTnpjTUdQR0RBUUdCaUkrUGg2clZxMENBUHoyMjIrSWlZbUJ5V1JDNWNxVjBhUkprMks0KzJmWDMzLy9qUzVkdW1ES2xDbDQ5ZFZYY2UzYU5mejczLy9HbENsVDFBRGxQLy81RC9idjM0Ly8vdmUvNnNZTlE0WU13UTgvL0lDbFM1Zm1HU0ZwTnB1eFpzMGFKQ1ltNHZQUFAxZmJmWHg4MURYc0lpSWljTzdjT1l0L0wwZU9ISG5zTmV6cTFxMExKeWNuSERseVJLMHJKeVRNb2Rmck1XblNKQ2lLb201WWtyTytVMnBxS3ViT25ZdW1UWnVpUTRjT0Z1ZmR2eXN1UGRpQkF3ZHc5dXhaakJzM0RzaGV6OHpEd3dQZmYvODlPbmZ1REJjWEY3UnExUW8xYXRUQTVNbVRzV2JOR25VTnV5MWJ0bURreUpGWXVYS2x1cGFXMld6R3FWT25jUFBtVFV5WU1BRnZ2dm1tK2x6bnpwMVRkeHcrZS9Zc2tQM3ZLV2VFWFZTVXplWkhWTXhjWEZ3d2FOQWdEQm8wNktGOUsxU29nS0Nnb0VKZDk5S2xTOWkxYXhkNjlPaUJ1TGc0akJvMUNoNGVIdmo2NjYrUm5KeU13NGNQNDlkZmY4V3hZOGZnNCtPRHhZc1g0L2p4NDFpOWVqVisvUEZIdEcvZkhrMmJOa1hqeG8xUnZueDVIRHAwQ0NhVEtkL3Z5UmtaR1pnelp3N1dyMThQdlY2UDBhTkhxeUY2a3laTk1IWHFWSXdiTnc2VktsWENtREZqYkduWDlhZUNnZjdwenlrQUFDQUFTVVJCVkIwUkVSRVJXYldXTFZ2Q3djRUI1Y3VYTDdCUDQ4YU5zV2JOR216ZnZoMExGaXpBbURGajBMSmxTOHlaTThlaTM0SUZDM0RxMUNrZ2U5ZlhreWRQWXRhc1dhaGF0U29BNE0wMzM4VElrU1B4M0hQUG9VMmJOdWpVcVJOcTFhcUY5ZXZYWSszYXRlcElzWnpSVTFTdzFhdFh3MkF3cUZOUlBUdzhJSVRBL1BuenNXalJJZ0JBdjM3OThOTlBQMkh4NHNYNDVKTlBnT3pBYnNpUUlaZzBhUksrL3ZwcjlYbzNidHhBVWxJU0tsU29nT1hMbDZOT25UcnF6cXVob2FGSVNrb0NBRnk0Y0FHcHFhbHF5QUlBbHk5ZmZ1ejdzYk96UTZkT25iQmp4dzRrSlNYQjA5TXozOUdYUWdpcldYZlBGaG1OUnN5ZVBSdU5HalZDbzBhTjFQWUJBd2JncDU5K3d0cTFhL0grKys5RHI5ZGo1TWlSR0Q1OE9JS0RneEVRRUlEbm5uc08zM3p6RFlZTUdZS3BVNmRpNnRTcFFQYjZYcFVyVjhiNDhlUFJzR0ZEOVpvR2d3RzdkdTNDNzcvL3JyWTVPanBpd29RSjZtT3VZVWZXTGlJaUF2YjI5aGd3WUFEMGVqMENBZ0x3MldlZllkZXVYZW9vNVlZTkcyTGF0R25xOU84bVRacWdaOCtlV0x0MkxYNzU1UmRzMzc0ZGJtNXUyTHg1TThxWEw0K1dMVnRhdlA1eU9EZzQ0Tnk1YzJqWHJoMkdEeDl1OFI1WnUzWnRyRnk1RXZ2MjdjTzJiZHZnNjV2dkVxaVVDNytURUJFUkVaRlZlK09OTi9Mc1FwY2ZJWVM2M3RUeTVjdnovV1dnVktsUzZxTGQvZnIxUTRjT0hTeldPZ09BUVlNR0lTa3BTZDNJNHZYWFg4K3pmaDQ5MlBuejU3Rng0MFlNR2pSSUhjVWtoTURBZ1FQeHhSZGZJRGc0R0EwYk5vU25weWQ2OWVxRlRaczI0WU1QUG9DTGl3c2FObXlJb1VPSFl1SENoV2pVcUpFNlBURXRMUTJOR3pmRzVNbVQxWFdUaEJEUTZYUll1SEJobmhweVJsL2hDYTFoaCt3d01Tb3FDa0ZCUVhsQ1c3MWV6eWxleGNCc05xTm56NTRXdTEwQ1FLVktsVEJuemh5TDlwZGZmaGxidDI1VkEzbGtMOXIveFJkZnFDTXlrYjBiOUx4NTgvSTgxNW8xYTU3YWZSQVZsNDRkTzZKYXRXcnFoMTQ1SDJTOTlkWmJrRktpZGV2VzhQRHd5SE9ldTdzN1JvNGNpV0hEaGlFOFBCd09EZzV3Y1hIQlN5KzlsTy9vdWgwN2RoU3Fualp0MnVRN0FwN3lZbUJIUkVSRVJEYkYyZGtadzRZTmUyaS9talZyV3V3Nm00T2YrajgrWjJkbjlPdlhEMzM3OXJWbzc5Q2hBMHFWS21VUnFyejc3cnZvMjdldkd1emx0T2wwT25XMEJ3QjRlWGxoeVpJbEZ0ZHpjWEhCaVJNbm51cTk1RmF1WExrQ1E1d3RXN1k4OE56U3BVc1hlZ29iRmN6UjBWR2RZbmUvL0RhZ3lCM1c1Y2c5NVpXb0pNalpiQ0kzZTN0NzlPelo4NkhuNnZWNmk5MXBxZmd3c0NNaUlpSWlvaWVxUW9VSytZYW1lcjBlcjd6eWlrVmI3cUF1aHhBQ0F3WU1lS28xRWhFUldUT08yU1lpSWlJaUlpSWlJcklpSEdGSFJFUkVSRVJQakJCQ2FGMERFUkhSczQ0ajdJaUlpSWlJaUlpSWlLd0lBenNpSWlJaUlpSWlJaUlyd2lteFJGVGlOV3JVeU5sc05ydm5icE5TVnBSUzZvVVFPaW1saDcrL2Y3WGN4eFZGU1F3UEQwOHI5bUtKaUlpSWlJakk1akd3STZJU3oyUXkxZGJyOWNHNTIzSXZ2eU9FV0huL09UcWRyZ21BRThWVUloRVJFUkVSRVpVZ25CSkxSQ1ZlV0ZoWXVKUXlvckQ5cFpReG9hR2h3WVhvU2tSRVJFUkVSRlJrRE95SWlBQkZTcmtHOThJNFNDbnpkTWpkTHFYY0NFQXAvaktKaUlpSWlJaW9KR0JnUjBRRXdHdzIveXlsVEg1WVB5bmxIWlBKOUV2eFZFVkVSRVJFUkVRbEVRTTdJcUo3YTlKZEIzQWk5OXAxOThzK0ZxMG95dVhpckkySWlJaUlpSWhLRmdaMlJFUUFRa05EVXdFY2xGS2FrVDBGTmtldXFiQVNRRWhNVEV5aWRwVVNFUkVSRVJHUnJXTmdSMFIwanlLRU9Ba2c1UUY5N2dJNERDQ3JHT3NpSWlJaUlpS2lFb2FCSFJGUnR2VDA5REFBTjNJZTM3OEJoUkRpdHBUeWtGYjFFUkVSRVJFUlVjbkF3STZJS0Z0TVRNeFZBTUg1cldPWDNSWWNHaHA2WG92YWlJaUlpSWlJcU9SZ1lFZEVsSXZKWkZwVjBER3oyZnhkOFZaRFJFUkVSRVJFSlJFRE95S2lYTkxUMC9kSkthL2YzeTZsdkpHY25MeExtNnFJaUlpSWlJaW9KR0ZnUjBTVVMzeDhmS1lRWWwzT3RGZ2hCSVFRa0ZKdVBYLytmSWJXOVJFUkVSRVJFWkh0TTJoZEFCR1J0VkVVWloxT3B4c0t3QUgzUnRjWkFXelN1aTRpb3NkbFVrdzRkK0VpSEJ3Y3RDNkZOSERtM0hsa1pYR2pjL29mdmllVWJIeFB1TGZKM0tXRXk0aU9pZE82Rk5MSWhVc0pNQ3RtcmN2SUZ3TTdJcUw3cEtlbm55MVZxbFNFRUNJQTkwYlpuZFhwZFB3dVRrVFB2TlRVVk15YXR3aU9qdnpsdkNUS3pEVGk1cTFiV3BkQlZvVHZDU1ViM3hNQWt5a0wzLzJ3R3V2K3UxbnJVa2dqZCsrbUl6MGpYZXN5OHNYQWpvam9QbWF6T1ZWS2VRaEFvK3ltTUpQSmxLUnhXVVJFajh4c3l2cGJiMmQzMjJSU0hDOWZ1YUoxT1pxUVVpSm5EM0Q1djkyL1M1UmNmd2RwZHpMdS9xMTFQYVFkdmljOEdsdDlIeEVRZDR6U2RGWHJPb3FUU1NxSkJvaWJaak04cjEzUHMzdzFsVXpKWmxPV1ZYMXZ0STEzR0NLaUo4elB6MitBRUdLSkVFS25LTXFrc0xDd0tWclhSRVQwR1BSZTNyNk5vZE41YWwySVZ1eDBzcXFUZys2ZkVEQ2taNWczWjVuRkphMXJLbTRHdlZMWjJkN1FVMEFxSmxQVzJLaW9xQk5hMTBTYUtmSHZDWS9DVnQ5SHBNNzA5NFhZeUw4QUtGclhVb3gwMWJ3Yk5CQTZVVTNyUXNnNm1IWEtwWXV4RWFIVzlEcGdZRWRFbEkvNjlldS9hREFZZGdraFNpbUswaWtzTE95NDFqVVJFZEdqOC9mM2YwVUlzVjVLNlFqZ3JaQ1FrQU5hMTFUY2ZIMTlteG9NaHExU1NrY2hSTy9nNEdEdWZrNVVCSHdmSWFMaXhGMWlpWWp5RVJFUkVRY2dYa3A1UGl3czdLVFc5UkFSRVJFUkVWSEpZWlZyMkZWNHdjZkQyV0NvcUhVZHBEMXB6THgrNFVKTWlWcFB3VnBVcWxYTHpWNDZWOUc2RGkxbEtmSlBJWVNEVjAwL1g2MXIwVnFHdkhQNVduejhEYTNySUNJaUlpSWlLZ21zTHJDclVxdEJaVHNkbGtoSWI2MXJJZTNwbk8wdlY2cGVkK0NWczlFWHRhNmxKUEh5cXVzcGhkMTA2R1Jqcld2UjBoMGo5SUFFOUhoTDYxcTA1Z1NYeUNxMUdveEtPQlYyV2V0YWlJaUlpSWlJYkozVkJYWUduYWdwQlZvSXdGWHJXa2g3VWtvdmV6dERYUUFNN0lxVHdlQWxoR2dwQkx5MExvV3NnNFIwTmVoRVRRQU03SWlJaU9pWklxV1VUK0d5Znp6Sml3bGIyWEtXaUo0WXF3dnNjcFFwWFJvZkRINFgxYjJZRjVSRWx4SXVZL0YzeTVHVWRGUHJVa28wZzhHQVFRUDZ3ZCszdnRhbGtFWWlvMlB3L2NyVnVKdWVyblVwUkVSRVJFUkVKWWJWQm5iMjl2WjRLYUFSL0xsMFZJa1VIUk9ISDlhczFicU1FaytuMDhIZnR6N2F0MzFWNjFKSUl3NE85bGo1NHpxdHl5QWlJaUlpSWlwUnVFc3NFUkVSRVJFUkVSR1JGV0ZnUjBSRVJFUkVSUFFVS1lxQ2E5ZXVhVjBHRVQxRHJIWktMQkVSRVJFUkVaRzFNWmxNU0U1T2ZtQWZKeWNubENwVlNuMDhldlJveE1mSFk5dTJiZERwT0c2R2lCNk9nUjBSRVJFUkVSSFp2SkNRRVB6eFI5RTNkOVhwZEJnNWNxVDYrTXlaTStqVHA4OER6M243N2JmeDJtdXZxWStyVnEyS1E0Y080Y2NmZjBTdFdyWFU5aGRmZkJGbHk1WXRjazFFWlBzWTJCRVJFUkVSRVpITk8zMzZORFp0MmxUby9sbFpXVkFVSlU5ZzUrWGxoUTBiTmdBQWR1N2NpZlBueitQTk45L0UxS2xUc1hqeFlnQ0FnNE1EZXZYcVpYRTlSMGRITEZteXhLSnQ3dHk1Q0FnSWVNdzdJeUpieE1DT2lJaUlpSWlJYkY2UEhqM1FvMGVQUXZYOS9mZmZNV25TSkdSbFpXSFVxRkVXeHh3Y0hPRHQ3UTBBY0hOelExSlNFcXBXclFxOVhxKzJBOERodzRlZjhCMFFVVW5Dd0k2SWlJaUlpSWdvZTMyNmVmUG00Y2NmZjRTbnB5ZSsvZlpiMUs5ZlAwKy8yTmhZcEtTazRNS0ZDMGhNVEVSRVJBU3lzckx3MTE5L0FRRHExYXNIS1NYV3JsMWI0SFA5NHgvL1FMVnExWjdxL1JEUnM0dUJIUkVSRVJFUkVaVjR5Y25KR0RObURJS0RnOUc4ZVhOTW5qeTV3UFhsNXN5Wmc1Q1FFQUNBbEJJaElTSEl6TXpFeHg5L2pJeU1ESHozM1hmdzhQREFzbVhMMExoeFl6ZzRPRmljZi9qd1lkU3RXNWVCSFJFVmlJRWRFUkVSRVJFUmxXaW5UcDNDUng5OWhHdlhydUc5OTk3REJ4OThBQ0hFQTg4WlBIZ3duSjJkRVJjWGgzNzkrbUhZc0dIWXRXc1hHamR1Yk5GdjRzU0pxRlNwa2tWYjA2Wk5uOHA5RUpIdFlHQkhSRVJFUkVSRUpkYisvZnN4WWNJRTZQVjZ6Snc1RTYxYnR5NzB1ZW5wNlhsR3o5MXY4T0RCTUJnc2YvWE95c3A2NUhxSnFHUmdZRWRFUkVSRVJFUWwwdXJWcXpGMzdseFVybHdaYytmT2haZVhWNUhPUDMvK1BKNS8vdmtIOWhrd1lBQ2VlKzQ1aTdieDQ4Yy9VcjFFVkhJd3NDTWlJaUlpSXFJU1JWRVVUSjgrSFpzMmJZSy92ejltekpnQlYxZlhJbDNqOXUzYk9IandJR2JNbUFHZFRvZlUxRlNjT0hGQ1BlN201b2J2dnZzTzllclZnNzI5dmNXNTd1N3VlT0dGRjU3WS9SQ1I3V0ZnUjBSRVJFUkVSQ1ZHWm1ZbXhvOGZqLzM3OTZOVHAwNzQ0b3N2WUdkbjk4QnpwSlF3bVV3Vy9YNzk5VmQ0ZUhnZ0lDQUFScU1SOWVyVnc4U0pFMkUybXdFQUd6ZHV4T0xGaXd1ODVxQkJnekJ3NE1BbmVHZEVaRXNZMkJFUkVSRVJFVkdKa0o2ZWp1SERoeU1rSkFUOSsvZkhpQkVqSHJxNUJBQWtKU1doUjQ4ZUdEcDBLTHAzN3c0QWVQdnR0OUd4WTBjSUllRGc0SUJseTVZQmdMcnBSTHQyN1ZDdlhqMkw2NXcrZlJvTEZpeEE2ZEtsMGFSSms2ZHlqMFJrR3hqWUVSRVJFUkVSVVludzJXZWZJU1FrQkNOSGprVC8vdjBMZlY1S1NncFNVbEp3NjlZdHRTMGlJaUxmRFNla2xBQUFEdzhQZUhoNHFPM2ZmLzg5bGkxYmhnNGRPbURzMkxGd2NYRjU3UHNoSXR2RndJNklpSWlJaUloczNvRURCM0RvMENIMDZkT25TR0VkQUZ5NWNnVUFVS1ZLRmJYdDlPblRTRXBLeXROWFNvbms1R1FjT25USW9uM1pzbVZvM2JvMTJyVnJoNUNRRUFCQTFhcFZpN3pSQlJHVkRBenNpSWlJaUlpc25Nd1pzdlBrL1BxRXJ3ZFJtSG1GUkJvNmZQZ3dBS0JuejU1RlBqYzZPaG9BNE8zdHJiYjE2TkVENzczM1hwNitqUnMzeHFsVHA3QnExU3FMZHBQSmhJTUhEK0xQUC85VTJ3WU1HSURCZ3djWHVSNGlzbjBNN0lpSWlJaUlpTWptdWJtNUFRRFdybDJMZ1FNSHFvOExZamFiY2ZQbVRSdzRjQUNyVnEyQ201c2JxbGV2cmg1WEZBV1ptWm41bnR1a1NSTU1HVExFb3ExcDA2YVlQSGt5MnJadCswVHVoNGhzR3dNN0lpSWlJaUlpc25rOWV2VEEvdjM3c1dIREJtellzQUY2dlI0R2d3RTZuUTQ2blE1Q0NKaE1KaWlLQWtWUjFOMWVBY0RaMlJrVEowNkV3ZkMvWDZHWExWdW1ialNSSDdQWmpQbno1OFBCd1FFM2J0eEFWbFlXWEYxZG4vcDlFcEZ0WUdCSFJFUkVSRVJFTnMvVjFSVnIxNjVGYUdnb3pwdzVnNXMzYnlMM2JQUGNzN3B6dmk1VnFoUThQVDNSdEdsVE9EczdXMXl2UjQ4ZWVPdXR0L0k4ejcvKzlTOEFnRTZudytuVHAzSHUzRGtZREFiMDZORUREUnMyZklwM1NFUzJoSUdkRmJoMTZ4YWNuSnpnNk9qNHdINEpDUWx3Y1hIaHB6SkVHcmwyN1JyYzNkMmgxK3NMN0dNMEduSDkrblc0dTdzLzlEVk5SRVQwTEVsTVRFU1pNbVZnYjIrdmRTbEVqMHdJQVg5L2Yvajcrei9XZFdiUG5nMjlYcC92NitIRWlSUHExd3NXTEhpczV5R2lrb3VCblJXWU5tMGFRa05Ec1hQblR1aDB1Z0w3OWVqUkEzMzY5TUd3WWNNSzdIUHAwaVYxQjZOSDRlbnBpV3JWcWozeStVVFdJRE16RTJmT25NblRYcjE2OVR3aDJvRURCM0Q0OEdHTUdqVXF6NmVtdVNtS2dnRURCcUJodzRhWU9uVnFnZjFPblRxRmQ5NTVCd3NXTE1ETEw3LzhtSGRDUkVUMGRLU21waGE0OWxhTzh1WExxNk9Nb3FLaTBMOS9mMHljT0JILy9PYy9pNmxLSXV2bDVPU2tkUWxFWk9NWTJCV1NvaWpZdm4wN2R1N2NpVk9uVGlFdExRMk9qbzZvWExreWV2ZnVYZUFQTGxldVhFRmdZQ0RxMTYrUEVTTkc1RGwrNjlZdDdOKy9IejE2OU1nVDFzMmFOUXQzNzk3RmhBa1RnT3p0d1IrMitkYldyVnV4Y3VYS1I3N1AzcjE3NDVOUFBubms4NjJZOFBQejh6WWFqVmVqbzZQdmFGME1QVjJYTGwxQ3YzNzk4clN2WHIwYWRldldWUjhuSlNVaE1EQVFxYW1wOFBUMHhNQ0JBd3U4NXFGRGgzRGp4ZzIwYjk4K3o3RVBQdmdBYmRxMFFZOGVQZFJwRmR3b2o0aUlub1pGaXhZOU5HakxUL1BtemRHa1NSUDFjV0JnSUE0Y09QREFjMWFzV0lIMDlIVDFjZG15WmJGdTNUcDRlbnFxYmFWTGw3YjQza3BFUkVSUEJnTzdRakFhalJnK2ZEaE9uandKblU0SGIyOXZsQ3BWQ3Rldlg4ZVpNMmR3N05peFBJSGRqUnMzc0diTkdtemN1QkZHb3hIMTY5ZlA5OXJidDIrSHlXUkNWbFlXMXE1ZEN3RHc5ZldGajQ4UDl1elpnenAxNnFoOXpXWnpvVUtBc21YTFl0KytmVVcrejY1ZHV4YjVIQ3VtOS9Qekt3M0FIVUJISWNTL2hCQzE3ZXpzWGdZUXBYVnhWRHltVFp1R3VuWHJZdE9tVFZpNWNpVThQRHpVWTRxaUlEQXdFRzV1YnVqYnR5K1dMbDJLZ0lBQStQcjY1bnV0TFZ1MlFBaUJpeGN2cXEvVmR1M2FJVE16RXlkT25FQ3JWcTJBN05jcHN0Y3NJU0lpZXRLMmJkdUcxTlRVUXZmUHlNZ0Fzb08xM0lIZDJMRmo4ZUdISHdJQTNuMzNYVXlmUGgyclY2K0duNThmMnJScEF3RFl1WE1uTm16WVlIRzlTNWN1NGVPUFAxWWZOMmpRQUlzV0xYcnMreUo2bXNRVCtpVFYzOS8vRlNIRWVpbWxJNEMzUWtKQ0hweDZFeEU5QmdaMmhiQnUzVHFjUEhrU3RXdlh4cXhac3l3K1ZieDY5U3BpWTJNdCtzK1lNUU1iTjI2RW9paW9VNmNPWW1KaThyMXVhbW9xVnExYUJSY1hGeHc2ZEVodDErdjFlTzY1NTNEOStuVTBiOTRjSjArZUJMS0RnT3ZYcjZ1UGtiMWIwZjJmYXBwTUpvdnJGVmJ1VDFDZlZiNit2bFVNQmtNVEFDOUpLVjhDMEVBSTRZcDdJeFRUdEs2UGlsZjU4dVZScVZJbHhNYkdvbjc5K2loZnZyeDZiTmFzV1FnS0NzS3FWYXZnN2UyTjBOQlFEQjgrSE11V0xVUHQyclV0cmhNYUdvckRodytqWExseUZyKzQrUG41SVQ0K0hnQmdaMmVIa3lkUHFsTng0K1BqTFVJN0R3OFBWSzFhdFJqdW1vaUliTm11WGJzSzFTOGxKUVhqeDQvSDBhTkhVYTllUGJ6eHhoc1d4M1AvUEt2VDZWQ3RXaldVS2xVSzd1N3U4UGIyQmdDTUdERWkzeGtpUkVSRTlQUXhzQ3VFbkVWREJ3OGViUEhERFFCVXJGZ1JGU3RXdEdnN2UvWXNHalZxaFBmZmZ4OUpTVW40OU5OUDg3M3V3b1VMa1p5Y2pGV3JWdVVKM1RadjNneGtqK3Jac21XTDJ2N0xMNy9nbDE5K1VSL1hyRmtUNjlldnR6ZzNMUzBONDhhTksvSjk1bndDKzZ5cFc3ZXV2WjJkWFh1ZFR0Y1hRRU1wcFR1QXNrS0krNGM0U1oxT0p3dTRETm1vakl3TWhJU0VZTWlRSVdyYm5EbHpzSDc5ZWdRR0JxSm16WnBBOW1pOHdZTUg0NzMzM3NPWFgzNkoxMTU3RGNnZWlmZnR0OS9DemMwTlc3ZHV6YlBPM2VyVnF3RUEzMzc3clVYN3pKa3pMUjdiOEhSeklpS3lNakV4TVJnelpneXVYcjJLbmoxNzRxT1BQb0tkbloxRm56dDM3aUFxNnQ2a0E1UEpoTkRRVU55NmRRdm56cDNEWDMvOWhiSmx5K0xGRjEvRS92MzdjZXJVcVh5Zng5M2QzZFptYUJBUkVWa05CbmFGa0xOSS9hMWJ0d3JWZitiTW1lb2lwSHYyN01tM1QySmlJalp2M294Ly92T2YrYTc3c1czYk5sU3RXaFhmZmZjZGtEMjY3dlhYWDBmLy92M1J0MjlmdFovQmtQZC9ZZTRwc2NuSnlZaU1qRVNMRmkzVTQwdVdMSUdQajQvYVpqS1pzSHIxYXZqNCtPUUpKSzJSbDVlWFk1a3laY29vaWxMVDN0NityeENpQjREeXlGN25MMGMrVzdRTHM5bk1oY1ZLbU9EZ1lCaU5SclJ1M1JxWm1abVlPblVxZnZubEYzejg4Y2ZvM0xtejJzL0Z4UVdMRmkzQ3lKRWpNWGJzV0x6NTVwc1lObXdZUWtKQ2NQcjBhVXllUERsUFdKZWFtb28vL3ZoRDdRc0FJU0VoR0RkdUhHYk9uQWtmSHgrMUx4Y21KaUtpNHJCanh3NU1tVElGQm9NQjA2Wk5ROXUyYmZQdGQvcjBhWHo0NFlkd2RIUkVSa1lHdnY3NmF4aU5Sa1JHUm1MRGhnM3c5L2ZIa2lWTDhNY2ZmK0Q0OGVPb1ZhdVd4ZmtKQ1Fsd2NuSmlZRWRFUlBTVU1MQXJoTFp0MjJMLy92MVl1SEFocWxTcFlySCtSMzRLODR1NW01c2JQdjc0WS96MjIyLzR4ei8rWVhGczBLQkJpSXlNeEpBaFErRG01Z2JrR3YzbTZ1cXF0aFhHN3QyN01XUEdEQ3hjdUJBQkFRRUFvSzZybHhQWXpabzFDMXUyYk1HS0ZTdXNlY3Fld2RmWHQ1Rk9wMnNsaFBBQkVLRFg2MnNLSWV4eUIzTzU1U3hWa2V1NFFRalJ5Yy9QcjRFUUl2ZEpNdGM1RXZkR1ZlVnB1Ly9yL003TGFWY1VwZEQ5YzMzOXlPZGwxMXpvdnJuYlRDWlRucjUzTTJWVm80Mk1SVHg4K0RDcVZhc0dSMGRIdlBQT096aDkralJxMXF3Smc4R1FaMTBlWkwvZW5aeWNzSDM3ZGtSSFIyUHQyclVZTkdnUTVzMmJoM256NWxuMDdkKy9QNHhHSXpwMzdxeStMbk5lLzI1dWJrVjZyUklSRVQwT1JWRXdmLzU4ckY2OUd0V3FWY1BNbVRQeHdnc3ZQUEFjblU2SHc0Y1A0NVZYWHNHNmRlc3dlL1pzTkd2V0RFbEpTUlpMc0RScDBnUmZmZldWeGJrclZxekEzcjE3bjlyOUVCRVJsWFFNN0FxaFE0Y09DQWtKd2FaTm16QjA2RkMwYXRVS0gzendRWjUxcm9xcWQrL2VLRisrUEk0Y09ZTHQyN2ZqM1hmZlJibHk1VkM3ZG0yOC8vNzc2TlNwazlvM0o3QzdmenJEdzNUcjFnMEhEeDdFK1BIanNYMzdkdGpiMjFzY1AzbnlKRFpzMklEQXdFQ0xEUzZzaDBRcGUxMzdoZzBianBGUzFnTGdrUjI4Q1NrbDdnL3JIcktlckwwUTRnc2hoUEt3WjMzSTFOazh4M0xWSWZHQURRZnVDK0x5WEVhdjF6K29MRm5RQ01MSHFkbGdNT1E1NW1SdmpzMHl3aVoyVFlpSmlZRzd1enZLbGkwTGc4R0FDUk1tWU5HaVJlcm8xZlQwZEtTbnA2TmN1WExxT2ZQbXpjT0ZDeGVnMSt0aE1CZ3daTWdRdUxxNll1L2V2VGgxNmhTR0RoMEtaQyswM2I5L2YvajcrNnZuNXV6Y2QvOXJqWWlJNkdtNWMrY094bzBiaDZOSGo2SlZxMWFZUEhreVhGeGNDbjErUmtZR0hCd2NDankrYjk4K2hJYUdXclNscHFhaVVxVktqMVUzRVJFUkZZeUJYU0VJSWZEWlo1K2hXYk5tbUR0M0xnNGVQSWlEQncraVhidDIrT1NUVHg1ckZFMzc5dTJoMCttd2ZmdDJ2UEhHRy9EeThvTEpaSUxSYU1UVnExZHg5ZXBWQU1ETm16Y0JBSC8vL2JmRko1NEFVS1ZLbFh5bnNpWW1KaUkwTkJRdFc3WkU1Y3FWY2ZEZ1FRQkFWbFlXTGx5NG9FN1g3ZHExSzV5ZG5iRm56eDQwYk5qUUlyaXdEbVlocFhBRVlBL0FqSHpDcWdmSkhlSUpJVEtsbEtiY2g0dFlUTDc5Q3dnS2kzSnRVWWorUWdnQktlVVRxVGxIUG4rWFFnaWRBZEpjeEtleFRpTkhqc1NnUVlPd1o4OGVyRjY5R2tJSWRPblNSVDMrM1hmZlljV0tGZGk5ZTdmRmVia0RiTDFlano1OSt1RFNwVXU0ZVBFaSt2VHBBMlJQazIvZXZEbUNnb0xVdnRIUjBVRDJwaE8zYjkvT2M4MVNwVW85dFhzbElxS1M1OXExYXhneFlnVE9uRG1EZ1FNSDRzTVBQM3pZQjVnV0VoSVNnT3dsVlFwU3AwNGQ5T2pSdzZMdGp6Lyt3UG56NXgramNpSWlJbm9RQm5aRjhNb3JyNkJGaXhiWXRXc1hsaTFiaHQyN2QrUEVpUk5ZdkhoeG5uVTlIc2VkTzNjc0ZzalBiZlhxMWVvaTl6bEdqaHlKL3YzN0E5bGhYTTRQYVRFeE1majAwMDlScGt3WkNDSHcrKysvQTltajlFSkNRaEFTRXFKZVkvZnUzVWhOVGNXaVJZdncwa3N2UGJGN2VYd0NhVWI1VzFSRXlNYytQajR2R2d5RzVrS0lSa0tJSmdEcUFIQjZ5THAxa0ZMbWZKMXVOcHY3U3luanM5dEZydk9FdmIxOW5yYWNyM092ZlpkZkh6czd1d2NlZjlEWEJvT2gwUDJMZWw1T1dKZTdUYS9YUDdBdkFOek5WSjZYRUpOZ0F4bzBhSUEzMzN3VGl4WXR3dXV2djU3dnVvK1BLaWdvcU1CTlpiNzQ0b3M4YmF0WHI4NTN6VW9pSXFKSEVSTVRnNUVqUitMMjdkdVlQSGt5T25ic1dPUnJiTisrSGZYcjE0ZkJZSUJPcDFNL2VNb3hhTkFnQU1Eenp6OXYwVjYvZm4ya3BLUTg1aDBRRVJGUlFSallGWkZlcjBlblRwM1F2bjE3ekpvMUN4czNic1NFQ1JPd2J0MDZQR1E2bzRYMDlIUjFFV0N6K2Q1SXBwek5KRDc4OEVOczM3N2Rvdi9telp2eHd3OC93Tm5aR1d2WHJyVjRyakpseXFoZjM3MTdOOC9DK0Z1M2JvV3JxK3NENjdsKy9mb2ovWkJYakdSa1pHUU1nSmdxVmFyODZPcnE2bVpuWjFjZHdOc0EzaFpDVk1JRE5wMzRYNU84RUJZV2x2OVdaNlR5OHZadENrTlJCL0pacjA2ZE9tSGJ0bTFZdVhJbGxpOWZibkhNWkRMQlpES2hlZlBtZWM3YnNXTUhvcU9qTVdiTW1IejdMbGl3SU05cjljc3Z2MFJRVUJBQ0FnSVFHQmhvY2N6ZDNmM0ozeHdSRVpWSXg0OGZ4K2pSbzJFd0dMQjA2VkkwYU5EZ29lZGtabVphVEgyVlVtTFRwazBZTjI0Y2tQM2g5T0xGaTVHU2txSit3RFJnd0FCMXVZZjhIRDU4K0luY0R4RVJFVmxpWVBlSTdPenNNSGJzV0J3NWNnUm56cHpCMmJOblViTm16U0tkUDM3OGVBQkFWRlFVMXE5ZnIyNHlVYWRPblR4cmdrUkdScUpzMmJKSVNVbkJsU3RYQ2h3Rmw1S1NrbWZOa3R4cjRkbUNoSVNFOUlTRWhFc0FMZ0U0QUdDMHY3OS9XeUhFdXdDYUNTSEtTQ2xMQ1NGMHVHOTl1WWVzODBZMnFrcVZLa0QyZEovN1I4UWRQSGdRZi83NVo3NGo1WnlkbmVIdDdhMitWbi81NVJkRVJVV3BmYXRYcjI0eGhTZ3pNeE5SVVZFb1c3WXN3c1BEVWJac1dVNkJKU0tpSjI3djNyMzQvUFBQNGVibWhvVUxGOExMeTZ0UTU4MmNPUk9uVHAzQ2dnVUxnT3paQ011V0xVT05HalVBQUIwN2RrVEhqaDN4M1hmZnFVdXd6SjQ5Vy8xd0dkbWJXNnhZc1FMSGpoM2pEckZFUkVSUEVRTzd4eUNFUU9uU3BZSHNhYXhGWVRBWTFCRnQ5dmIyV0w5K1BWcTFhcFh2RDF3SkNRa0lDUW5CQng5OGdGMjdkbUhMbGkwRkJuWm56NTdOczlQcjVNbVRIeG9hSkNjbjQvUFBQeS9TUFZpUnJKQ1FrRjhCL09ycjYxdEJyOWMzQmRBVXdFdFNTbjhBcmpscnhPV2Uya3EyejJnMEFnREN3OE1CQUMrODhBSWFOR2lBYWRPbW9XL2Z2dkR5OHNMZmYvK05vMGVQb25QbnpyaDgrVExPbkRtRFZxMWFxZGVvVUtHQytscU5pSWpBNmRPbkN4eU4rdnZ2dnlNakl3TlRwa3pCMkxGanNXUEhqanhyL2hBUkVUMk84UEJ3ZlA3NTU2aGN1VEtXTEZtQ0NoVXFGUHJjNU9Sa1JFZEhxenVhU3luVnRabHp5NzFzU3U2UmUrZlBuOGY0OGVPUm1KaUllZlBtNVRzNm5ZaUlpSjRNQm5hRjhNMDMzNkIxNjlaNDZhV1hMSGIvM0x0M0wrTGk0dURvNlBqWU84Ym1kdVBHRFl1cGN6Tm16SUFRQWgwN2RvU0Rnd05telpxRjBOQlErUG41V1p4MzU4NGRYTHAwU1oxcW02Tk1tVEpxc0ZpUTNKK2NQc3ZDdzhQL0JyQU53RTRmSDUveWVyMitrazZuYXkrbDdDR0VLUHdRU0xJSk0yYk13SlVyVjVDUmtZRnExYXJCeDhjSGE5ZXV4ZGF0V3kwMm5zaXhaczBhYk5xMENWOTk5ZFZEcDRncmlvTGs1R1NVTDE4ZXlKNk92bURCQW5oNWVlSFZWMTlGaXhZdHNIVHBVblRzMkxGSU8vVVJFUkU5eUxScDArRG82SWhGaXhZVkthd0RnQ3RYcnFCaXhZcnEwaXBTU3Z6MjIyOTUrdDI4ZVJQVnExZEhhR2dvVWxOVDFmWTllL2JnMHFWTEdEdDJMTXhtTXc0ZE9nUUFhTkdpUlpFMnVpQWlJcUtIWTJCWENMR3hzZGkwYVJOYzQ4Q1gvUUFBSUFCSlJFRlVYRnpnN2UwTk96czdYTGx5Qlpjdlg0WVFBdVBHamN1emJ0eWpTRXRMdzVRcFU5UVJPZ0N3WWNNR0hEcDBDRU9HRElHbnB5ZTZkZXVHZGV2V0lUQXdFQ3RXckxEWTBYWC8vdjB3bTgzdzlmVzF1RzVCRzFqWU9GTmtaT1IxQU5jQmhBQ1lYcjkrL2RwR28vR3kxb1ZSOFhucnJiZVFtSmlJQ2hVcTRQWFhYMGRpWWlLV0xWdUd0OTkrTzkvTkgwYVBIbzBiTjI1ZzRzU0pNSnZOZU9PTk4vSzlia0pDQWlaT25JZzMzM3dUWGJwMGdkbHN4dVRKazVHWW1JaXZ2LzRhQURCczJERDA2dFVMZ1lHQm1ENTllcEhXdUNRaUlzcFBVbElTWW1OajBiRmpSM2g2ZWhicDNMdDM3K0xjdVhObzJyU3AycWJUNmJCKy9mbzhmWE9teEM1ZXZCaVJrWkZxdThsa2dxSW8rT2FiYnl6Nkh6eDRrTi9uaUlpSW5qQUdkb1V3Yk5nd2JOdTJEUkVSRVlpS2lvS1VVcDBtMTd0Mzc4ZmU5VEVwS1FrQThPOS8veHVsU3BWUzE4dmF2SGt6cGsrZkRsOWZYN3o3N3JzQUFBY0hCM3orK2VjWU1XSUVoZzhmanJsejU4TE56VTFkTk5qVjFkWGlCekVBK1BYWFh5M1cyY3JQdFd2WDBMVnJWMXYrZEZSR1JFVEVhbDBFRmErNmRldkMzOThmQUpDUmtZR2hRNGVpYk5teUdENTh1TnJIYkRhci8rNE5CZ08rK2VZYmpCZ3hBbDkrK1NYczdlM1J2bjE3dFc5aVlpSnUzNzZObmoxNzRzVVhYMFNqUm8xZ01wa3dhZElrL1A3NzcralhyeDhDQWdJQUFEVnExTUNBQVFPd2ZQbHlUSjQ4R1o5Ly9qbnM3ZTJML2UrQWlJaHNSNWt5WldCblo0Zmp4NC9qNU1tVGFOQ2dBZXpzN0I1NFRucDZPczZlUFlzbFM1WWdJeU1qejdJcStXMG9vU2dLQUdEcDBxVVc3U3RXck1ET25UdngzLy8rOTRuY0R4RVJFUldNZ1YwaE5HN2NHSTBiTjM2a2M5dTJiWXVnb0tBSDl0bTllemVRdmREdmlCRWprSjZlanJGangyTHYzcjN3OGZIQi9QbnpMWDRZYTlhc0dVYVBIbzBaTTJhZ2UvZnVtRGx6SmxKU1VoQVpHWW1CQXdmQ1lMRDgzMnB2YjIreEl4aXl3NHVaTTJmQ3djRUJPcDBPMGRIUkFKQm5zd3NpV3hFYkc0c3JWNjVnN3R5NWlJMk54Y21USitIbzZJaHQyN2FwMDFxUnZTSE16Smt6TVhYcVZOU3JWMDl0djN2M0xvNGNPUUk3T3p0OC9QSEg2TktsQzA2ZE9vVi8vZXRmT0gzNk5McDM3NDVSbzBaWlBPZUhIMzZJOCtmUFkvdjI3WWlPanNhaVJZdmc1dVpXclBkTlJFUzJ3ODdPVHYwWk1HY0doYjI5UFhRNm5mckhiRFpEVVJUMVQ2N050OUN5WlV0MDd0eFpmV3cybTlHc1diTjhueXZuWjk4alI0NGdLQ2dJQm9NQnUzZnZ0dmllU1VSRVJFOFBBenNyTUhyMGFGeTllaFZ0MnJRQkFCdy9maHg3OSs1Rmx5NWRNSHIwYUhWaDROeDY5KzZOc21YTFl1WEtsZW8wM1JZdFdtRGd3SUdGZWs1SFIwZGN2SGdSTjIvZWhKUVNwVXVYeHZqeDQ5WGROSWxzalorZkgzYnMyQUVYRnhmczM3OGYvL2QvL3djQUtGKytQRDc1NUJPTHZzN096dXEwOU54dDQ4ZVB4NHN2dm9qcTFhc0RBSGJ1M0ltTEZ5OWl6Smd4Nk5XclY1N25GRUxnbTIrK3dkeTVjM0h0MmpYK2trTkVSSSt0ZS9mdWVPMjExM0Q4K0hIOC9mZmZTRTlQdHppZWU3YUVFQUo2dlI3UFBmY2M2dGF0bTJmTlpaMU9oelZyMXVSNWpwOSsrZ25uenAwRHNrTzkzYnQzUTFFVXVMdTdXNHhTSnlJaW9xZkg2dVkvZXIzbzF4b0NXOTNMbDNkZE9uOFcvUDE4QzNHVzdUbDE2aFJxMWFyMTBINktvdGprbWlIUk1YRVlNdndqSkZ5K2tnRXB1NXlQQzkrbGRVMGxpWmUzYjFNWWRPc2NIT3k5NXMzNEZ1M2J2cXAxU1ZiSmFEVGl5cFVyK2U3dWZMOW45YlY2NE5CaGpQaGtIRzZucGw2REZMM1B4NGIrb1hWTlJFU1B3dC9mL3hVaHhIb3BwU09BdDBKQ1FnNW9YVk5SeU54RDVaNEFSVkdRbnA3K1JEZEdFamE4dGdvUmJPQjloSWllTGJwQzlDRU5GQ2FzQS9CTUJnQkV0c0xlM3I1UVlSMzRXaVVpSWl1ajErdTVpemtSRVpFVjQ1UllJaUlpSWlJaW9senExYXRYenM3Tzd2bjdtcjBCR0lRUWVpbWx0NStmWDBydWczZnYzazA0ZGVwVVl2RldTa1MyaW9FZEVSRVJFWkdWZXhMVFRYMTlmWnNhRElhdFVrcEhJVVR2NE9CZ0xqbENWQUNEd1ZCTnA5T3R2YS9aR1lCcjlrdHlvaERpYnU2RDl2YjIvUUF3c0NPaUo0S0JIUkVSRVJFUkVWRXVZV0ZoSWY3Ky9wNUNDTmNDdWxpTXZwTlNKa1pHUnA0c251cUlxQ1RnR25aRVJFUkVSRVJFOTVGU0xzditML0xiOXlWM3U1UXk3NWJMUkVTUGdZRWRFUkVSRVJFUjBYMFVSZGtvcGN4NldEOHBaYWFpS0Q4VlQxVkVWRkl3c0NNaUlpSWlJaUs2VDFaVzFua0FVUTlhUWxJSUFTRkVwQkRpVExFV1IwUTJqNEVkRVJFUkVSRVIwWDEwT2wycUVPSzR6R2MrYks2cHNGSktlZnptelp0Sld0UklSTGFMZ1IwUkVSRVJFUkhSZmFLam80MW1zL2tvZ0RUa0N1bHlFMEprQURpYWtKQ1Fya1dOUkdTN0dOZ1JFUkVSRVJFUjVVT24wLzBGNEVaQng2V1V0ODFtODEvRld4VVJsUVFNN0lpSWlJaUlpSWp5RVJ3Y2ZBcEFiTTQ2ZHJsM2hzMXVpd2tMQzR2WHRrb2lza1VNN0lpSWlJaUlpSWp5cHlpS3N2a0J4MWNETUJkalBVUlVRakN3SXlJaUlpSWlJaXJBM2J0My95dWx6THEvWFVxWmVlWEtsUTNhVkVWRXRvNkJIUkVSRVJFUkVWRUI0dVBqYndQWWxETXRGditiRHJ2NSt2WHJhVnJXUmtTMmk0RWRFUkVSRVJFUjBRTUlJVmJKWE52RVNpbk5Vc3FOMmxaRlJMYU1nUjBSRVJFUkVSSFJBMlJrWklRQ3VDQ0V5QmxkRjY4b1NvVFdkUkdSN1dKZ1IwUkVSRVJFUlBRQVRrNU90NldVeCtYL0hEY2FqVGUwcm91SWJCY0RPeUlpSWlJaUlxSUhDQW9LU2djUUpvUlFoQkFLZ1BDNHVMaFVyZXNpSXR0bDBMb0FJaUlpSWlJaUlpc25wWlJIQVNSS0tSMEFITkc2SUNLeWJSeGhSMFJFUkVSRVJQUVFLU2twUjZXVVp3RmNNQnFOSjdTdWg0aHNtOVdPc0RObUdSRWNGbzdicVJ4bFhCSmR1SlNBakl4TXJjc284Y3htTXlLalkrRGdZSzkxS2FTUjhNaG9tRXlLMW1VUUVSR1JGYWhVdmU3ejluYUd1bHJYb2FVc0JURlNtdlYzRlVNYnI5cStXcGVqTFdHTVBSOGJlMTdyTW9oc2xkVUdkcmR2cDJMNnJIazVPL0JRQ1NPbFJGWldsdFpsbEhnbWt3bEx2bHNCblk2RGNVc3FzOWtNazhta2RSbEVSRVNrc1VyVjZ6NXZiMisvRWdKK1d0ZWlwVFNqRklBQWRPSXRyV3ZSbW9ERHFhcmVQbjB1eFVlZTBib1dJbHRrZFlHZFdWRXU2dlQ2R0FsVU5Cb1oySlI0QXNsWkVHZTFMcU9rTVpwTlZ4eGdGeW1sUUZaV3lReHJwSlFRQXVMZTE1QWwvY01ESVhCR1VaU0xXdGRCUkVSRTJyRFhHU29COEJLQWE3bHl6OEhKMFZIcmtrZ2pHUm1adUhuckZzeFNQcTgzR0tvQ1lHQkg5QlJZWFdCMzhYVEUrUmRxKzc0ckZUeW5kUzJrUFNuTUtaZFBSOFpyWFVkSmMrVnM5S1huYTlZZnFaT2lndGExYU1YQkRsNU85cm9oUXVnTTZjYXM1WmxHRWFOMVRWcktra3Bpd3Brb1Rua2dJaUlxNGV6czdQRGVnSDU0S2FDUjFxV1FSb0xEd2pGNy9tS2szVTNUdWhRaW0yWjFnUjBBODdtNDhEaXRpeUFxNGVURjB4Rm5BWlRZMFkyK3ZyNVNyOWU5S0tWMExPVm9keVV1T3ZpWTFqVVJFUkVSYVUwSWdlcGVYdkQzSytIcnQ1Vmd0MU5Ub2RkenlSeWlwNDJ2TWlJaUlpSWlJaUlpSWl2Q3dJNklpSWlJaUlpSWlNaUtNTEFqSWlJaUlpSWlJaUt5SWd6c2lJaUlpSWlJaUlpSXJBZ0RPeUlpSWlJaUlpSWlJaXZDd0k2SWlJaUlpSWlJaU1pS01MQWpJaUlpSWlJaUlpS3lJZ3pzaUlpSWlJaUlpSWlJckFnRE95SWlJaUlpSWlJaUlpdkN3STZJaUlpSWlJaUlpTWlLTUxBaklpSWlJaUlpSWlLeUlnenNpSWlJaUlpSWlJaUlyQWdET3lJaUlpSWlJaUlpSWl2Q3dJNklpSWlJaUlpSWlNaUtNTEFqSWlJaUlpSWlJaUt5SWd6c2lJaUlpSWlJaUlpSXJBZ0RPeUlpSWlJaUlpSWlJaXZDd0k2SWlJaUlpSWlJaU1pS01MQWpJaUlpSWlJaUlpS3lJZ3pzaUlpSWlJaUlpSWlJckFnRE95SWlJaUlpSXFKOG1NMW1USm8wQ1NkT25MQm9uelp0V3A2MmdzVEZ4ZUhXclZ2NUhydHo1dzcyNzk4UG85R290b1dFaE9EMDZkT1BXVGtSUGVzWTJCRVJFUkVSRWRFekt5TWpBOG5KeVkvMVIwcVo3N1hOWmpOKy92bG5uRDE3Vm0wN2ZmbzBObTdjV09oUWJjcVVLZmo5OTkvelBYYjU4bVY4OHNrbnVIMzd0dHEyZXZYcUF2c1RVY2xoMExvQUlpSWlJaUlpZWlwMGxTcFZjcnh5NWNwZHJRdDVtaFl2WG93MWE5WTgxalgyN3QwTFYxZlhRdlhkdjM4L0FLQk5tellQN1p1U2tvSzR1RGhNbXpaTmJidDY5U3JHalJzSFpJZU5BREJ5NUVnWURQZCtQYjl3NFFLaW82TngvUGh4QUVDOWV2VXdkdXpZUjdncklucVdNYkFqSWlJaUlpS3lRYjYrdnBVTUJzTWZGU3BVMkdjMm05ZWJ6ZWJUZCs3Y3VYSCsvUGtNcld0N0dyNzg4a3ZZMjlzWDZaeGR1M2JoNE1HRDZtT1R5WVJwMDZhaFE0Y09DQWdJeU5OZlNvbGZmdmtGZGVyVWdhZW41ME92LzhjZmY4REp5UWw3OXV4UjJ6dzlQZEd2WHo4QXdKVXJWekIzN2x4MDY5WU5wVXVYQmdDc1hMa1NucDZlNk5DaEF3Q2dmUG55UmJvbklySU5ET3lJaUlpSWlJaHNsSlRTUTZmVERkYnBkTzhDaUNoWHJ0eFJWMWZYNHpxZDduQndjUEJaQUdhdGEzeFNYbnZ0TlRnN094ZnBuTGk0T0l2QVRsRVViTm15QmQ3ZTN2a0dkaWRQbnNUbHk1Zmg3dTZPRlN0V0ZIamRDaFVxb0ZPblR0aThlVFBzN2UyeFpNa1NPRGs1d2NYRkJhMWJ0OFpISDMwRVpBZDJFUkVSYU51MnJScllYYjU4R1o2ZW5tamJ0bTJSN29XSWJBc0RPeUlpSWlJaUloc2xoTWdKNUF3QS9BSDQ2M1M2Z1ZMS0ZIOS8vM0FBYTFKVFUzK0tqNCsvL1pCTFVmYjZjZ0FRR3h1TDJOaFlpMk1aR1Jtd3M3T0RYcStIajQ4UFBEdzhFQmNYaDIzYnRpRXdNQkJ0MjdaRnQyN2RBQUJmZlBFRmR1L2VyWjdicmwwN2JOcTBDVk9tVEVGb2FDZ0FJREF3RUFDd2FkTW1WS2xTcFJqdmtvaXNBUU03SWlJaUlpSWkyeVdRUFpVekY4ZnNQKzJFRU8xS2x5NTl3OS9mZnp1QXRabVptYWR2Mzc1OUl5RWhJVjJ6aWgvVFgzLzloWTgvL3JqQTQ2NnVydGl4WTBlUnIzdm16QmtjUG53WUFMQjc5MjZMMFh3UkVSRVlNR0FBWnMyYWhXYk5tZ0VBUm84ZWphNWR1OExEd3lQUHRVd21FK2JObTRlR0RSc0NBTnEzYnc4cEpZeEdJNlpObTRibXpadGJ0Qk5SeWNQQWpvaUlpSWlvQkJGQzZNeG1zNGVmbjUrWDFyWFEwNlVvU2tVcHBVNElBZHo3ZjU4bi9NbCs3QzZFR0FpZ3Y0T0RRNVM3dS90UmQzZjNjTFBaSEpTVmxSVWFIUjF0MU9ZT0hvMmlLTWpJeU1ENzc3K1BpaFVyV2h6YnRXdFhucEZ4aGJWa3lSTDE2NnRYcjZKR2pScnE0OFRFUkFDd0NPY21USmlnYmlTUm43bHo1NnJUWU5QUzB0VDJ4WXNYWTkyNmRYbmFpYWhrWVdCSFJFUkVSRlN5bEJKQ1RBVmcwenVIRW1DNGx4WTVJVHVzeS8xZjNEZnFMdnRyZ3hDaUFZQUdBTkoxT2wyU2c0TkRzSyt2Ny9xVU5PVzZnRTZEdTNoMExWdTJSTjI2ZFMzYVRwMDY5VWlCWFVKQ0F2YnQyNGZYWDM4ZHYvNzZLK0xqNHkwQ3UwdVhMa0VJWWJFUnhhSkZpN0J6NTA0QWdORm9SR2hvS0diUG5nMEFhTldxRmJwMzc0NjR1RGkwYU5FQ3lONVI5b1VYWG9DdnJ5K3FWNjhPNE41R0ducTkvdEgrQW9qb21jYkFqb2lJaUlpb1pMZ0Y0SWFVMGdWQW1ldy9aTnRFN2lteHVjTTY1RFBpTHZkaklZUVRnTXBDaU5JR2c4R25iQ2x4T2pYVFhHS1RveXBWcXFCdjM3NTQ3NzMzRUJFUmdSTW5UcWk3dUFKQWFHZ292TDI5VWFwVUtiWHRuWGZlUWVmT25RRUEwNmRQUjBCQUFOcTBhUU1BcUZPbkRtSmlZakI1OG1SMDZ0UUppeFl0UXBjdVhkQzdkMi84ODUvL1ZLK3hlZlBtWXIxUElySWVET3lJcU1ScjFLaVJzOWxzZHMvZEpxV3NLS1hVQ3lGMFVrb1BmMy8vYXJtUEs0cVNHQjRlemprS1JFUld5Ti9mdjVLVXNuSHVOaUdFajVUU0FZQ2RFS0tGbjUrZmErN2pVc3FUWVdGaGw0dTkyR0prWjJkM1ZsR1UwUUFxYTEwTEZROGhSRGtoeE5mWjY5WGxrZC9hYU5taFhicVVNbFJLK1JlQXZ4UkZDVWxNem5TemQzWmFVeHgxVzZ1Y2RmR2FOMitPM2J0MzQ5TlBQNFdkblIweU1qSVFGQlNFTjk1NHc2Si9wVXFWWUdkbkJ3OFBENVFxVlFxVksxZEd6Wm8xa1pHUkFZUEJnTysvL3g0dUxpNVl2MzQ5Y0c5RUpCWXRXb1RJeUVpTDZ3d2FOQWd2dlBCQ01kNHBFVmtEQm5aRVZPS1pUS2JhZXIwK09IZGI3aytnaFJBcjd6OUhwOU0xQVhDaW1Fb2tJcUlpRUVLVUZVTDhsRTk3enBkVGREckxxWDBtazZrK0FKc083SUtDZ3JJQTdDNUVWN0lSdnI2K1ZmUjYvVmRDaUh6WHI4dVI4OXFRVWlZQVdLMG95czk2dmY2UzBXaE16Rm0venN2Yjk3bmlyZDQ2WkdabTVtbnIyTEVqTm16WWdOMjdkNk5qeDQ3WXQyOGY3dHk1ZzQ0ZE8xcjB1M256SmpwMjdJaWdvQ0MxN2NDQkE5aTZkU3Y2OU9tRFE0Y09vVTJiTm5CMXZmZjVRZDI2ZGJGbnp4NzFjWTRIcllOSFJMYUxyM3dpS3ZIQ3dzTEMvZjM5STRRUTlRdlRYMG9aRXhvYUdseUlya1JFcElIZzRPQllmMy8vSUNGRW84TDBsMUtHaG9lSFJ6Mzl5b2lLbnhEQ2pQdEcwMlVIZElxVU1nWEFkU25sUVFEclFrSkNEbWhZNmhQMzNudnY1WmtHYkRLWkxLYXQzaS9uNytuT25UdjQvdnZ2c1hidDJqeDlmSHg4RUJBUWdNV0xGNk5WcTFiNC92dnZVYWRPSGRTclY2OVFkV1ZtWm1McTFLa0FnTFp0MjZKKy9Ycy9nbDY0Y0FHSERoMUNuejU5MUw1NnZUN2ZYV2FKeVBZeHNDTWl1dmNENnhvaHhMUmM2N1pZZE1qZExxWGNDRURScEZJaUlpb01hVGFiVityMStrYUZlVjgzbTgzckFlUS85SWpvMlNkZytScElsVktHQURnaXBUeVducDUrSWk0dTdvcW1GVDRsNzd6elRwRjNpVDEzN2h5UXZXR0VUcWREcDA2ZHNIMzc5ano5Um8wYWhRRURCcUIvLy82NGNPRUNsaTVkV3VpNkhCd2M4T21ubjJMYXRHbVlOR21TT29MT2JEYmo3dDI3Nk4yN3Q5clgwOU1UR3pac0tQUzFpY2gyTUxBaklycjNBOUxQUW9qUEFMZytxSitVOG83SlpQcWwrQ29qSXFKSG9TaktUcDFPOXhXQUIwN2prMUxlRWtMOFZueVZFUlV2S2FYSS9zRHhESUJWSnBOcGg2SW9sNTJjbkpLeXAwbmJIRzl2YndRR0JxSlZxMVo1cHBkV3IxNGRseThYUFBzOUxpNE9BTkNrU1JPTUhqMGFYbDVlK1FaMmRlclVRYWRPbmZEenp6K2pmdjM2Q0FnSUtGS05yNzc2S3FaTm00YTVjK2VxNThiSHgrUDk5OS9Idm4zN2luUXRJckpORE95SWlPNnRTWGNkd0FraFJMc0hyZThpcFl4V0ZNV20xemdpSXJJRkRnNE9pZG1qaU5vOFpOMnVrS3lzckt2RlhSOVJjVEFhamVsT1RrNExUQ2JUVCtIaDRYOXBYVTl4cVZDaGdybzc2LzE4Zkh6ZzQrTlQ0TGx2dmZVV1hGMWQwYXBWSytoME9waE1wang5cEpSWXMyWU50bS9manZMbHl5TWlJZ0xEaHcvSHA1OStpaXBWcWhTcDFoa3pacUIwNmRJQWdQVDBkTnk1Y3dlREJ3OVdqNWN0V3hZelpzd28waldKeURZd3NDTWlBaEFhR3BycTcrOS9VRXI1R2dDZGxETDNBc3c1LzVVQVFtSmlZaEkxTHBlSWlCNGlLQ2dvdFdIRGhzY0F2QUpBWDhEN3Vsa0ljU3d5TWpKSjQzS0pub3JZMk5na0FKOXBYVWR4aVlxS2dxTmp2aHZpRnVqR2pSdDUybHEzYmwxZy80c1hMMkxxMUtrNGNlSUUycmR2ankrLy9CS2JObTNDL1BuejhmYmJiNk56NTg3bzI3Y3Z2THk4MUhPeXNySmdOcHVSa3BLQzlQUjBpK3UxYmRzV05XclVBQUJjdTNZTkZ5NWNzRmpEenNIQm9VajNRMFMyZzRFZEVkRTlpaERpWlBiaXl3Vk5uN29MNERBQW01dytRa1JrWTh4bXMvbUVFQ0lGUUxrQyt0dzFtODBuQU9RZFFrTkV6NXdQUHZqZ3FWMzc5dTNiK005Ly9vTk5temJCd2NFQjQ4ZVBSOWV1WFFFQWZmdjJSZlBtelRGanhneHMyYklGVzdac1FhTkdqUkFZR0FnQWFOcTBLZlI2UGVMaTRxRFQ2VkM3ZG0zMXVsbFpXVEFhamVyWHVEY3lVajF1TkJweDlPaFJ2UHp5eTAvdDNvaklPakd3SXlMS2xwNmVIdWJvNkhnako3Qzdmd3FWRU9LMjJXdytwRlY5UkVSVU5DYVQ2YWk5dmYwTktXVTU1UE8rRHVDMjBXZzhwa2x4UlBURXJWbXpCazVPVGtVK1ordldyUS90NStEZ2dKQ1FFSFRvMEFIRGh3K0h1N3U3eFhFdkx5OHNXTEFBSVNFaFdMMTZOVnEwYUlHS0ZTdGl6NTQ5Y0haMlZrZktuVHg1RW9jUEgxYlBPM0xrQ0tLaS9yZEpkWU1HRGZLc21mZjg4ODh6c0NNcWdVUWgraEFSbFJqKy92N3JoQkM5OGduckFHQkhjSER3RzFyVlJrUkVSZWZuNTdkQ3A5TU55Tzk5WFVxNUtTUWtwTHRteFJFOVE3eThmWnZDb0Z2bjRHRHZOVy9HdDJqZjlsV3RTeXAyaXFKQXI5ZHJYWWJtRGh3NmpCR2ZqTVB0MU5ScmtLTDMrZGpRUDdTdWljZ1c2YlF1Z0lqSW1waE1wbFVGSFRPYnpkOFZielZFUlBRRXJDM29nTmxzWGxtOHBSRFJzNHhoSFJFVkp3WjJSRVM1cEtlbjc1TlNYcisvWFVwNUl6azVlWmMyVlJFUjBhTUtEUTNkSzZXOGNuKzdsUEphV0ZqWVRtMnFJaUlpSW5vd0JuWkVSTG5FeDhkbkNpSFc1ZXdrS0lUSW1UYTE5Zno1OHhsYTEwZEVSRVZtQnJEeS92ZDFBQnV6anhFUkVSRlpIUVoyUkVUM1VSUmxuWlF5TStleGxOSUlZSk8yVlJFUjBhTXltVXliNzN0ZnoxUVU1V2R0cXlJaUlpSXFHQU03SXFMN3BLZW5ud1VRa1dzMHhsbTlYaCtuZFYxRVJQUm9zckt5emdzaG9uUGUxd0hFbU0zbTA5cFdSVVJFUkZRd0JuWkVSUGN4bTgycFVzcEQ4bi9Dc3JLeWtyU3VpNGlJSG8xT3AwdVZVaDdMZVZNSGNDdzVPVGxSNjdxSWlJaUlDc0xBam9qb1B2SHg4WmtBd2dFWWhSQW1zOWtjR1I0ZW5xWjFYVVJFOUdpaW82T05ack01V2dpUkNjQmtOcHVqRXhJUzByV3VpNGlJaUtnZ0RPeUlpUEtoS01veEFOY0FwQUQ0WGV0NmlJam84ZWgwdW4xU3ltc0FrcVdVKzdXdWg0aUlpT2hCR05nUkVlVWpJaUlpRGtDOGxQSjhXRmpZU2EzcklTS2l4eE1TRWhJRElBN0FtZkR3OEdpdDZ5RWlJaUo2RUlQV0JSQ1JkYXBVdmU3ejluYUd1bHJYb1NXalNZa1FRbWZ2VmR1M3ZkYTFhRTRZWTgvSHhwN1h1Z3dpZW5SVnZYMXE2UFc2bWxyWG9hWE1MSE9rVHFERXY2K2JzckxPSkp5TjRhWWJSRVJFVm95QkhmMS9lM2NlSGZPOS8zSDhOWk5KTWdnaXdVMElZaWV4cFpxR1hOVmFhMnR4cXd0dDFkS2lGejlYcVY1WHBhWEYxVVl0TFcxY1VtcEpsWkpEcTRoYWlseGJ4ZFkyZGhwTG9yRlZFb25aZnYvSTNFNG5DS1dUOG55YzAzUHkvV3pmOTN6cXpPR2R6d0s0cVZBdHJMS1BqODljR2RUSTA3RjRVcmJGWVpBY2t0SFl3OU94ZUpwQnZnY3IxYWpYSSszdy9pT2VqZ1hBcmF0VW8xNTFrOGtyMFdFd2hIZzZGays2WXBYQjRYQTRaRFMrNE9sWVBNbms0M08rUXRVR0hVNGYyOHNONkFBQUZGRWs3QUM0OFRHYUtrZ0tOVWorQVFGbFZNeHM5blJJOEpEYzNEeWR2M0JCZG9lanNwZkpWRWtTQ1R2Z1Q4akxaS3JrTUNqRXkyajBEd3dJa0krUHQ2ZERnZ2RZTEJhZE8zOUJWcXZWN09PanF0ZTJDQU1BZ0NLSWhCMkE2L0wyOXRaTHZWNVExSU9OUFIwS1BHVFhucjJhL01GSHlzN2hrbHpnWGxDcVpFa05IZnlLYXRlczRlbFE0QUhIVHZ5a2laT202dXpQUDNzNkZBQUFjQk1rN0FCY2w4RmdVTFhRVUVVMGF1RHBVT0FodjF5K0xDOHY3aWNDN2hVbWswbTFhOWJnZS8wKzVldnJ5K3BLQUFEK0pQaFhHQUFBQUFBQUFGQ0VrTEFEQUFBQUFBQUFpaEFTZGdBQUFBQUFBRUFSUXNJT0FBQUFBQUFBS0VKSTJBRUFBQUFBQUFCRkNMZkVBZ0FBQUFBS3hlRndLTzNrS2YzdzR3RlBod0lQT1pGMlVuYWIzZE5oQVBjOEVuWUFBQUFBZ0VLeFdpMmFOV2VlRWhaLzRlbFE0Q0U1T1ZkMEpmZUtwOE1BN25razdBQUFBSERQc1Znc1NrOVBWOG1TSmVYdjcrL3BjSnpPbmoycmtpVkxxbGl4WXA0T0JiZ2xWb2N0MHlURGVidGRRZWtaR1o0T0IwWERSYnZWY3RiVFFRRDNLaEoyQUFBQXVPZk1uRGxUOGZIeDZ0Mjd0d1lOR2xTb1BydDM3OWI4K2ZNVkd4dnJWbWV6MmVSd09BcnM1K1hsSllQQmNOUHhzN0t5OVBUVFQrdlJSeC9WVzIrOVZhaVlnS0xpNUpIdmoxYXAwZkFsZzlGUXhkT3hvR2l3RzIxcFB4MytucjNSd0YxQ3dnNEFBQUIzM05HalI3Vmt5Ukx0MkxGREdSa1pzbGdzQ2dnSVVFaElpSm8zYjY0dVhicW9SSWtTYnYxMjdOaWhCUXNXYU4rK2Zjckt5bEpnWUtDZWZmWlo5ZXpaVTVLMGRldFdMVjY4V0dQSGppMnd2eVNkUEhsUzgrYk5VMUJRa09iUG42OU9uVG9wTkRTMHdIWWZmZlNSUm84ZUxiUFpyTXpNVEczZXZGbVNkUGp3WWExYnQwNHJWNjdVaEFrVEZCTVRvNk5IanhiNHZyZmZmbHNkT25TNDZaejQrZm1wWDc5K21qUnBranAyN0tqSXlNaWI5Z0dLRVB1SnczdFNKS1Y0T2hBQXVCK1FzQU1BQU1BZFk3UFpORzNhTkMxWXNFQU9oME9sUzVkV3RXclZaRFFhbFptWnFaMDdkMnJuenAyS2lJaFFXRmlZUzkvWnMyZHJ4b3daTXB2TmF0S2tpVXFYTHExVHAwNXAvLzc5empabno1N1ZoZzBiMUs5ZlAwMmZQdDF0dTJ0ZVhwNUdqUnFsY3VYS2FkNjhlZXJidDYvZWVPTU56Wm8xUzJhejJTM2UxYXRYS3p3OFhEMTY5SkFrV2ExV2RlellVZW5wNmFwYXRhcmF0Mit2Z0lBQXhjVEVLQ2NueDZYdit2WHJ0WGp4WW9XRWhMaThQem82K3Fiek5HREFnT3ZXTld6WVVQSHg4VGNkQXdBQTNMdEkyQUVBQU9DT0dUMTZ0RmF2WHEyUWtCQU5IejVjZi8zclgyVTBHcDMxNTgrZjExZGZmZVcyT2k0cEtVa3pac3hRL2ZyMUZSc2JxN0pseXpycnJGYXI4K2Nubm5oQ0Z5OWUxTlNwVXpWZ3dBQjkvUEhIenFTZHcrSFFXMis5cGRUVVZNMllNVVArL3Y0YU8zYXMrdmJ0cXhFalJ1ajk5OStYeWZTL3YvN21yL2I3OU5OUDlmVFRUMHVTREFhRFhuenhSVVZIUnlza0pFVGZmUE9OenA4L3IvcjE2MnY5K3ZVS0R3OVgrZkxsbFpHUm9WV3JWdW01NTU1VGd3WU4zT2JocWFlZVV2UG16ZDNLN1hhN3kzeFlyVmJaYkRiNSt2bzZ5MHFXTEhsYmN3OEFBTzRkeGtLMEFRQUFBRzVxeVpJbFdyMTZ0VUpEUXpWMzdsdzkvUERETHNrcFNRb0lDTkFMTDd5Z0tsWCtkd3lXMVdyVnBFbVRWTEprU1UyZVBOa2xXU2ZKSmNrbVNUMTc5bFR2M3IxMStmSmxYYng0VWJxMnNtM2t5SkZhczJhTi92V3ZmNmxxMWFxU3BQRHdjTDM5OXR2YXNtV0xoZzRkcWt1WExybU05ZFJUVCtubm4zL1dtalZyWkRBWVpEUWE5ZlRUVHp0WHphMVpzMGJmZnZ1dGJEYWJQdm5rRTczODhzdEtUMDlYVEV5TWdvT0ROWGp3NEFMbm9tclZxb3FPanRhSkV5ZVVscGFtNk9ob1ZheFlVY09HRFpQQllGQjBkTFNpbzZPMWZmdDJ2Zi8rKzVMa0xLdGZ2Lzd2K0w4QUFBRHVCU1RzQUFBQThMdFpyVmJObkRsVGt2VE9PKy9jMHMyc1c3WnMwYzgvLzZ4dTNicXBUSmt5aGVvemFOQWdmZmJaWndvTkRWVmFXcHI2OWV1bnRXdlg2clhYWGxQZHVuWFZzV05IclZtelJwTFVwazBieGNURWFOdTJiZXJSbzRlU2s1T2Q0MFJGUmFsY3VYSmFzMmFOL3ZLWHY4aHF0V3JhdEdsYXVYS2w0dVBqdFdIREJqM3d3QVB5OHZMU2pCa3pWS3BVS1QzMTFGUGF0MitmeG84ZkwyOXY3K3ZHbUplWHA3aTRPSjA1YzBhU2RPalFJVm10VmxXb1VNSFpwaytmUHFwUm80WUdEeDZzeVpNbkYzck9BQURBdlkwdHNRQUFBUGdtQnhCSEFBQWJHRWxFUVZUZGR1L2VyWFBuenFsaHc0YXFXN2Z1TGZYZHVuV3JKT212Zi8yck1qTXpsWlNVcExObnp5bzRPRml0V3JWU1lHQmdnZjM4L1B6MDhjY2ZhODZjT2ZMeTh0TEVpUlBWcWxVclNWTHo1czAxWnN3WVZhbFNSYlZyMTFibnpwMVZ2bng1alJ3NVVvTUhEMVpFUklSbXpKZ2hIeDhmL2Z2Zi8xYWRPblZrTnB2MXdnc3ZhTU9HRFZxOWVyWE1ack42OWVybHZCekN6ODlQMDZkUFY3OSsvV1N4V0Z4V0NSYmttMisrVVZaV2x0cTJiYXZNekV6dDM3OWZKcE5KeFlzWFYyWm1wclBkcUZHakZCWVdwa2FOR2lrek0xUEZpaFc3N29VYUFBRGcva0RDRGdBQUFMOWJhbXFxSkJWNG50dk5IRDU4V0pKMDRjSUYvZU1mLzFCV1ZwYXo3b01QUGxCc2JLeWlvcUxjK2hrTUJsMitmRmsxYXRUUXVISGpYQkpvYjc3NXBycDM3NjVYWDMxVkNRa0pLbFdxbEpvMmJhb2xTNWJvMy8vK3R4NTQ0QUg1K1BoSWtobzFhdVRzZC9EZ1FRMGFORWd0VzdaMGxxV2twR2pFaUJITzUrenNiQmtNQmozMjJHTzZldldxbWpkdnJyZmZmdHN0dnExYnQ4cmhjT2lGRjE1d0tXL1hydDBONTZONzkrNGFQbno0VGVjTkFBRGN1MGpZQVFBQTRIZkxQMHV1ZE9uU2JuV3hzYkZLU0Vod0tYdisrZWMxZE9oUWw3NnhzYkhxMjdldk9uWHFKSnZOcG1YTGxpa3VMazZ2di82NmxpOWZybEtsU3JtTm5UL0diOCs1SzE2OHVNYU5HNmY5Ky9lN1hPSlF0bXhaeGNiR3VyU05qNDlYdTNidGxKV1ZwVzNidHVuWXNXT2FPbldxczc1Ly8vNUtTa3B5UG5mdTNGazlldlRRTTg4OG83Lzk3Vy9POC9KK3pXQXdxSC8vL25yMjJXY2xTVGs1T1hybGxWZlVyVnMzUGY3NDR6ZWN5NENBZ0J2V0F3Q0FleDhKT3dBQUFQeHVack5adXBhWStxMnFWYXVxYWRPbWtxVE16RXdkT25USXBmN3ExYXVTcFBidDI2dG56NTdPOG43OSt1bm8wYU5LU2twU1VsS1Nubnp5U1dmZDRzV0xkZkRnUWYzZi8vMmZ6cHc1bzR5TWpBTGpxbGl4b2padjN1eFNGaDRlN2t5S3BhZW5hL3IwNlNwZXZMaTJiTm1pRmkxYUtEbzZXdVBHamRPd1ljTlV2bng1MWFsVFIxOSsrYVVxVjY3c3NvSXdQVDFkUnFOUm5UdDNkcFpkdVhMRk9SOFZLMVpVeFlvVkpVa3JWNjZVM1c1WHk1WXRWYWxTcFFKak5ScU5iSVVGQUFBU0NUc0FBQURjQ2ZrWEtmdzJHU2RKVHo3NXBEUFp0bkxsU28wZVBkcWx2bGl4WXBMa3NnMDFYM1IwdEpLU2tuVDA2RkdYOG0rLy9WYTdkdTNTYTYrOXBnVUxGdWpMTDc4c2RLeFRwa3pSd3c4L0xFbk9jWU9DZ25Ua3lCSG54Um1TOU9pamp6by8xei8vK1UrMWJOblNKV0VYRkJTa0pVdVd1SXlkbjdEejgvTnpLYysvQUdQQWdBSFhqYXRtelpyNjdMUFBDdjA1QUFEQXZZdUVIUUFBQUg2M3lNaElHUXdHYmR1MlRlZk9uYnZ1UlJFRkNRa0owYUZEaDJTejJkenFpaGN2TGtseU9Cek9NcXZWcXBTVUZEVnUzRmcrUGo0YU1tU0lYbnJwcFJ1K0l6VTFWVys4OFlhQ2c0TVZIaDd1TEQ5NDhLQzh2THdVR1JtcGNlUEc2Y0tGQ3pwMjdKZ2tLUzB0VGVmT25WTkFRSUJzTnB2THR0dlBQLzljbXpadGtpVDE3ZHRYRVJFUmtxUkxseTVKdjBuWUhUdDJUSnMzYjFaZ1lLQzh2YjBWR3hzcm85SG9yRDk3OXF5R0R4K3U2T2pvUXM4WkFBQzR0NUd3QTRDN3pPRndhTnUyYldyVXFKRnp5MWhoSFQ1OFdDdFhydFRmLy81M3QvT1pmdXVqano2UzNXN1h3SUVEZjJmRUFIRHJ5cFVycDlhdFd5c3BLVW5qeDQvWHUrKytLeTh2cjBMMWpZaUkwUHIxNjdWcjF5NjNTeXNPSERnZ1hkdFdtKytISDM3UWxTdFhuTnRzQXdJQ2JuanUyNkZEaHpSaHdnU1ZMMTllY1hGeExtMFBIRGlnYXRXcXlXS3hxRisvZnRLdmtvT0RCZzJTcnEwUXpNN09kdmtPTDFldW5LcFhyeTc5SmpsMy9QaHhTVkxseXBXZFpUTm56bFNKRWlVMGUvWnNQZi84ODlxNmRhdDY5KzR0U2JMYjdZcU5qVlhGaWhYVnYzLy9RczBYQUFDNDk1R3dBK0F4VnF0Vi8vclh2N1IrL1hxOTg4NDdldXl4eHdyVkx6YzNWN201dWJmOVhuOS9mK25hMlVNblQ1Njg3WEYwN1l5aWV2WHEzYkROamgwN05IRGdRUFhxMVV1REJ3OHUxTGdPaDBNR2cwSEhqeC9YM0xsejFiOS9mOWxzTm5sN2V6dFhaV1JsWlduaHdvVnExNjZkS2xldXJBTUhEdWpJa1NNazdBQjR6UERodzdWcjF5NXQyTEJCZ3djUDFxdXZ2cW9hTldvNDZ5MFdpM1AxMnErMWE5ZE9IMzMwa2ViTm02ZTJiZHM2dDZFZVBYcFVpeFl0a3Rsc1Z1dldyWjN0dDI3ZEtsM2JMcHZ2MUtsVG1qZHZubnIzN3EyLy9PVXZ6dkxEaHc5cndJQUJNcHZOaW91TGM2bVRwTysvLzE2Tkd6ZVd2NysvZHV6WUlVa2FOV3FVVWxOVHRYanhZdWQzYnZQbXpWMVcrYlZvMFVMUFBQT00yMmM1Y3VTSVNwUW9vYUNnSU9uYURiTkpTVW5xMTYrZktsV3FwSC84NHgrYU1HR0NLbFNvb0ZhdFdtbjA2TkU2Y09DQTR1TGk1T3ZyZTF2ekRnQUE3ajBrN0FCNGhNVmkwZXV2djY0dFc3WW9MQ3hNWThhTVVZa1NKZFNzV2JPYjlrMUlTTkNISDM1NDIrL2V0R21UaWhjdnJxKy8vdnAzalNOSm9hR2grdUtMTDI3WVp0bXlaZkx4OFZIMzd0MExOV1pHUm9aNjllcWxUejc1eEtYOGl5KytVSHg4dkJJVEUrWG41NmZ2dnZ0T2NYRnhpb2lJVU9YS2xSVVdGcWJObXpjckt5dkw3ZXdrQVBnamxDMWJWak5uenRUUW9VTzFiZHMyUGZQTU13b09EbFpRVUpCeWNuSjA4dVJKWldkblM1TEtsQ25qN0JjWUdLZ1JJMFpvekpneGV2YlpaOVc4ZVhQbDV1YnF2Ly85ci9MeThqUjI3RmlYOWhzM2JsUlFVSkNxVktuaUxOdStmYnNTRXhPVm1KaW9KNTk4VW4zNjlOSDU4K2MxWU1BQW1Vd214Y1hGT1JPQitTNWN1S0JUcDA3cHVlZWVjNVpsWm1acXc0WU55c3ZMMDZoUm8vVDIyMjhyUFQxZDJkblptamR2bnJwMjdYckRPZmp2Zi8rcnNMQXdTVkoyZHJaaVltSlVvVUlGdmZqaWk1S2tybDI3NnN5Wk0zcmpqVGMwYjk0OG5UaHhRdE9uVDFmZHVuVi85L3dEQUlCN0J3azdBSCs0OVBSMGpSZ3hRa2VPSE5GNzc3M25jaHZmNE1HRDlkeHp6OGxnTU54MG5KaVlHTGN0cG9tSmlkcTdkNjlpWW1MYzJtL2N1RkdyVjY5MlB2ZnUzZHU1SmVua3laT3kyKzB1VzVqaTR1SzBhTkVpclZ1M3JzRDNEeGd3d0NVeGR2WHFWYmZEeHgwT2g5YXRXNmNxVmFvNER4eS9uZ1lOR3FoZXZYb3FYNzY4cmw2OXFtKysrY1psSmNqT25Uc1ZFaExpZkdkeWNyTE1ack1hTldva1NXclNwSW5pNHVLMGR1MWFkZW5TNVlidkFvQzdKVFEwVko5Ly9ybVdMMSt1cEtRa0hUcDBTSHYzN3BXdnI2OHFWcXlvaUlnSWRlalFRZlhyMTNmcDk4UVRUeWdnSUVEeDhmRmF2MzY5REFhRDZ0ZXZyNzU5K3lveU10TFpMaU1qUTZtcHFXN2ZjMTI3ZGxYVHBrMzFuLy84UjRzWEwxWmlZcUpNSnBOTUpwTSsvdmpqQW05bVRVbEprU1RWcVZQSFdUWnAwaVQ1K3ZwcSt2VHBHanAwcUVhTkdxWEdqUnVyUklrU3lzckswaHR2dkZIZ1dYdTZ0c3J2eHg5LzFNaVJJMlcxV2pWcTFDaGxaR1M0cko3THpjMlZ2NysvakVhamZ2enhSOVdvVWNPWnhBUUFBTWhId2c3QUgycmR1blY2NTUxM1pEYWJOWFBtVE0yWk0wZXBxYWw2ODgwM0ZSd2NyTW1USnlzNU9WbWpSNDlXY0hEd0RjZHEyYktsU3BZczZWSzJjK2RPL2ZERER3VnVyejE5K3JSTHd1N1hKazJhSkt2VnFnOCsrTUNsM0dxMWF0dTJiUzVsUnFOUjRlSGhTa2xKMGZEaHc1M2xlWGw1bWpScGtveEdvOHU1VFFhRFFULzk5Sk9tVFp0MjNjOWlzVmoweWl1dnFGNjllaklZREdyU3BJbldyVnZuWEpWMzllcFY3ZGl4dzNtK1VWNWVubGF0V3FWSEgzMVUzdDdlMHJXRVgwaElpQklURTBuWUFmQW9iMjl2bDV0aEM2dFpzMlkzWFdtOWNlTkdTVkpVVkpSYlhWQlFrRWFQSHExZXZYcnB3dzgvMU5xMWErWG41NmRObXphcFFvVUtibHRPZi96eFJ4a01CdFdxVlV1U05HUEdESzFaczBiang0OVhvMGFOOU1FSEgrak1tVFA2K09PUDFhcFZLejN5eUNONi9mWFhaYlZhdFhQblR1ZnR0a2FqVVowNmRkSi8vdk1mZVh0N083ZTZidHEwU1NOR2pGRERoZzIxYjk4K2ZmdnR0MXE2ZEtseWMzUFZxMWN2UGZqZ2czci8vZmMxYU5BZzFheFpVMjNidGxWa1pLVEN3c0lLZmY0ZkFBQzRONUd3QS9DSE9IbnlwQ1pPbktqazVHUzFhTkZDbzBlUFZ1blNwVld4WWtWOThza242dGl4by9yMTY2ZUlpQWk5OWRaYjZ0cTFxNTU2NmluMTZkUEhaUnZVM1dDeFdMUm56eDZYTFZINXNyT3o5ZXFycjdxVW1Vd21MVnEwU0MxYnRuUWVlUDVyTDczMDBpMGRISDd4NGtXMWF0WEtwU3dxS2twang0NVZ1M2J0cEd0YnJISnljcHp0VnF4WW9heXNMTGZFWExkdTNUUmx5aFN0WExsU0hUcDBLSFFNQVBCblVhdFdMVFZ2M2x3UFBmVFFkZHRVcWxSSkV5ZE9WRXBLaW1Kall6VjE2bFF0V3JSSUNRa0pLbFdxbExQZEs2KzhvZ2NlZUVERmloWFQ4dVhMTlh2MmJQWHAwOGY1UzU5NjllcHAxNjVkT25IaWhONTU1eDNWclZ0WHMyYk4wdXpaczdWejUwN25DdXdPSFRxb1E0Y08yck5uajdwMzc2NHlaY29vSWlKQ3RXdlgxaE5QUEtFdVhicm8xS2xUS2xPbWpEcDA2S0NlUFh1cVhMbHlrcVNGQ3hkcXc0WU5XclJva2FaUG55NUpHakpraUhyMjdIbVhaeElBQUJSbEpPd0EzRlhIamgzVG5EbHp0R3JWS2xtdFZyVm8wVUp0MnJSeEhoaGV1WEpsMWE5Zlg3dDM3OWIrL2ZzbFNYMzc5dFdzV2JPMGNPRkNmZjc1NTNya2tVZjA0b3N2S2p3ODNHWHM5UFIwWGI1ODJhVXNKeWRIZHJ0ZHAwK2Zkb3ZsbDE5K0tUREdOV3ZXNk5LbFM5cXdZWVBhdDIvdmNzWlI2ZEtscjdzbGRzS0VDYmN4STRYVHRHbFR2ZnJxcTg3VkcxV3FWTkdBQVFNVUhCeXM3T3hzeGNYRktTd3N6R1dibUNROTg4d3pXckpraVNaUG5xekdqUnU3SGE0T0FIOTJqUm8xY2g0RmNETVJFUkdhUDMrK1ZxeFlvWXlNREpka25hNnRqTXYveFV1Yk5tMlVtNXVycDU5KzJxVk54NDRkNWVYbDVUeGpybjc5K3BveVpVcUI3NXN5WllvQ0F3TWx5V1djVWFOR3lXYXpLU29xeW0zbG5NRmdVSXNXTGRTaVJRdGxabVpxNTg2ZGF0T21UYUUrSHdBQXVIZVJzQU53MTJSbFphbDM3OTZ5V0N6cTJiT25VbEpTdEduVEp1M2F0Y3V0N2FSSms1dy81K1hsNmVyVnEvcjg4ODgxYTlZc3JWdTNUbjM2OUhIcjgreXp6MTczM1k4Ly9uaWhZcng4K2JKbXpKaWhxS2dvNWVUa3FHdlhyb3FPamxhREJnMlVtcG9xaThXaXBLUWsyZTEyMld3MjJXdzI1ODkydTExMnUxMjFhdFVxOUQ4ZUN5TTdPMXNuVHB4UXJWcTFuSE4xL3Z4NVJVUkU2TVNKRTRxTGk5UDU4K2MxZnZ4NHQ3NCtQajRhTldxVUJnMGFwSUVEQjJyMjdOa3FYYnIwSFlzTkFQNXNEQWFEbm5qaWladTJLMWFzbUZ1eVR0Y3V4Q2hvQlhaQmZuMEp4cThWdEgyM0lHWExsbld1ckFZQUFQYzNFbllBN2hvL1B6OU5talJKb2FHaENnd00xSkFoUTlTa1NSTk5uVHIxaHYwV0xWcWsyTmhZVmE5ZVhSTW1UTkNGQ3hjSzNCWTdiZG8wdC9PSTVzK2ZyeDA3ZGhUNGpsV3JWbW5ac21YT1o0dkZvdEdqUit1WFgzNVJURXlNeXBZdHExV3JWbW50MnJWS1RFelU1Y3VYWlRRYU5XYk1HRGtjRHRsc05qa2NEcGYvSlAzdW0yWi82OFNKRTI1YmFnY05HaVJKYXR1MnJZNGNPYUp1M2JxNXJhN0w5OUJERDJua3lKSDYrdXV2WmJWYTcyaHNBQUFBQUlDN2o0UWRnTHVxY2VQR0xzL256cDNUMnJWcmI5am53SUVETHMrL1RkYmwzODRYR1JrcEh4OGZsN3JWcTFmTFpETHB3UWNmZEJ0MzM3NTlMcyt4c2JIYXRtMmIzbnZ2UFFVRkJVbVNPblhxcEU2ZE9rbVNkdS9lcmVUa1pQMzk3Mzh2eENmOUg2dlZxcnk4dkVLM3YzcjFxc3R6alJvMWxKaVlLRWthUDM2OHRtL2Zyc1dMRjh2YjIxdCtmbjR5R28zNjhzc3YzVzZrL2JWYXRXb3BMaTZ1VUxmdEFnQUFBQUNLRmhKMkFQNVFSNDRjVVd4czdBM2JYTGx5NVliMSthdkc4bTlIdlYzZHUzZFg2OWF0NWV2cnEwMmJOcm5WYjl5NFVTdFdyRkQ5K3ZVTDdCOGVIcTZBZ0FDMzh2ajRlTVhIeDk5MlhENCtQcXBVcVpKeWMzTzFkKzllNmRwTmhtM2F0SkdQajQ5c05wdm16WnNuU2ZyNTU1L2w1K2ZuUE9zdXY2eDM3OTVxMEtEQmJjY0FBQUFBQVBBY0VuWUEvbEFQUGZSUW9iZkVYazkyZHJhOHZMeDA4T0JCdDdwTGx5N0pack81cmRLVHBNek1USmZuME5CUWhZYUc2dVdYWDlhZVBYdmNFb0JXcTFWV3ExWC8vT2MvM2NiS3pjM1ZsQ2xUOVBEREQ3dlZ0VzdkK3BZT0RNL0p5ZEdZTVdQY3lyLysrbXZsNXVaS2ttYk1tS0dkTzNmcXpUZmZsSmVYbDFhdFdxWDA5SFIxN05oUnc0WU5jem1mS1NvcVNtYXp1ZER2QjRCN1VWcGFtc3FXTGV2eUN3MEFBSUEvQ3hKMkFQNVFaOCtlMWNxVksyL1k1dnZ2djc5aC9jV0xGMld6MmRTalI0L3J0cmxSWFVFNmRlcWttSmdZbDdLRkN4ZHEyclJwMnJKbGk5djdXN1ZxZGQyeHFsV3JwdGF0V3hmNjNSY3ZYblFyczl2dFdyQmdnU0lpSXBTU2txS3hZOGRxd0lBQmF0aXdvYnAwNlNKSk9uNzh1Q1NwWExseXpuNE9oME5XcTVXRUhZRDczdkRodzVXWGwrYzhZZ0FBQU9EUGhJUWRnRC9VOGVQSE5XM2F0QnUyeWQ4U2UrWEtsUUpYUnB3NWMwYWhvYUVGM3BJNmUvWnNKU2NuYS9iczJXNTF5NWN2MTJlZmZWYmdPL1B5OHR4VzRHVm5aMHNGck16NzVaZGZiaGovbmZEbGwxOHFJeVBEZWJ0dXZYcjE5Tnh6ejdtc0hNdy9rNjlXclZyT3N2eXo4MWhSQXVCKzlzTVBQK2p3NGNQNjI5LytwdE9uVDk5U1gzOS9meFV2WHZ5dXhRWUFBRkFZSk93QS9LSHl0OFRtNXVZcU5qWldMVnEwVUpNbVRlVGw1ZVZzczNuelpvMGZQMTd0MnJYVG5EbHpWTFZxVldlZDFXclZvVU9IRkJVVnBkcTFhN3VOWDdwMGFYbDVlUlZZVjdaczJldkd0V3JWS3ExYXRhckF1c2NlZSt3MlB1bnRPMy8rdktaT25hcHUzYnE1L0tOeHlKQWh6a3NrYkRhYmxpMWJwdkR3Y0FVR0JqcmI1RytoSldFSDRINDJkKzVjU2RMU3BVdTFkT25TVytyNzVwdHZ1aHd6QUFBQTRBa2s3QUI0UkZwYW1sSlRVN1ZzMlRLVkxWdFduVHAxVXIxNjliUjA2VklsSnllcmN1WEs2dE9uajRLRGcxMzZmZmZkZDhyS3lsSzlldlh1YUR5dFc3ZldvRUdEWE1xV0wxK3VUei85MU8wMjF1M2J0K3ZLbFN1S2pJeThvekhrMjc5L3Y4eG1zMTUrK1dVbEp5Yzd5Mzk5NCt1aVJZdVVrWkdoSVVPR3VQVE55c3FTU05nQnVJOGRQWHBVMzN6empkcTJiWHZMeHlOSVVraEl5RjJKQ3dBQTRGYVFzQVBnRVRWcjF0VDgrZk9WbXBxcUpVdVdhTW1TSlpvelo0NGtxVzNidG5ycnJiZms2K3ZyMW0vRmloV1NWT0JsRHpkanNWaWszeVMrSkduQ2hBa3ltVXp5OS9kM0tTOVRwb3dNQm9NcVZhcmtVdjdoaHg5cTQ4YU5xbDY5dXBvMmJlcjJucFNVRkgzeXlTZUZqaXQvVlZ5K1pzMmFLVEF3OExwYnNyWnMyYUxKa3ljcktpcEtiZHUyZGFuTHlNaVFybTNwQW9ENzBidnZ2aXV6MmF4aHc0YmRjR1UxQUFCQVVVYkNEc0FmNXVMRml5cGV2TGhTVWxLMGYvOSs3ZG16UjN2Mzd0VzRjZU0wZlBod3JWNjlXZ2tKQ1ZxelpvMjJiOSt1TGwyNjZNa25uMVNGQ2hXa2EyY1NmZjMxMTRxTWpIVFpKbnM5eDQ0ZDA5S2xTMVdpUkFuWjdYWWxKaWJLejgvUHVmb3NKU1ZGNmVucHN0dnRzdGxzc3R2dExqL3YyclZMZHJ0ZDhmSHhzdGxzc3Rsc3NscXQ4dmYzbDlWcTFiQmh3L1RoaHgvcWdRY2VjSGx2U2txSzgzeTUyMkUwR2hVZUh1NVducHVicStuVHB5c2hJVUYxNjliVnhJa1RaVEFZbEpDUUlJdkZJaDhmSDYxWXNVSStQajZxV2JQbWJiOGZBUDZzVnE1Y3FSMDdkbWpnd0lINjRvc3ZOSFBtekVMM0xWMjZ0TmF0VzNkWDR3TUFBQ2dzRW5ZQS9oQkhqaHpSL3YzN3BXdGJTb3NYTDY2NmRldXFmZnYycWw2OXVzeG1zenAzN3F6T25UdHJ4NDRkU2toSTBOeTVjN1Znd1FKOTlkVlhDZ3dNVkhaMnRyeTl2ZDIycnY2YTJXeVduNStmSk1uWDExY0xGeTUwMXZuNStXbm8wS0hPNTJYTGx1bXJyNzZTSkpsTUp2bjQrTWpIeDBmZTN0N3k5ZldWdDdlM3FsV3JwblhyMXNuYjIxc21rMGttazBuZTN0NXEzcnk1RGgwNnBLRkRoMnJXckZrdUNiSStmZnFvZi8vK2haNmJtOTA2bTg5a01pa2pJME05ZXZUUXdJRURuU3NRRHg0OHFPWExsMHZYVnRhTkhEblNPUWNBY0w5SVMwdlRoQWtUVkwxNmRUMy8vUE02YythTXdzTENDdDNmWk9LdnhRQUFBQUNLc05BYURacUUxbWwwckhiRGh4eXJrOVk1N2dTNzNlNTQ3YlhYSExObnozYWtwcVk2YkRiYlRmdWtwYVU1VnE5ZTdWSjI3Tml4VzM2M3hXSng1T1hsdVpYbjV1WTZjbk56SFhhNy9aYkhkRGdjanRPblR6dUdEUnZtdUhUcDBtMzF2OU9zVnVzZEgzUER0NXNkRFI1cTVnaXQyL0JNYUoxR2ozcjZ6eWFBMnhOYXA5R2pvWFViWFloczFzcXhLMlhQSGYrdUtBckdqaDNyZVBqaGh4M0hqeC8zZENoRjF2Yy9wRHFhdFdydkNLM1Q4RXBvN1FidFBQM25FZ0FBWEIrL1NnVHdoekFZREhyMzNYZHZxVTlJU0lqYjRkK2hvYUczL083cnJab282SXk4V3hFY0hLelkyTmpmTmNhZDlPdWJkZ0hnZnRPc1dUTkZSMGZydmZmZVUwcEt5aTMxTFYrK3ZKWXRXM2JYWWdNQUFMaFZKT3dBQUFEd3A5ZWlSUXZwMmkzWnY3MlE1MFlTRXhOMSt2VHB1eGdaQUFEQXJTTmhCd0FBZ0h0R2RIVDBMYlhmdlh1M1RwNDhlZGZpQVFBQXVCMUdUd2NBQUFBQWVJcXZyNi95OHZJOEhRWUFBSUFMRW5ZQUFBQzRiL241K1NrN08xdFdxMVdTZE9uU0pVK0hCQUFBUU1JT0FBQUE5Ni9nNEdBNUhBNWxabVlxS3l0THJWcTEwcVpObXp3ZEZnQUF1TStSc0FNQUFNQjlxM3IxNnBLazFOUlVYYmh3UVE2SFEyYXoyZE5oQVFDQSt4eVhUZ0FBQU9DK0ZSWVdwbUxGaWlrNU9WbSt2cjZTcENwVnFuZzZMQUFBY0o4allRY0FBSUQ3bHJlM3R6cDI3S2l2dnZwSzU4NmRVMUJRa01xWEwrL3BzQUFBd0gyT0xiRUFBQUM0ci9YdjMxK2hvYUg2N3J2dk5HellNRStIQXdBQXdBbzdBQUFBM044Q0FnSTBmLzU4VDRjQkFBRGd4QW83QUFBQUFBQUFvQWdoWVFjQUFBQUFBQUFVSVNUc0FBQUFBQUFBZ0NLRWhCMEFBQUFBQUFCUWhKQ3dBd0FBQUFBQUFJb1FFbllBQUFBQUFBQkFFVUxDRGdBQUFBQUFBQ2hDU05nQkFBQUFBQUFBUllqSjB3RUFLTG9jRG9mU1RwN1NEejhlOEhRbzhKQVRhU2RsdDlrOUhRYUFPOFJxcytyWWlaL2s2K3ZyNlZEZ0FVZU9IWmZGWXZGMEdBQUFvQkJJMkFHNExxdlZvbGx6NWlsaDhSZWVEZ1Vla3BOelJWZHlyM2c2REFCM3lPWExsL1grdEJreW0wblkzWS95OHE3cS9JVUxuZzREQUFBVUFnazdBRzZzRGx1bVNZYnpkcnVDMGpNeVBCME9pb2FMZHF2bHJLZURBSEI3N0ZiTFdTOXY3MStzVnB2NTFPblRuZzRISG1hUUlldXF3M3JHMDNFQUFJRHJNM2c2QUFCRmtyRktqWVlORFVaREZVOEhncUxCYnJTbC9aUzZiN2NrbTZkakFYQmJ2RUpyTklpVTBSams2VURnZVE2ajlleUoxUDNiK0U0S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UE9ML0Fab25rYWZmdG5SQUFBQUFBRWxGVGtTdVFtQ0MiLAoJIlRoZW1lIiA6ICIiLAoJIlR5cGUiIDogImZsb3ciLAoJIlVzZXJJZCIgOiAiIiwKCSJWZXJzaW9uIiA6ICI2NSIKfQo="/>
    </extobj>
    <extobj name="ECB019B1-382A-4266-B25C-5B523AA43C14-6">
      <extobjdata type="ECB019B1-382A-4266-B25C-5B523AA43C14" data="ewoJIkZpbGVJZCIgOiAiNDcyNjcxNDY3MDgwIiwKCSJHcm91cElkIiA6ICI0MTk5MzY1NDMiLAoJIkltYWdlIiA6ICJpVkJPUncwS0dnb0FBQUFOU1VoRVVnQUFBNGdBQUFEcUNBWUFBQURnWkdzQ0FBQUFBWE5TUjBJQXJzNGM2UUFBSUFCSlJFRlVlSnp0M1h1Y2pIWC94L0gzTlRONzBscGJ5RHFGbkNWMlNhaElvZ04zWkJVcTBlR1hkQ3NkM0tua0pwSlNFVUxwSmhZaGlsSTVkQkE1Sk1lMWhJMnl6dFpLRG10M2RuZG1ydDhmOTg3Y084MHNpMlhHN3V2NWVIamM5bnQ5cjJzK2wrN3ZmdWR6WGQrREJ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NQa3hBaDBBZ0V1cmZMVzZWY0xDd3FvRk9nNEVubW02OXV4SlR0b2Q2RGdBQUVEd0lFRUVpcEdxVldPcktzTDhWTkkxZ1k0RmdXZVlTc3ZKY2NUdi8vM1hYWUdPQlFBQUJBZGJvQU1BY0FtRnE2cGsxTElZUm5SRVJJU3NWa3VnSTBJQXVKd3VaV1JteW1XNm9tMDJhdzFKSklnQUFFQWlRUVNLcDZpU0pmVkMzMytxWm8zcWdRNEZBWkN5WjY5R2paMmd0S05IQXgwS0FBQUlNaVNJUURFVUVoS2krdlhxS2k2MlFhQkRRUUJFbFN5cHNMRFFRSWNCQUFDQ0VPUExBQUFBQUFBU0NTSUFBQUFBd0kwRUVRQUFBQUFna1NBQ0FBQUFBTnhJRUFFQUFBQUFFZ2tpQUFBQUFNQ05CQkVBQUFBQUlKRWdBZ0FBQUFEY1NCQUJBQUFBQUJJSklnQUFBQURBalFRUkFBQUFBQ0NSSUFJQUFBQUEzRWdRQVFBQUFBQVNDU0lBQUFBQXdJMEVFUUFBQUFBZ2tTQUNBQUFBQU54SUVBRUFBQUFBRWdraUFBQUFBTUNOQkJGQTBKc3dZWUx1dXVzdTJlMzJpM0w5bkp5Yzh6NTMyN1p0bWpKbHlrV0xEUUFBNEZJaVFRUVE5RTZkT3FXMHREUzVYSzVDdi9hb1VhUDB5Q09QeU9sMG5ySGUwYU5IL1pZbkppWnEzTGh4ZmhQRTQ4ZVBGMXFjQUFBQWx3SUpJb0FpeGVWeWFkKytmWDcvK0V2eW1qVnJwaDA3ZG1qKy9QbjVYak1sSlVYeDhmRmF1SEJoZ2VPdzIrMTY5TkZITlh6NDhQTytGd0FBZ0V2TkZ1Z0FBS0F3blR4NVV2ZmVlNi9mWTgyYk4xZDhmTHpTMHRLOHltTmlZclJueng1OSt1bW5YdVZkdTNhVkpGV3VYRm0xYTlmV3NHSERWSzFhTmRXdFcvZXNjWXdaTTBaNzkrNVYrL2J0TCtoK0FBQUFMaVVTUkFCQjRjaVJJekpOMCsreHpNeE1TVkphV3ByQ3c4UDkxb21LaWxKRVJJUWlJeU0xWWNJRVNkSXZ2L3lpaElRRURSczJURmRkZFpXaW82TTFac3dZYmQ2ODJlZjhlZlBtK1pTNUUwU3IxYXJodzRlclc3ZHU2dGV2bjJiTW1LR3Jycm9xMzN2NTZhZWZOR2ZPSERWdjNseVBQZlpZQWY4RkFBQUFBbzhFRVVCUWFOKysvVm5uR01iSHgrZDdySC8vL3VyYXRhdHNOcHVhTm0wcVNmcm1tMjkwOWRWWDYrNjc3L2JVbXpCaGd1eDJ1KzY5OTE0OTlkUlQ2dGl4bytmWXpKa3pOWDM2ZEgzNTVaY0tEUTMxdW43WnNtWDErdXV2NjVsbm5sSC8vdjMxNFljZnltYnovUldha3BLaWdRTUhLaVltUnNPR0RaUEZ3a2grQUFCdytTQkJCQkEwYnI3NVpuWHExTW1uZlA3OCtWcTFhcFdHRHgvdWs3ajkrZWVmZXZQTk4zM09zZHZ0V3I1OHVkcTBhZU56Yk9YS2xVcExTMU9qUm8yOHlwY3NXYUxxMWF2N2ZJYmJUVGZkcEI0OWVtakdqQm5hdkhtekdqZHU3Rk5uMHFSSmNqZ2NHamx5cEtLam93dDAzd0FBQU1HQ0JCRkEwS2hZc2FKdXUrMDJuL0sxYTlkS2tscTBhS0VTSlVwNEhkdTNiNS9mYXkxY3VGRHA2ZW02NTU1N2ZJN05uajFiaG1IbzFLbFRuckx0MjdkcjY5YXQ2dEdqeHhsajdOT25qMXEwYU9HVFhMb05HREJBblRwMVVwMDZkYzU0SFFBQWdHQkVnZ2lneU1uS3l0TGt5Wk1WR1JtcDFOUlVMVm15UkdGaFlXclZxcFZXckZpaFRaczJLVG82V3M4OTk1d1NFaEpVdm54NWZmamhoNUtrR1RObXFGcTFhdXJRb1lNazZhT1BQdkk3TjNMZHVuV1NwQzFidGtpU0VoSVN2T1pIcmwrLzNxdCs0OGFOZGNNTk4xelUrd1lBQUxoUUpJZ0FpcHlFaEFRZFBueFlJU0VoR2pwMHFCd09oNktpb3RTb1VTTzk5ZFpicWx5NXNxWk9uYXArL2ZxcGI5KytldWloaDdSeTVVcjE2dFZMaG1Gb3lKQWhzdHZ0NnRLbGl6NzU1Qk01SEE2L241T2RuZTJaTnpsdDJqU0ZoSVRJYXJYNnJSc1NFa0tDQ0FBQWdoNEpJb0FpWmV2V3JabzhlYktVTzl5elE0Y09talp0bXFaUG42NXZ2dmxHeDQ4ZjE2UkpreFFkSGExUm8wWnB5WklsV3JCZ2dabzBhYUxISDM5Y05wdE41Y3FWMC9qeDQ5VzZkV3N0WDc3YzcrZnMyN2RQM2JwMVUrWEtsYlZ6NTA3VnJsMWJvYUdobWpScGt0L0Zhd0FBQUM0SGZJc0JFRFRtelp1bkJRc1crSlM3MytDMWJkdjJyTmRJVFUxVjNicDF0WDM3ZHA5akR6endnRnExYXFYeTVjdExra3FWS3FXbVRadnF0OTkrVS9mdTNUMkpYY2VPSGRXdVhUdUZoSVQ0L1F5SHc2R0JBd2VxWnMyYWF0dTJyVWFOR3FXQkF3ZXFWNjllR2p0MnJGNTQ0WVZ6dm5jQUFJQmdRSUlJSUdoY2Q5MTFhdFdxbFUvNXNtWEx0SG56WnM4YnZyeE9uRGlocVZPbmVuNisvZmJiZGVPTk4rYWJUTHFUUTdlMHREVE5uejlmOTk5L3YxZDVmc21oMCtuVWdBRUR0R3ZYTGsyZE90VXpGN0ZDaFFycTM3Ky9oZ3dab3Vqb2FQWS9CQUFBbHlVU1JBQkJvVXVYTG9xTmpmV2IyQjA2ZEVpYk4yOVd0MjdkZkZZeFBYNzh1REl5TWxTelprMVBXY21TSmYxK3hxeFpzelJ1M0Rpdk12Y2N3a2NmZlZTR1lYZ2RHenAwcUc2Ly9YYlB6MWxaV1hydHRkZjA0NDgvYXRTb1VhcFpzNlluUVpTa0RoMDY2TWlSSXhvL2ZyelMwOVBWcDArZmZPY2tBZ0FBQkNNU1JBQkI0Y1VYWHp5djg2S2pvL1hTU3k4VnFHN2p4bzMxL1BQUGU1WHQyYk5ITTJmTzFFTVBQYVJ5NWNwNUhhdGR1N2JuN3djT0hGRC8vdjIxYytkT0RSdzRVQzFhdFBEN0dmLzNmLytubkp3Y1RabzBTVWxKU1JvMmJKaGlZbUxPNjk0QUFBQXVOUkpFQU1WR3JWcTFWS3RXTGEreTlldlhhK2JNbVdyVHBvMVhRdWptY3JuMCtlZWZlOTQ4amhrelJzMmJOei9qNXp6MTFGT3FYcjI2aGd3Wm9zNmRPK3ZCQng5VXo1NDlGUmtaV2NoM0JBQUFVTGhJRUFFVVdjT0hEOWVJRVNNODIxeWNxL1QwZFBYdTNWdmJ0MjlYYkd5c0JnMGFwQ3BWcWhUbzNEdnV1RU4xNjliVk8rKzhvNDgvL2xobHlwUlIxNjVkeitNdUFBQUFMaDBTUkFCRlZueDh2Sm8wYWFMbHk1ZHIxYXBWNTN4K1pHU2tXcmR1cmZqNGVIWHExTWxuanVMWlZLNWNXV1BIamxWaVlxSmlZMlBQK2ZNQkFBQXVOUkpFQUVWV25UcDFkTnR0dCtuQWdRTmFzMmJOZVYyak1GWWpKVGtFQUFDWGkzTjdIQTdnc2xhMVRtd3JHWnBmdG5UcDZJbnZqMUpjYklOQWg0UUEyTFk5V1U4Kzg3ejJIemhvbDJsMlNrbE9XaHpvbUFBQVFIQ3dCRG9BQUFBQUFFQndJRUVFQUFBQUFFZ2tpQUFBQUFBQU54SkVBQUFBQUlCRWdnZ0FBQUFBY0NOQkJBQUFBQUJJSklnQUFBQUFBRGNTUkFBQUFBQ0FSSUlJQUFBQUFIQWpRUVFBQUFBQVNDU0lBQUFBQUFBM0VrUUFBQUFBZ0VTQ0NBQUFBQUJ3STBFRUFBQUFBRWdraUFBQUFBQUFOeEpFQUFBQUFJQkVnZ2dBQUFBQWNMTUZPZ0FBbDE1T1RvNjJidHV1ck96c1FJZUNBRWpaczFkWldmeTNCd0FBdmtnUWdXTG81S2xUZXUvOUQyU3o4U3VnT0hJNEhUcDU4bFNnd3dBQUFFR0liNGRBTVpKdHVnNkZ5a2gxU2ZycnhJbEFoeE13aGlTWk1reERacUJqQ1NURE1FNDZjc3o5Z1k0REFBQUVEeVBRQVFDNHBDeVY2bHgvblUzVzBvRU9KSkJLaEtxOVljcDZPa2NMQWgxTElCbXVuTDkyLy9ickZrbXVRTWNDQUFBQUFJRmdhZFNvMFpLNHVMalZQQ1FEQUFEd3hpcW1BSXFWMk5qWTZxWnAxcEowYmNPR0Rlc0ZPaDRBQUlCZ1FvSUlvRmh4dVZ3M1NDcHJHRVlwaThWeWU2RGpBUUFBQ0NZa2lBQ0tqWHIxNm9WYUxKWW1ra3FZcGhsbW1tYVRTcFVxUlFRNkxnQUFnR0JCZ2dpZzJIQTRIRkdHWWR4aTVMSllMQTJ2dXVxcVlyMWdEd0FBUUY0a2lBQ0tqYkN3c0pxU0drcVNhWm95VGJPMnBGcUJqZ3NBQUNCWWtDQUNLRGFzVnV2OWhtR0VtdVovdHo4MERDUFVack4xQ0hSY0FBQUF3WUlFRVVDeDBMaHg0eENMeGRMRG5SenFmMjhSdTBteUJUUTRBQUNBSUVHQ0NLQlljRGdjZDByeW1XOW9HRWE1Mk5qWU93TVRGUUFBUUhBaFFRUlFMRmdzbHU3NUhUTU00NUZMR3cwQUFFQndJa0VFVU9UVnExY3ZSbEpjM3VHbGJybGx6ZXZYcjE4dUVMRUJBQUFFRXhKRUFFVmVhR2hvSTBsbDNUOGJoaUhETVBKV0tXV3oyZG9FSkRnQUFJQWdRb0lJb0tpelNvcVZWT29NZFVwWUxKYWJXS3dHQUFBVWR5U0lBSXEwMk5qWWtoYUw1VmJETUN6S2ZYdm81djY3WVJnVzB6Umo2OWV2NzdPSURRQUFRSEZDZ2dpZ1NETU1vNEtrcHY3bUg3cVpwaW5ETU9vYmhsSHBrZ1lIQUFBUVpFZ1FBUlJwcG1tMlA4dndVbmU5a2xhcjlZNUxFeFVBQUVCd0lrRUVVSlJaRE1Qb0x2OEwweWh2dWZGZlhTVDVWZ0lBQUNnbVNCQUJGRm4xNjlkdlpCaEdnM000cGVIMTExL2Y2Q0tHQkFBQUVOUllzUTlBa1dXejJYYVpwaG1idDh3d2pPc2x2U2NwekRUTmx5U3R6bnZjYXJYdXVlU0JBZ0FBQkFrU1JBQkZWbUppNG5GSngvT1dOV2pRSU54bXN6bE0wN1FaaHZISHhvMGJOd2N1UWdBQWdPRENFRk1BQUFBQWdFU0NDQUFBQUFCd0kwRUVBQUFBQUVna2lBQUFBQUFBTnhKRUFBQUFBSUJFZ2dnQUFBQUFjQ05CQkFBQUFBQklKSWdBQUFBQUFEY1NSQUFBQUFDQVJJSUlBQUFBQUhBalFRUUFBQUFBU0NTSUFBQUFBQUEzRWtRQUFBQUFnRVNDQ0FBQUFBQndJMEVFQUFBQUFFaVNqRUFINEUvNWFuV3JoSVdGVlF0MEhBZzgwM1R0MlpPY3REdlFjUlFseGIxOWhWcU5hOEpEek1jdGhoRml6M0lsMkYxR2NxQmpDaFRhMStXcFF2WDZsVU5EYk5VREhRZUtocXlzck4ySGRtL2ZFK2c0aXB2aTNoZmpmNEt4THc2NkJMRnExZGlxaWpBL2xYUk5vR05CNEJtbTBuSnlIUEg3Zi85MVY2QmpLUXBvWDVKcG1yTElzRWlTYVppdUlQdzFlTW5Rdmk0L0ZXczBxQlJpTTZiTFVKMUF4NElpWTY4eWphNHBLWWtwZ1E2a3VLQXZSbDdCMkJmYkFoMkFqM0JWbFl4YUZzT0lqb2lJa05YS0tOaml5T1YwS1NNelV5N1RGVzJ6V1d0SUNwcEdjMW1qZllIMmRWa0xrU3JKVUIxRFJreEVSSVJzTm11Z1E4Smx5dWx3S3ROdWw4czB3Ly9iTjRnRThWS2hMMGFROThYQmx5RG1paXBaVWkvMC9hZHExbUFVVFhHVXNtZXZSbzJkb0xTalJ3TWRTcEZFK3lyZWFGK1h2eElSRVhyNnFWNktiVkEvMEtIZ01yVnRlN0xlLytBakhUOTVNdENoRkZ2MHhjVmJNUGZGUVpzZ2hvU0VxSDY5dW9xTGJSRG9VQkFBVVNWTEtpd3NOTkJoRkZtMHIrS045blg1czlxc3FsdTdwcHJkZUVPZ1E4RmxMQ1FrSk5BaEZHdjB4Y1ZiTVBmRnZOTUdBQUFBQUVna2lBQUFBQUFBTnhKRUFBQUFBSUJFZ2dnQUFBQUFjQ05CQkFBQUFBQklKSWdBQUFBQUFEY1NSQUFBQUFDQVJJSUlBQUFBQUhBalFRUUFBQUFBU0NTSUFBQUFBQUEzRWtRQUFBQUFnRVNDQ0FBQUFBQndJMEVFQUFBQUFFZ2tpQUFBQUFBQU54SkVBQUFBQUlCRWdnZ0FBQUFBY0NOQkJBQUFBQUJJSklnQUFBQUFBRGNTeEVJeVljSUUzWFhYWGJMYjdSZmwrams1T2VkOTdyWnQyelJseXBTTEZoc1FTQnMyYk5EeDQ4Y3Y2bWVrcGFVcEpTWGxvbjRHRUl5eXNySzBZc1dLQXRYZHRXdVh4bzRkSzRmRGNkYTZIM3p3Z2NhUEgzL0dPbDkvL2JXMmJObHl4am8vL3ZpamxpeFpVcUQ0L0RsNjlLaFdyMTVkYUw5RERoMDZKTk0wei9tOGxTdFg2dENoUXo3bERvZERDeFlzVUhKeXNpVHAxS2xUeXNqSUtKUllnWXNsUFQxZEowK2VESFFZdUFBa2lJWGsxS2xUU2t0TGs4dmxLdlJyanhvMVNvODg4b2ljVHVjWjZ4MDlldFJ2ZVdKaW9zYU5HK2MzUWJ6WVg2eUJpK25ubjM5V3IxNjlOR25TcFBNNmYrWEtsWHJublhkOHl2LzY2eTh0WGJwVXAwNmRraVI5OU5GSDZ0Mjc5d1hIQ3dTTFdiTm02WjEzM2psck12ZkREei9vdWVlZTB5Ky8vSkp2SFhkQ2xKS1Nvb1NFQkRtZFRtVmxaWG4xaCtucDZmcm9vNCswZCs5ZVNWSnljcklXTDE1OHhzK2VOMitlTm0zYWRNWTZLMWV1TEhCU2V2cjBhZjN4eHg5ZVpXdlhydFV6enp6alNjQXV4S3BWcTlTeFk4ZXozdGZmcGFlbmE4Q0FBUm85ZXJUUE1hZlRxU0ZEaHVqNzc3K1hKSTBZTVVKZHVuVFJoZzBiTGpoZTRHSTRkdXlZL3ZHUGYyanMyTEhuZk82U0pVdTBZTUdDYy9yejExOS9YWlQ3S081c2dRNmdPSEs1WERwdzRJRGZZeEVSRVNwVHBveFhXYk5temZUSko1OW8vdno1dXUrKysveWVsNUtTb2g0OWV1amxsMTlXdTNidENoU0gzVzdYbzQ4K3FpWk5tbWpBZ0FIbmNTZTRGT0xpNHNwbVpXVkZiTnUyYlcrZ1l3a21KMDZjMExCaHd4UVNFcUlxVmFwb3dZSUZmdXMxYnR4WUZTdFc5SHZzOTk5LzErelpzM1hOTmRlb2E5ZXVudkx2di85ZWI3MzFsdWJNbWFPU0pVdGV0SHRBOFZDMWF0WHdxS2lvR2tsSlNkc2tGZjVUeFBPUW1abXAyYk5uYTlldVhYcjc3YmRWcWxRcHYvWGF0bTJyOTk5L1gxdTJiRkhUcGsxOWpxZW1wdXFSUng3UmxDbFR2TW8vLy94emZmenh4L3JpaXk4VUdSbXBEUnMyYU9MRWlZcUxpOU0xMTF5amV2WHFhZVhLbFVwUFQxZGtaS1RudkMxYnRpZ2tKRVIxNnRUeHV0N2l4WXQxM1hYWCtYeCt5NVl0OWNVWFgyamV2SGxxM3J5NXA5d3dERldxVk1tcjdwZGZmcW1SSTBkcTNMaHhYblVMUzVNbVRWUytmSGxObURCQmJkdTJsYzFXc0s5WTgrYk5VMFpHaHA1ODhrbWZZMkZoWVZLZVVVUXZ2ZlNTQmc4ZXJDZWZmRkw5K3ZYVEF3ODhVTWgzZ2Z6RXhjV1ZkVHFka1VsSlNic0RIVXN3dStxcXE5U2lSUXQ5K2VXWDZ0Njl1NnBXclZyZ2MwZU1HS0hUcDA4WHFPMjRYQzVsWjJkcjZ0U3B1dkxLS3k4d2F2d2RDV0lBbkR4NVV2ZmVlNi9mWTgyYk4xZDhmTHpTMHRLOHltTmlZclJueng1OSt1bW5YdVh1TDdXVksxZFc3ZHExTld6WU1GV3JWazExNjlZOWF4eGp4b3pSM3IxNzFiNTkrd3U2SDF4Y2htRTBEZ3NMK3l3dUxtNkRwQVNuMC9salJrYkduN3QyN1VvUGxpK2JsNXJUNmRUTEw3K3NJMGVPS0RRMDFPK1Q5NXljSERtZFRyMzU1cHY1Sm9nUFAveXdWcTFhcGZmZWUwOE5HemIwZkNuOTZhZWZWS1ZLRlZXdlh2Mmkzd3VLdnFpb3FESldxM1ZGWEZ6Yzc2WnB6akJOYzZGaEdFY1NFeE5QU1RyejBKQ0w1TEhISGxOTVRJeUdEQm1pbmoxN0tpRWhRVk9uVHRXY09YTjg2cnBjTGsyWk1zVW5DV3pUcG8xZWUrMDFaV2RuNjRjZmZsQzVjdVU4eDlhdlg2OUtsU3A1a3IvVnExY3JQRHhjc2JHeFV1NkR6NGtUSityNzc3LzM2ZysvL2ZaYkhUOStYSysvL3JxbnpPRnc2STAzM2xEWHJsMTlZbkFiTVdLRTE4OGhJU0ZhczJhTjUyZlROUFg1NTUrcmZQbnlmaFBkZ2xpeFlvV2VlKzY1QXRVOTIyY3NXN1pNSlV1V2xOMXUxN1JwMC9TUGYveEQxMTU3cmQrNjRlSGh5czdPbGlTVkxGbFNJMGVPMUljZmZxZ0dEUnFjeDEzZ2ZCbUcwZGhxdGM2Tmk0dmJXSno3NG95TURMVm8wYUpBZFR0Mzduekc0KysrKzY1dXUrMDJyN0llUFhxb1Q1OCtaNzMydWJSSG5Ec1N4SE53NU1pUmZPY1daR1ptU3JsemxjTER3LzNXaVlxS1VrUkVoQ0lqSXpWaHdnUkowaSsvL0tLRWhBUU5HelpNVjExMWxhS2pvelZtekJodDNyelo1L3g1OCtiNWxMa1RSS3ZWcXVIRGg2dGJ0MjdxMTYrZlpzeVlvYXV1dWlyZmUvbnBwNTgwWjg0Y05XL2VYSTg5OWxnQi93VVFLSVpoV0NXMU5FMnpoYzFtK3pNcUttcERvMGFOMXJoY3JyVldxM1h0aGcwYi9JOHZMb0pNMDlRYmI3eWhEUnMyYU15WU1icnBwcHQ4Nmh3K2ZGamR1M2RYZEhTMDMrTnVGb3RGcjczMm1ycDA2YUszM25wTFU2ZE9WWHA2dXRhdlh5K0h3NkdiYjc1WnlwTnN1bjkycTF5NXNtYlBubjBSN2hKRmpXRVlGa21OSlRXeVdDeERUTlBjR0JjWDk0dGhHR3NOdy9oNXc0WU52aFBRTHJKMjdkb3BLaXBLTzNic1VLbFNwWlNUa3lPTHhhS25ubnJxck9kT25qeFoyZG5aTWd4RHpabzEwOUtsU3oxdnM3S3pzN1Z1M1RyUEc3R3NyQ3d0WHJ4WXJWcTFVa2hJaUNTcFFZTUdxbFNwa3I3NDRndXZCTEZGaXhicTM3Ky8xNURSeE1SRTVlVGs2T2FiYjlhVUtWTTBlL1pzbFMxYjFuTjgyclJwYXRHaWhhcFZxNVp2dkQvODhJTlNVbExVdm4xN3IvNTF6NTQ5VXU1b2d0RFFVTC9ubGl0WFRoVXFWRkNkT25VMGZQaHdyMk1IRGh4UW1USmxQRy82L3U3bzBhTStvNEtVTzFwSWttYk9uS21NakF6MTd0MWJwbWxxeFlvVnV1V1dXMlN4V0x6cVptWm02dWpSbzBwTlRWVnFhcXBLbFNxbGI3LzlWdE9uVDlld1ljTUsvTFlTRnlhM0hYdjY0cElsUzI1cTFLalI2dUxVRjRlR2h2cTBnNHlNREowOGVWSXhNVEYrenpseDRvUWlJaUo4MnBpL1VRRUlEdnhHT1FmdDI3Yy82eHpEK1BqNGZJLzE3OTlmWGJ0MmxjMW04enhkL09hYmIzVDExVmZyN3J2djl0U2JNR0dDN0hhNzdyMzNYajMxMUZQcTJMR2o1OWpNbVRNMWZmcDBmZm5sbHo0TnJXelpzbnI5OWRmMXpEUFBxSC8vL3Zyd3d3LzlkaG9wS1NrYU9IQ2dZbUppTkd6WU1LK09DTUhOTUF4RFVobEpkMHE2M1dLeEhEZE5NNjFSbzBZL09oeU8yVWxKU2F1SzhwTk1sOHVsTjk5OFUxOSsrYVVHRHg3c04vbXoyKzE2NFlVWEpFbGp4NDcxR3I3bVQ0VUtGZlRHRzIrb2R1M2FrcVRQUHZ0TTJkblpldVdWVjFTaVJBbEowb0lGQzdSanh3NzE3OS9mNjF6M2NhQ2djdHR3bEdFWXJVelRiR21hNWdsSlIrTGk0dFpLbXBXVmxmWER0bTNic2k5MkhLWnB5akFNM1hMTExicmxsbHM4NWVIaDRYcnd3UWZQZW43ZTBTeE5temJWMEtGRGRkZGRkMG01YzRNek1qSjArKzIzUzVLKyt1b3JwYWVuKzR5Y3VlKysrelI2OUdndFhMalFNeldpWWNPR3N0dnRTa3hNOU5SYnNtU0ptamR2N21sdkVSRVJYdlBuNTg2ZHE3Smx5M29OTThzN3JNM3BkT3JERHorVWN2dmNiNzc1eHVkK1JvNGNtZSs5ZHUvZVhjOC8vN3pLbGkyck8rKzgwMU9lbHBhbVljT0c2YTY3N3RLcnI3N3FjNTdENGRCOTk5Mm5talZyK3AzcmZQVG9VVTJaTWtYZHUzZFhURXlNRmk5ZXJGZGZmVlZkdTNaVlJFU0VVbE5UZGZqd1laMDZkY296MzhvdE1qSlM1Y3VYVjdseTVYVDY5T2w4aHdpajBCbksweGNiaHRGVzBtMTUrdUlWRG9kalJsSHVpMjAybTFjN01FMVREei84c0J3T2h4SVNFdncrTEJrOGVMQzJidDJxLy96blAyZDhlWUhnUVlKNGptNisrV1oxNnRUSnAzeisvUGxhdFdxVmhnOGY3cE80L2Zubm4zcnp6VGQ5enJIYjdWcStmTG5hdEduamMyemx5cFZLUzB0VG8wYU52TXFYTEZtaTZ0V3I1L3VrODZhYmJsS1BIajAwWThZTWJkNjhXWTBiTi9hcE0yblNKRGtjRG8wY09WTFIwZEVGdW04RWxPZTE5ZC9lWU50eU82Z3lrdXJhYkxaL3hzWEY3VEZOYzRiRllwbVRsWlcxUHp3OC9OU0dEUnZPZnduY0lKS1ptYWxYWDMxVnk1Y3ZWODJhTlpXWm1la3o1RnE1QzBVa0p5ZXJYYnQyUHFzdjNuYmJiYnI2NnF0OXpybjExbHVsM0RjZE0yZk9WTE5temJ6bSsyN2F0RWtwS1NrRm50OEw1T2R2YmRnaTZVcEpWeHFHVVZ2U3cyRmhZUWZpNHVJK2RUcWRjN096czNkYUxKWlRoWjB3cmwyN1ZtUEdqTkViYjd6aGxVZzFiTmpRODRidmJOcTJiYXNLRlNwSXVWTWpYbmpoQmM5YnNTcFZxcWgzNzk0cVg3NjhUcDgrcllrVEo2cGV2WHBxMHFTSjF6VzZkdTJxeno3N1RPKzk5NTRhTjI2c2N1WEtLU3dzVE0yYU5kT1JJMGM4OWRMUzByd2VsTzdmdjEvOSt2WHovR3kzMnpWMjdGaU5HemRPTHBkTERvZEQ2OWF0OHh5Zk1XT0dkdS9lcmNjZmY5eG43dUdhTldzMGFkSWs5ZXZYTDkrcEdYbUh6dVpWdG14WnRXblRSdlBtemROTk45M2tNMVJ1N3R5NTJyZHZuKzYvLzM2LzU0OFlNVUpSVVZGNjdMSEg1SEE0OU1FSEg2aEdqUnBxMHFTSnhvd1pvNWlZR0ZXc1dGRjc5KzVWMmJKbDFhZFBIOFhFeENnbUpvYUhVNEZodXZ2anMvVEZ2ZHg5c2N2bG11ZDBPbE9LVWwvOGQ0Wmg2SUVISHRDZ1FZUDAvdnZ2NjEvLytwZlg4ZVRrWkgzenpUZHEyYklseWVGbGhBVHhIRldzV05HbkUxQnVoNnZjNFRGLy84VzliOTgrdjlkYXVIQ2gwdFBUZGM4OTkvZ2NtejE3dGd6RDhLeWlLRW5idDIvWDFxMWIxYU5IanpQRzJLZFBIN1ZvMGNJbnVYUWJNR0NBT25YcTVMTUlRREF5VFZPaFZyTktiR3hzcTBESEVpZ3VsNnVoWVJpVy96NncvTzh2WS8ydGc4cno5eW9XaStWVlNjK0hob1p1TlUxemZWeGMzRmFYeS9YRDVzMmJkd1lpL3NLeVk4Y09iZGl3UVhmZmZiY1dMVnFrMGFOSCs3ejl6c3JLa25MZmdpeGR1bFJMbHk2VjhreG1yMTY5dWlkQlhMQmdnZWN0UkdSa3BPTGo0M1g4K0hGVnJWcFZqenp5eUNXL3YwQXdUVk1oRmxlMTR0eStMcEd5cG1sYUM5aUdLeHFHOFlMVmF1MVRva1NKYlpMV05XelljS3ZMNVZxMlpjdVdyWVVSVEVoSWlGSlRVL1h3d3c5cjBLQkJhdHUyclpRNzE5M2xjaFZvMjRpYU5Xc3FORFJVcDArZjFwNDllMVNyVmkxdDNMaFJ5bDNGTUM0dVRudjI3TkhFaVJOMTdOZ3hueUZweWgycTl1cXJyK3JwcDU5V256NTlOSG55WkdWa1pLaG56NTVTN3Fxamh3NGQ4dnpzSHNGVHJWbzFyVnExeW5PZFcyKzlWZi8rOTcvVnBrMGJyVjY5V3M4Kys2em4yTzdkdXpWeDRrVFZxVk5IVHo3NXBLeFdxMWNNN3EwbHFsZXZycmk0dUhQK3Qvelh2LzZsMWF0WGE4cVVLVjdmRFk0ZVBhb1BQL3hRelpzMzkvdEc5dmp4NDFxNmRLbXV1T0lLZGV6WVVSa1pHY3JJeU5Da1NaTVVGeGZuZGEybm4zNWFkcnY5ak1QbEw0VHBNaFZxZFZWenp3K0ZmN2w5Y1VIYmNSV0x4ZktxeFdKNXdXcTFibkgzeGRuWjJjdC8vZlhYN1lHSS8ySnEzNzY5dnZ2dU8zM3h4UmQ2N0xISFBJbWdhWnA2ODgwM1ZicDBhUTBhTktoQTE1bzJiWnBtenB4NTFub1hZOWNBL0E4SllvQmtaV1ZwOHVUSmlveU1WR3BxcXBZc1dhS3dzREMxYXRWS0sxYXMwS1pObXhRZEhhM25ubnRPQ1FrSktsKyt2R2VJekl3Wk0xU3RXalYxNk5CQnlsMkMzOS9jU1BjVFZQYytVZ2tKQ1Y3ekk5ZXZYKzlWdjNIanhycmhoaHN1Nm4yZkswTlNpVkJyWjR2RmNuMmdZd2tVMHpSREpmazgxbmQzVG43cVMxSUp3ekJ1TkUyemlXRVlkcXZWZWlndUxtNXJWbzV6YTRiVC8zbkJMaTR1VG9zV0xWSnljcklXTFZxa2tTTkgrbnhoZXVLSkp5UkovL25QZjd6S2YvbmxGLzN6bi8vMEtwcytmYnBTVWxMa2Nya1VFeE9qK1BoNGJkMjZWZmZlZTYvUzB0SzBjT0ZDVDkxOSsvYkpicmQ3bGJsZGVlV1ZGMlZGeEV2QmtIUkZxSzJMeFdJSi9xZEZsekhUTkMyU0l2NWVmcFkySENZcHpqVE5XS3ZWbW1XeFdGSmpZMk9USFE1dFNIZTRMcWdSeDhYRmFjYU1HWHIyMldmMThzc3ZLekl5VXMyYk45ZW5uMzZxUllzV0ZmZzZwVXFWMHJoeDQzeFczM3o2NmFjbFNYZmNjWWQrLy8xMzNYZmZmVDV2RDkxdXZQRkd2ZkxLSzFxMGFKRWNEb2NXTGx6b21kZDc3Tmd4SFR4NDBMUEZ3N3VhMnR6N0FBQVYza2xFUVZUdnZpdjVtY3BodDl2MTczLy9XNE1IRDViTDVaTEw1ZExOTjkrc2FkT202Y1VYWDVScG1obzBhSkJQY25pK2Z2NzVaNitGNUc2OTlWWlZyVnJWYXdqb2Q5OTlwL1QwZERWdTNGaGZmZldWMS9uWFhudXQ2dGV2cjc1OSs4cGlzY2psY21uczJMSHEyTEdqM3lUMXlpdXYxTFp0Mnp6M2V1REFBZTNmdjEvNzl1M1QvdjM3MWJCaFE2OXBLdWZLa0ZRaXhOYkZZakhJRU04Z3R5LzJHYjUxbG5ZY2tiY3ZEZzBOUFJ3WEY3ZmxjdTZMM1hidTNLbnQyLytYNjlhclYwL1ZxbFhUeXBVcnZlcHMyYkpGOTl4emozNzY2U2V2ODB1Vkt1VVp2Wk5YOCtiTjFicDE2d0o5ZmtFU1Nad2ZFc1FBU1VoSTBPSERoeFVTRXFLaFE0Zks0WEFvS2lwS2pSbzEwbHR2dmFYS2xTdHI2dFNwNnRldm4vcjI3YXVISG5wSUsxZXVWSzlldldRWWhvWU1HU0s3M2E0dVhicm9rMDgreVhjUHFPenNiTTlUbG1uVHBpa2tKQ1RmVGpJa0pDVG9Fa1JKa21sWVRkUDB2L0pQOFhCZTdUVFBRd09icENqVE5Nc1podVYzdWM1OUUrZGdVWmpEcXViT25TdmxEdk55ZDF4anhvelJuMy8rS2VYKysyVmxaU2tzTEV5R1ljZzBUZjM3My85V2FHaW8xNXZMK3ZYclg3WUpvdjQ3WHNwV3pOdlhSV2NZaG1HYTVqbC9HOHpiaGczRGlKUVVJNHZyQ2hYQzk4cVltQmhObmp4WlgzMzFsZWYvdjRNR0RmTFo4aWd6TTFOMzNIR0grdlhyNXpPSDBEQU1XYTFXZmZIRkY1S2s0Y09IYSszYXRabzdkNjVDUWtJVUdSa3BpOFdpcjcvK1dwOTk5bG0rc2RTcVZVc1RKMDZVWVJoNi9QSEg5ZmpqajJ2djNyM3ExS21Ubm5qaUNjK29HZmVYMGZmZWU4OXJ6dDNqanordVhyMTZxV25UcHRxOGViUGVlZWNkZmZ6eHg0cUtpbEptWnFZR0RCamdtV05jR0JJU0VyUisvZnA4RjZaeEN3OFA5N3RIYTVjdVhWUy9mbjNQbTlGWFhubEZwVXVYOXF6SW1KNmVycjE3OTJyLy92M2F2MysvZnZ2dE4rM2Z2MTkzM25tbjEzN0hWMTU1cFNwVnFxUmF0V3BkOEQyWkJyOEhDdUNDKzJMRE1LSmNMdGRsM3hkTDB2TGx5L1hCQngva3V6Q2pXM2g0dUw3NzdqdDk5OTEzWHVVMWE5YjBTUkFURWhKVXNtVEpBazEveXN6TVZPZk9uVlcrZlBuenZBT2NDUWxpQUd6ZHVsV1RKMCtXY29kN2R1alFRZE9tVGRQMDZkUDF6VGZmNlBqeDQ1bzBhWktpbzZNMWF0UW96OGFoVFpvMDBlT1BQeTZiemFaeTVjcHAvUGp4YXQyNnRaWXZYKzczYy9idDI2ZHUzYnFwY3VYSzJybHpwMnJYcnEzUTBGQk5talRwc2xueHpKU1VrZU9ZYzBXbzlmVUNWQytxbWhpR01lenZUeTdkbmM3Zm4xN21Kak01a25hWXBybmVOTTBrU2NzU0V4TzNWSzBUMjBJVzQ5RkxHLzdsSSs4YmdGOS8vVlU5ZXZUUWhBa1RGQnNicStUa1pEMzQ0SU4rMzF4ZXJreEpHZG1PbVpGaHRpSTM1Q21ZbUtaWjFqQ01LWkt1K0Z1NWxFOGJsdVF3VFhOWGJodmU3SEs1VmlRbEpXMm9XcVBCRFFveHVoUkdYSkdSa1Y3NzZJV0dobXJObWpYS3pzNzJtUnNmR2hxYTd3T2F5cFVyeTI2M0t5a3BTY3BONU5xMmJhdlEwRkE1blU1Tm56NWR5cDFMR0JrWjZabXI2QzU3OU5GSGZiWnMrT0dISDZUYzFRKzNiTm1pNjYrLzN2TWd0RmF0V2w3WHNGcXR1dnJxcTFXMWFsV2xwcVpLa2ljaG5ENTl1aUlqSS9QZEo5VTl3bWJObWpXZWMvL3VubnZ1OGZsdlZLTkdqVUpad2ZqYmI3L1Z0OTkrcTNmZmZWZFJVVkZTN2tKMTd2blZaY3VXVlhoNHVCd09oOXEzYjYrNmRldXFjdVhLcWx5NXN0TFMwczVwajduOG1KSXlzeDB6cndpMXZuSEJGeXZhbWhpRzhYcnUyMzJQYyttTG5VN25paTFidGlRV3BiNTQ4ZUxGRjd4ZjhKWXRXN3ltVk9WVnIxNDlSVWRIS3lNancydnhLcmVEQnc5S2ttNjQ0WVo4MStmQXViczhzb1FnTW0vZVBMOGRqYnZqY3MvbE9KUFUxRlRWclZ2WDY5Vzgyd01QUEtCV3JWcDVub2lVS2xWS1RaczIxVysvL2FidTNidDdFcnVPSFR1cVhidDIrUzRvNEhBNE5IRGdRTldzV1ZOdDI3YlZxRkdqTkhEZ1FQWHExVXRqeDQ3MXJQSVk3QXpEVUk1VGV4SVRFNWNGT3BaQWFkU29VWGplMWREOERTZk8wekVkelowVVA5ZmhjT3dNQ1FrNW1wU1VkUG9TaG52Si9QVFRUejd6ZTkwTFcveDk4WnFVbEpSenZyNTdmdUtaM2xvNkhJN0w1bUdMUDRaaHlPR3k3QzdPN2V0U2FOQ2dRU1diemViWjcvQk1iZGcwemI5TTAvemE0WEI4YmhoR1VsWlcxdEhrNUdULzM1d3UwSjkvL3FtVWxCU3Z4Y3htelpvbDB6UjlFc1RNekV5dmxVT1YyemJjWDhnV0xWb2t1OTB1NVNZNDY5ZXYxK0RCZzJXMVdyVjQ4V0lkUG54WTdkdTNWNzkrL1R6VEk1UzdBcXEvTnhCZmYvMjF3c1BEdFdqUkluM3h4UmVhTld1VzUvcUhEeC9XUXc4OTVGVS83eXFpZWQvd2x5bFRScW1wcVJveVpNZ1oveTJtVFp1Vzc3RjI3ZHI1dFBQQ1dQMzdqei8rME91dnY2Njc3NzViMTE1N3JaWXRXNmJmZi85ZGJkdTJWZWZPblZXeFlrV0ZoNGRyNjlhdDZ0bXpwMjY0NFFiUHc2bUVoQVNOR3pkT0V5Wk15SGY0YmtFWkZrTTVMaXUvQjg3aWZQcGlsOHMxUHljblozdFI3SXZ6UzR6UHg3dnZ2cXV0Vy8xUHNaNHdZWUthTm0ycWd3Y1A2cGxubnNuM0dnc1hMc3gzUVNtY3U4djNtMDJBWEhmZGRXclZ5bmM5aDJYTGxtbno1czJlTjN4NW5UaHhRbE9uVHZYOGZQdnR0K3ZHRzIvTU41bjgrK3Z5dExRMHpaOC8zMmNsdFB5U1E2ZlRxUUVEQm1qWHJsMmFPbldxWnk1aWhRb1YxTDkvZncwWk1rVFIwZEhzZjNpWmNEcWRwdFZxOWZSRWViNUl1Z3pET0MzcGxHbWFxNTFPNTdTa3BLU0ZnZHA0KzFMNzZxdXY4azNPM1B1TXV1VTNCUHRNdG03ZEtzTXdkTTAxMStSYnAzZnYzcnI1NXB2MTZLTkY0a0V3TGlMVE5FMC9pMXVZaG1Ga1NEcnBjcm0yU0VvNGN1VElGd2NQSHN5NEZESDkvUFBQR2p4NHNHYk5tdVVacG5qNDhHRy84K0JHang2dDBhTkhlNVVOSERoUW5UcDFrc3ZsMGllZmZLSzR1RGh0MnJSSlE0Y09WZS9ldmRXd1lVUFBzRlQzUTVxOCt4ZWFwaW1IdytHVElMcjNJYTFkdTdaYXRteXBWYXRXYWVqUW9lclVxWk91dU9JSzFheFowL09HVVpJNmRPaWdmLzNyWDJyWnNxV1NrNU0xWmNvVXIrdVZMVnMyMzRWM2xpNWRxaEVqUnVpdHQ5N0tkNUdhdi8rZXljbkpLZkJxcjJjeWF0UW9aV1JrYU5HaVJaNjVueVZMbGxUSGpoMjk5azZzWGJ1MlFrSkNsSmlZcUp0dXVrbHo1c3pSMkxGajFiNTkrK0NjRmxKRU9aMU8wMkt4K0d2SGVmdmlkVTZuYzNKeDZJdHpjdjY3S0d0aHRBVkphdG15cFlZT0hlcjVlZmZ1M1g3NzFwRWpSM285MUZxK2ZMa0dEeDVjS0RIZ2YwZ1F6MEdYTGwwVUd4dnJON0U3ZE9pUU5tL2VyRzdkdXZtOGNUaCsvTGd5TWpKVXMyWk5UMWwrcitObnpacWxjZVBHZVpXNTV4QSsrdWlqUGs5cWhnNGQ2dGxyU3JtTDM3ejIybXY2OGNjZk5XclVLTldzV2ROcnVlOE9IVHJveUpFakdqOSt2TkxUMDlXblQ1OUNtN2lQaThOcXRScDU5bDZTYVpySEpHMHdER090eStWYVp4akd1azJiTmgwTWRKeVgyanZ2dkZQZ29aNzc5dTNUL1BuelZicDA2UUs5OVV0TFM5T3NXYlB5ZmJ2aGR2RGdRUjA3ZHV5Y1kwZnhrN3R2bXZ0MytDbEpteVN0azdUT05NMDFpWW1KZXk1MVRJbUppWXFNakZTTkdqV2szRlZERHg0OHFLNWR1L3JVN2R5NXM4OWNXL2RLMkY5Ly9iVlNVMVBWbzBjUGJkcTBTZlhyMTlkRER6Mms1T1JrVDEzM1VNNjg4K1hjcXc3bkhTNHFTVk9uVGxYSGpoMjFjdVZLV1N3V0RSNDhXTk9uVDlmZXZYdFZvVUlGbWFicE5SZnZ6anZ2VkdSa3BJNGVQYXJTcFV2NzdFbG9zVmo4YmxhdjNHRzJraFFWRlpWdm5iODdkZXFVU3BjdVhhQzZaM0xiYmJlcFdyVnFuajlWcWxUeHV3MkFlMzJBWmN1V0tUTXpVek5uemxTN2R1MDBlUEJnWldSazZJb3JydkI3ZlJTdTNMNVl5dE1YRzRheHlUQ01OY1d4THo1MTZwU3NWdXRaNStJV2xNMW04L3B1bk4vb25ZaUlDSzk2WjVzRGlmTkRnbmdPWG56eHhmTTZMem82V2krOTlGS0I2alp1M0ZqUFAvKzhWOW1lUFhzMGMrWk1QZlRRUXo2dnovTk92RDl3NElENjkrK3ZuVHQzYXVEQWdXclJvb1hmei9pLy8vcy81ZVRrYU5La1NVcEtTdEt3WWNNVUV4TnpYdmVHUzhNMFRaZWtOUzZYYTQ1aEdEOGFobkZnNDhhTmYwazY5MWRqeFZEbHlwWFZ0MjlmclYyN1ZyMTc5OWJiYjcrdGhnMGIrcTI3ZmZ0MjllL2ZYOW5aMmVyYnQ2K24zTjFaN2QyN1Z6ZmRkSk8yYmR1bUkwZU9lRDM0QWZLVDI0YVRKSDNtY3JtVzVPVGs3STJJaVBnemtIdWpiZHEwU1hGeGNaN2hraHMyYkpERDRmRDcwS05XclZwK3QzZzZkdXlZeG93Wm8vdnV1OC9yQzkyenp6N3JlYURwZERvMWYvNThYWGZkZFY2SmxYdklhTjRFY2VQR2pWcTNicDBHRFJya1dRMnhVcVZLZXVXVlZ6Umt5QkRWcTFkUHg0OGY5MGxpNTgyYjUvbjd0ZGRlNjFtRTZtSklUVTB0bElWaE9uZnU3Rk5tbXFaT25qenBzL0Y5OCtiTk5XclVLUDMrKysvcTA2ZVBad1RRczg4K3EyclZxdmtreGJnNC90NFhPNTNPZzBsSlNjZUtZMTk4K1BCaDlqVXN3a2dRZzB5dFdyVjhPcDcxNjlkcjVzeVphdE9tamQrVjJGd3VsejcvL0hQUG04Y3hZOGFjZFZYRnA1NTZTdFdyVjllUUlVUFV1WE5uUGZqZ2crclpzNmZuYVNxQ2g4UGgyR2l4V0s1TFRFdzg5NGwwOExKbnp4NGRQWHJVTXlRbU96dGJPM2Z1VkU1T2psd3VsMmJQbnEyUkkwY3FNakpTWThlTzlXcHZGU3BVVUsxYXRmVE9PKzlvNU1pUmNybGN1dnJxcS8wdTB3M2tkZXpZc1QvTGxpM2JhdE9tVFZ2eXptRUtKUGY4dzd3YjBILzc3YmRTN3Z5MkcyKzhzVURERjdkdTNhcnc4SEE5OGNRVFdyMTZ0YWM4NzJpWFR6LzlWS21wcVY3N0V5cDN0VTc5TFVHY08zZXU3cjMzWHM5K3BXNU9wMU1yVnF6d21rczRkZXBVbjgzdHAwMmJkazViZFp5cmZmdjJLVDA5dlZBV2gxRnVrdnpycjc5cTgrYk4ycng1czVLU2tuVFhYWGQ1SGlyLzlkZGYrdWlqanp3SmNPM2F0YjMyYWQyOWU3ZXFWYXRXS0xIZ3pCd094MGFuMHhuMzY2Ky83Z3AwTElGbW1xWjI3TmhSYU8wQXdZY0VNY0NHRHgrdUVTTkdlTGE1T0ZmcDZlbnEzYnUzdG0vZnJ0allXQTBhTkVoVnFsUXAwTGwzM0hHSDZ0YXQ2MWtTdkV5Wk1uNkhGaUd3a3BLU2pnUTZobURpSHM2U2tYSHUwN1EyYnR5b2tKQVExYWhSUTNhN1hTKzg4SUsyYk5raW04Mm1OOTU0UTA4ODhZU09IRG1pUng1NXhHZVpiYXZWcWlsVHBpZ3BLVW1uVDU5V2VIaTRHalpzV0toYmI2Qm8ycjkvZitiKy9mczNCenFPdk53Ynpidm44dXpkdTFkTGxpelIvZmZmcjMzNzl1blpaNS9WU3krOTVEV0Z3WjliYnJsRnBVdVh6cmNkckZxMVN1Kzk5NTZhTm0ycU8rNjR3K3VZZTlYUXZHMnRWYXRXZnVjQ2J0eTRVVGs1T1dyYXRLbG5zUnlyMWVvelhEeHZZdXAwT3MvNmU4TDlGak16TXpQZlZSU1ZPOHd6UER6Y3M2ZGhzMmJOem5qZHN6bDkrclI2OSs2dDVPUmtPWjFPaFlXRjZmcnJyOWNERHp5Z05tM2E2T0RCZy9yc3M4ODBkKzVjWldkbnExdTNiaXBUcG94R2p4NnQ4ZVBINjVsbm50SFJvMGQxL1BoeDFhOWYvNEppUWNIazlzWDB4N243YkI4NWNrVGR1blVydEd1NlhDNnY5dW9lZ3U2dlh0NTFCZHpUc0ZDNFNCQURMRDQrWGsyYU5OSHk1Y3M5SGZhNWlJeU1WT3ZXclJVZkg2OU9uVHFkODJwU2xTdFgxdGl4WTVXWW1LallXUGJJUmZDNzVwcHJGQjRlcnZmZmYxL0p5Y2tGWGtYMDBLRkQrdjc3NzNYcnJiY3FORFJVdlh2MzF2cjE2L1gyMjIvTE5FMjkrdXFyV3JseXBWcTFhcVd2di81YUpVcVVrTlZxbGNWaWtkVnE5WFJLZWYvczJMRkRKVXFVNE1FS0xqc3JWNjVVaVJJbFZLZE9IZG50ZGcwY09GQldxMVU5ZS9aVXlaSWxOWFRvVUEwWk1rUVRKMDZVSlAzeXl5L0t5c3J5dElQczdHelo3WGJGeDhmcnV1dXU4N20rM1c3WCtQSGpOV3ZXTE5XdFcxY2pSb3lRWVJpYU5XdVdjbkp5RkJvYXFxKysra3Fob2FGZXc3VHZ2UE5PbjJ1NVhDNjkvLzc3NnRtenAxZDdUMHBLOGxsWmRlL2V2WjYvSnljbjYrR0hIeTdRdjBlL2Z2M09lTHhMbHk1NjdMSEg5TmxubjZsZXZYb1huSlJkY2NVVnFsNjl1bHEyYktrYmJyaEI5ZXZYVjBoSWlQNzQ0dytOSGoxYXExZXZsc1ZpVWR1MmJmWFBmLzVURlN0V2xDVFA0bk03ZCs2VTNXNlh4V0s1NEdRVk9CZE9wMU1USjA1VVdGaVkxd2lFQzdWczJiSjhwMGJsOWZUVFR4ZmFaeUovSklnQlZxZE9IZDEyMjIwNmNPQ0ExcXhaYzE3WEtJelZTRWtPY2JtSWpJelVzR0hETkdIQ0JNMmVQYnZBVHc5TGxDaWgxcTFiZTRadXhjVEU2TVVYWDFUcjFxMGxTZFdxVmRNbm4zeWlsU3RYNnNpUkl3VyticWRPblM3Z2JvQkx6K0Z3NkpkZmZsRnNiS3lzVnF0V3JWcWxYMy85VlU4Ly9iUm5GZTIzMzM1YmE5YXMwY0tGQzVXWW1LalZxMWRyNmRLbFh0Y3BXYktrZXZmdTdmY3piRGFiVWxOVDllQ0RENnBQbno2ZU4vKy8vZmFiWjZ1bzZPaG92ZkxLSzJlZDJyQnUzVHFkT0hGQzNidDM5eXIvNktPUGZCWlp5OHpNOU54RHhZb1Y5ZnJyaGJPRmJwVXFWVFJ0MmpTZE9uWEtzNkg5aFhydHRkZDh5c3FYTDYrVEowK3FSNDhlNnRLbGk4LzZBSU1IRDlhMTExNnJPWFBtNk1TSkUrcmJ0eTlMKytPU1dyRmloUklURS9YVVUwOFZhRVA3Z29xTGkvUDZmWEx3NEVHLzI5UDA2OWZQYTJqNWhnMGI5TUVISHhSYUhQaXZDOSs4cEpCVnJSUGJTb2JtbHkxZE9ucmkrNk1VRjl1Z0FHZWhxTm0yUFZsUFB2Tzg5aDg0YUpkcGRrcEpUbG9jNkppS0F0clgvNXcrZlRyZjFmOWNMcGV5czdQbGREcmxjcm5rZFA1M3RYS3IxU3JETUR6L2E3RllaTFBaQ21WUHRFdUo5blg1cWxxalFUT0ZHUE9qU3BhTUdmdnVXN3ExeGMzbmRaMWR1M2JwOU9uVG5zV2E1czJiZDlaUktPNTJZTEZZTG5qdk02ZlRlZFlWdERNeU1tU3oyUlFhR3FyczdPeUFiNEo5NHNRSi9mRERENHFQanc5b0hJVmx6ZHIxNnR2dlphWDkrZWR4bWVxVXNvTjlFQytWeTdrdk5rMVQwNmRQVi9mdTNTKzd2aS9ZQkhOZnpCdEVBTVhTbVphR3QxZ3NMSjJOSXMyOXRZVmJRWktld3R3U3FTRFh5anV2TWRESm9TU1ZLbFdxeUNTSHdQa3lERU05ZXZRSWRCaTR5RWo5QVFBQUFBQVNDU0lBQUFBQXdJMEVFUUFBQUFBZ2tTQUNBQUFBQU54SUVBRUFBQUFBRWdraUFBQUFBTUNOQkJFQUFBQUFJSkVnQWdBQUFBRGNTQkFCQUFBQUFCSUpJZ0FBQUFEQWpRUVJBQUFBQUNDUklBSUFBQUFBM0VnUUFRQUFBQUFTQ1NJQUFBQUF3STBFRVFBQUFBQWdrU0FDQUFBQUFOeHNnUTRnUHprNU9kcTZiYnV5c3JNREhRb0NJR1hQWG1WbDhkLytZcUY5RlcrMHI4dWYwK0hVOXVTZENnc0xDM1FvdUV4dDI1NnNuSnljUUlkUnJORVhGMi9CM0JjSGJZSjQ4dFFwdmZmK0I3TFpnalpFWEVRT3AwTW5UNTRLZEJoRkZ1MnJlS045WGY0eTdYWjlPT2xqaFlhRUJqb1VYS1p5Y25KMDhoUy9Cd0tKdnJoNEMrYStPT2orSDVsdHVnNkZ5a2gxU2ZycnhJbEFoNE1BTXd6anBDUEgzQi9vT0lvSzJoZnlvbjFkZmx5R2VjUWk0NURMTk1OUEJPa1hDMXhtVERNMTJ6UVBCVHFNNG9TK0dIa0ZZMTlzQkRvQVB5eVY2bHgvblUzVzBvRU9CSUZudUhMKzJ2M2JyMXNrdVFJZFN4RkIrNElIN2V1eVpMbW14blYxTExhUXF3TWRDSW9HcCtFNnVtOTcwalorRDF4UzlNWHdvQzhH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x0ai9BMUtzWGhmZm1ZaFFBQUFBQUVsRlRrU3VRbUNDIiwKCSJUaGVtZSIgOiAiIiwKCSJUeXBlIiA6ICJmbG93IiwKCSJVc2VySWQiIDogIjM5NTA3OTkwOSIsCgkiVmVyc2lvbiIgOiAiMTIiCn0K"/>
    </extobj>
    <extobj name="ECB019B1-382A-4266-B25C-5B523AA43C14-7">
      <extobjdata type="ECB019B1-382A-4266-B25C-5B523AA43C14" data="ewoJIkZpbGVJZCIgOiAiNDU4NDExNDg0NzYyIiwKCSJHcm91cElkIiA6ICI0MTk5MzY1NDMiLAoJIkltYWdlIiA6ICJpVkJPUncwS0dnb0FBQUFOU1VoRVVnQUFBTnNBQUFDY0NBWUFBQUQyM3Q2VUFBQUFBWE5TUjBJQXJzNGM2UUFBQ2tCSlJFRlVlSnp0M1g5TTFmVWV4L0hYbDNPT2dzYjhRZWRPV0YycDhDUjVWL2JyWm82em9DeWJMamVzNVJaRlVVdHJram4vNkFkejlHT2paYTAySm5DWGsrN2NHbG5xVmpZYUl6VUVpY3c1YjU0R0ltdHlyem8wblppY1JNNDUzKy8zL2lQbmVpNVE0RGwrajZ6blkyT1R6L2wrdjd3NTQ4bUI4LzNpa1FBQUFBQUFBQUFBQUFBQUFBQUFBQUFBQUFBQUFBQUFBQUFBQUFBQUFBQUFBQUFBQUFBQUFBQUFBQUFBQUlBcnkwajJBTVBKdXVsdjEwL3d1RzlLOWh3WXZ3WUdCbzcwSE9uNGQ3TG51TlJWRjF0Mjl0eHNwZHIvbEtIWnlaNEY0OXAvMUc4czYrNytWM2V5Qnhua1R2WUFRNlFxVzRabUd6Sm1URXBMazh2dFN2WkVHRWZNaUtuK0N4ZGsyWGFxVXBVdGlkait5S1MwTksxWnRWSzM1TjZjN0ZFd2pyUjNkR3I5UHpibzdMbHp5UjVsaUtzMk5wZmJwVnR5YjlhOHY5K1Y3RkV3em5nOG5tU1BNS3lVWkE4QS9Ga1FHK0FRWWdNY1FteUFRNGdOY0FpeEFRNGhOc0FoeEFZNGhOZ0FoeEFiNEJCaUF4eENiSUJEaUExd0NMRUJEaUUyd0NIRUJqaUUyQUNIRUJ2Z0VHSURIRUpzZ0VPSURYQUlzUUVPSVRiQUljUUdPSVRZQUljUUcrQVFZZ01jUW15QVE0aHRIRGx6NW93Q2dZQk0weHp6dnJ0Mzc5Ym5uMy8raDlzRmcwRzkrZWFiYW1ob3VNd3BNWktyOWxWc3hwT3VyaTc5K3V1dmNSM0Q2L1ZxNXN5WnY3dk41czJiVlZ0YnE2cXFLdDE3Nzcyak9xNXQyeklNUTk5Ly83M2EyOXYxK09PUHE3Ky9YMmxwYWRGdE9qbzZkT0RBQVMxWnNrU1RKMC9XcmwyN1pCaUdIbjc0NGJnK0o4UWl0Z1Nvckt4VVcxdGJYTWQ0OU5GSFZWWldOdUx0cG1scSsvYnQ4dmw4b3c2dHBhVkYxZFhWMnJ4NWM4ejYyclZyTlRBd29LcXFLa25TMTE5L3JTMWJ0bWpwMHFVeURFT3paOC9XNGNPSDQvcDhNQlN4SmNEZ0Y2MGtkWFoyS2lNalE5ZGVlMjEwN2Zubm45ZlVxVlAxL3Z2dkQ5azNGQXFwb0tCQU45eHdRM1R0MkxGamFtNXVqdG11cDZkSHAwNmQwcHc1YzFSWFYvZTc4eno0NElQeWVyM0t6TXhVVjFlWERoMDZGTDNOc2l6dDM3OWZqejMyV0hUdHUrKyswOXk1YzVXYW1pcEptamR2bnFxcnEzWDA2RkZkZi8zMVk3NC9NRHhpU3lEYnRyVjgrWEk5Kyt5emV2cnBwMk51NiszdDFkNjllMlBXcGt5Wm90N2VYbDI0Y0VIejVzMkxybmQxZGVtRER6NlEyKzJXWWZ6dlpjODlIbzlhVzF2VjJ0bzY0c2VQUkNMS3pjMlYxK3RWVGs2T3ZGNnZkdTNhRmQzbTRNR0Q2dXZyMHdNUFBDQkpDZ1FDNnU3dVZsRlJVWFNiUllzV3FicTZXbDk4OFlWZWV1bWxCTnd6RUxFbDFxRkRoeFFNQm5YYmJiY051ZTNISDMvVW1qVnJZdGJ1dnZ0dVBmbmtrM3Jvb1lkaUh0a0dWVmRYNjY2N1J2L0txenQyN05DcnI3NGFzM2JQUGZlb3FhbEpkOTU1cHlScDU4NmR5c3JLVW01dXJpU3BycTVPcWFtcFdyaHdZWFNmR1RObXlPLzNxNjZ1VG9XRmhicnV1dXRHUFFOR1Jtd0pOUGhzMzVkZmZpbWZ6NmRKa3laRmI4dlB6eC8yeDBoSll3cHFyQjU1NUJINS9YN3QzNzlma2pSLy9uejVmRDdwNHFOYVkyT2ppb3VMTlhueTVKajlWcTllcldYTGx1bnR0OTlXVFUyTjNHNitWT0xGUFpnZ1AvMzBrK3JyNjFWWVdLam01bVkxTlRYcHZ2dnUwNnhaczNUbXpCbUZ3MkUxTmpiS3NpeFpsaVhUTkdXYVp2VGZsbVhKNy9jckt5c3JZVE9kT0hGQ2tqUjE2bFQ5OHNzdkNnYUQ4bmc4eXN6TTFMRmp4MVJlWHE3MDlIUTk4OHd6US9iTnpzN1djODg5cDQ4Kytramw1ZVdxcUtpSStaRVdZMGRzQ1hEeTVFbVZsWlhKNS9QcDlkZGYxOHN2djZ5dFc3ZXF0YlZWKy9idDAvbno1M1hxMUNtOTlkWmIwZGgwOGNrSzI3WWxTUk1uVHRUaXhZc1RPbGRqWTZNcUt5dGoxbGFzV0NGSktpb3FVbTl2cjhyS3lqUmx5cFJoOTErK2ZMbU9IajJxYTY2NVJxWnA4dWdXSis2OU9ObTJyZExTVWxtV3BYZmZmVmN1bDB2cDZla3FLU2xSU1VtSkpLbSt2bDZtYVdySmtpVmpPblk0SE5iQXdNQ290NDlFSWpIdkZ4WVdxcUNnUUpabHFiaTRXRmxaV1hydnZmY2tTUmtaR1ZxNGNLRTZPanEwZGV2V0VZLzU0b3N2SnZUUjlzK00yT0prR0laV3JWb2xuOCtudzRjUDY4aVJJME8yMmJKbGk4TGhzS1pObXpic01lYlBueStYeXpWa3ZiUzBOSzdaMHRQVGxaNmVyZ01IRGlnWURNcTJiWFYyZG1yQmdnWFN4ZE1PR3pkdVZEZ2MxdG16WnpWOSt2VG9ISkZJUkwyOXZhcXFxaUsyQkNHMkJQRDcvZExGcDh3OUhzK1FjRUtoa0NUcHRkZGVpMW0zTEV1aFVFZ3RMUzB4VDZZTVdyRmloVzY4OGNaUnp4RUlCUFRKSjU4TVdkKzJiWnQwOFhLdndSUGFpeGN2MXUyMzM2NkdoZ2JWMTllcnZMeGNtelp0aW9aMThPQkJsWlNVUk0rOUlYN0VsbURsNWVWYXRHaFJ6TnFhTldzVUNvVmlUbjVyaEtmcUwzWEhIWGZFL1V6bGlSTW45TTAzMzJqdTNMbUtSQ0o2NnFtblZGRlJJWi9QcDFtelprbVN1cnU3WlJpR3BrK2ZIdDF2OEJzRXNTVU9zU1ZZTUJqVTZkT25ZOVpDb1pEQzRmQ1E5YjYrdmlzK1QwMU5qVzY5OVZibDVPU292YjFkUlVWRmFtNXVWbGRYVnpTMlFDQ2c3T3pzbUxBR2YxZTg5QnBLeElmWUVtemR1blZhdDI3ZHNMZGRldUxZQ1QvODhJUHE2K3RWV1ZrWnZlb2tKU1ZGR3pac2lENk4zOTNkclgzNzlxbTR1RGhtMy83K2ZvbllFb3JZRW16MTZ0WEt6OCtQV1h2bm5YY1VEb2YxeGh0dnhLeC8rdW1uOHZ2OVYrd0xlcytlUGJyLy92dVZsNWNYYzRuWFlHaTJiYXVxcWtwdXQxdkxsaTJMMmZlMzMzNlRwR0YvbDhUbEliWUUrdXFycnpSdDJyUWg4YVNscGNubGNzVmMxSHYrL0htMXRMUm85KzdkMnJoeG96SXpNNGNjcjZHaFFZRkFZTlFmLytlZmY0NTUvNGtubnZqZGMyTTFOVFg2OXR0dnRYTGxTczJZTVNQbXRwTW5UOHJ0ZGhOYkFoRmJBdXpjdVZNREF3UFJFOWFEYjVGSVJKWmw2Zmp4NHdxRlF2cjQ0NDhWaVVSa21xYkM0YkJ5Y25MVTNOeXNGMTU0UWJXMXRURi9LYUNMNStkU1VrYi85NzJESjhzSC9YOUFnM3A2ZWxSUlVhRzJ0all0WGJwVUpTVWxpa1FpcXFtcFVVWkdoa3pUMUdlZmZhYmMzTnhoVDBuZzhoQmJBbno0NFlmUlM2TThIbzhtVHB3b2o4ZWpDUk1tUk45UFMwdFRVMU9UM0c2MzNHNjNQQjZQM0c2Mzh2UHp0WGZ2WHBXV2xxcTJ0amJtR3NYMTY5ZkhmU0h5Y054dXQvcjYrclIyN1ZvVkZoWkcxM2JzMktIang0OUxrbWJPbktsWFhubmxNdTROaklUWUVtRGJ0bTF5dVZ6eWVEeVh0ZitlUFh2VTF0WVcvZkd6b0tBZ2V1SHdXQ3hZc0dERS9TNk4wT3YxYXRPbVRVTzIyYjU5dTJ6YmxtM2JZM3BFeGVnUVd3TEVleTRxTHk5UGVYbDVDWnNuSG9aaGNNSHhGY0szTDhBaHhBWTRoTmdBaHhBYjRCQmlBeHhDYklCRGlBMXdDTEVCRGlFMndDSEVCamlFMkFDSEVCdmdFR0lESEVKc2dFT0lEWEFJc1FFT0lUYkFJY1FHT0lUWUFJY1FHK0FRWWdNY1FteUFRNGdOY0FpeEFRNGhOc0FoeEFZNGhOZ0FoMXkxLzllL0dUSFYzdEdaN0RFd3pyUjNkQ29jRGlkN2pHRmR0YkgxWDdpZzlmL1ljTm12RElNL3AzQTRySE1PdkZiNTVianFZZ3ZaVnM4RXcraXhiRHYxN0xsenlSNEg0NVZ0bnd6WmRrK3l4N2pVMWZqYVFDbC96Wmt6TzhYdCtVdXlCOEg0WlJyVzZhTWRCOXNsV2FQWUhBQUFBQUFBQUFBQUFBQUFBQUFBQUFBQUFBQUFBQUFBQUFBQUFBQUFBQUFBQUFBQUFBQUFBQUFBQUFBQVhGbi9CWTVtUjhPR1dnd2JBQUFBQUVsRlRrU3VRbUNDIiwKCSJUaGVtZSIgOiAiIiwKCSJUeXBlIiA6ICJmbG93IiwKCSJWZXJzaW9uIiA6ICIiCn0K"/>
    </extobj>
    <extobj name="F360BE8B-6686-4F3D-AEAF-501FE73E4058-8">
      <extobjdata type="F360BE8B-6686-4F3D-AEAF-501FE73E4058" data="ewoJIkZpbGVDb250ZW50IiA6ICJVRXNEQkJRQUFBQUlBUFYxZzFzRndIUDVzd0VBQVBnREFBQU1BQUFBWkc5amRXMWxiblF1ZUcxc2haTmZiNXN3Rk1YZkorMDdXSDRuTmRRVUVzR3FqTFJkcFhTdFN2ODhFM3doVnNDdWpPbGFWZnZ1cyttVU5HNVFlYkRnL280UDFyblh5ZWxMMjZCblVCMlhJc1graEdBRW9wU01penJGdmE2OEdKLysrUDR0V2NpeWIwRm9aRjR1ZXM1Uy9CYXc2amllUnRRTFYzVHEwWmd4YnhXSHNSZFI1a2RtV1RIdy8yTDBzRFVQSm1ReXhlZzZUL0VqRjlqWUl2Tlk2MHlLaXRmL0MwTXhsMDJ2elRiMGtPS1ErUGpJZ1ZkRnQ3R003SlA3SjFab3VDbHErRjIwWUFYbjgyVis1bXhmeXo4WGlqT0w3Mjd2RDlEYnZnRTFqbTBBMEhBQjR4SjdoSjhLaXMxaHliV3E1NzJXeStKVjl2cXdwRzIvVml4bHVjbmVRL3FNTDJzaEZTeWd5b1RPOVdzekZzZFdkeTZGSHRHY05WQnF4Y3VpeVpUc3VxM2RMdjdreU8xamttc3pTcnpwOXJKNXI2R2JRcS9OU0ZBbnVUMUtQNWc3WHNtODFQeDVhUFNsWVBEaW5NWFdPMXZiRFU2eWVPSk9KUzhWZ0hqa1RLOEhNZzJJQzM4QnI5ZERLRDZKUC82Z0tYUWxWV3NKZzI2ekk1bHB1Z2EyTUl1RkFRbENqMFJlY0lMOFlPYUhNM3JpYU9Vd2FIUFdjc0U3cld4aHA3Z3lON0hpanAwZmVPUVkrWFJHb3hrTlBvbEgvSVlHRFhmWWZQd0RVRXNEQkJRQUFBQUlBUFYxZzF0Y2x2YVFLbVVBQU5YZkNnQVBBQUFBY0dGblpYTXZjR0ZuWlRFdWVHMXM3YjF0aytiR2VkLzcvbFNkNzNEWDVNM0s1bUxSUU9PcHZEeXEyWm5sa2k2U21zTmRTYnZuM1doNGl4eHJkbWN5TzZ1WTU1V2QyRXAwWkN1T29paGh4RVRIcEgyc295cFhLSXV5WlZxMFBrdzB1OVFyZllVQURhRFJBTHJSM1hpNGIyRG1MMWNsM01IVkQzaTRMMXpYNzMraCsvWVgvL0R4eWVxYjYvT254NmRQWHQ0aGpydXpXajg1T24zNytNazdMKzk4K2NFck4rT2RMLzRmLy92L2R2dmc4SjMxNnJYOTFNUk5UUjY4ZDdaK2VTZjcyODdxemNQSDZYLy81aTkvZnBQc3JQNnYwOVBIcWMzTzZzdFBqaTllM25uOGVHZDFjTDQrT0R4Ym43KzhreHFrWGEzUy83SHVEczVQejU0V2YyQi8vT3J4MnhmdnJyNlN0aWVlNXdUZXppM3g2S3ZyNDNmZXZjZ09SNG52UkM2cEg4NEc1QjE0eEcwZnJUcndrcWgrT0p2T25mUDE0VGU2cDhETk5ITTVPRDIvT0Q4OFpnYXY3TDUrLzI3OThPNnppOVA3eC8vM09qdjg0SzB2MzFVTTh2cjY2NndIVjNIOHdlbFoxK0czeWlrMkoxY2EzRG05dURoOUxMRzRmM1IrZW5MeWtIWHVCQzRONDBobThDZzNDUDB3SUdIZDRONzU4ZHQzMXU4Y1Aza29tU0UvK0VoeThFdm43K3dmbjYrUEx0TG5zVDYxMjdlYUQ4M3Qxdy9mTzMxMklUYi8vV2VQejk0NGZYc3Q2VGs3ZFAvaXZSUGxzZUtPTkU3bHpXZVB2L2I2K3B2ckUwbXp4NC9mT1B5RDAzUDJTTFVQSFQvSkR6V2Z4ZlFVdjdJKzN6OStlaUZybUI1OTlWUnpkUGZwMCt4ZzNQaUJuTjAvT3N4UEwzQ2JoOUpmNFZIYVozRlZYYWRsa0k0b3VYSzNiOVd1Y1RiK0s4ZnJrN2N6NjVQRDkxYjMzejM5Vndmdm5sNmNsZy82NmszMmFQTi9zb01IcDArelRsZnMxNVZla1BTc1Z2bFBLTDNjYm1IMCt2R1RkV240WVAySEYrazF1amhPVDZqc3FuRVoyRFRZK01XUEtQZE9wVCs2L0p2L2VQa1hmNTcvNjhzdjcyVC8zODdxbFpQRGQvTCtqeTlPMXBLT1dlZGZPVHg1eGk1RDZzVmUzcm4vNEszYXBXSW1yNXcrdVZpOWN2ajQrT1M5bDNmZU9FNS9EazlQMHgvcm84UDBySFpXK1FWSWIvdHE3L1RrTkhWOC80S3kvOVV2K2EzeUpJeE96T01uOWxlZmZQNlgzK2NueHM1azBXY1c4bGZJdi9ueGIvN3pqL21aN2EvUERzOHZIcStmWEN6dzlJcW5QenUvcUR5L3U0OFBqMC80NlJYL1d2S1p4ZnlaL0llLy92Vm5IN3o0L3M4Ly94Ly9qWi9nVjlOZjlaTzVQNXJWSHdxUDFuUjBUN2tuZk9YNDVPU1YwL1BIaHhkRitQTm1kbnI4OEoxN3I1eWZQbjd3N3ZyeHV2SGVPamcvZm5KeGYzM3g3R3oxeW5INnlyMy83bnA5d1M5a0VURzVsWHZNZ2hmdUhyTlFSUWltc3BqZ2pjUHo5T1dabnl0N3lZdC9TSU1DOFovNU8xNzRDNTlWNnRmVHFFKzhOdXd2eFIzOS9OLzgyZlAzL3dmM3FhODkrZWJ4MCtPdlZiZHY5ZnJwMFRmS1h6RTd3ZklmdSttcis1dVYzWjNEbzIrOGMzNzY3TW5icGNIOUo0ZG5zcmhISFA3eXAvODZpeVlMeDZjYXZYekZ5SWJQL3lXT1hsaExobWN2dWVwaTNNNXZZamE0WHptblAvcXZMNzcvNDlwTGlKbXhoNDI5alAzNjZiQ2pkNy8rOVRTVXlRNzdvZVJ3OXBwakJ5WEg5azZmUEVuYjVwMEhWSmdzTzF6KzY0MDNxdG5TN0lFNFBIN3l0ZXgzNnBZei84cnh4ZUhKOGNWN0hYT25VZWZjcWRzeGQrbkIrKyttRVgvajZPMWJ4VnpMZitkRytXK0ovWGZ4dUxsK2VvT3pHOExmZXFsSFNPTytvL1hUcCtWSlBmLzVINy80OFhmcXAzUisrT1RwMTlNZmFOTnZWREc5NjdhOVNoWEtoNUtqdTAvZWtRV003Tmk5Z3lLKzlUMGlQOG9DWEkvR2podTBEZEpudU93Z3lHNGNDN1ozVm04MHczSEJtUFhuMTQwOWlhTThPVDZUQk43OG1DenV2aVc3ZkxkWjRMdC9lSEhZbXMveDExNTdtOTFneVJDcEgxUWNUMzlwa2g1djd4MmNwai9ocDgyTzhqOFhkL3pnZ25CM2xEOHpidk1sd2hvcFRwd2RNN3grdC9LQk5kUHh1SC9TVGtkN2Y2dlpTVzZaMlhUOGZEcSt3WFRZeStZdGRpVTFzeG5yV3RGOGNuVGNheFdLcDJFMHQvSlB0ZmZlRzhkUGo1cE52L1MxUDBpZFh6Wlo5aE51UE1TTkZyZnZmbk10ZVh6WlgvZlB5eXg5OVVyN1I5ZHFtRHZGSXN6NFA1OGRIMzNqamNPbjZhdk9DejJTQksyb3FSV1QzRDg5T1g1YmVuRzVzLzhYWHkvK0o3bGdWWC90SC95VHRmUUlQL3JWdFJ3NDFJejJEdG5WU0dQQ0M3blJXOW5MK3ZqSk80eXRPRUdRdUtHNnQ0UERpNHYxK1pQQ0xVak5HR2pZUFQ4Ly9WZk15aTBEeGJiZll1WjNuN3h0YnN5dVNYckZkTmVlR1l2WG43Z2twdGt2bGIrRjArYytIZXpkdzdmVGZwTHNzVjUvUFl0Z1NSQWNLYzcvVmpsNjZ5WXFiOVh0L0pXdXZvM1pCTkp6enpDQTNCTXBPcmg5UzNoc2ErL2tORWhvL1M1WTVGQkwxaCtrLzNYM0R5L1dUOTR1aDViTlR2V0M1d2ExRjczT3diRVd0WmQvbHkvaExUb0NBbTV6ei9pOVhtdGk1bkY1azBiOGtIcVg3TUk2RDRqRHJzUHZaRjFvR3ZNUmhjYjVKZWx1L2VBUEwvS1VzQ3RmWTViU3NLTHFKeDN6emtrYXk2KytzbnR5L0U2YW9leWwvbkI5bmdPZy9ISEsvVitXMlJ4KzdmN0ZhUnE3eDlMSGczVlkrNUVsMmYrcFQyTHYzY1B6dzZOMHROVnJEM1AvckVrdFNaVmE2dm8rU0x0KzUvenc3TjJ5Ny90bjJhK3llREtMYzgxZWlrL2VmdVg0L09rRnMwbi9rYVYzNVgrL2xTZUFyUEhoMGZyT09yMks2K3JmdTErL3lDTGtqc2N3ei9xZXJ2Sk9hWkVzNW0vaDdEclNNajFVT1RoK2p4VEgyUEd6czlWQmZvNTdEeFcvM0pyOXhWbHArUHpudjNqK3M3KzhmZXZpckt2L1cyZWRoL3NQLzl0Zi9ydDhCaTgrKzR2Zi92TGIvZWVSUHVUeWE1UWZZQTk0eTVNMm11Ui9xRVVDOTlhbmo5Y1g1OGZybGdNdGpyd25HL0xOVS9aR1VzZkFiekxRMm1Hd2QzTDZkUDEyeDN2OHpkT01CSFVPa1NYWkhUMjhjZnJOOVlOVDFlVTBqbEdadFVra3lBeHZLVWRsTC9KUjU2TzRNTGVVQTVsTW9lT252cjFCamE3OG9CbE04Q1JJUjcxOVMvSzc0bitzZm9aRnNDT2pHUHpuWHBJTUtpRVpiNlVSMUdFV1JaVFJUL1VITzV6aEp3NmhyaVR2cWFJYVgzTFVDR2w0b2U5UVgyN0Fyak5KSkVlRmtJUWtUcERwb3VaY2c0U2I0eHBaQWxkWE5PVnBGeUVHT1ZlTkExZG50cUdFYVg1NWtQeDZJQzNoUDFqTDFNVDNKa2hOekg2ZnRYWm12MUxlUk9ZTWVpY3AyYkJJVXBDa2JEeEp1ZngvL3QvbkgzK0M1S0F3bUVkeTBEY1NIcFFCV0hudjZRSnkrMmtZdkQ4bVRoSzJQd09yV3pGQ0psQ290MW4zWlM0UVNuS0JtbGtlZEloL0VvZFAveTVYeWFvNk95K1d4T1JWcFIySjJ5K0RMTkRqR21iMmhqMTQ4OEhERyttYklYM0ZPYTkvYVMvOTV3MTJYc1QxbllQZHQyci9MclFVNTZIM1V1dHZqN3d2Zk9FTDB1RnlVWlF3VWJRWThkRTBJOTYrSmJ0b0pwbFZ6R2FXWFp1YitlWHRTcks4SkQyVkxOWExtenpLbXp6cXpMd3kyM3RmM24xci80WXJ1VXFWc3B6OTBGUFRHL2tzZmplYjBSZWtZWStnTjZmWEpQQUNvZDJqck4walJidGFtR2FUcnRGc0ZNOGlaNnZPbVpWaVNNNWJTT0wweHVrNVBUaDhwN0xtRDhSRGRvUEhUQU9UNUlwbmdXMi9VVjdpeXBocWpQdXJZWG1jV2xQRE1sV2RWZldRVWd0ekpjVWJyS3RGQ0dGRDR6Vmx0R1VjcjZuRHNhc2FyOFZqeGdTampWcStMU2FJUjlpZmVkMVlYcmlkL25wTzJIOVVsWnZ2UEVsenRLeml2YXFKeThyaVJmZmRFZG5VS3JYaWhWVnEwYkN0cHFOU0M1VmFmRHFvMUVLbEZpcTFVS21GU3EzeWo2alVhamRCcFJaRWtPc2tncno0Nk1mUGYvNnRyVlpxL2NNZnZmaTdiNmZ6UUtWV1pUQVBNUWFWV3EwcG9GSnI3cFZhRW4wbW1WeWY4YU1CR29zdlVUeDhxY1pTS1Q0RjBPaXRzcGlQV2NwSXRDalVVSjlpM0JndXJvWWpMN1grOW9oMHkwZ21KemgweE40eUVnMXNaQ1IzRWdFcDhaM0FYa0txTHF1ZGdwU3RtV0lCeUd6NDJNanFFVHN0WS8yb2ZPaUtCa1JzRUVOd2d1QWtISmhIUGcvQnFVOEFOaWp3cEIxNStIUkZLT3pQYXRHbldHZGxQTTBuVzFWaVVacFBTUEIxdmpnRU5KL0dkS0Q1UVBPQjVnUE5CNXBQK1Vkb1B1MG0wSHlnK1Z3bnplZjUzLy9kNVovOVlKdWF6K1VQL3VIeTR6KzVmQithajJBQXpXZjRmS0Q1akRlRFJXcysyVXRqWXMwbkdDS0krQko1d2tEejZhK0htQTlZQ2o1QnFORzBpRnNmTHYxM1MzNFIvcVlYZkxyUGJ2QndTMVo3QWovdXAvWmNUNmxIcXR5VWo1dWtRZnJjUU9xQjFGTWRtRWNhRDZtblQ5d0ZxY2RvQ1NQaVRibUVFZkU2Tlo5QThyV09rZVlURUlueVVhMWhFaXZmVlErRktOWHN4ZWJGV0xhb2JZUmxpNjRRci9Xc2VXMFFUc0JydFQvTFdoT3pIeWR2MHZqNTkrYTFYZ3hlQzE2N0JWNzcrZmQrOGZ6ajcvL1BQL3JqdkZUK04zLzY5K2wvdi9qd1o3LzUwMS84NW52dmc1OFdCdlBncDFzSldvMzkrSFM4MG00S0JtK1JpZm5wOW1ldy9ZV0xpR3c3bHBFaGFSaTF3eVBEaFl1eThxN2VBTktURUVIdHdrWDlBYVRSY1AwQkpMVUJrRjR5Q1lHTWszNExGdlVpa0piTEZjMXRyU0x3UlBERTJvRjVwSm5naVJzUHpXaEh5akJkTktZZDFaTW5aUXZBbUxXS2Rka3E3S05VclB2VTZWeCtmYUthZFQ5cUx6SlZBeGlSWTdQd09rcldGMWV5Ym5DSHEvbHRwR2lkL1JSbVc3WnVkYjFRdUk3QzlSbnBFaWhjbjQwUVl1VGtXSnVKUzljTi9SbHYxTDk0UFI4SjVldnlQQkJ5eUd6bGtELzU2Zk5mZkxUVjh2WHZmbmo1eTM5LytkM3ZQUCtudjNyK3dhY29ZcThNNWlIQ1dManpUWld4Vzg0SWhlemp6V0NTcDJHREtrMHd1VW96U0dtaEV1bUQ2a3JaSS8zcVB1T01hUzRtMGNad1ZLTHVVRk14eWRkV3N3OGRycmVZNU5wb1NXSGlKRFFKcHhDVXlqdGlJeWo1eEhmY1hqdGdXSzMwUUowa29qYlZmeHVxYTVmTFN1V0RKMW5DS0gyQ29FTkJoNm9PekNQTGh3N1ZKd3diRklEcUJvMFdXOWQrNy96MDJWa1pLN1cyNG5wNTUvTDluMXgrOUxHbEFOUmR2UzQ3YWxhOUhrbktZYXB5aVVUeWxoRjNjYko1aVJFdGk5OUM5WHBJL2NVd2FjZlAvcmU5dHhDQTh5WmVSVXBwT2VLZXhLMnlydVB6bytyVG1Nc1B2blg1MllldHg3a1RYWW9PcGtveUZVOVp6ZUZVMW9wN3JjSE13Z2JCZGMrZ0dQeWV3cEdvbmpRTE55VTBNSE5WckVHSHUrTEhsYXFvMHVPclpPdjhZQ2xOU3o0NnlzY1U5V3ZabDBsU0Vac2RrUXZad2lFN01aczFOSHJUbTExdHVWQXJtNTZSdUYxTnoranBxR2FyQ2t1TXAyY2tkVmZUc3lwakh2dFNHdW5ldlMrbFo4SzE1UHE4UkFWbmYyKysrTmtmYlY3K3JJRjVBSkJmTkgwUWtFOWFHUWl3dzUzQkFMY3dDd2k0dVM0bzRJYjZ3SUNaMmdVSHJJbE5nRkJkQ01NZ2dUVVlPVkJnZmFxQ0JlR2c4azVxZ2dabW93a2M4bUU2T2xJRkVPeVlUTFhtQjdxVjY0QjR5Z2RkcDE4ekkzbEVvWDZrV0NORlpLRVdqbGtyQXlHYjJha2lEYzJrVkJHSFpsYU55TU5LMEJZNmVDVHB3RURVWmowWUM5dk11bFBjenZzekZyaTk3RHNXQTRtYmRXc2hjK2YydGxLM2F5eDFzLzduSUhlemlZd2plU3NGMitwb095NlYxYnNvOFpoNFZJYkkySEdkaUZzWWRhTXlacVFUYzR1ZXVwRlphZFNKelpoUkp6cGpGcHI0bHRuWWVaQU9xc1lPN3owN041cVVuYWZyaUd5NXphNkJ6UjFXTnV2UUtDSmhNYjduK1hFUW0vak52YzdHbWpQWTE5endXOTBYenZpNjJyelVlcnc3MkVVbWdSTjQvSHZ5S0FvSjlVekd1Mk53aC9ac1QySy81eTBkN1lyM2VKS3RZZ2piQzNLbjh4YVpQT045NysrK3hibU5kdmxIOVc2c3llNlEzL2tkMi91N1ozQVMrejF2YWRkRmxpb1N0UU1OVmFJbUtMQy9pQ2hRckwrSUpTU1F2VDJQU21HakRPNWYvUENURjUvKzZ2TmYvZmZuMy8zcjlEOWFhRkJWaXBGZjZtbzNLWWZFTVMydURBbVM0c0lvUUYxVlZVR2R4SXVDc3FGSFF6K0t1cGhkV1J0aE4xNVo0cERlUURmeXlrOHZvOEFQUFY4eG1yeFdnUjB4bzZVa25SZWwrUWVvcno0NnVDRlVMN3drbENXMHBYVFdqYmcyWHpjNlRmTDRuNkhHM3lHeCs3dTdEM2JmOUc0SVE3d2tESzBZcnRxaXFiaXVSa1VPdkttWWlPaHJIRmd6Y1VucTdLYlEwTUNIMjZ6aHgreTNDV0E5bFQ1Wkk3QXlxdzRFYTBPdjRqQVRGMEd2dGtPdk5QUHVUYTk4Ti9zL1JiR0ZyeXUyWU4xZFYzQTFHcllTNnFFZTNIMzQ0S3V2N1Q5NDlVWkJZQ1FsZHJWZUJJNFZOZnA1OWU1cjkxNTlZTnFSUGRycVE1cTRlNzlKeW9VUlhudmxScDAyclY1K2VlVitZWFdUdUw5MzkvWDdkMWNORm5VekhlVDN6SUhZVUI1V1RuTTVSTXozb2pDZUVSTXovL3lEOVgvdG1SZzd3TjBQcitKNTRHM2UvWGhqdVI5dFI5YnV4enpNcTdWVk9SK3YwL2w0dzUyUE45ejVlSEErY0Q0YmRUNCtkejcrNXAyUFA1YnowWFprN1h5U0tobG5wM0t6R0dpTU1NanY5RVQrY0U5a1BFdTFKL0xoaWVDSmxpME5kZ3A2VnRKZ3QrcTNhV213dldaR3l6TDNQTlNKa3BqRzY1c2QzNnRydE1IT3F2dHFVaUs3Wks3SFpIcStFOGVCSDNaUFQvMVY1SFF3UE5rMERFK2NPQWpjVWllZ0JlR2VIdzYzR0cwd0RnK2RNUDFmUERrT0ovR29QRHgwQW85RS9ZQTR2N3k5cUxqUDZDY0ZGYStHQmhVSEZSY2FnSXBYeDBERmk0NUF4WnZ0UWNYbDlrZ0hRY1hMWHJaSHhjM0R2RnBiVVBHMk5ad1A3eC9PWndVcXJyUVRKTGtxS1FjV2h5dUNLd0lXVi9RRUxGNW5tSXZINGxtRi9ESnF4QzJxdGxuTEVvcmJZdmh0VklsdkNvdlBCb3J6aXdzb0RpZ09LQTRvRGlpdTdBVlFYRElLb0RpU3dlVW1nK3dBb0xqY0RsQWN6Z2ZPQjFCOEJTZ09LQTVYZEpWZEVhQzRhQVFvTHB2ZU5xQTQyVFFVejNZSHlSWVp6VVBkc0FDclJsZzhkcnpRVFlxV0NmRmRlbVd3T0hVQ04zR254K0xwR3pvWWs0d1Q0bENhK1AzSU9Qc2xSVDNKdU9kNEFRMUF4b1doUWNaQnhvVUdJT1BWTVpEeG9pT1E4V1o3a0hHNVBUSkNrUEd5bCsyUmNmTXdyOVlXWkx4dERlZkQrNGZ6V1lHTUsrMEVXYTdLeWtIRzRZcmdpa0RHRlQyQmpOY2g1dkxKdUxjZ011NUVma0w4b3FVYmgwa1FkdTRFT0JTTmIzSWhsZnlwbW41ZDhSbVJjVjRPQkRJT01nNHlEaklPTXE3c0JXUmNNZ3JJT0RMQzVXYUU3QURJdU53T1pCek9CODRIWkh3MUF6S085Y1hoaXVDS1FNWkJ4bzNJK0JWWlh6eXJncjd5Wk54MlNGNDBibDZrUG56SHpYeGRrc25KK0xnN2J2SXJ1OGt0TjlsZGlTTXc4V3BvTUhFd2NhRUJtSGgxREV5ODZBaE12TmtlVEZ4dWoxd1FUTHpzWlh0TTNEek1xN1VGRTI5YncvbncvdUY4Vm1EaVNyc3E5Z21xZEJ4TUhLNElyZ2hNWE5FVG1IaWRYaTZmaWRPTk0vSElJUzRweXoreU11N0ljSGx4WmRHM0hva0w2NW1IcHB0dVdndzNtSWo3T1hHZnZsWjgzRTAzMDhpQmJ6OXJpOFQ1NWUzRnhZbVRDU0lldUhnMU5MZzR1TGpRQUZ5OE9nWXVYblFFTHQ1c0R5NHV0MGMrQ0M1ZTlySTlMbTRlNXRYYWdvdTNyZUY4ZVA5d1BpdHdjYVdkOEtGS2xaU0RpOE1Wd1JXQml5dDZBaGV2TTh6bGMvRmc0MXc4Y1BLRnV2TlZ1OE00QTNGR1hOeDNhQlI3WWJsZloxRTRQbDJwZUpBK1VoRXAxMUNKa3poUVZhYVB3TVc5S1BIOXhhMmhRaDNQOWZweGNlcUVmaFQyNStLaG40U29GeGVHQmhjSEZ4Y2FnSXRYeDhERmk0N0F4WnZ0d2NYbDlzZ0h3Y1hMWHJiSnhVM0R2RnBiY1BHMk5ad1A3eC9PWndVdXJyUVRGM0RpU1RtNE9Gd1JYQkc0dUtJbmNQRTZ3MXcrRncrM3NJYUtUZlcyc0lRS3pZcTJ5L3J0S0Z2c096YkM0cFlnbnErZ1VtNExtUmUyNTd4dE1pN3VSdFNmZmdVVlNwMGtTYUt4MlRpcnBPK3pqRXJnQkZIU2QrZE40Z1IrUkJLdzhXcG9zSEd3Y2FFQjJIaDFER3k4NkFoc3ZOa2ViRnh1ajV3UWJMenNaWnRzM0RUTXE3VUZHMjlidy9udy91RjhWbURqU2p1QmpWZUpPZGc0WEJGY0VkaTRvaWV3OFRySFhBNGJ2M2QrK3V6czRQejByUFVJM2wrZnJJOHVzamVoL0tibFRRdHVrZUdrM2RSLzE2elNXVFI3cjgrZ1J1YVpiWW5tSTQ3bWVXcHcrZjVQTGovNldQUnV5dGV3OE9xVmtFTGhqU281MnZHYXJGNk5OSkJkai9JMTRpVnR0RnA3VGJtYWdMNzJUdEpCMnk1Z3E0SzE4bGRRaTVTcUtDa0pzMXI3MWxqR2hOU0VqbmFRMFc0cWFrRkVqV2lvSVFtMXBLQUtBcW93dHFHZjlYZThTK0pzOFh1UmZLWVBVdmFyWGVlTHl1ZnNrNUlnT0FvVjJGR0JQanV3cHc1NTZuQ25FbldxTUdmTms3RC9MajFKTEJINTlvN1BqMDdXM0xGODhLM0x6ejVzUGM1bTZwV1gvenhKbDZwV2N6aVZ0ZUplYStKMEFRN1VQWU5pOEhzS1I2SjYwaXpjbE5EQXpGV3hCdHZVbDRqaXJHdnlrc1NvUTEzYVV3dS8rYUhpS1R1NElEc2xhczhmVTJXa2Zydmo4ckRqRmxmN1ZqNEpnK2w1T3lXS001cWUwZE5SelZZbGFSaFB6OThwazNXajZkVithYnJKalgwcGFUNVhPczJsckoyYTFWekxQN2RpUFJ1SlZQcnladzBna1U0dmtYWTBHQ1NSamhBb3NENnZxMDRha05Gb29abm5ZbzBVa1lYY0tmQlc5aktFcVlQaXpjemRLbS9XaUR5R0NacnV3dVJNTHdobkJQRmNRTHc1UWJ4T3FtWUY4VHB4NE1ZaG5wNlBHWHNRSGNQYmUzWnVOQ2s3VDljUjJYS2JYUU9iTzR3cE9UU0tTTG4wZ2VmNWNSQ2IrTTI5enNhYU05algzUEJiM1JmTytMcmF2TlI2dkR0Mnk0cEtyeXFTalVKU2xOZHF4cnRqY0lmMmJFOWl2K2N0SGUySzkzaVNyV0lJMnd0eXAvTVdtVHpqZmUvdnZzVzVqWGI1Ui9WdXJNbnVrTi81SGR2N3UyZHdFdnM5YjJuWFJaNnczRC9aZExsL3JkcWZtRmY3VTZkWW9EMi95VFQwbzhpazJ0OXVQRjdySHpodTVKVkw1MFJCL3NIQVJMdWx1dFVpNjh2WkxiVzhycHZjTEpYZEZCb2ErSEFVK0tQQXYyRStXM3FGQXYvWmdTc1UrS1BBZjQ1RURJVnR5MlppN0FBSy9PVjI5K3pEdkZwYkZQaTNyZUY4ZVA5d1Bxc1ZDdnhWZHR6NUpGVXlqdnArZUNKNG91VkpnNmp2Mzl4ZXFXN0RYWnBNYit2MS9Rb1luc0dTemNKdzVSYWtNOFBoRnFNTnh1RnNsWjFpZmZRRmJaV2FieHJjRDRqenk5dUxpdnVNZmxKUThXcG9VSEZRY2FFQnFIaDFERlM4NkFoVXZOa2VWRnh1ajNRUVZMenNaWHRVM0R6TXE3VUZGVzlidy9udy91RjhWcURpU2p0QmtxdVNjbUJ4dUNLNEltQnhSVS9BNG5XR3VYd3NUcFpTSTI1UnRjMWFsbERjRnNOdm8wcDhVMWg4TmxDY1gxeEFjVUJ4UUhGQWNVQnhaUytBNHBKUkFNV1JEQzQzR1dRSEFNWGxkb0RpY0Q1d1BvRGlLMEJ4UUhHNG9xdnNpZ0RGUlNOQWNkbjB0Z0hGdlMzc2srcG1pNHlXKzZUbVlOVUlpOGVPRjdybGhra0o4VjE2WmJBNGRRSTNjYWZINHVrYk9oaDFsMVRpVUpyNC9jaDR1UkZ0THpMdU9WNUFBNUJ4WVdpUWNaQnhvUUhJZUhVTVpMem9DR1M4MlI1a1hHNlBqQkJrdk94bGUyVGNQTXlydFFVWmIxdkQrZkQrNFh4V0lPTktPMEdXcTdKeWtIRzRJcmdpa0hGRlR5RGpkWWk1ZkRMdUw0aU1PNUdmRUw5bzZjWmhFb1NkT3dFT1JlT2JYRWdsZjZxbVgxZDhSbVNjbHdPQmpJT01nNHlEaklPTUszc0JHWmVNQWpLT2pIQzVHU0U3QURJdXR3TVpoL09COHdFWlg4MkFqR045Y2JnaXVDS1FjWkJ4SXpKK1ZkWVhwOWVBak5zT3lZdkd6WXZVaCsrNG1hOUxNamtaSDNmSFRYNWxON25sSnJzcmNRUW1YZzBOSmc0bUxqUUFFNitPZ1lrWEhZR0pOOXVEaWN2dGtRdUNpWmU5YkkrSm00ZDV0YlpnNG0xck9CL2VQNXpQQ2t4Y2FWZkZQa0dWam9PSnd4WEJGWUdKSzNvQ0U2L1R5K1V6OFdEalREeHlpRXZLOG8rc2pEc3lYRjVjV2ZTdFIrTENldWFoNmFhYkZzTU5KdUorVHR5bnJ4VWZkOVBOTkhMZzI4L2FJbkYrZVh0eGNlSmtnb2dITGw0TkRTNE9MaTQwQUJldmpvR0xGeDJCaXpmYmc0dkw3WkVQZ291WHZXeVBpNXVIZWJXMjRPSnRhemdmM2orY3p3cGNYR2tuZktoU0plWGc0bkJGY0VYZzRvcWV3TVhyREhQNVhEemNPQmNQbkh5aDduelY3akRPUUp3UkYvY2RHc1ZlV083WFdSU09UMWNxSHFTUFZFVEtOVlRpSkE1VWxla2pjSEV2U254L2NXdW9VTWR6dlg1Y25EcWhINFg5dVhqb0p5SHF4WVdod2NYQnhZVUc0T0xWTVhEeG9pTnc4V1o3Y0hHNVBmSkJjUEd5bDIxeWNkTXdyOVlXWEx4dERlZkQrNGZ6V1lHTEsrM0VCWng0VWc0dURsY0VWd1F1cnVnSlhMek9NSmZQeGFNdHJLRmlVNzB0TEtGQ3M2THRzbjQ3eWhiN2pvMnd1Q1dJNXl1b2xOdEM1b1h0T1crYmpJdTdFZlduWDBHRlVpZEprbWhzTnM0cTZmc3NveEk0UVpUMDNYbVRPSUVma1FSc3ZCb2FiQnhzWEdnQU5sNGRBeHN2T2dJYmI3WUhHNWZiSXljRUd5OTcyU1liTnczemFtM0J4dHZXY0Q2OGZ6aWZGZGk0MGs1ZzQxVmlEallPVndSWEJEYXU2QWxzdk00eGw4UEc3NTJmUGpzN09EODlhejJDOTljbjY2T0w3RTBvdjJsNTA0SmJaRGhwTi9YZk5hdDBGczNlNnpPb2tmbTlITHFMZ0Q3aGdON2pnTDVtbHIrM3hUK0p3eXZCZEVYa2c5QjFvaUJrTiszZ3pRY1BiNlFPS2ZXMHp1dGYya3YvZVlQTmp4RHFaSmR6TDNWNFR3OHVicmd2ZVM5bHk0ckhYNUM4Y3NWYWRocVgvVDRhM20rSjlHbW9tYTBiT3dlN2I5WCt2WmRmQnVjaGZhbjF0MGRVTmR5alBPaUlIVGZvUG8vQkk4bzFCR1dVVlVWV054T2EzYjZjd0F2Z3ZuMCtWUmgxTTB5Y2hDWmgyYVlFLyswMlFzUlVCVjZ1NUdMeGtDbElJd2cvaWcwRkFXR3owZXo3QlM4d0ZBUEVrT2NtamJJUmRaOFZpMUhPVFo4NlNVUmpqUmdnQ2dIVjZiTmZ1ZVFTQ0txQTNwaWQ0WVBEZDZxWWpmOGdIcktiTG4wZWl3YXUwQ0I5cWlRTjVBRldTd2RRYVFDK0Y0ZFJTK0pyOGY4M1QxTjMwNzdPblNTNEFlc1ZnbzBCb20vaGVZV1lvMEx6YXYydk1xWWFZeHNrTHdzODVUaWU2SEM4RXNWM1lIZ2RndGZoZHlWNlYyRjNkUURYRmJ4cEF6ZHQwS1lOMkxUQm1qWlE2dzdTYm5kSWgreTRRanBreDlTQldIY1FaamJvVFVVeTBoVmdHUXpMMzBHekhyMTg2VmxNUVJwZHFpTEx2YkprSWczWVRwOWRwTC9oRS9ZZlpWeTRldTJkSjJsYTl2dlBIcC94UDkyL2VPOWtMYnF1anVpUUoxWkZiRWhkU1d6NFZqcUR3K3lsWFVhRzFSL3M0b3FvZmFHRUNNS1h2Q3c3NklvWUhranFKNm9nd0UxWUVORDF1dmRqaXhjOUNTMWU4VjF2ZElPWDY1NDgwczcvWE55Tmd3dXlVNnFOK1YyVndvcXVYL050d3hPN2xROWNqekhiRWFacFNFQklzTFNBUU5HWG5WYXYwT2tWeG8yQVFINDk1dlNTbHFJWHZTWXVmMnExVUUvMEx0bmpTelJ5VHQzalZDM2tvUjVyWWNCNGhmMGpkYjZrMXNUc2g4ZWJOSHlXbFR6ZDlHRjJ3clE1ak8wR3NSWVExalVDc0Rid2RVcndPZ3ZvT2hKd1ZZZzcvUGpaMmVvZ1A4ZTloNG9mYnMzKzRxdzBmUDdKZjM3K2k0K2VmL3pKN1ZzWFoxMUQzRHBUSFZaclQwcE8zR3JTNXNPRFV3dGwzRytjV2lpVGs2dWFXcGg2N000WkRJcnpyV1pnOExvWU9CM2RYZGorREt6dWdtbXEwNUdnc1A4dWt4TWlTVTRPemsrUDFrK2Zsa0hGODUvLzhZc2ZmOGN5THlFU0ppS0VDYUhrcUZGaWtpMmQwcEdZUkhGblVoSzRGa21Kcnl0Q0hqRXBVWllFODFKaVNUNVdLeldtaldGa1BXNDI5OUZmdjNidUk1dU90MU5XWG1tbm83Mi8xZXhrVWJuUmRQeWRzaFpET3gwV3BXaDg0YmpYaXU2VVFIVE1heFc2blQ3U0pvZHROdjNTMS80Z1RZU3l5ZWIxSi9XSHVOSGk5dDF2cmlXUEwvdnIvdm5wbVVweFRmT3Raa05WL3V5Rkhra01VbWdsUXphcHArK29wZDlZRnY3VzZiTW5ieDgvWVVKRjVBUkI0aXFRMi96U2RRdCs3NUk0MjFGWjVQZnA0NTZsNSt0OHArS2M0Rk1TQkVkZHlISHVFSDlMZk1ERXdiRVd0VGYvK0lEQXlKZnhKbVllbHpkcHhBKzlBWUh2QWhBQUVHd0JFTHo0MlE4dS8rd0gvZW5Bd09GLys4dC9sOC9neFdkLzhkdGZmaHVVb2pDWUI2VXdkdUVta1NBekhBWXc3T1l6Q2NFWU5XRWZhMUNqS3o5b0JoTThDVk1oakhZRlh2WjkrdFFWZU5SM0VtMzlYYTIrTFAwM3J5OGpMN1grOW9qb0N2TWlmV0hlQ0FQeWlyMDQ2RDQvU3VyRHBmL213L2t2dGY3MnlPK3MyTk9lM2VEaCtwZnJCWEZ4cjAxcjlRSW5URk1OdXI1SjZEVDFldFNoZ1gyNVhtUzZwbTJ0Vk05TDJHRG1oWHFlRTFPUFJQblpMNzVZTDMybXhpL1dTNUlyTHN5alVxL2VKeXIxUklObHltbnBlMkFiNmczN3M3cFE3Y0ZiWHg1ZXAxYVRnZnlwWkNBU09MVDlXeDlEQ2ZKQ1g5cTF1UmdVT1JHeGVjdEJFRnFlSUdSeWo2c1pia1FVeW44Uzg5V0Y3QzRadENGb1E5Q0c1aHcyYmtzYk12TnpyTkhVOHBDcFMrUE5Ca2hFeFZpUWllUVpHbVNpdWNwRW4vL0pUei8vOXQ5dFV5YjZ6WC81MVl2di92RHpYLzNiNS8vMFY1ZnYveGhpVVdVd0U3SEl3cWR2U2kreW5SSWtvL0ZtTU0zenNFSFZpRTZ1R3ZsRE5CVWlFVGtHYTBiakRGaHFScjduYWM3UGJ3em5TMFFjZnp6TmFPaHcvVFdqMExkUmpOd3BaQ0kvS0JlRzJvQks1QlBIQnAvWjBMTUpsU0c5MEZNK2NMSUdQcFFoS0VQQ2dYbWsrRkNHK2dSZnc1U2hzR01OOEdVclE2MFZESUlwVnpBZ1h1ZVhRcjJYTVBEY3dFbWlycmVlSjVGUWhQZGJhUE94MEtKWE1NaHVnWmtlZ2ZVTVJuODVZajBEOFk4VE0ybURCNTIxbUhoQkE2MXJxVFhwdjZCQk9PUjdCU3hvQUJDOXBRVU4vdW41SC8zTmkzLzl0NkMvaGNFODZPOVc0bXhqbHowZFo3V2J3dllYRk5qK0REYTlwSUdFN0lhVGsxMlBTdFplRXppc0o4a1lTbXJxaFFPb3FTZkJtRjQzTmRVdDhEdDR1TjdVbElRMjBMVFlXV0JrYXVvWjc0d25aSTgrclpGV1UycHF0U3llM3dDc0c0V21JS0FOSXhEUStTYVVJS0Niajh6a1JYSDZVWWNGWTdwUnZUYno2eGgyVHR5MVZwRWZMV3hoSm0wNVBrM2FlVEhXWmhJZXJxdGVpbysxbWJBMkUrcnZVWDlmUnFXb3Y4ZmFUSzBtV0pzSldzZDEwanBlL0gvLzlPdFAvMnFiUmZmcDhNLy8vRU9VMjljTTVpRzRZRzJtMWhTdWE2SDlvdGRtaXFmWFluTDYwRnRTb1JLTlE3N2RZQ1h3VUhlQXFHSStZQ1VaR1p4aTFCZ3hrc2c0a2FscVJNTkVjNEpEaCt1dEdyazJvbEZJSmhHTnF2dGhveHRSUCs2bEc5blJzVzNxUnNwaWU2bHlWRDV4a25XYjBrY0hVaE9rcHVyQVBQSjVTRTE5QXJCSk4wd01GZWV6TU0xSHRvdjBLSnFQTDNsZlRMNFpoMDd3Q1FPcno4Y2crU3hPOGpHNHc5WDhOaUw2K0dTK29vL1YxWUxzQTlrSHNzK2N3OFJ0eVQ0R0xvNjFtRmoyTWZSbXZGRi80U2NmQ2RLUFBCV0Q5RE5YNmVmNXovL2ppMS8rLzF0ZGIrbjlQLy84V3g5OC9yMWZYUDc3L3dBQnFHWXdFd0hJMUpsdlNnQ3ltZzhFb1BGbU1NR1RzRGtCS0N2Tm1IcVpKVEpNSGZFbGNvVjhKU0pCQUVvRzZDUG1BL0tWbHNMRTBhMGxsVFFHVENSTE8xVi9VeS90WkhoK1E0ZnJyZjhFb2VOR0xyRlJnYVpaYjRrU2g0YjJLeTZWbDlaT0EvSml4L1dYdnVTU1ZOUXBuenVaQ3BSQUJZSUtKQnlZUjNvUEZhaFBGRFlvK2d4Ry9lQm9yaXBRc0xRdDJVTVNPWkxYRUQ3OGdRcUVEMy93NFE4VUlHNEVCUWdLRUQ3OGtUZkJoejlRZjY2VCt2UGlzNy80L0tNL2hkNVNHTXhFYjhFSE44MHBYRmU5WmNrZjNBUWIyQXpkZGZ0TEViNUVHeGd1dG93eVlDbTJCR0hVZlg1Qll4ZU5RTEtMUm1DeWk0YloyUTBlcnJmVUVrWmJWMWtDdjgrdUZ2MDBGcis1NXRyeUZCYXBZRkkrYnBJR0FiWTdoOElpSHBoSCtneUZwVS9jTlNqZURPVnJwK2xIbmIzQ0lnbVNaSHVlanhza1pkL0g5QTZTcUNSbTBYMlNISGdEZ2lUekFma255UkhwUGovWGQ3Szd2WGQrK3ZUcHdjVU45eVg2VW5jY2xQYm91RUgzT1poMDJuOFRMeEpTbTNqbnBoZEVUaEpNdEplWGZjemp1bzdyOWZtKytHYnNXWVE5TjRrWE8wazB4NitNVGFJZnNiN0VuV0pCVzkrTFUxKzZzQUJJa2JnaUFDcE9EQUVRNytHcUJrRGFwZlhqS1dEVFRTOU9zODVJM3ZkTUJpOWZkRlBNSUh2bmpqNzZTTkZuRVd1T3ZLVmFJTnQ0ZHZaYnF2bWRDL3dHZ1RKbW1QZCthdGlMREh1Uk5YdkJYbVR5SnRpTERETDlkWkxwbi8vMHM4dC8rOStlZi93SmxQckNZQjVLUGZZaXcxNWtTOW1MTEpEdG43eVZ6eC9yM0RUOVB5ZUs1R3RBQ3NKN0hEbzAxaTExYWROM2lZK3BSeDNYMTJ5RTVzYU5uc08wWjVkMHIxenBSYkVlSXh0MjNIOW5NK0k2b2V2WjBlUjBWdFNQSjhISllleEVQckhmNkN6MkhDL3NJNlVIZ2VPN3hJb3F1OVR4TXF3M082cHM4dFdpMkNDOWo2REtvTXExQS9OSWQwR1ZOeDQzK3FFVFpGK3JieUZlTkJ2Nkpva3BlOGxQRWJFV3I4SFp6NkI4OTE0WnhpemJBbmYrakZtMmJXNWo5V3hRNW5tOTRrR1o5YTlkVUdaUVpsQm1VR2JCdnFMTXYvN3N1eTkrOWdOUTVzb0FsQm1VdVpvUEtQTktGK3pMOW91ZWY3Q2ZTRlpRcWNpakp6bTZoRkIvOUJWZFRINlB0dzFQMDJKZEVLUXJTRmZFWHBDdXlKc2dYVUc2Y3AzU2xUUlh1Znl6SC96bVQvOGU2VXBoZ0hRRjZVbzFINlFycTVXMktHYjZUV0dwTEd1cENsdDhyNzI0V0ZXYm92MTBzN0VnQXhVV1pPQjdud29MTW5RWHJQaFVWMkF6ZExqK1pTeUJUUVdMNTAxUnUwSzlxTWNDRUw0ZjlhaGFpYXpXZnlCa2U4VXE4c29UaXRVY3NKcURlR0FlQ1NYS1RqWWZtWFVrZ2hNR1k3cFJ2VWtXeUdKL25uZ1JpUlowbFczWU9udm9TbDNQa2F3ckt4UlpVTi94RmxwbEFmUjZsZDdLUUsvaUg0RmUyMDJBWG9GZXJ4TjYvZng3djNqKzhmZkJYUXNEY0ZkdzEybys0SzZybFk2N1pxKzl5Ym1ySkhrUVBpaWtrcktPaXJ2Uy9rdm1lWklWN0xxNUt3MEhMSmhuTkZ4djdwcFlZZGRKVnFDalh0SUR1OUlnckxVeUJhL1VEcng2RGZNNW9GZHNWUWowS2g2WVIwSUo5THJ4NEt3anpaa3VITk1OS25rdGQ0dzZKL0I2Ny96MDJWa1p3TFQyUjN4NTUvTFRIejMvK0JOTHZ0cU5WMG43UTBBenZPb2xYWXVrZVVuM0ltbkVCcXphZkNnL2tLc2FNOGt3VTg2MUw2eDU3TlRtK05uL3JoVGV4RFpzcmIrck5sb05xMTFTM0NvVE9qNC9xcVNieXcrK2RmblpoNjNIdVpQUGlmNmx5allWVDFuTjMxVFdpbnV0NGFpVkQycDRFY1hnOStSK1JQV2dXVGdwb1lHUm8yTDJIYzZLSDFmdUVxcDA5NnBOWFBPRDVVYXRSSEhTdGQxY0pVYnlMVjNaRWJrU0pSeXlVNk5ZUTZPQXh1aGl5M2N1bGMzT2FLZlhhblpHejBZMVdWVWdaRHc5bzUxZnErbFpFYXVScjZUUlByQzlyMlROZ1ZqTlZTWkNzcjgzWC9yc2p6WXZmdGJBL09XZlh6UjlBSkJQV2hrRXNNT2RnUUMzTUFzR3VMa3VJT0NHK3FDQW1kb0ZCcXlKVFhCUVhRakRBSUUxR0RsSVlIMnFBZ1hob1BKT2FnSUdacU1KR3ZKaE9qcFNCUS9zbUV5UTVRZTZSZG1BZU1vSFhTZk5NaU41TktGK3BGZ2pSVlNoMWtWWkt3T1ZsdG1wb2d6TnBCVFJobVpTamFqRFNyQVZPaWdIdHROc1dRZkd1aTJ6N3RSdTgvNk05VnZpeFdZU0x1dlhRc2JON1cybFhJL243T2FpTGh0cERzSXVtOGc0NHE1U0tLMk90c05UV1UySGtzdUpSMlZzamgzWGlhZUZVVGVqWTBZNkViWG9xWnZWbFVhZHZJNFpkVEk3WnFFSmM1bU5sU3Zwb0huczhONnpjNk01MlhtOGpnQ1gyK3dhMk56SjFSSFhTeWd0eHZjOFA4NitvTkE3MEwyOE1ZMGlYaVVqTk5hY3diN21mdC9xdm5ERzE5WG01V2IvRHRuTnkxS2R3UFBpb2wwVWhZUjZKc1BkTWJoQmU3Ym5zTi96am81MndYczh5RmFoaE8wRllWZVorRTRTdVdIN0Zwazg0bjN2Nzc3RnVZMTIrY2YwYmF6RjdwQmYrUjNiMjd0bmNBNzdQZTlvMXpXV1NoSzFBdzFab3FZb3NMK0lNRkNzaXZBbExKQzlPbzlLWmFNTThWLzg4Sk1Ybi83cTgxLzk5K2ZmL2V2MFAxcHdVRlVna1Y5cVhpUkJvdUtxeEoyTXJpcWI4SndnY1BseXVvU1NNTnVaVjgzcitDWjlUcHptdGJUZFRxMjdQaXArVUg1OWlqTDhwU3dITVdPa0pISGNJTWtYcm43MTBjRU5vZHpoSmFHWW9hM0FzMjdFYlllN2dTbnhZOGNsK1RpTU0vNE9pZDNmM1gydys2WjNReGpuSldGOHhaZzgrMG1jSkwrVVJ1VVJ2QzI3dHJHVEdHL1N4MW9LYVZDUytya2sxSlZLQ0syTTlpbG05dHNrc0Y2a0dsUkVzREtyRGdackE3RGlrS1MrRXdCck93QkxNKy9lQU10M3MvOVQxSGY0dXZvTzF0MTFaVmVqa1N1aG51ckIzWWNQdnZyYS9vTlhieFFZUmxLY1YrdEZLSEdMR3YyOGV2ZTFlNjgrTU8zSW5tNzFvVTNjdzk4azVaYjFyNzF5bzQ2Y1ZpKy92SEsvc0xwSjNOKzcrL3I5dTZzR2tMcVpEdko3NWxCc0lCUGowMXdPRnZPcG0zMHREeTYyZUM3R0RuQkh4S3Q1SG5pYmQwVGVXSTVJMjVHMUl6SVArR3B0Vlc3STYzUkQzbkEzNUExM1F4N2NFTnpRbHR5UXo5MlF2M2szNUkvbGhyUWQyY2REY1pXcXMzTzVXWXcwUm16a2R6b2xmN2hUTXA2bDJpbjVjRXB3U2xkRk0reFUrcXcwdzI0NWNOT2FZZlp6TmFIck42a1RKVEdOMXpjN1B0bldxSWFkSmZuVnBFVEd5WnlReWZSOEo0NERQK3llbnZwcmdlbEFPZDAwS0M4aE5ESG01Rkc5aFlhUEc0TDR6V0x4MkluOWdFeU94U2x4a2pqeXhzVGlSWldPTFJFMzNWK1F0YXJSY0VxaWdJS0dWME9EaG9PR0N3MUF3NnRqb09GRlI2RGh6ZmFnNFhKN1pIeWc0ZTFldGtuRFRRTytXbHZROExZMTNKQmtKTGloRldpNDBxNktoNklxUXdjTmgxT0NVd0lOQncwM29lRnh3M0V1Z29hekJXZ096ay9QV28vZy9mWEordWdpZXlmS2IxcmV0S0FhWHlsWHY3bFZHNjdWdStsU09JRmtLWndmZm5yNTZZOHNsOEtSclNVdXZGc2xsTkZzZTBlL2F5OTNMNUcwRlY5WW9TYklyNzJkZEVnWGErRTBPc2RhT0ZnTHAxb0xKNVRJZXEyZERIN3puMzcxL0FmLzJIOUZuTnI2cTlvVmNXcmZqdzFlRWFmdVRIUXI0alRjaWNHU09EcG5KVFF3YzFpc0FkYkVHV2ROSExPclBkMmlPQ1pQUnpYYlRTK0tVL3RkYXRlWkdmbFMycTZLWTNjcGEwNEVxK0pjTHhrVnErTE1VMHRWLzhUdDJLR2gzMktORkhIRjZHdmltTG9uM3N6Y3FmSm1qYmhqbU9UcExrenduTk9TT01CNHM4SjRWM01oSEJzdlp4cnpNT054Z0o3MTlIVEZSWU5uWkVJOFp6RUo0eHMxeW95bWU0NjJVWWNjYmJ3TzJZbkNKSXhVREZxb1FBNGNRcjJZcjhNU1JDUUxGdldWeUNaNHBDeER0aGhqY0RXeTcwMWVpT3lPV29JYzlpcEI1cGUwVnlHeU5RQ2FQZjlCRFhMcnlseW41QmsxeUxQTG0xR0RqQnJrT2Fia3ZoZUZjNnF6UVZxT3l1UHhLNDk3b2owVUhkZXM0WGQ0Ly9BN3F4VktqVlYyVlJVVnFvemhoZUNGbGlwS29MWjRZN1hGQmFoY1RsbXhDbTdIbTRiYmtSTUppMFI3MmtXaWg4TnUyeEZMOEsycENoeSs5QVoxNHZRa0ppZmV5YWpJbTEvTkh0dzcyMGs3dldzOXVYZmtwTGMvaUFDL3E2RUJ2d0cvaFFhQTM5VXh3TytpSThEdlpudkFiN2s5MGovQTc3S1g3Y0Z2OHpDdjFoWUV2RzBONThQN2gvTlpnWUFyN2FyWXg2OXljbUJ3dUNLNEltQndSVS9BNEhXRXVYd1dubXg4WjBhalQ4V0hFL0NpVFBuZ3pRY1BiNlRlSjNXcnp1dGYya3YvZVlOZENoS0d6c0h1VzdWL0YxK2tPZy9wUzYyL1BhSmZVTHg0YSt3OEgvSFJkQ05lVXdMZnMrZ2M4RjA0Q1BnTytBNzREdml1NkFYd1hUSUs0RHVTenVVbW5ld0E0THZjRHZBZHpnZk9CL0I5QmZnTytBNVhkSlZkRWVDN2FBVDRMcHZlRnVCNzVHNGF2bnMrcTJRdVF0MW9BNFhvdGlPaUVMMExnL09yQ1JhZUh3TUxMODNCd3NIQytjbUNoWU9GZzRVakI2ejZ2L1k1SURzQUZpNjNBd3VIODRIekFRdGZnWVdEaGNNVlhXVlhCQll1R29HRnk2WjMvZlo2ekM3am5QZDY5THpBU1NRWW5ML3hxTmZlQ1FmYlBZcW0yTzRSMnoxdVpydkh5TU4yajZKdnduYVBMMk83eDQ3cFlidEhiUGRZK3lPMmU1eWhWb3J0SHVjcG1HSzdSNkVadG50Y1dkRThGeVFQSkU4OGp1MGVxd2JZN2xIdnErY3pDV3ozMkw4UTJjZDJqOWp1c2RZWnRuc2NsLytnMExoMVphNVQ4b3hDNDlubHpTZzBScUh4SEZOeUZOZ3NPeTFuQjFCb0xMZkRkby93Ty9BN3FESEdkby9LVVZCZURDKzBYQytFOG1MUmFNbmx4VmRsdThlSVlydEhTVHVzc3RIc0RkczlBbjREZmxlbWdOK0EzL0wvQVg0RGZsZldTUDk0LzljKy9XTUhBTC9sZGxobEE4NEh6Z2NFZkxWVkFvNVZOdUNLNElxQXdZSEJyL0FxR3lvV0hselg3UjRqcjc3NVl2cnYxdWFMd3Q5RzJPNXhsQkd2S1lISGRvL1ZNY0QzMGh6d0hmQ2RueXpnTytBNzREdVN6cXIvYTU5MHNnT0E3M0k3d0hjNEh6Z2Z3UGNWNER2Z08xelJWWFpGZ08raUVlQzdiSHJiZ084aHRudVV0RU1oZXJNM2JQY0lGZzRXWHBtQ2hZT0Z5LzhIRmc0V1hsa2pCK1Q5WC9zY2tCMEFDNWZiZ1lYRCtjRDVnSVd2d01MQnd1R0tycklyQWdzWGpjRENaZE83aHRzOVJ2UGU3akdJMjM0TmV6MWlyMGZzOVZpZTNXejJlb3l4MTZQb203RFg0OHZZNjdGamV0anJFWHM5MXY2SXZSNW5LSlJpcjhkNXFxWFk2MUZvaHIwZVYxWW96d1hHQThZVGoyT3Z4Nm9COW5yVSsrcjVUQUo3UGZhdlFrNncxeVAyZXF4MWhyMGV4K1UvcURKdVhabnJsRHlqeW5oMmVUT3FqRkZsUE1lVUhOVTF5MDdMMlFGVUdjdnRzTmNqL0E3OERncU1zZGVqY2hUVUZzTUxMZGNMb2JaWU5GcHliZkZWMmVzeDlTRFk2N0hkRGt0c05IdkRYbytBMzREZmxTbmdOK0MzL0grQTM0RGZsVFhTUDk3L3RVLy8yQUhBYjdrZGx0aUE4NEh6QVFGZmJaV0FZNGtOdUNLNEltQndZUEFydk1TR2lvV1RhN3ZYWTl6WWVUR1c3THhZL1cyTXZSN0hHUEdhRW5qczlWZ2RBM3d2elFIZkFkLzV5UUsrQTc0RHZpUHByUHEvOWtrbk93RDRMcmNEZklmemdmTUJmRjhCdmdPK3d4VmRaVmNFK0M0YUFiN0xwcmNOK081aHIwZEpPeFNpTjN2RFhvOWc0V0RobFNsWU9GaTQvSDlnNFdEaGxUVnlRTjcvdGM4QjJRR3djTGtkV0RpY0Q1d1BXUGdLTEJ3c0hLN29LcnNpc0hEUkNDeGNOcjNydDlkajdFdjJlbnovSjVjZmZXeTUxNk5zTjhjUjlub01mUWtETjkvcjBkVUU5Tmpyc1pPTVlxOUg3UFZvdXRkalRDV2kzdDd4K1ZHMTBlUGxCOS9xdjh0alRSamI4QzZQcnNtbk93TjJlZFM1S2FFQmRubVVlYmtydmN1anlkTlJ6WGJUdXp6V2ZtbHozK1hSN2xKaWw4ZmE0ZXNsa1dLWHgzbnFwQUVaalJhYWVTN1dhRlA3UEpvNktONXM0RDZQN25YYjU5RUx3aGxCUEJjUWIwNFE3MnJ1OUdpQzc0dzlpSTdoN1QwN041cVVuYWZUYks3SWJIWU5iTzR3YXVUUUtPTExNWGllSHdleGlkL2M2MnlzT1lOOXpRMi8xWDNoaksrcnpVdXR4N3VEWFdRU09JSG54V1Z0YXhRUzZwbU1kOGZnRHUzWm5zUit6MXM2MmhYdjhTUmJ4UkMyRitSTzV5MHllY2I3M3Q5OWkzTWI3ZktQNnQxWWs5MGh2L003dHZkM3orQWs5bnZlMHE2TFBHRjVmN0Q1VFZSSkhKZUx2cE1nS1M2TXRyaWZPb2tYQmRWcThhRWZSVVpicWxxTlY1YjJwemZRamJ5Z3ZJR0JIM3FUYmE1SzBubFJtaXlzekwrOHJuMnEvTjJlQmY3c3BsQnNzeW9NalFML3hkTXJGUGpQRGx5aHdCOEYvbk1rWWloc1d6WVRZd2RRNEMrM3UyY2Y1dFhhb3NDL2JRM253L3VIODFtdFVPQ3ZzdVBPSjZtU2NkVDN3eFBCRXkxUEdrUjkvK2JxKzkyR3V6U1ozdGJyKzFVd1BOdzBERStjT0FqY1VpZWdCZUdlSHc2M0dHMHdEZytkTVAxZlBEa09aM3ZzanNmRFF5ZndTTlFQaVBQTDI0dUsrNHgrVWxEeGFtaFFjVkJ4b1FHb2VIVU1WTHpvQ0ZTODJSNVVYRzZQZEJCVXZPeGxlMVRjUE15cnRRVVZiMXZEK2ZEKzRYeFdvT0pLTzBHU3E1SnlZSEc0SXJnaVlIRkZUOERpZFlhNWZDd2VMYVZHM0tKcW03VXNvYmd0aHQ5R2xmaW1zUGhzb0RpL3VJRGlnT0tBNG9EaWdPTEtYZ0RGSmFNQWlpTVpYRzR5eUE0QWlzdnRBTVhoZk9COEFNVlhnT0tBNG5CRlY5a1ZBWXFMUm9EaXN1bHRBNHJIbTRiaXFlOTFzMFZHODFBM0xNQ3FFUmFQSFM5MGs2SmxRbnpYYkYvVUpXQng2Z1J1NGs2UHhkTTNkREFtR1NmRW9UVHB1VXNxK3lWRlBjbTQ1M2dCRFVER2hhRkJ4a0hHaFFZZzQ5VXhrUEdpSTVEeFpudVFjYms5TWtLUThiS1g3WkZ4OHpDdjFoWmt2RzBONThQN2gvTlpnWXdyN1FSWnJzcktRY2JoaXVDS1FNWVZQWUdNMXlIbThzbDRzaUF5N2tSK1F2eWlwUnVIU1JCMjdnUTRGSTF2Y2lHVi9LbWFmbDN4R1pGeFhnNEVNZzR5RGpJT01nNHlydXdGWkZ3eUNzZzRNc0xsWm9Uc0FNaTQzQTVrSE00SHpnZGtmRFVETW83MXhlR0s0SXBBeGtIR2pjajRGVmxmUE51QThjcVRjZHNoZWRHNGVaSDY4QjAzODNWSkppZmo0KzY0eWEvc0pyZmNaSGNsV3dFSVRMd2NHa3djVEZ4b0FDWmVIUU1UTHpvQ0UyKzJCeE9YMnlNWEJCTXZlOWtlRXpjUDgycHR3Y1RiMW5BK3ZIODRueFdZdU5LdWluMkNLaDBIRTRjcmdpc0NFMWYwQkNaZXA1ZkxaK0prNDB3OGNvaEx5dktQckl3N01seGVYRm4wclVmaXducm1vZW1tbXhiRERTYmlmazdjcDY4VkgzZlR6VFJ5NE52UDJpSnhmbmw3Y1hIaVpJS0lCeTVlRFEwdURpNHVOQUFYcjQ2Qml4Y2RnWXMzMjRPTHkrMlJENEtMbDcxc2o0dWJoM20xdHVEaWJXczRIOTQvbk04S1hGeHBKM3lvVWlYbDRPSndSWEJGNE9LS25zREY2d3h6K1Z6YzJ6Z1hENXg4b2U1ODFlNHd6a0NjRVJmM0hSckZYbGp1MTFrVWprOVhLaDZrajFSRXlqVlU0aVFPVkpYcEkzQnhMMHA4ZjNGcnFGREhjNzErWEp3Nm9SK0YvYmw0NkNjaDZzV0ZvY0hGd2NXRkJ1RGkxVEZ3OGFJamNQRm1lM0J4dVQzeVFYRHhzcGR0Y25IVE1LL1dGbHk4YlEzbncvdUg4MW1CaXl2dHhBV2NlRklPTGc1WEJGY0VMcTdvQ1Z5OHpqQ1h6OFg5TGF5aFlsTzlMU3loUXJPaTdiSitPOG9XKzQ2TnNMZ2xpT2NycUpUYlF1YUY3VGx2bTR5THV4SDFwMTlCaFZJblNaSm9iRGJPS3VuN0xLTVNPRUdVOU4xNWt6aUJINUVFYkx3YUdtd2NiRnhvQURaZUhRTWJMem9DRzIrMkJ4dVgyeU1uQkJzdmU5a21HemNOODJwdHdjYmIxbkErdkg4NG54WFl1TkpPWU9OVllnNDJEbGNFVndRMnJ1Z0piTHpPTVpmRHh1K2RuejQ3T3pnL1BXczlndmZYSit1amkreE5LTDlwZWRPQ1cyUTRhVGYxM3pXcmRCYk4zdXN6cUpGNVpsdWllY3JSUEU4TkxqLzkwZk9QUHhHOW0vSTFMTHg2SmFTd2VxT1N1SDIwNHpVcHZCcDk0aVFTRnM3ZmVBR1ZIQlhmVks0bXBoZGZTNGtHMjNZaFd4V3VsYitFV3F4VXhVbEptRlhidDhZeVpxUW1mTFNEalhaelVRc21hc1JERFZtb0pRZFZNRkNGc1EzL3JML2xYUkpueTkrTDdETjlrTExmN1RwZlZqNm5uNVFFd1ZHb0FJOEsrTmtCUG5YUVV3YzhsYkJUQlRwcnZvVDlkK2xMQW9uTXQzZDhmblN5NXE3bGcyOWRmdlpoNjNFMjA2KzgvS2RNdW5TMW1zdXByQlgzV2hPcEMzaWc3a1VVZzkrVCt4SFZnMmJocElRR1JvNksyVzlUWHlLS2s2N0pTeEtqRG5WcFR5Mzg1b2VLWit6Z2d1eVVxRDEvU0pXUit1Mk95OE9PbTEvc1cva2NER2JuN1pRa3ptaDJSczlHTlZtVm9tRThQWCtuek5XTnBsZjdVZW9tTi9LVnBQbFU2VFJYc3VaQXJPWmEvcmtWNmRrSXBOSVhQMnNBZ1hSNmdiU2p3U0NCZElRZ2dmVjVYVlhTZ0l6R0NzMGNGMnVraUNya1RvRzNzaGNoVEIwVWIyYnNWWG1yUnRReFNNMU1GaVpsRWk5YnlYSTJCQytOQU81ZnZIZXlabzhUV041OFdGNG5YTE5pZVoxVWNPTXNUNC9KVEYySmp1VHRQVHMzbXBPZHgrc0ljTG5Ocm9ITkhWYWw2TGhlUXNzU1VjL3o0eUEyY2FCN2VXTWFSU1JzTjlhY3diN21mdC9xdm5ERzE5WG01V2IvRHRrdHl5cTlxbEkyQ2tsUlk2c1o3bzdCRGRxelBZZjlubmQwdEF2ZTQwRzJDaVZzTDhpZFFtVkxJamRzM3lLVFI3enYvZDIzT0xmUkx2K1l2bzIxMkIzeUs3OWplM3YzRE01aHYrY2Q3YnJHRTViOGg1dGZJcDZ2RG05VzZ1ODVRZUM2NVpJMGhCSldoNjh2OWZkWW1UNXR0OU9WK2dlT1g1L2lGTHVrSm80YkpKdFkreVoyWE9LUFdlT2ZPRWwrS1h2VStNZE80Z1U5Sy95VDFNOGxZV0RndjFIaGp3ci9odmxzQVJZcS9HZkhybERoandyL09XSXhuN3AwVHBWdDRHTGxQVWF0L3hTMS91WUJYNjB0YXYzYjFuQkRrcEhnaGxZclZQMnI3S3A0S0s1U2RWVDl3eW5CS1MxWk0wVDkvK2IyVWswYWp0TmtlbHV2LzFlQjhtalRvTHlFME1TWWswZjFGcnFsY014QS9HYXhlT3pFZmtDbVgvcUdPRWtjZWFNdWZlUDIyeW0xTncybmhLMjBBeHBlRGcwYURob3VOQUFOcjQ2QmhoY2RnWVkzMjRPR3krMlI4WUdHdDN2WkpnMDNEZmhxYlVIRDI5WndRNUtSNElaV29PRkt1eW9laXFvTUhUUWNUZ2xPQ1RRY05OeUVoc2NOeDdrSUdqN1QxWEJpeVdvNDcvL2s4cU9QUjEwTlIzYlViRFdjV0hZOXFxVncycGlyOTFJNFJJZDBzUlpPbzNPc2hZTzFjS3ExY0pJNXJZVlRzOTd3V2pnTjh3a1d3OUc2S3RZQXErR01zeHFPMmRYR2NqZ21LOHlNZkNtblhRK25kbXBZRCtkNkNhaFlEMmVlS3VxMjE4TXhjQXE4MWFiV3d6RnlxN3pabUF2aU5EcVlQOUR6Z25CR09NOEZ4SnNUeEx1K3krQVllNUFyc1E2T1lwR0xhN2tPanQyN1k3WUw0VmpmMG0wdWhHTVZROWhla0R1ZHQyanloWEFNejIyakMrSDBlTVlIcllSamMzL05WOEt4djZWYldRbkh5MktSRFJmNGkzdmZFdk85YjZtVGVGVWxVTGIxYldTMElJN2RlRUxkdnh0NTVWZTRVWkJ2bnp0UitYKzJUZzlOSmkvL1Q5d3hLLy9MNjlwbnoxdTNaL2svdXlrME5QRGhLUDlIK1gvRGZMYjBDdVgvc3dOWEtQOUgrZjhjaVJpMmVWczJFMk1IVVBRdnQ3dG5IK2JWMnFMb3YyME41OFA3aC9OWnJWRHFyN0lUdmpqaXlUZ3EvZUdKNEltV0p3Mml2bjl6OWYxdXcxMmFURy9yOWYwcUdFNDJEY01USnc0Q3Q5UUphRUc0NTRmRExVWWJqTU5ESjB6L0YwKy9TSHc4S2c4UG5jQWpVVDhnemk5dkx5cnVNL3FKUlhHRW9VSEZRY1dGQnFEaTFURlE4YUlqVVBGbWUxQnh1VDNTUVZEeHNwZnRVWEh6TUsvV0ZsUzhiUTNudy91SDgxbUJpaXZ0QkVtdVNzcUJ4ZUdLNElxQXhSVTlBWXZYR2VieXNiaTNsQnB4aTZwdDFyS0U0cllZZmh0VjRwdkM0ck9CNHZ6aUFvb0RpZ09LQTRvRGlpdDdBUlNYakFJb2ptUnd1Y2tnT3dBb0xyY0RGSWZ6Z2ZNQkZGOEJpZ09Ld3hWZFpWY0VLQzRhQVlyTHByY05LTzV2R29xbnZ0Zk5GaG5OUTkyd0FLdEdXRHgydk5CTmlwWUo4VjE2WmJBNGRRSTNjYWZINHVrYk9oaDE0MVRpVUZwc0UyeE54dGt2S2VwSnhqM0hDeWoyVUJXSEJoa0hHUmNhZ0l4WHgwREdpNDVBeHB2dFFjYmw5c2dJUWNiTFhyWkh4czNEdkZwYmtQRzJOWndQN3gvT1p3VXlyclFUWkxrcUt3Y1poeXVDS3dJWlYvUUVNbDZIbU1zbjQzUkJaTnlKL0lUNFJVczNEcE1nN053SmNDZ2EzK1JDS3ZsVE5mMjY0ak1pNDd3Y0NHUWNaQnhrSEdRY1pGelpDOGk0WkJTUWNXU0V5ODBJMlFHUWNia2R5RGljRDV3UHlQaHFCbVFjNjR2REZjRVZnWXlEakJ1UjhhdXl2bmh3RGNpNDdaQzhhTnk4U0gzNGpwdjV1aVNUay9GeGQ5emtWM2FUVzI2eXV4SkhZT0xWMEdEaVlPSkNBekR4NmhpWWVORVJtSGl6UFppNDNCNjVJSmg0MmN2Mm1MaDVtRmRyQ3liZXRvYno0ZjNEK2F6QXhKVjJWZXdUVk9rNG1EaGNFVndSbUxpaUp6RHhPcjFjUGhNUE44N0VJNGU0cEN6L3lNcTRJOFBseFpWRjMzb2tMcXhuSHBwdXVta3gzR0FpN3VmRWZmcGE4WEUzM1V3akI3NzlyQzBTNTVlM0Z4Y25UaWFJZU9EaTFkRGc0dURpUWdOdzhlb1l1SGpSRWJoNHN6MjR1TndlK1NDNGVObkw5cmk0ZVpoWGF3c3UzcmFHOCtIOXcvbXN3TVdWZHNLSEtsVlNEaTRPVndSWEJDNnU2QWxjdk00d2w4L0ZvNDF6OGNESkYrck9WKzBPNHd6RUdYRngzNkZSN0lYbGZwMUY0ZmgwcGVKQitraEZwRnhESlU3aVFGV1pQZ0lYOTZMRTl4ZTNoZ3AxUE5mcng4V3BFL3BSMkorTGgzNFNvbDVjR0JwY0hGeGNhQUF1WGgwREZ5ODZBaGR2dGdjWGw5c2pId1FYTDN2WkpoYzNEZk5xYmNIRjI5WndQcngvT0o4VnVMalNUbHpBaVNmbDRPSndSWEJGNE9LS25zREY2d3h6K1Z3ODNzSWFLamJWMjhJU0tqUXIyaTdydDZOc3NlL1lDSXRiZ25pK2drcTVMV1JlMko3enRzbTR1QnRSZi9vVlZDaDFraVNKeG1ianJKSyt6eklxZ1JORVNkK2RONGtUK0JGSndNYXJvY0hHd2NhRkJtRGoxVEd3OGFJanNQRm1lN0J4dVQxeVFyRHhzcGR0c25IVE1LL1dGbXk4YlEzbncvdUg4MW1CalN2dEJEWmVKZVpnNDNCRmNFVmc0NHFld01ickhITTViUHplK2VtenM0UHowN1BXSTNoL2ZiSSt1c2plaFBLYmxqY3R1RVdHazNaVC8xMnpTbWZSN0wwK2d4cVpaN1lsbWs4NG11ZXB3ZVduUDNyKzhTZWlkMU8raG9WWHI0UVVWbTlVRXJlUGRyd21xMWNqZFNQNTBieW9uTGJSYXUwMTVXb0NldkdkbEdpWWJSZXZWYkZhK1J1b0JVcFZrSlNFV2FsOWF5eGpRR29DUnp2QWFEY1V0UUNpUmpEVUVJUmFRbEFGQUZVWTI4RFAraXZlSlhHMjlyMElQdE1IS2Z2UnJ2TTE1WFAwU1VrUUhJVUs2cWdnbngzVVUwYzhkYlJUU1RwVmxMUG1TTmgvRjQ0ays2bTFOTDY5NC9Pamt6WDNLeDk4Ni9LekQxdVBzNWw0NWVVL1pkSWxxdFg4VFdXdHVOZWFNRjFnQTNVdm9oajhudHlQcUI0MEN5Y2xOREJ5Vk14K20rSVNVWngwVFZ1U0dIVklTM3RxMVRjL1ZEeGpCeGRrcCtUcytVT3FETk52ZDF3ZWR0ejhZdC9LNTJBd08yK254SEJHc3pONk5xckpxdVFNNCtuNU8yV2lialM5Mm85U043bVJyeVROcDBxbnVaSTFCMkkxMS9MUHJURFBSaDJWdnZoWkE2aWowNnVqSFEwR3FhTWpCQW1zeitzcWtRWmtORkJvNXJoWUkwVlVJWGNLdkpXOUFtSHFvSGd6WTYvS1d6V2lqa0ZTWnJJd0haTjQyVEtXczhGM2FRUncvK0s5a3pWN25BRHk1Z1B5T3NtYUZjanJSSUliQjNsNlJtYnFTblFZYisvWnVkR2M3RHhlUjRETGJYWU5iTzR3ck9TNFhrTEwrbERQOCtNZ05uR2dlM2xqR2tVa2JEZlduTUcrNW43ZjZyNXd4dGZWNXVWbS93N1pMV3NxdmFwTU5ncEpVV0NyR2U2T3dRM2FzejJIL1o1M2RMUUwzdU5CdGdvbGJDL0luVUppU3lJM2JOOGlrMGU4Ny8zZHR6aTMwUzcvbUw2TnRkZ2Q4aXUvWTN0Nzl3ek9ZYi9uSGUyNnh0UFYrMmZhNUtiWGgrZEx3NXZWK1h0T0VMaHV1UjROb1lRVjRldnIvRDFXbzAvYjdYUjEvb0hqMTZjNHhSYXBpZU1HeVNZV3Zva2RsL2hqRnZnblRwSmZ5aDRGL3JHVGVFSFA4djRrOVhOSkdCajRiNVQzbzd5L1lUNWJnSVh5L3RteEs1VDNvN3gvamxqTXB5NmRVMWtidUZoNWoxSG9QMFdodjNuQVYydUxRdisyTmR5UVpDUzRvZFVLSmY4cXV5b2VpcXRVSFNYL2NFcHdTa3ZXREZIOHY3bU5WSk9HNHpTWjN0YUwvMVdnM05zMEtDOGhOREhtNUZHOWhXNGRIRE1RdjFrc0hqdXhINURwMTcwaFRoSkgzcWpyM3JqOXRrbnRUY01wWWN2c2dJYVhRNE9HZzRZTERVRERxMk9nNFVWSG9PSE45cURoY250a2ZLRGg3VjYyU2NOTkE3NWFXOUR3dGpYY2tHUWt1S0VWYUxqU3JvcUhvaXBEQncySFU0SlRBZzBIRFRlaDRYSERjUzZDaHM5ektaeXNvTG0xRk03N1A3bjg2T05SbDhLUkhUVmJDaWRzZnhJc0xvV2pYTjNHZmlrY29rTzZXQXVuMFRuV3dzRmFPTlZhT0hST2ErSFVyRGU4Rms3RGZJTEZjTFN1aWpYQWFqampySVpqZHJXeEhJN0pDak1qWDhwcDE4T3BuUnJXdzdsZUFpcld3NW1uaXJydDlYQU1uQUp2dGFuMWNJemNLbTgyNW9JNGpRN21EL1M4SUp3UnpuTUI4ZVlFOGE3dk1qakdIdVJLcklPaldPVGlXcTZEWS9mdW1PMUNPTmEzZEpzTDRWakZFTFlYNUU3bkxacDhJUnpEYzl2b1FqZzludkZCSytIWTNGL3psWERzYittV1ZzSUpObDdnTDI1OFM4dzN2cVZPNGxXVlFObSt0NUhSZ2poMjR3bDEvMjdrbFYvaFJrRytkKzVFNWYvWk9qMDBtYno4UDNISHJQd3ZyMnVmRFcvZG51WC83S2JRME1DSG8vd2Y1ZjhOODluU0s1VC96dzVjb2Z3ZjVmOXpKR0xZNDIzWlRJd2RRTkcvM082ZWZaaFhhNHVpLzdZMW5BL3ZIODVudFVLcHY4cE8rT0tJSitPbzlJY25naWRhbmpTSSt2N04xZmU3RFhkcE1yMnQxL2VyWUhpNGFSaWVPSEVRdUtWT1FBdkNQVDhjYmpIYVlCd2VPbUg2djNqNlJlTGpVWGw0NkFRZWlmb0JjWDU1ZTFGeG45RlBMSW9qREEwcURpb3VOQUFWcjQ2QmloY2RnWW8zMjRPS3krMlJEb0tLbDcxc2o0cWJoM20xdHFEaWJXczRIOTQvbk04S1ZGeHBKMGh5VlZJT0xBNVhCRmNFTEs3b0NWaTh6akNYajhXanBkU0lXMVJ0czVZbEZMZkY4TnVvRXQ4VUZwOE5GT2NYRjFBY1VCeFFIRkFjVUZ6WkM2QzRaQlJBY1NTRHkwMEcyUUZBY2JrZG9EaWNENXdQb1BnS1VCeFFISzdvS3JzaVFISFJDRkJjTnIxdFFQRjQwMUE4OWIxdXRzaG9IdXFHQlZnMXd1S3g0NFZ1VXJSTWlPL1NLNFBGcVJPNGlUczlGay9mME1Hb0c2Y1NoOUppbTJCck1zNStTVkZQTXU0NVhrQ3hoNm80Tk1nNHlMalFBR1M4T2dZeVhuUUVNdDVzRHpJdXQwZEdDREplOXJJOU1tNGU1dFhhZ295M3JlRjhlUDl3UGl1UWNhV2RJTXRWV1RuSU9Gd1JYQkhJdUtJbmtQRTZ4RncrR1U4V1JNYWR5RSt5ZlZWWlN6Y09reURzM0Fsd0tCcmY1RUlxK1ZNMS9icmlNeUxqdkJ3SVpCeGtIR1FjWkJ4a1hOa0x5TGhrRkpCeFpJVEx6UWpaQVpCeHVSM0lPSndQbkEvSStHb0daQnpyaThNVndSV0JqSU9NRzVIeEs3SytlTGJWNkpVbjQ3WkQ4cUp4OHlMMTRUdHU1dXVTVEU3R3g5MXhrMS9aVFc2NXllNUtISUdKVjBPRGlZT0pDdzNBeEt0allPSkZSMkRpemZaZzRuSjc1SUpnNG1VdjIyUGk1bUZlclMyWWVOc2F6b2YzRCtlekFoTlgybFd4VDFDbDQyRGljRVZ3UldEaWlwN0F4T3YwY3ZsTW5HeWNpVWNPY1VsWi9wR1ZjVWVHeTRzcmk3NzFTRnhZenp3MDNYVFRZcmpCUk56UGlmdjB0ZUxqYnJxWlJnNTgrMWxiSk00dmJ5OHVUcHhNRVBIQXhhdWh3Y1hCeFlVRzRPTFZNWER4b2lOdzhXWjdjSEc1UGZKQmNQR3lsKzF4Y2ZNd3I5WVdYTHh0RGVmRCs0ZnpXWUdMSysyRUQxV3FwQnhjSEs0SXJnaGNYTkVUdUhpZFlTNmZpM3NiNStLQmt5L1VuYS9hSGNZWmlEUGk0cjVEbzlnTHkvMDZpOEx4NlVyRmcvU1Jpa2k1aGtxY3hJR3FNbjBFTHU1RmllOHZiZzBWNm5pdTE0K0xVeWYwbzdBL0Z3LzlKRVM5dURBMHVEaTR1TkFBWEx3NkJpNWVkQVF1M213UExpNjNSejRJTGw3MnNrMHViaHJtMWRxQ2k3ZXQ0WHg0LzNBK0szQnhwWjI0Z0JOUHlzSEY0WXJnaXNERkZUMkJpOWNaNXZLNXVMK0ZOVlJzcXJlRkpWUm9WclJkMW05SDJXTGZzUkVXdHdUeGZBV1ZjbHZJdkxBOTUyMlRjWEUzb3Y3MEs2aFE2aVJKRW8zTnhsa2xmWjlsVkFJbmlKSytPMjhTSi9BamtvQ05WME9EallPTkN3M0F4cXRqWU9ORlIyRGp6ZlpnNDNKNzVJUmc0MlV2MjJUanBtRmVyUzNZZU5zYXpvZjNEK2V6QWh0WDJnbHN2RXJNd2NiaGl1Q0t3TVlWUFlHTjF6bm1jdGo0dmZQVFoyY0g1NmRuclVmdy92cGtmWFNSdlFubE55MXZXbkNMRENmdHB2NjdacFhPb3RsN2ZRWTFNczlzU3pSUE9acm5xY0hsRC8vNTEvLzhIZEc3S1YvREFsd09KS2l3ZXFXR2JRYmE5WjZzM28yVWh2S2o3TGFHSkdvZkZkOVRVYUFKNmNXM2trODAyTFlMMmFwd3Jmd2wxR0tsS2s0YWtKWUdZZzVJVGVCb0J4anRocUpOSUtxQTRnWVkxQkNCV3VKUEJmcFVHTnRnei9yTDNTVnh0dXE5aUR6VDV5Zjd1YTd6MWVSejZFbEpFQnkxbitYOEZpaVlad2Z2MUxGT0hlZFVNazRWMzFTN2tFQlE5MXBBMUVpWjhwTFFTVHkrdkJPTi9lTHJFSVY2VnZNcldTUFNwZEZwNG5FaERuY3pERkNLZjBFVXhKN2ZOWTE3Q3NlaGVzUUV2MFJqaDRhMkt4RnAvUk5yTUkyc1pLUHR0SDFXUHZBeWhKMkZTam9kRFFaSk9pUDROOWJub25VZHBlOExtNVVOYWZqMDZZK2VmL3g5NlM5QW00NVdIdEYxWEM4dVA4OXp3NGltd1d1SEwyS3RCWUlST0RGZkFZT1NNQW03cWhoWVl3TnFVWG5LTU50ZUppaHhxZWQ2ZmtoMHM2c0VlZUo0aVZ2V1NwRFlJNjZubTUzb085T3hDZlVOVVcyTk9uanBXeVkwOEtHc29jYVBjaHVGTDJYSE93R0UxS2V5QXdxL1NzTHN5MHZsWEt6Y0sydGk2R0x6VStsMHM4eEU2MnE1bGJtT3pwdVlPRjV1Yk9aOG1ibTlBMmJOYkowd241cU5JMmFOSm5ER3JOOHVoeXdZZE41eEE4Zk03QXljY3o2a0xxcnRjTkxsUU54UnMvOHVIWFVrS1VHNy95K2ZIWjZ2UzcvOS9HOC9ldjZEZjd6ODdNT1JZSFRpUkVrUWxuNkt4b2tiZHhXaDhRNHFMeTd4VjVvSHpGNzNramhUemZ3cVA1NDRmbHkrQXlLaitRbHVuRHB4RXNWV3F6UUpyanhNdzJmZjBKT3p0Z2Jlbk50MWVIUm1vOGZLWFVWWWxWRlpaa1UwVjYxV2s5VmhyQzdONGhaN3l1ckpoa254b3ppNElEdGwzVXIrcStyRTNxd0RnOHZNN1ByZHlGdjUvQ3pPd05zcHBXK3JNN0IvUUt1ejBqeGs5dWZnNzVRS210VTVpRDZJV0ozQkJ1NEx6YytKYnZDK0NCNlZERCtwOHJEcTUzVDc0UHowSW4yZEhaOCswYmkxYit3ZG5oeDk5ZFZzaWcvZSt2TGRqbCs0dGt0bFZNa09xaUxMS0NMS3lKSTF0STh1V1RNeGVISFovNXJGZ2QzWFh4dDBNak9qd0pOYjJnV2Z2SmxwQU1vYm1BZWhyRW0vUUpRMTdST004bW5hQnFTczRVUkJLZXRiRjVnS1J0b253ekJBWmJhR1FXbyt2QW1TMEFTcnpFWlZNVm96Nks0YzFmdE5rOENWRzBzRFdOT1hCK3RCR3NHYStGdmVnMkVjeSszdjlZOHFhMzMwZXZYeEhtVFJyWFc1YUtNM2NVYjJkYU84TTZ1NkNkNUtHK2hXL1J2WFViakdOUlM4Yzh0YWlxcmR0RFVWZkp5NTFGYndDWTFTWThGNzY2eTFxRnVwTTZZT045ZGRnOUcwVXRWaWNMdXFKc01nQnpHcHplREdWWTJHd2V2Y3BGWkROQzVxTmd5TXRiVWIzTEozRHNCYTk0bVlXY1B1TWc5dXBpMzNHUE04REs2cnV2eGp5TFFOZjdMTG1XU3ZKMktTV1cvaHlkYVhLS2txaFZvR2lwS3pWdVVRUDZKa203R0ViVEtQdjNwd2ZueVloVkxDNTdXZi84MzNmdjJMYjZmLzczaWtrNlR4aVJma0FVcjZMa3hmL0R6VzhRTS9DUHpmTGY3S294WS9KTExDbmxyM1FoUTVTZisxZFJ3M1FFdDl4eU9VMDF4Q1NLaFR2VmdIUWxBWnB6MTRJZTJKVEdXdEFVMFhDVTE3M01xTllWUDdoN1E2cjdsZ1UrNXdyTEhwUnU1TVQzQTY1TTYwcndqSUtVdG5QVGZ3cGVWT3ZPRUk1RlNqemVmbkIxUUtWTnBoQkZRNktTcU5nNENVeTdpRS9XQ3AvYnVEZHpLQWx4STM5RXRlNnZVRHByS3o3NE5NczkxUzQ1R1FLVDh4UUZOQVUwQlRRRk03YU5vbkEyQ3RlMFhMck9VMDFQVHE0Y2RlMTNhU2FXL2pJWmtjUURJVEZvM2R2M2p2UlBGSll0NlBrbFFxdjNXc0J0Qjg4MWp2cXV2YlIrRzBsRjlZU21lcUx1cFBGRVg5bnd3dDZxZU82OU15d0hOak42RzBhL01jMWxvbzZ2ZWRPUFRMNW41TTQ2UnJ5eDdXMnFxcW54RHFoR0UxUUVnaVhjV3F3RGM5eDRzNTN5UkpUUHpFcHFyZmMxdzJuSDFWUDNFU24wU0dZVFBLK2h1bmdySitzUm5LK2xmbUtHRDdaZjNaV29NdDZXdnYrUHlva3J3dVAvaldlRXFYNk1GMUh6eXhsbkx2M2ZXNUttOXFYOHN2Y2FIRzZwVEVpWm9MVTNiT1cyamR3NEd6MWhDbW1NWHNoS2tldDNKandwVDlRMXFkMTF5RXFiYi9NUlp3Tm5GbmVncFRRKzVNMjYxT0swejFxcTd2Q3ZCWVEyaEUrZ2JRaUtBUmJVSWpDb2h5T2NLcWwxNHFVUi92elhyb2lpS25Wb2o2T1dmZVI4K1hEKzlERm1XT0loRHhPVjBKZ1loNDhadzFvdlNtTVpySUhscW9SYTNlb0JZVnhwdFFpd3g2dGxTTHJQU0xYcjdRVkIzYWUzWnVwM1AxOSs2R2toR3ozYld3dlpQWkJvNVBQWmZ2RisvNWNSRGJ2RGIyaWs1aWwyL21JM1JpZUliN3BxS1kyVlczdmptOTQ0V2hMMTEydTBqc2hBRXRiMEVVaGFUWVJNbHdFbmNzN3ZuZW9OUGRIL2pFVEhZRGgvNjYra2Q3ZzY3bm5lTDJCeDZoN2R0djh3c2MrZ3p0OTcwS2s5M1M2VjA5YTc4N2h2KzZNK2daMnJNNDNmMkJUNHpKN2RyUWx6WEN2blhaZW92ajdGdkhSK3JhdjQ0YlZmdlllYTVEdmFSMElMRVIwNjgycy9PejV5Y3NWOEFsbExDZDV2Umt2OXpVem5lb1MrTzQzVjR6ZzNKenUzVDJYdXduOWRsM0FXL2QxYkZWYTN3blNkeWczNFozdkR2ZHhuZmNVUHlneVBHS2NRZHRnTWU3RmlSNkp5SGlYbmE2ZmZCcVhaUmVLZlk5MzJJL1BONkhtSXluRTBrQzAxWDRoTmJHKytQeGRuTVdlMVQ3NkZXVDB1Mm5WMDFOSy9mMFljL0tmZmFxR1lJOWF4dHNtejBibnRkZzlqeDgvejdlTGJCejA2RG4vbjlWSC8yZzg0RDlBSGx2WSswTHlEdnNqNk9INE4rTjdCZklSeHU0YjJDam4wSDdCL0srNWtPcy9TeTJCTEsreHNpYUdRelltYkRxWTNUSHFOdGdrUGMyMW82RnZNUCtqdEU2SUsvMU1mbE9obnkwZ1RzYU52b1p0TE1oN3d0dUVXNXhubTdSZnMvRXFvL1IzYUp1NjBQZTIxaDdLZklPZTd0Rno2c1lVSis5RldzOVRyN0hJaDl0NEY2TGpYNEc3Ym5JKzRLVGhKT2NpNVBjVXJtRFVWRkNyM0lIc3dxR3VaUTc2SGVGNUMyTWQ0ZmtMYWI1RUZZVUEvUzdSamFtYjdCN1pEWDl1YXdSSnlwWjNyYVZMTjhKM1lCd0xjcGF5UXFpcE5IWVVNVHFJNkhOU01DSzNOamZ1SUJGczU5ck1JMkFKUlJ4RGxDd2VPbm1JQVVyRG1qZmo1YWdZRW1tQmdVTENoWVVMT2xGZ1lJRkJRc0tGaFFzVUlnclJDR1lBUlNzZW9kREZDekxnTHpXQnhRc3VFVzR4Zm01UlNoWXJNTWhDaGFIUUZDd29HREJTVjRKSndrRkN3cVd0WUpWZnhGY1NRVnIyV3VIK3I1azdkRDNmM0w1MGNkWGZlM1FpRGdlTFNXNklBb2pMOGJhb2JKSERXdUhTcTJ3ZGlqV0RwVU9PZG5hb1JScmgyTHQwRzQ3ckIyS3RVUDdQYVRWZVdIdFVLT3p3dHFoV0R2MHlsYS9ZTzNRNjFFQ2c3VkRWN3FvRW11SDV0M05SNHZ3Z25ER1NvUUwvVUhTMjJMMUJ5d1lhdUZJc1dDb2lTMFdEQjJTNHJIV1dEQVVDNFppd1ZBc0dEcm9HY0tDb1g2dy9jOHNZNThFWEVrTkVxcmJ3YkhxNEZIK0NNVlI0dk5IaUlaK1pMbG1hSzhKbEY5Y2tzaEpZdjVFQkg3b2FXWHFzVCs2VEgwd2NUTXhlc01mWFNidUZOOWI4dnV4OWU4dFE4Y05QQ3dZaXM4dEFaeGJUZkM1SlZoejJ3Q2ZXMVlkNG5QTGEvKzVwUmVGY3k2WlI2RzhyRGQ4WkxteWNJZlRmMlJwSFlYWHVzQTNsdkNGOElWejhZWDRzcEoxT09TRGMwNTY4R1hsVmZteUVxN3hXcnBHZkUrcE44YjNsT0trUmRCL2RiK25WRWxWNGJhbHFteTVGMXBtSWpUeG9rRDNQV1BWd1J5a3FoN0RqNjVWeFk1TENJMDJ2OE5kUElsWUZhVjNKUEtTUVdJVnZ5MkR4Q3JxdUc0UVFhMkNXZ1cxcXRVRWFoWFVxcllCMUtxcVE2aFZVS3VBSWE0amhtQUdVS3ZxSGZaMmgvWmhlSzBQeUZWd2huQ0djM0dHa0t0WWg3MmRZU1RBSHNoVmtLdmdHaGZzR2lGWFFhNnlrNnZpcHZ1L1ZuSlZ0RzI1YXZDWFZmYWZOckVPU3JXcXAxdzJvdytydGlWV3pWYXFLdThKbENycExLRlVRYWxxTm9CU0JhVUtTaFdVS2loVklCRGQ0NEJBUUttQ1V0VWVEVW9WbkNHY29kUUFTbFc5UXloVlVLcmdHcSs3YTRSU0JhVUtTcFc1VWhWdlc2a2lnUk5HZkRlMU1QQklaUGxsbFVlY0tJN0xaQ1lodmt1dm1WWVZPSDZTMEkxTFZXbVlFemllRzB5aFdLV2hTQlRFOFRERktrbC9uU0VaS0ZsNVRwZ2tFUlFyS0ZaUXJKcE5vRmhCc1dvYlFMR3FPb1JpQmNVS0pPSTZrZ2htQU1XcTNtRnZkMmdkaGRlNmdHQUZYd2hmT0JkZkNNR0tkVGhBdmVlNEIzb1Y5Q3A0eGdWN1J1aFYwS3ZzOUtxZzRmMnZsVnlWWEFHNXluR2p3QzFUR1RjT2t5QU1OcWhYeldFbHdQd1pKcHRmQ1pBSlZuU3VncFh2SkZHVXlZY1FyR1N6aEdBRndhclpBSUlWQkNzSVZoQ3NJRmdCUlhTUEF4UUJ3UXFDVldzMENGYndoZkNGVWdNSVZ2VU9Cd3BXQklvVkZDdTR4cVc3UmloV1VLejZLRmJrZWtwVzFJVmsxWHNLcFdiVjR4T3YwVFVya2pnUjhiMk5hMWJKSkNzQzhqc3k1UHNxNGlRK2lRYktWWWtUQjJFSXVRcHlGZVNxWmhQSVZaQ3IyZ2FRcTZvT0lWZEJyZ0tIdUk0Y2dobEFycXAzMk5zZFdrZmh0UzRnVjhFWHdoZk94UmRDcm1JZDlnOE40NHIwUUs2Q1hBWFh1R0RYQ0xrS2NwV2RYQ1dDL3VzblY1RnR5MVZlK25JSk1uZklVcEU0Q056SWR1OHFVbnlLMC94Q3lseXRTcC9BaUt0VmhwdG44UVVCN1ljZlhheEtmMFV1MjRaczB4OVl4ZE9vVmJGRGttVGcvbFdrK1lGV3Y0K3IvUFRoakNGWFFhNkNYTlZzQXJrS2NsWGJBSEpWMVNIa0tzaFY0QkRYa1VNd0E4aFY5UTRIZkYxbEc0Ylgrb0JlQldjSVp6Z1had2k5aW5YWTJ4bjZBdXlCWGdXOUNxNXh3YTRSZWhYMEtqdTlpamJkLzdYU3E3eHQ2MVVrZG1oSXZISURxRERPd0xPVlhrVWRFcmdrS0hvZ2taOFF1dzJzQm41ZEZUb0pDWlB5REx3NGlRUGQxMTJqQzFhK2szaGh2UGs5cktiY3dpcHkzREFhSmxvRlR1RDd3ZEFWQVltVGhENzFJRnBCdElKbzFXd0MwUXFpVmRzQW9sWFZJVVFyaUZhQUVkY1JSakFEaUZiMUR2dTdRK3N3dk5ZSFJDczRRempEdVRoRGlGYXN3d0VLZmdWOElGcEJ0SUpyWExCcmhHZ0YwY3BPdFBLYjd2OWFpVmIrMWtXcmZwODRDZDlZUlk2WGVPV0tmRkcyalZSc3BWbjFWTTM0UjFaSitneUUvQ3V4bkNkdlhMTktwNzJGWGF4bzl2TU52SWswS3hJRXc3NnppcDBnVHJ6QmtsVk0zWWhBc29Ka0JjbXEyUVNTRlNTcnRnRWtxNnBEU0ZhUXJJQWlyaU9LWUFhUXJPb2REcENzYk1Qd1doK1FyT0FNNFF6bjRnd2hXYkVPaDJ6cHgza1BKQ3RJVm5DTkMzYU5rS3dnV2RsS1ZnMzNmeVVscTN2bnA4L09EczVQejVRL2pmdnJrL1hSUlJZNWREOGNlVmNGTDh0dzZHNzZIcE5hcDdOVmpTcWZhVTFZWTIxTFpZMDJsYldYZHk1LytPbmxweitTZVhWdFdDTXNxT2M1YnVpV2VsWDZHSVNCcjlHcnhNZ2x2ZjJoVDR2V2Z2b2NKMXExeWlCTUVVSVRQM1JpdjF3UEkwcWkwRTkwMDZzVUc4L3hZdjc5R0VsaVVqVHVtSjI0SkI1eFhOODF6UkZyWVVTNWdaU1JXR01pMU9oRW11NFFRcW1BcU5RUEVsSS9VR3F5OXNxSGplcGhvSGlZcVIwOWxBNHJsY05TNGVpcGJpaVVEVTJqUHFwR1BmWnpTWnpKK2FLaWtUN0ltZGRiNTN1MzVab0dKVUZ3Rkdya0FvMmtZU0JubUVvWnBqS0dWc0xReVJjMVQ4Myt1L1RVZ2FRRzRxMTBxTVBNNzVXKyt6Zi82VmZQZi9DUGw1OTlxUHlSV2E2TEtyaHhZbEp2SVBmaHhLVFV3VERQRkp5NHhKRnFwdGZlaTA5b3EzdjIrN3B3b1hVUE44NWF6MWx6SjVyclZwUGNPNHdORlBjOWZjMU9ibEw4SEE0dXlFNHA4K1UvS1cyMmV0dmdNak83dnJmeVZqNURpM1B3ZGtvMmIzVU85ZzlwZFY0Nm9kYjZIUHlkRXFsWm5VUGIvNWlld1VidURNM1BpbTd3enJUZDZxQ3pLZzhyczVjK1JTNmRZUjVyaUNJWGZZTnRGN2tZTkJ5bHlHWEVrSkQxalVxWHBrRjNwWXZlYWZWVE0vcjRidFpEVnd6WjdleDRGLzAxaTE2dW1mZlI4OVhEKzVERm1PTlVxZ2g3VHkrL1dNV0ZBQUVCb241MEtnSENpUHozRWlDTXBJMlpDQkM5Zlhtdm1KVzFuR2p4dDBFbllscG5PL3EwYmFTZlJVeXkzeU14eWJTMzhXelA4U09yY05zZldmbE9GQ1pocE5QOGhLK3FRb2Y0WWZsUmxSZEVoRm90QkdoTk42c1ZBRzNISFgvSHFuTHVHLzZZYXBMOXFzUll0KzkzVk9VOUdiWmQxU0N3aTgrb0pGUERaMVFnVFBpTVNucFJyZ0Zjd21kVVhmYjRqQXFmVWJFQlFLY1dUcWVZQVQ2anFuZTRWUXFQejZqZ0RPRU1aK0FNOFJrVjY3QzNNNlNrSWozNGpBcWZVY0UxTHRnMTRqT3FMYXFZaS95TVNnVDlWL2N6S3BVb0ZXMWJsQ0t1UTBMK3NZOUhTUmhHZGt2L0RSU3ArazZnMUtwczZ2QkhWNmxJNUVSZXRQa2wvNUpKWkNwK0s0WXM5MGVkSkVuaWdUcFZuTjNUd0lkT0JaMEtPbFd6Q1hRcTZGUnRBK2hVVllmUXFhQlRnVDljUi83QURLQlQxVHZzN1E3dHcvQmFIOUNwNEF6aERPZmlES0ZUc1E3N3g0Wmh4WHFnVTBHbmdtdGNzR3VFVGdXZHlrNm5FbEgvOWRPcDRtM3JWRDBXUXhwTm9oSS8zemw0ODhIREc2bDdUZDhuenV0ZjJrdi9lWU5kTTQ4R3pzSHVXN1YvRjB1UE9BL3BTNjIvUGFKZjBFUXNiWVVySC83UjlNTkRKNVAxT3VyblhHUHFaQUYwTXVoazBNbWFUYUNUUVNkckcwQW5xenFFVGdhZERQempPdklQWmdDZHJON2hRSjNNSmd5djlRR2RETTRRem5BdXpoQTZHZXNRT2hsME1yakc2KzRhb1pOQko0Tk9acTZUSmR2V3lYemlrSVNXaXpOSG0vK2VxKzhFOEQzWDZEb1Z2eFV6MGFud1BSZDBLdWhVclNiUXFhQlR0UTJnVTFVZFFxZUNUZ1grY0IzNUF6T0FUbFh2RU45elFhZUNNN3p1emhBNkZlc1FPaFYwS3JqRzYrNGFvVk5CcDRKTzFUNXk3L3owMmRuQitlbVo4cWR4ZjMyeVBycklJb2Z1aHlQdnF1QmxHUTdkVGQ5alV1dDB0cXBSNVRPdHFXbmNGUlNTV3VCS0pMVzMwaWtmWmkvK01nYXEvaUNia0JialZ3S1E1em9rOG9vTWlibzA4anlOZWlXRU5ENTFZdGVOeS93cUpMNnIzVGpMSUg2cFlwYlFkZHc0U0VweHp2WDhVTGV4VnhXZVVPb0VTVkt1dEJpUnhNL2t5dTdaQ2RGR2ZXeGQ4bGlMTDZMMFNyclVVTVV4VVhCMDZrMTNiS0dVUnBRYmZoUGxkdDl0UWVUTjB5ZnJqc3RpaExBYmFvVkdLYlBRS0N6MWlaN2FSSzhkdDV1YVJQZDExR3NCcGpxQXFRYWc1Zjg2OXQvSi9ZZHVaRzJjMDhsOW5lbkdrQXBuWjd3enBFVzJwdko2cHRoSzBMQ3QvQTl2TC9OOXZiaTgxQmYydy9MMnFaWlptalhaNXRSOVVxdE5wRld6U3FsR1RxYzBDSW5ibloydER2SnozM3VvY1MrMWRoZG5aWVBMVDMvMC9PUHYzNzUxY1dZeTNxMHpuWmtlZjJsVFJXVVg2aFJSbng2YXBJYkdtMm9icDRUR20ya2JwNExHYWFCWkNtaTZMN0xKeHMwR2FaNVppbGVrZDMxZWJrYlQxS2R6RzVtbTdldDM1SW1iM3ZTRlRIUFFUZS9NM3p0eTl6N1pNRUUyWEJGOFFwMHdMT002UHc3WlhKRU50NDRqRys0d1JqWmNzME0yakd4WTFoN1pNTEpoWk1PU2RvMXMrQk5rdzh3RzJiRFNEdG53Nk5OY1NKcTVrR2t1Smh2MmtBMVgyWEJFSEkveVJXaWlNUEppWk1QSWhwRU55eWFCYkZobWlHd1kyYkNrWDJURHlJYnRzK0gzZjNMNTBjZklocGtOc21HbEhiTGgwYWU1a0RSeklkTmNURGJzSXh1dTltandReWYyeXdHaUpBcjlCTmt3c21Ga3c3SkpJQnVXR1NJYlJqWXM2UmZaTUxKaCsyejRoNTllZnZvalpNUE1CdG13MGc3WjhPalRYRWlhdVpCcHppa2I3dnk2MmVqTFpyT3ZtaFZmTkxkbjFaMmYwMEg1ZVdmY3FzckxmZXI3dEVzRzdwK1Q2eUpVVlZSS0loSkd0R3RLUEJ6MTYvdDlLdWJSSy9QdWwzWHJNdTZ1YkZzZFhrcXpiTXNNMnlLNzFtZld4bG0xY1VadGtVMzN5S1N0czJqakRGcVRQWnRremlaWmMyZkczSlV0S3pQbElWbXk3YUxabG0vbUFabXhhVlk4SkNNZWtnMlBrd21QbEFYYlpjQUdpMTFQa2ZuYVpyMVRaN3l6eVhiSHkzUk5zdHcrR1c0dHUvM25YLy96ZDM3N3kvOXFrT0Jxa2x1RFpaNVVTYTIwcVR5WjdVNWtkVW1zVVFKcmxMd2FKYTVHU2F0UndxcFBWazJTQVYwaW9FbFE5VmxKdjR4UFA2M3UzR1RTYWRtODZVYWFxTWxObk9tMGV0MUVaWEtwU0N3bDZadDY0U3BkTXFsUEpDVkpaSDBHM2NsandKTkh6eko1VklaelZRZ1hFU2VoYnZ2V2k2R2E1R2hITkNaK3BadDJIc2tOOGgxZmFPeTQ3VkJHaktYOElPM0NKWm9vcmhZM2hacXdyU3VWVTZWeDhoanA5cDUwQzVyaXo4V2RPYmdnTzJVNG50OWg2VHMyLzRtVXQwUG5ZbTRibnVxdGZDcTFNMmxQdXBXR1dxU2dodWxuZCtwcGxIWWFwWnlHNmFabHFtbVZaaHFsbUIzcHBTNjExS1dWeXBSU2xVNUtVOG0rYWFSRklZbnB3ODVhMWZ5UjBVdkxxbXJFek0vVTJwbjlCSGtUbVZPelNoQ2JUczR1THpUUENUV0ZJV1BuZ2paNTRKUTU0Q3p5djNGeVAxM2VaNXZ6Q2ZuZXIzL3h0eTgrL082TG4vNU1rKzkxNUhvYTlWR1c0N1dhdEhNN2RWN1hsZE5wOHpsdExxZk40N1E1bkRaLzY4N2RkTEYxVjF6ZGthOTFCL1YyMFlwK0d1clFmcEpwR0x4Q0JzNUpkeisyUHdPcld5SE5zQ1RaVlVkZXM1ZnZneW5zbVJtNmtzeW1acGJISGVLZmF0RzNZZ3RJWVZOTVFxUDAyV0R2eXQwdlAvalNuYnYzWG52ejRNMEgrWDZHRHc3ZnlUWlhUUCsvOW80RHdyYVlSWmJTbzQ5eVo4eHl0ZW1zK2QwMzk0MGJ5NFkzYVMvZkhkTWdHeVNlNzdoNWFDSHNPdG1WSExxbGNibGRaV2V1V0czNzRFck91Q3JoZFJQSGVQZktWanBwdG1GbERkZ1RKL0FTblZSZ3N6R2xtR05XSjgzUWdPVEVoYVJUYjF6ZStmeDlrZG16WDVrWEJNNURkb2VsajFLN0FYRjlXUU5GcG11YUlhWlg4V29uaUFybHVwWWdVbzJ4elI2TXN2Qll2dThpMGUyN3FOeHJjVmJKNk5BNFRobUZHY2R4NmpEdGlzWnh4T3ZJSmFZTEZ0aWY5OHJ0c2ROSTRQVFpSZm9JbjdEL1NKUGJ0NzU4TjQwVTNubVNwbEMvLyt6eFdZbFdWL2N2M2p0WmkxNjNFWFVVWGNxR1dXWDc3RExqTEszTDNuVHB2OVBFTC92NWVQbS84cGdqUzdlNG5aLzlxN0RLNHN3SHB5WGFxM3QrK1NpSk9FcGlOb2d2RHVMYkR0SnhLckU0Q2hGSElmcFJzbXphNUZUaUlhZFNIMFI5S3NRZGRDcCtuMUZzN3owSmpDNVlmUkFxRGtKdEIrazRGVHJrVkh5engxZ2NKS2lHY0wvb2ZkRjFFaExiRG1UNktOdGVOT3BabjQ3OVExWWZSSDBxbEF6NXdWQnFkQ3IxUWF4UGhScWV5aUEzUmcwOU1oM2trYk95U0pNTDVnOTZ3R0xEVTRtR25FcTJSNDdKcVVSRDdrcDlrSTVUU1lZOFlZSFpMN0kraVBXcEdQNGlnMEUvbHNEdmNTcTJEMWhnK0FZVEE0dWFSNlpmSkU0elZaQ1BaUFlXRXgreTJrRHAvemxSWlBJMEc3N0pSTmRmR3lsTVIzS0p5VWltdjA0eTVOY1o5dnJoV0k5aStNSU13eUdQVzJSNGJ5SnZ5Q2l4WWZBWERYbjVlNGErbWEycDFuK1UwTWczcy9xT2NoREJuZG4yYitZQVpBTXdXbGdtVExkdkhSeStrMlZTL3d0UVN3TUVGQUFBQUFnQTlYV0RXeVR3Mi9nNkFBQUFPZ0FBQUE0QUFBQnlaV3h6TDE5eVpXeHpMbmh0YkxPeHI4ak5VU2hMTFNyT3pNK3pWVExVTTFCU1NNMUx6ay9KekV1M1ZTb3RTZE8xVUxLMzQrV3lDVXJOU1N3QnFpbk95Q3dvMWdlS0FBQlFTd01FRkFBQUFBZ0E5WFdEV3lUdzIvZzZBQUFBT2dBQUFCTUFBQUJ5Wld4ekwzQmhaMlV4WDNKbGJITXVlRzFzczdHdnlNMVJLRXN0S3M3TXo3TlZNdFF6VUZKSXpVdk9UOG5NUzdkVktpMUowN1ZRc3JmajViSUpTczFKTEFHcUtjN0lMQ2pXQjRvQUFGQkxBd1FVQUFBQUNBRDFkWU5iR1g2ank3WURBQUJqSHdBQUNRQUFBSFJvWlcxbExuaHRiTzFaelc3VFFCQytJL0VPcSsyNVRSekhkaXpGVkcxcFJLVUdsU2JpNTJqc2RXSTFzU1BIcFMwbkxqd0FFdW9CYm9nREZ3b0hiZ2plcHBTK0JiTS90dVBZc1ZMMWh4UzhlNmc5bnAyWm5XOW1kanRwcmg0T0IrZ0ZDY2F1N3hsWVdxbGlSRHpMdDEydlorRDkwRmx1NE5WN2QrODB1MzB5SkdONFFqRDRHOXE2YjJCWnhlaWhPU1FHUG4vMTd1enRKeXhZRXJZTmYrQUhqTGNoUjd5L2pyK2VmempHcU5NM2JmL0F3RXMxcWNyRzVISW1ncTN1V0V6Zm1tVVJMNVNBM1hIcXhOWXNCUXRhbmRFY1J5T2FIdEVVUWJNc1JZNW9EVTRqdWkxcEVhM0c1YW1hN1pDSUpuT2FwQ2lXR3RFMFJ0TjBYWEtjaUtZeVdzTzJxa0Nyekd1NzQ2Z05WVTdibnRhdjVPaHY1T2pudGxlcnNxN2JVN2FuL0tQbCtFS2Q5Tm1rN2MxS2dsc0d6VTN3bmhWT1FlK1JBOFMrU2huOEFPRVJhZm5CMEF6Um8zM1gybXViNHowREwyYzRHWGZMSFF3RWMvZG9CSkk3L3NDMTgxZ1RCNlBIWWlOMFlKVFlEdUdjd1lUdkwxR1Q5M25iOWNqTXJ6SEhFK0wyK2lGVkxxMm9NTFJjWFRIN2hqbWl2SzJCR1JZejdwaGhTQUtQZVRqZmZzYTZUbnF1dHhZRS9nSGpoTFR0dUMvQllmWFpTelk5KzJJTG1DUEFWZk5nd1Jad1BHaFNBN3NDS2pnMEtwc1k3UklIM25VMjBrQXBzNDJvUkZia0lsbUlWWk1IYXpHV3ZBU2h0azl0cnM0SW1BSkJ6Y3BFaVArMTZDZHNGcnNZZFYwdmhDbzhhNU5YbkJWbFBxUVFLc1ArdndoN3VRejdLMGFJaVN6VDRRSjNvTEs4bzV1Lzd1anhkVWV1MFZsZWQ2NHgwRzFDNTF4VlJiMlp1bDlia2Vrb3N5S2RGVnFjRllwR1o1a1YxNUlWd3R1TjJOdDFqYzZMZTdzOEpxNDVJUzRQRVpONXF4T2k1WHZoZEhkcHlsdmNSWkpPWjc3MjI4UlhkQys3UXIyUXZEbWVGZTA4RGxaT2Q5YnpnQzQ2dEVvOTNjMDlPL2w4K3ZFYnlyYjE0bVc4dmZrUGxZcUNJenhWS3VwekxMalVmMDRDWkZFZmFHODhWUnhxMFFXbllJK0xYeVZteDFIY2hSWU1tY2p0a2tQUmg0NWk5dlRueWU4Zlg4N2Z2ejcvL2dhcTdOckE3WGtHM2lBZXhBTjRDL2k1RmZ6OHBmNDBuM2RDZjhTcWNqYkNFeWpFYnhQWkJuL2ZERXdMcEtPV09YUUhSd1p1dTFiZ2ozMG5STS9NQjhURlNLQzFGTFduZWN4SW9IenJhWjdQbWpzZ3NoZVlvejRTOWtPZ2JYbDJ5dzNHSVRNYVhyYUp3NTg3SXdvaWxjYy83TkprNGx6NTB0dG1BR0UvUm9JUlpIZnAvdUV2bHdrUDYzNFkrc084STVBVmJnN1U5amczYUJJR0JJbmFZNVl3V3J4citzYlJtbmJWUFBmK0dVRHdlRW1VbDZhVnBpMlVhVkxLTkdtUlRGdGdyeTJFYVpPZjBsVlBuRkQwWEJGVVFZRTM4VVIvTVA4RFVFc0RCQlFBQUFBSUFQVjFnMXZiNkJVMUtDSUFBRXNrQUFBT0FBQUFkR2gxYldKdVlXbHNMbXB3WldlbGVubFFFK203YmhBUlVSRVFFQUVoS21JUWhhaHNzcGlNT3BnQkJzSnFGSlQ4WENFZ1JoU0dvQ0VaUlFpckdaWEZBU0hLWWxoRVJJZ29nd2tRQXFNTW9td1JFTEtOQWtLazJ5VzBKdW1jekwybnpqMTE2djV4enozZDlYWlZ1cjk2cTUvM2U1Zm5TYUo1b3hFampQMFArQjFBNk9qb0lQNmxQUkdhQ2NUK2Z6NzlqNDUvblB4UGZlaG9PaEFteXhGeGlDSmRuVTJJSlNZNnVpWTZtbTRFRW9IUTBmdmZDeEQvZnVnczBWMnF0MHgvdWNHS2xkb0ZIR1BFRWgxZDNTVkxkZlgwbGk3VlBrM1RQa2NzTmRGYnMzSG4zbVdtSWNmME55V2E3YnA4L2U1eXUzMU5uZWFocjRITkxzZlBYekZZc2RaaW5hV1YvUmFVdzFaSFZ6ZDNqOTJlWHZ0LzlEMkErOG5QUHl3ODRpRGgwT0hJRXlkUG5ZNkpKY1ZkU0VyK0pZV1Nlakg5YWtZbUl5czc1OGJOZ3NLaTRsdS9sMVJVVmxYZlk5ZlUxajFxYnVFOGJuM3l0SzJMM3kzbzZmM3orWXZCb2VHUlVlR2JzWEdKVlBiM3UvZlRNN01md0UrZnYzeFZMRUxmdnYrRFN3ZWgreC9RLzYrNFRMUzRsaXhkcXJ0VS94OWNPa3RTL2xsZ3NsUnY0ODVsYS9hRzZCOUxOTjIwNi9KeXMzM1g3eloxR3RpNWhBTG14OCsvWHJGMnM2dkVIdndIMnY5Qzl2OEc3TXIvRjdML0FQWi9jSTBqVnVucWFEZFAxd1NCUmNDd1EwVU80cjlsalF4NnJPR0puNER3UmRaS1laQzZqaDZMdFZhZEEwVGRXTk1aMFZLTXZvb0lwSFF4czBwaStBUExLWlVkN2p3VG53dGljamE4Q2VJcGQvU0xuMjNyb0cyQVNvRUJ2dWNnelRPU0lyVW1XcE5HNFhXdnZ3WTZHNjJaSWhGWHdTK3hKcnhZNUJWV2kzNnZOM2s1M0UwSFFwRFdWSFBRZ28rOVVwS1N5YldsNHRWdHZGTkc0eWVrMk1zd21ySk5nTFYrRDNWS0QwL0lGbFJtU3VtQnAyS1JFZFRYVmI0YnNxdm9ySTZsdWNNRGFiZ09ENC9XY3F2QkJUY1RldDJYc0s3UjJxQzhpYnNHRWVrcys1OFBXdDBNY3FyOVZEZEM4aytTMk0rL083dzNORG44cnFYLzh4ZU80ZFVHTHh4REU4T0M4OTV1TG5oYkVQbm95R2pDNDRLb01OS0Y4MVcwdndsT01yd1ZGQ09aenVTZzExRjZ3Nnc4R0s2WHp5VGIrRGFnR3pPZXRMZTNEc2taWTBsOVVYMnplY0xpZzRCalo4SzJaYis1SUM3Zk9zZlNnMTFKV01zV2xya1hoU0NncjFiRkF3dUNjeFJUS2F0cndHWkFYRDlncGRvRk5reGZhYmNHMFVIQVFEWUhtVm0rQzhvRlpLSGNZZTU2cWk5Z2xKL3dnR29xVzFnN3UzTVc0elIwdnpIWkdtODhIaC9wWEFnV01UUUlQZHRSYXFDWXJFTU5BalNJZVR2bFlaSEtFNnFWQkZyMDBsZXBUcVdDT05pZ1NWTG0wb3RaQWRybXN5bTVQNER1MlRFeUk4Z0J4ZUIwTjQyNEdoTDlSMjVNaEErNnlpTjdKb0lmTXlPR1dwVE45aTFuZDI4UHhPM3VETTFsZS9tZmJZZ3pFNDhFdkhTOFhYZVFiYUNNREw1ZEczU2JiUnQxc0dXMjN1OXo5SXNWb1FVRlQ4TkpMeXZiWHJjdWQ0NzM1ZnpGMmpicFhqYXVSQjlWMzhXc2dvaDg3bm93SnB1YVdnM1IrVlBibnd6TFhXM0NEajhlU2ZyejdNZVdlRWJ6aU5OMFFOL3ltQ0hVby9iOU1kc2pxdzdpRlYxRk9RMkpteE5iQ2NDQU5PVlg3azRJOVNQRUJQcTZSMjEzQVBpc29xOHRaR05TeFRzbk1yMlpZLzFzaTNvcDRiZkl5VTYzOHVwanFhY1M5ZnJiWFh6M3RHZUJlVXZvbU43Y2RnS0lsNkV6djRqeXJQUlZaaXNWbmd3cHR6NUZqTS9nMm9Lc2J2cWJHcFU3eU1wTEVpSGllU1p1TEFac3dWSGZwbTJIWDJFd3phQ2VrSzlCWEozQ1FobUpqWlNQUjlHQm5PWlhxc0RxR1pyTDRFSnlHckpybkIydmpLSXd1bWp1WUJBTE9OQXJYcFJYZ25POVdDT1Ztd1NkUGVYd3o1WmNVSVpvRVB6dGxOek9LVFBvOXhyVlhvRDU2MWVSTGVVZWZnS3A4TUM0RHFxSTlTcDdpSG1xYXVZWEx3M2lXcy8xTkVtQUhCZnh1a1czSmxiWVZyM2RIbjl4VGJEaVVmajBTc0xkK1kxK25uV0ZNZGxoUmJaVk1aNnYrUUpsSkladnZ0L2M3LzZQY1pJUFc1TXQybTRrcE5XVmYwcjRoRnVNWHkwWnNMemdHZVJtN3A4OUdGQlM1dWt1KzI3dVMzT0dlN0VXR2dUSktLTlZoR3gzRmpWWnlDV2drZVEwRDV6aWQ5T1hPdnVjVUJKcFBid1dWaTVzcVhKN0NybG9xOXgyRThES2IwOEI0K0VWZTJTc3JPTjd3Y291cEFXVkhsL1JLeDJ3anBxOVNNaVREaVdsT2dXeUZZYk1PUUlmbVRWbERQR0JDY21DZ01jWXJ4RlNkY0dBRHRnVXloZW5KU1I4VExBNERERHl2MWdibVZMaUk5WVdYOStiRXVkbVl4SDI2SSsxaThIOEM4dEwrOG9kM2gzY1czYkVMWEpuYUVsNkxpbTZMTkx0eHZtZ2tOQWtOaWFJd25ha2ppcXVCd1cvejBuWS9kSUZpcHByUDJWVFZ2YjBCbS9iNEVIb1ZOWDlMOTQ1RGhVUHQvL25WcmJ0SmJ4SjVRamdCUWxlTnFnZWhaY0FaaTE1dTJsdkZmUkhqNjJwYy9IcHQyOXhQbE1td3BadHVUWHYxamJaMmYvVnZDRzNQK09ISEtuRS9vdS9RNlNiZlZYRnd0clczR1lDUG1sK3ZHMjB2K0dXYkt2djFLN0VCSDhuUWN1M2s3ZFBQbWlvcW5oNzhqR3A1VXVNUUxRT1hoRTc1UUdpTzBSWFFrakVkWFlRbFNBVlh2TWh5TkJMWUNIeHNRYlJZV1JHQ1Izd08yb3gzOVNZQnkvWlU1NFA0aUpBVko0cStkN2hONnJkMEFBb2t3amVNVFB1Z0xnODd0cFlyczlqS0ZYNnpPS0hiNklJOVZXM0d2cGplcE1yL3RwRnhuVU53Z0N0c3RNZ3hubkFFVEswTFpxcFppdUkwRkVrb08wTFo5UTNJNFQwaDd4V3JjWFFJVCthUUx2YVFyV0pCYlJ3WGVtbk5JaXVHQTFpaFdtSEJnRU1ZaTlRMHYwLzgwamtxMjBpaFFkTHpRSmNGSXhCbm1TRE52bmo1Y1F4MW9RdFJsMzhVWU5vNGtsMmFCQVo2QWNheERINldlMGxyUlUyYVlSaW1SazhvRkRyMGx0ZHEzVktsSWxVRzFuQWJWcS9hQS8xbUxwV1JRZkNwSWVBZ1Z4WEoyd2s4RzYwa2YyaGFCUzVqS1lQanlKYmhOMzlLQWxIcmtHTW5lRm9FTllVYjhWNUtBUjBYT3hJd1d4TjhPaUpwRjlKeHErTGpJMDJCNTMvRUJQTlNXM3V0WFh1MlhXY2F5MmtDQUVoM3lxeHpKK1RXbjNKUDhBUDkvdExQNy9KejA4L2xON0lrNmNlM24wejN5dXNQTWRWMnFCM2F1c3ZHYnRuVTA3ZGV4MjVaWWlFN2RjZ2NqSHJRYmJLbENERDVXSEZkNURHOEZwcUdHZzBQd2t3eGZpZWdWK2JwcUFMQ2dVa1U1NmpFcCsyUUJKUXFFamdRU2RBNzhNQVdiNGcxWVlBWXduNXNnL2hnSm8zcW4wQXZxc3hoMmRzWDl5TjJRVzBiTklnZXJ4UWpLOW9zeG1pS2NVSVhoa0l0SFlpSHh2eGtZeFc1SElNQnQxRHpDMTNoT0lXdVdzQndueTEwZ1JDZG1zUWE3VWhqUTgwNnNLNFFyaUtEN3cxQ2ZRRSthWDlnMmVwYVhjcFErS2cycFQ3YzVnTkZxT0xoRjFJeTNqYmRXMU5vNjUvWWc4bGFCQm5zYXRVL2xDcDhnZXF2YnBLZzRoaGpldEttZlBzT2dwWmdzdWlHUk9QYWhDZEc3RGlDbmw4d3dkaHVSMTAyWVBKWGFjS0JvcHp1WVlxUEtQbmV6Ry9GV0Ixa1MxbnNNWmhIU3hESDJ4OU5PWEZRdUJRKzQ1a3RCNm1NVlVJaVNUb2VRUGxYdFVHYUFMMGtJam1yd050NUh6a2FsZy8vaGVNMVUwcGNkNitodXFpcnFEYW43aEQ5UVNOTWpFbWI2RVVTV3ZQd3B0cEtiN25yaVIySTVBaHZBcWJUYzRTbXkxNkJsYk43YUtnQ1FEOUNzYUNHczdxYW12a1AxVlRmWXJXNXNVZC8xUTNXR2grTUMvUkpkTTV6OXpxWnN0TWVQaGNjSFZJNEVpanBlT0xLay80d2JSL2ZlWHkzdklLUmNNK3Q4cm5BL0swa3FTSjVBaVA1Y09oNzVMUlFhdUJrQnQ1UjZwREl0bmJaV1JKNzd4TGxlb1V5SlB2QnhkbDVhWEtRNm8xUWl6SktJOW1Dd29ac0JsRVZMeUdab0VUWVFEaGF2dE81VTdhQUZZSEZvQkduYUttQmJsdnNoSkRTZS94WW1YRHhoQzdlNnQwcFJPaDEyT2NlWVhEMUovaGJocjFleTNrZTFsSWV4aEtHa1NYRUxwRWJ5NHBjR0R4UEYvcEd5Y3lwYTJDck1XaWVhSllUamlxTHFhZllPWGI2dndCZlpQMEJ3am9qNWFPUmx1QjAxbThCUHFLQ1NqNmN5OTJQZS9VUXU1MzdGVWZiOWtsbnNFVWRFZmxPckp3ZW5BVmJYMDZZWkFYclczVmwzaDZWRDJJbVdDUmdUMjVNSmJTUFQ1d0JiWlFyUVlJbmQ1TWZmZ0Z0c1dqbDVjOXBRUGhnRVdwSHBQWmJpaG1yWVV1S1lMVnR6QXVVSzY0dFl1bFQ4VkRwNm5IbEQ3ODgwbllwVGpRb3NOa0R0WnZLaFZnVjM4dGVvMmhEOUpqaVZlNG1KWlhibVVwc01FRWlGVFFJTDdTVFhVVVFvcVJZeHBFTDJhOUJuSGxBcjNUVHhYQjVpc2RWQzZna0U4MGoydWlydGR5bFZhRkxXUUhraVZuZi9mZ08rMlhzdmxPYUhGUVk0VTJNbFhjTGJuQkFKbnBpczRXTlUvblUvMk9TVldrN1VjUGJmLzUzSnI2b0phN1ZxdkxmQkk4dzhxUkJvN0dpdWdYRFZZdnNZVHVvTkpDdi9COHY1N3o3d3NqZzBKRUphNlJJWTJCZVBtRkF4bW5TRUg1cVZ1N25qa1duS3hHcmZOM1h1MW13YmtidXF2YThXSHhhMjF1WHdEN0ZHTlAxVGZhTGNFRkJVMWR5MTFDMGlBUTNKMGZrRll3U2hVMmd0bEJ0WUxzYXlseWxpSldYUUd2R0ljdVNCZzUyR1AwaVFBcHVvZXNGLytad3BmaE1qbjF3NEg3dThyWGo3VHIzNEdhOTQrcTlpYTFQUUY2bm43MjZHRWlLU3RoQTRLU0dCMnJaYkwwdUlGc21yYmVyMXhUdWFwdnczcnd5d1lQUWJLNmhucUtCRGFLWTdxWjR6cFVRbndEcFY0eG9hNm43cnhQb3ExdGExSGZ3NnlPcEtUNFBnVy90bDZ0SEUyMm9YMlliSm0xSDluYytJcHNOQTYvNHExM00xcENQUTVNWjMxWldBa1J3cCs4WXVSUU40b2J4d21DZU1tY2RiNjdVTUs4aXJHblJFNTMwVHpVT1MxNGkxaDRHNVFtVFl0UjNHb2VWdTJVNHFFZlZGR29heGg5S2dxWXZ2YWxNYk50b2Njb3l5cGwvdW03TnBIOE1HQXQ0Sm1KSDZyWjlKUEVkWlNCWGxhemZESHphMk9HQm1GSld3bjM4amdvK1NSUXo2ZXZlZEFnSGFTNVVLSWsrRjV0WmZ4cG1Db2haL08wYkZibExWUlp5N2E2SmxqOHhHbC9uZFNZOFYxVnZtR0l1NlVmOUJiek9pb2k2by9QaFFlZzJRNHZ5dnpOSDFMOGQ5Y2xWaHNjUDVWMWcvR29ydjVWeWYxM2ZmTjFlME92aEV0aTJYbzdndS9VK3J1UkhWNlkyM2xOdmJ3ZmRTVTRwK1ErMjJveEwreDIzTDV6SlFWSHFqMzk0ekI0cFF2OFNvTkF1aTVraVV6YTNTU2lOK21LMzFpQkVGN21qYzBRV1ZHUlltd0dFdmhaZzBoWFdKRzd5OGlTNlYvaG5UTkNyL0tuYkczenczMnRiemp0aldYUUxhbVcwcjdmcWVnRTZUYURlNkQ5YUVsckUrVkszOUZYY2l3T2UxeVVFVzBQbVNyWHc4OTVTMzFPUDJUbllRemhmdVFTakRtbHdlbGU2NU5XL0JxVkR4UWxJUzZmcXlmdktldC9Wd1U4cUsyY1hINlA4MGRiNjQwZGpYcC9nYnRlaUZnYVJIT3gvRHJ3dVJPN0RrdEdtMUtheFF0eVlVVXMxaElieDF1dUNvQklOWDBheE5KUmJjWmtpQnF6VlJaVnNBRFpwSDNIUy9KakNVbk1zZHdRM3V0eGRCWnl1VS9pUGVjeXFmVlJWTmlOMGE2aHNHdjk5OTJzL2Y1V3UwQlljRTR5MEx2TjZlQmN4eWZLZENEM0ZjeDNicEpnYzFqTFlTZVZQcFI3ai9TOVpienNjWGJqbEdvSDlFNU1aeEJORWxSYnBkYjlLN3ZkYmExQmFya0ZjU1hFREFVR2Nsd25qUWpENkhhWHhxalpvWnlpWFVsVzliOFcyZDZvcVE1dGJSS2dQSHVTdjZVMXhIMnVtWFlJTUEyOWZhVDY1ZDM1R2ZiOGJPaFZNMC9QYjgrYWF6MjNSWWJsY1FXdTR5RUJoeDBUQzBxZ2U5TUhDV1YrTDZLZis1b1JpczZZaGZnaS9yTlJSZExjTEF0Rk8yUVROMzRndzYxYjFFeVhoeVd1ZlpZb1JWOHRtdG95OUsvSFVKbHlQUzZ4aW1Sck9rcEZwNENpcUZlY3A4N3lSaDlmS1pwaDYvb0tzNFpDREg3bGc3Nm5sVSs4WE5VSjdRaisxYXYxQ3NZWmtvRzRIbEV6VDE0R2FoRFMwNlhBblBUZ3N4Z1FwVzErV1ZRak1kRTRGdGxNbEJQQnVVNHJWaGJHaWhxbjVuM1ZJTEt0VnRlbktiZXJyQ0QrZlVyOElXQ1JBYU1nL2VBSWNCbUxIUlhFM1RvNHZxek5jQmR1TVNYTGpZaFNGRUVCRmZRejM1RGpTRjFzYkJvQk50RWd0SHlxVDgxV00yVUxZN1FoWlF4c3JMMTExTXBDc2FEUTJodWV4RjZEeUV5QnFqV0k1V3pWWnVJWUhXakRMS0gvdzdpV1krVjIzeWEwc2kxRmZaVitERHVoMjZsQkxGUEZLRk5vZzE2TDh3SXhMOTFLbE5kQzFxZE1UY2pRWGVoMGpNWHcxOGFjeDFQclNqU0l2VUlPUFE4MkJmR1p5WHRDS1JqcnNVbkt4ZEUvRDhVYjh4TWUzTnI4aEZQKzBYV3U4OG1McXBrZ045U3FuODIzSHNpOUhmZThpN005Y1BmZXJyTERhQkxCS0toQTdrOGVlL2xML3Z6d2k2RFZibXZTay82dWpzdlpsUjY0TytCM1A0RnI1UlpoZTlsZzg4OGd5d2grMjBiUFVGMlNCcEFaUEVQTVZoeDQ2NUJBaHM2Q0xZYXhKNHlnN2I5dzdvMUJSQ2tyMjRmb25pSDlMTTRkR0RPTkdGRzV4RWdIekNtNlBlNVR5RnV4WHJqTWs4OWUreENyb1Y4K0gySDlPTXByT2dlN1RjUmpiZG9UbE1ud0NFT2FJdCtvOUtZTndFYmFlb2hSV1FLaTdsejBldHBmSVZvMVJBSjdRNkFUVXFRMlVyMUVDNm9KYU5ySmE4VnFXY2grNmdFZWxDaEJMcWUwN2cwOHZ5Z1JkU0ROUDFqUXpLRzdxUllxTzZ4Sll6Lzc2dC9OeWgyME1TSVFTUHlWem9ucGJ0UnFPblc3Qm5HS0FRVUFDOXJwcGkxQkVhUUhUUGZTME9vYTdxcXBDVW9KL2pMU21FNU84QWdiZFBZNVJ3MWpVK2pkVTY2dmZKeGtSb3pJMXJ6alE5SGJhb2lDdGxOZkZHc1RQK3c4d0RyemdiWURiTTNXK3RTUzc1V3lvR0xsY2RVbWFBS0lsSWxSZ241Q0Y4WWJDaTQzQTNxWThZbDNLQjdTcFpGRlBCTFkxeWxxRVhZTUdNMnViUXQvT0dzeE9GZUVSSEwxQWlTQnVBUERWc1JydkZVWjlhb2ZCaTlPQjYzNzJUN083Tnk2Mjg0MnZHTUhIbXlzMlg5ekRubElFVDdMTi9EM0g2emNNdnVpc2pvb0lpbjZiM09mV2NIdzJZYWZqemlHNTFlSnYxV0gxaGRzSGNTWCs3eStXYjJ1WjZqZW9WL0FzZlNmdGRVM25PNG12MmxXMUtuWnFxT2dmZytQTXlEZmp4Ymd4OElVM3NCaUZ6T0g1cUF1OERrQjVqeHZKd0lMVXJaOG9wYnloNFRiZ0ZLWlZpcThCcFB3aGpOYzB5RjRBOFdsKzlGUkNydURMZkN3UUJwMzlVcHRvZ0lEWFFKZWZhS2Y1bzBMZjRKd2FWV3gzNHM3aWVOaGZOclNVYXAzelFmWWxmR1RPb011YmhLWitZVEZ5SjUrdGF0NU0ydGx2dGhOSHZQYzN1Q0RqdnMrMm1wVlNpa250SEk0clNmV1BlYmNtSjRuajVzcWV0UzNZQnZvdmJBakdxVk5qUno0QmE4Wm4wOTFjRDRKc3ZpaWJLUVpkK2xoQ25mbVE1RjdTclR0VWVKZWNESC95OUVVZnRHckhoRjV6Q2JQZE03ZG91L3ZvMk9YOWQ0QXZDc3NnTUI3VXlxQTNkUnNIemN0cnhHck0xdHNrSktZM2xLNkhuVUR1Qm5aWXRHbFZVYUhWRGdvb281cUJLRkJLeU96aVFFcE1mdDdRM0dPY3hJeWkrYXRwVGgvaElNZUdlU05nSUpkby9KK1V1Sms1OXNlL3d6amVOZnEwYk9MdjBlZkNwSHVHRDUzYldkSnVHTVlQNlQrUUdGazRpSEhUemRyRGZhYm1tLzNQZFJWdlg3UG9kQzdEa0ZyN0NNK0JheXVHN3hxUnhpZnJQbmNkcU5zSzlXL3J2ampjSXp2aFgzdW1YWW15ejg3UHNDWHFuL1RadFlBazdzUmlwRnB4ekpmZVpvMkxtbytleDIwVmp4U1A0VlJGSUw0ZlRIQVV2Z0I4dUxNZGhQUVRqRUlMY3FJdW5NbUVGMVJwTTdGYkZMRnZvN3FoVTJFcnVTc1Q2UnlGM0JWU2xHamRQU2FqY1dQclNhenI4NGhsOUN3bERrRkR0cVpESGdmQW1Ma2RqSm1qcFdGL0lUeUhKVGVROXNPOHVZOWxXY2h4VVJ2OUZJb1czbU9waDIveGxRN2NGTnZML1lSZWo1RFNyenluWjJOc2FPZ3VyK2pybzBMT3cvYUlvSENKdEJzNTZGWVc2dG1rOWhSK2dQdFNQSlNtYWp2K0hnbnk0eCsxYXBpYzFVQ1VGaFU3WjU3U2NxNlNqZHV0d05SL01jbGd2WWRiL0ZWay9FMHc1R3ZEYnRFb1ZkV2xxYStmMWcwNjF5WlNUbEpLYlEvUUU2bmkrL1RteldJZWF3U3IwSUFqQzc2UktPaThKRTJSOWFQVVlNSFlYc0tVVEJJSlVGaFFLZ0dFUTRTTTMyOHBYaURmQzhub2xSUjJFZzVFVFVvRElRWUtlcTcyblo4NHUyQXVib25POVZjVVAyWGU4TVd6TWN0WEpSaER2KzRVNDRBWitKb2ZGNVJWKzBSbVZnWmFyNERZaHdzOUkwTW56c1FicjgxTEdIc1FXemd2ZGtlVTdaWFFrOUI3VmIvSFFXcGNRZDJYTWovdTlLeTYrMXdtZHl5aGxNWFNQME0vS0ZnTjBPQnN2dzRXU2QyR1QwMkRkblpOaC9wbkZ2WGZ4L21ZNEZJSTZzNDNEN2dIaXNWeXlqOTRWVTdRYmsxUHZJME15bVp2Q2EraVBCK3BWS3ZGTi9TVERwK2F6d3lyWEpPTk1ZWHBFdW41ZFhLUUJVWkVGN2g3cUtrU0ZoWjlGUDRONVdTeCttTjFIOUJobUNyZ3Y1c3REMGVtSlpacU14MHV6SHVXa0sya3BvQzBRR1pRS2pWOXRkbWVLWXFIWHBhemZoTTZPd1dwTmxzTHBudTJyZzlrUlpOM1FidDFYYkNuWkJ2RGN3dllXZHFFT0phMXFvSEgrbi8yZ2s2cURZd3c3U2xsNjNTemV6ci9rUU5CZGxaUG1sU2ZZaXA3WXlScjg2Z3paTTFpRFVmM0Q5TlVOWk9kTGhIYndQdVI4WmN4bXlhb0V4MGZEOVFLcGtqejdSMndxNUFTamZXa0JUdEF1am4rcmpKV1BwenI1NWZ1QXMxZG43L1dDd2xHOGE3QTI4RFk5eDZDaC9NdEJMYW9pdFhFWDRScm4wVUVKUHNTa3BjK3NyRjRIaHlkQjdSMlNwdmRyOSsvcjI2MEV6ejR6dHBDeTM1WHJjdXRzdDk3QzJER25DTTBKVGFrK3l0NTFHb00rTHAwUHQxd3cvcVhwNVgzRHp5OXRQN3hCczhENS9TUnlYNTcvNzZkaUpveFpHSCtkOGpIU3JhdzZyKzY5ZmN3SUF4OGNOcmVGQmtrUFJuMG9KTndOMW82aXIxM1lXdk5rVDhhMm84bGg5Z0V4VUVMczd6eUJXelUwNmdPYU83QVMwWkxaWTFoQTZFQ3ovU2JHYTRqaEJXMW1nMU43Nk1DZTVUZGlEWGNNMWlvNjJoUWdrOVQrUUNUMkdOZmJ3QmRnL3ZvVkUzM1FwU2RtSlgrUmhJOEJOSXdXZUkxeU5hUXlWVlV2UTdySHdmYzVRSStDMXNBZnhGMndhdTV0WE9ScDQ4YU1WbWZoWHB6Njc5NWRFUm44WElFVVZSVWJBZlpjTzJMeHJFTlI4YjZYUHVkcW9uVkNaQnJvWThvdHVCeG5ScVBBQ3IyME1lekhBdG56MThoVUZSZzlYbFgvRnJwMkxILzBMcXdoc2grUENYQVQycUIraVJOVS9kZVZmMUU1UXFKbHRCdmZ5cEZVQnJOOWxvcnFHT0VpQVZ6WC83akpPSEFIUVpUeDZpZEtmdWh5eGxDNWVST2wrOTZUWVF1V3Vvdi9JTkxLU2JVdTBUNG1WMHd3OGlIU3E1cXUrRXJJWitYSU13T3pKMkdBcnJCYWduZUs4NTlRdU02STBjWVFQWFJMWCtaamROSjk2SVNUUnUzd2tZVWZmOEZGWlg1b3NLT3Rkd2dMMzk5dVphcWNQTHErOE1hcDczbk12SE9YRFdmcXU0bjMwakFXVjk0VUJJU1h2NHpYTTNTb0xRZmx0a3A4dnozY3NaZlZ3ZGRUdXNSN2trSFdVM1FreDRSYUkyZytmQjRpc2NKeUtoZmZUK2dnWnhGczlvU0pRd2pZaUI4YW5PWlJJanhLRzNzMXpiSWQ3REIwNHZXZmVtS0RlN3Z5dnVtdWYzdnkwdWFjazhkRWIrdEpIeFQ2V2l4OUd5WW5tbjhnZGFQNDlEN0NyVEYrdjNJTWQxT3p3MGlCV3EvUmNxYU1POGRWUUxiY2ZpMnFndnc4dXA2NFNxVktDMGg5WGNxaklMVThSQ0VhaU1UV0JNRG0wN2hJR24rVk42STI0enRKMHF0eUhxMGZ1VWhWQ3d0NU9aM2cvY0hLS1Q4QkJxZGI3U1Y3VmR6ZUlhVXBoaTNLOFRIY2hIOXU5LzQrbTRsdGtwZWlHZWVLeFJHNmlwUHVucVFqRmVqL0wrTzNLc1ZGQjhiZ1oyZjgxZEIvZFpZYTlSOTdQOTZsUTR3S200dS9GYUk2RHNKUlR6OUtuWVZHVndXZ0lZb0tVWjAvbHVwMGJhOXh5N1F6a0VVU241U1RiZTJobkhJZWRSYmFxZ3BqUFQwRkNpV0NMenRsQmZwNTR1SVFtUis5UmxZZDBEOTl5YlVSbGk2QzVZTVlHblczVUN5TTVFZUxEVTY1Ylg3ampLR1NlZi9jeG1oV25aeFlLNmNEWit6cVJCdmtubXorRFVldTV6RGltNHV5SzRNTm8zdE9xNjJTeVc1UG5TM3prbzRsVGZ5K0VQVDE0R2ZucHhQbnlZN2JHOHF5VGZNVnptWCthWVZCT2E0ZlpOQnNRckh1UEhDR0licmZyaDVkRTVoSG1rbURpK2NFQmR6VXZRSU15cE9BQXJkd0Y3Y1dvVzJTMU50NWYzR0NjM0JGZDIwRnlCUm41WmZBOEdCZlplVmRtQTFwM1JHd0hoTmE3MW03bkZ0bWM1cXQxQ2xiY2JPNHNUWlpFZVVkTGJoWjdnU2Fhdm52MzRnTU9FdG9wVXB0NVNwNFVzKzFjVGgxNVQ5eW92UUtodXI1ajBGcVhuZzdNY0JSQVY2VnNoSWc0a1krcVRIdlkvc0s5S2lHSFBGSjBjMjd0eTB5Vjl1YUhZUmxmeDFzcGlIZ2NLY1pBcmJiTUt3NUNnZTh2QzlnSW9lYXBNU2M2QjE2UUhGb3MxaUF5ZkV6THNxc21qdEJjbG1ESVpjYjRNS2NYSmJTUnB2NHpPQlQ2Nk5kTk02N2Zxelo2bkdjZlJPVDBaVXV6WTlJQ3A0b1E2RzV1QU5sQ0ZxUm53SmhHayt4T0k1OU9SMU0xUTlRTXFTbDNPM1R3VzF3RDBSVUdwU2xlcWsvcjNkcHdrMzA1cVIxMEs0ZWpnaVNBZ3FMU2FVaXptNWFKaHV6SFZVZWk2aExXU2t0NHhSQ21OaHJ4VDY2azJrQzlBWnF0L1AxaWJVN2dxdmo0eTd0bFBJN2RqTWpPMnZyeGRHVFUyb0I4YXpCK3VuUjhwOU5meWxkRnFyNXY1UDlaMVAvMFF5dlpyU3d4bU9zbXNJd3FHUXYxRDg2TUpCMi9pQ3dVT1U4TFFrQ1BQR2pQYjhTQlR3VlEvb3UxV3hhdlROWWc0bzdINEVNZ29UZWtFUDhldVhxQ2g0a1FyT1F2akdvU0VtY05GUVNqcG9sendBS3J2aEplRGhFN1d1RkNNWldqNU5Wb0hJdmRPTFJ2QmJKcFpGTkoyalRTNk50cXFkajh0UWhwRzdUOHp0YUZTU2w1TFBhNHU1U1d3TG1zUTZ6UUlNbnE4VkhGb0VOYmJyOXdDajhLSTEvQm1FdEV3bVRtMlVzTEs0S0lvalRMMC9KNkdXTnBhc0p3SGxpcHFvTm03bE5JZVd3OWdJYjBkWHdQcEJyWUlxVHRyZktzcDFyMmZKa2dsOXpkOWY5LzNVZlNyYUQzdkZNODR2bnlibGxYb1VQY0JCK3Nmd0gzanRHeGdycHRuU1BXa3B5UW1BaHJFejhDek5rcFE3LzdXb20vKzhRZkx6WjRNV25lT2Y1MjZUbS9BU1JyTlNDbGNVOUJ0a3BHenZUSHBqWFlzeEd0VjNwaDJpRVpRaVZDMW1KNk9YSzBOVXBqVUtJdTF4aWZoanNvTE9QQ2JTSmNYcTBiK0RPcm5VY1B1VDFBdThkdDhXM09URjY1YUVkUHZCTVlmYm05NU9QVFZlNUkyOGRQVG9nK1RsYnlkZ2V2elY3czBaTldIbHErMERETmF2NHYvMG16eTBNSDhGYmM4ajIwTWpaZ2RwTDJvbW1VZmRBbCs5ejV3Nys2S0J3VnJrcmZXZW40K09sSDRQRHlNZENCMFpNdTN5R2RmbzF5cW9QM2FkMXVsWnJZN1VuOFFXZkRFRDdBUFBRU1g2YnNUbGppNXlIRHpJaTFXNVJLellVNzI3UUQzVWpBbTNLdHRrdFRxNVhiLzNNQ3FOYVJCVXF2ZUFvZUVqbnkzUjZaQVdIeUNCeTYrYjBoMUxYNGN2VTFkeHlPemJDa0JCR1hrQjNlTUhaUUlybFFzcUt1b2lVQ3JvQnc1TEMyUkNpTUFSaTdYR2tydjRtNEJvaHZaYi9IVmNWelRrWmFqT0wrU28rN3ZCdzhvRCtiMFBONXlkZVpGNFhxZjJRdkRsYUZCeWJYRGZzSHN5TnQyNjRiNHdTbTBzYWRCNTJzOWQ3TzMvUDF1aTh4Z2E5dU5rcHZGTHFTdERsUCtKZFNtQ3dYSGtKUDErMHF1bXA0dmZGcTk1WVZEeFpQOGZUa09kNWI4VjJ1UDZlU2FRVVAzSUtYQWFqRWY0elJUYmc4WXludGF1T2JBc2pMZ0k5LzMyU3Y1V1k1MWZObHE3VFphNHVyN1UydmZraUxQVDVLSzNmdXJjVGFxRzRJYXpuQlE1dWl6a3B5YWdCdEJKTjlXLzJycklNZkVrRHJ4TzNzRHRsN0VKZGZhMFhlS2xnTDJmTFcrcDd2b21YNWdkVXhvV2RBcHluRFF6WnQ1RVQ5eDNJS0NpTzMzV1BZUjYzb3FDa3h6b1dJK3RobmR0WWVnNkFOUmNySVVQWWJzaE0yZ3o5V1FvN2FFNkF3ZUNRVnV5VytBY2dXMnF4OC9mZFRhL0R0MUovdUltdVVyZEhOYThURnRCZHFTT0pzdjZ5TWJ6QmFMakQ1eS9teTMyVko2NzRNWlRaZjJuTGNNWTA0YkZDR3hzVVlHOEY4b0NiRmJnOGhwbmRyTUVOQXRHQUxEQU1GREt2NlIwTWUzaWxJY3pHMENJbnB6T1lIb2pnVnA0TmtYTm1SQ3kwTkF5SmprMk94dys2dVZkckVQTldsMjhFWTNvZUNFNVVnOTVvaGpGOHFyME9hdTlmbEE1N01SRHBmZUZsUVVtVi95MHlDYVZUNU5mVVpUa2NiTVBlUXpUd25BeUVTaFEvVGkxWmJRTWp5Sk9KbGZqL29GWHFNdTVzWGdHZkFTcUJYTWxTVWhIL1UwQTFocFRIZElyVzhOMUNzZ1drNURQSHJEYlBRT3FCbzBrazdudFdNbGV4enhOcFNCSDZHOWtrbWlsSjZYTE1xZTJnVFFmM1dpZWtyd3hsQmxEKzVRZS9NZkkxK2FGY2libUNYMHptM1lFeXdkVmR5UUcyczFMUGpuTng0U2NobG5jeE1VSmZOZW1ERFZLcXNjSDdQdk1YeGV2aFd5bDdnazlpS3hNMWVEeUk5a1prcWdWR3pQajB6WnRjdmlzZ0MrQmJ4TUt6Sm1uS1FUazZ0RmdyNVRhV2k1bnRtTU5QNTFhY0cyZ3lGSk1ZR0QrWkVGczIzWFFwS2ExaVM5czdwMno5THJSWjY1NzRHdkgvd2JITGtmZnBRWWRBb0VXNzFhUGpobTczMng0MHBjdFJuYjByZnJqM2ZKbTRmcWJhTkNhd1AzckhDb2VPanczLzUveHIrYlp1emZBRkJMQVFJVUF4UUFBQUFJQVBWMWcxc0Z3SFA1c3dFQUFQZ0RBQUFNQUFrQUFBQUFBQUFBQUFDMmdRQUFBQUJrYjJOMWJXVnVkQzU0Yld4VlZBVUFCdzdkTDJsUVN3RUNGQU1VQUFBQUNBRDFkWU5iWEpiMmtDcGxBQURWM3dvQUR3QUpBQUFBQUFBQUFBQUF0b0hkQVFBQWNHRm5aWE12Y0dGblpURXVlRzFzVlZRRkFBY08zUzlwVUVzQkFoUURGQUFBQUFnQTlYV0RXeVR3Mi9nNkFBQUFPZ0FBQUE0QUNRQUFBQUFBQUFBQUFMYUJOR2NBQUhKbGJITXZYM0psYkhNdWVHMXNWVlFGQUFjTzNTOXBVRXNCQWhRREZBQUFBQWdBOVhXRFd5VHcyL2c2QUFBQU9nQUFBQk1BQ1FBQUFBQUFBQUFBQUxhQm1tY0FBSEpsYkhNdmNHRm5aVEZmY21Wc2N5NTRiV3hWVkFVQUJ3N2RMMmxRU3dFQ0ZBTVVBQUFBQ0FEMWRZTmJHWDZqeTdZREFBQmpId0FBQ1FBSkFBQUFBQUFBQUFBQXRvRUZhQUFBZEdobGJXVXVlRzFzVlZRRkFBY08zUzlwVUVzQkFoUURGQUFBQUFnQTlYV0RXOXZvRlRVb0lnQUFTeVFBQUE0QUNRQUFBQUFBQUFBQUFMYUI0bXNBQUhSb2RXMWlibUZwYkM1cWNHVm5WVlFGQUFjTzNTOXBVRXNGQmdBQUFBQUdBQVlBblFFQUFEYU9BQUFBQUE9PSIsCgkiRmlsZU5hbWUiIDogIue7mOWbvjEoMTUpLmVkZHgiCn0K"/>
    </extobj>
    <extobj name="F360BE8B-6686-4F3D-AEAF-501FE73E4058-9">
      <extobjdata type="F360BE8B-6686-4F3D-AEAF-501FE73E4058" data="ewoJIkZpbGVDb250ZW50IiA6ICJVRXNEQkJRQUFBQUlBRU4yZzF0aU5sM0Jzd0VBQVBnREFBQU1BQUFBWkc5amRXMWxiblF1ZUcxc2haTmRiNXN3RklidkorMC9XTDRudGZsT0JLc3kwbmFWMHJVcS9iaTI4SUZZQWJzeXBtdFY3YjhQMHlscGFGQzVRT0o5WGw3YjV4d25weTlOalo1QnQwTEpGTk1ad1Foa29iaVFWWW83VXpveFB2M3gvVnV5VWtYWGdEVG9ZZWQxWjJRMngrZzZUL0dqa0JqMWxvdE84QlMveFpFL3B3VU5uSWlENS9qTTg1MDREZ3Nuam9CN05KNkhVVmoreFgwczZoOGJuU2xaaXVxL01JaTVxanZUcjRNZVVod1FpazlHOElxMVc4dklJYmwvNHN6QURhdmdOMnZBR3M2WDYveHM5UHRHL2JuUWdsdDhkM3QvaE41Mk5laHBiSThKdFpBd2JiRmIrS21CYlk5YnJuVzE3SXhhczFmVm1lT1dwdm5hc1ZiRk5uc3YwbWQ4V1VtbFlRVmxKazF1WHV1cGN1eDg1MHFhQ2M5WkRZWFJvbUIxcGxYYjd1TDI1VTlPeG4xTWN0T1BrcWpiZzlxOGEraUdtVTAvUS82b2NnZlUveEEreWtxV2hSSFBRNk12SlllWDBWNnMzbHB0UHpqSjZrbU1sTHpRQVBKUmNMTVp5TndsWS9nTFJMVVppa0pKL0hHQm1wbFM2Y1lTRHUxMlQ3Sys2UWI0cW45WjZCSTNjRWprdUNHaTdpS2dDOThiZWRVd2FFdmVDQ2xhbzYyd2QxejFON0VVb3pqcU9zUkQxRjhFWkVIQ1QrYUp2S0ZCd3gzdVAvNEJVRXNEQkJRQUFBQUlBRU4yZzF0eEJYVkpHa0lBQUZOMkJnQVBBQUFBY0dGblpYTXZjR0ZuWlRFdWVHMXM3WDFia3h6SGVlWDdSdXgvNklCZlFKRW9WR2JXTlFTc1l6QVlYQndBT0FzTVJjeStEWUVtT09aZ2VqeG8wT0krMmJLc3RkYXlseXRUWE12eVdpdFJ0clIyTUN4WjRvcUNMZW5ITEFjQW4vWXZiRlZXVlZaVlYxWmxabDI2cTJjT0ZXRmp1dkphbHkvUGQ4NlhYMTc2M2E4K1BwaThOejErc2o4N3ZIeU9XUGE1eWZUd3dlemgvdUdqeStmZTJMbDJJVGozdS8vaDMvKzdTOXQ3ajZhVG0xZWpJblpVWk9mOW8rbmxjL0Z2NXlaMzloNUgvLzdpQjU5ZUlPY20vMmsyZXh5Vk9UZDU0M0IvZnZuYzQ4Zm5KdHZIMCsyOW8rbng1WE5SZ2FpcFNmUWZiMjc3ZUhiMEpQMkIvL2ptL3NQNU81T3ZSUFVKcFpaTHoxMHNYcjB4M1gvMHpweGZkZ1BmY3NwWDQvNUVmVXJzNnRXOFBnMzk4dVY0TkZlT3AzdnZObzlBRk11YjhrTm0rVFpaS0RjN25oL3Y3Zk1DMXpadTNkc3FYOTU0T3AvZDIvL1AwL2p5enQwM3RtbzZ1VFY5bTdkZzExemZtUjAxWGI0cjdsWk5nU3V6K1h6Mm1OK1Bjb2w3RDQ1bkJ3ZjNlZU9XYXp0ZTRNc0s3Q1lGbUVmZDh1WHJ4L3NQcjB3ZjdSL2VsNHhQWE55VlhIejkrTkhWL2VQcGczbjBNcGFIZnVuaTRodHo2ZGJlKzdPbjgyTDEzM3Y2K09qMjdPRlVNdXY0MHIzNSt3ZFRTYS84V3ZvOHZQS2xPMDhmdjNWcit0NzBRRkx0OGVQYmU3OC9PK1kzc0hwcC96QzV0UGdtUmxQOHl2VDQ2djZUdWF4aWRQWEdUSEYxNDhtVCtHS3c4SFVjM1h1d2wwelB0UmN2UlovZ2c2ak45SzdhVnFWQTFLTzRjM2JocHBmdWNkei90ZjNwd2NPNDlNSGUrNU43Nzh6K2NQdWQyWHlXdmVhVE8vekZGbi95aTl1ekozR2pFLzV0UlRja210VWsrWUNpMjIybmhXN3RIMDZ6Z2p2VHI4NmplelRmanlhVU5iVndHL2d3ZVAvcEo1U1lwc3dZbmZ6NHIwNCsrSXZrcnpjdW40di8zN25KdFlPOVIwbjcrL09EcWFSaDN2aFg5ZzZlOHRzUW1iREw1Kzd0M0MzZEtsN2sydXh3UHJtMjkzai80UDNMNTI3dlJ4L0RrMW4wcWU3dVJiTTZOMGx1UVBUWUo1dXpnMWxrOVg3SDRmK1ZiL25GYkJKYUU2TmlZai82eGNzZmZDZ214bWV5MWpQenhQcnhKei81NG4vOFJNenM2dlJvNzNqK2VIbzRYOFBwcFc5L1BEOC9tOS9XNDczOUF6Rzk5SzkxbmxrZzNzbGYvdjNudi83YkZ4OSsrdktmLzZlWTRKdlJWMzA0OWxjei95RzFhSXVHN29td2hOZjJEdzZ1elk0Zjc4MVQ3SE1ubnA2NGZPWDZ0ZVBaNDUxM3BvOFhGcDlMMjhmN2gvTjcwL25UbzhtMS9XakJ2ZmZPZERvWE56S0ZTM1p1SG1Qb0lzeGpERlFLU0NwR0JMZjNqcVBGTTVrclgrS0xQMFNRb1BobnNzSVhmaEdqaXV4NkJQbUs5NGIva2o3UmwzL3lyZWZmL1dkaFUyOGV2cmYvWlArdC9QRk5iczBldkp0OXhYeUMyUjhiMGRMOVhsN3V5dDZEZHg4ZHo1NGVQc3dLM0R2Y081S2hubUwzSnovN1dnd2xVOE5YMTN1MnhNaTZULzRxOXA2V2xuVFBGN244Wmx4S0htTGNPY3VOMHgvOXpZc1BmMUphaEhneC9yTHh4WmlWcDhPdmJyMzlkZ1JsNHN2TWsxeU9semwrVVhKdGMzWjRHTlZOR25lZHdtRDU1ZXl2MjdmejBUcnhDN0czZi9oVy9KM2EyY2kvc2ovZk85aWZ2OTh3ZHNkdkhMdGpONHhkZXZIZU94SGNYN2g2NldJNjF1enZwRkR5TGZGL3A2OWJoS1VuL0lHSVZTK3lDQkh1ZXpCOThpU2IxUE5QLy9qRlQvNjhQS1hqdmNNbmIwY2Y2S0xkRUloK0Fjenppem1PZHlSWE53NGZ5ZkFpdjNaOU80VzN4UGZsVnptK3BRc21LSG5YWncreTJqUjZ4ZTV5bUgxdWNuc1J0QllLSjQyUlVtSEppSzhkN0I5SlFMZTRKc1BjRjJXMzdoSUh2VmYzNW51VjhleS9kZk1odjJPU0xpSWJXSE05K3Nva0xWN2EzSjVGbisrVHhZYVNuOU9udlQwbndoUWw3NHU5dUlEd1NqVVQ1OWMwNzkvRnBHUEZjS2l3VGNyaEtKOXZQanJKSTlNYkRrdUd3elNHRTMwRDhYQ0ljakI5M1NvbkdadlQ3NjF5aXRQUUdsdjJVMm5KdTczLzVNRmkxZGZmK3YzSTdzV0RsVGpHRnhkcVhOcDZieXA1ZS9tdlY0OHo5M3h5cmZyTlZTb205akJGR1AveDZmNkRkMi92UFhrM3ZpdVVoRzRGTUZYZ3lMM1p3ZjVENmMwVmR2NTMzazcvazl5d3ZMM3E5MzQ0bFY0UlY5K2N5cG1HVXFITlBYNDNJamc0bHhlNkc2L1QrNGVQT0tsaXVXNW9lL1d0YmUvTjU5UGp3OVFxU0l0eGptSGorSGoyaDd5VW5XSEVxdG5peGJjT0grb1g1dmNrdW1PcWU4OExGKzkvdExvRlR2eWhpZ1U0K2lhanp0N1pleGkxRThZcitQVHRHTHdTMTMxUU0vK0xXZStWaDFqN3FDNGxxM245WTR3SEVNMDlaZ0RraHFpbWdVc1hDNjl0YVRtTzhFSGx1K0Nnb2VTbjcwVC8ydnJxZkhyNE1PdGFOcnE2dFYwVUtLN3hLdnZHSzVUVy9TWlRJbW8wWUFGUjVycjJxbDZxb21kd1JaVUY5QkFabC9pK1dqdkU0cmZoUzNFVGlzcWl4MExsNUpZMDE5NzU2anh4QnBzOE5WNVNDaXJ5ZHFJK3J4eEVLSDd5bFkyRC9VZVJiN0labWNQcGNVTDlKRzlUWXY1aW4yYnZyWHZ6V1lUYUErbmJ3UnNzZldOaC9MLzZTV3krczNlODl5RHFiWEx6Zm1LZUZVNGx5WjFLVmR2YlVkT1BqdmVPM3NuYXZuY1VmNVNwaDVmT05WNFREeDllMno5K011ZGxvajlpeHk3Nzk5M0U5ZU9WOXg1TXIweWp1empOLzk1NGV4NWo0NGJYTVBIM25reVNScDNVVFV3VzRmZytPcGxqV0dmZnhET3F1Y2F2SHgxTnRwTTVidDZ2K1hCTDVlZEhXY0huLy9VN3p6LzY3cVdMODZPbTlpOGUxVjJPWGk3NTJKSUwvTVdxR0xDRktza1BwUVg0K25UMmVEby8zcDlXN0ZaNjVYMVpsM2RtZkNHb1I1NTNPTFhaVUdEellQWmsrckJoK2J3emk3bVh4aTVpdDdhaGhkdXo5Nlk3czdyYnFZc01lV0VkL01VTFhxenRsQytmZlE2bjVyWmNyTzFIWndRTkg5anFPdFc2OFoxRzBQOTdJTzMwMGtYSlJ5Vit6TC9CRkdBb1NRTzZYcVFCOWFxckxFZ0RrQVlnRFVBYWdEUVFoVUFhZ0RRQWFTQ3RBdElBcE1HWklnMCsvZXo1ejM4QTBpQXRBTktnNjNCQUd2UTNnalVsRGRoNmtRYk1aZktySUExQUdvQTBBR2tBMGdDa0FVaUQ3RWVRQnBVcUlBMUFHcHdsMHVERnh6OTUvdWszUUJxa0JVQWFkQjBPU0lQK1JyQ21wSUd6WHFTQnc2cmdEcVFCU0FPUUJpQU5RQnFJUWlBTlFCcUFOSkJXQVdrQTB1QXNrUWJQLzgrL25IenJJNUFHYVFHUUJsMkhBOUtndnhHc0tXbmdyaGRwNEVvV0VaQUdJQTFBR29BMEFHa2dDb0UwQUdrQTBrQmFCYVFCU0lPelJCcTgvUHJQbm4vMk1VaUR0QUJJZzY3REFXblEzd2pXbERUdzFvczA4R3hKVFpBR0lBMUFHb0EwQUdtUUZRSnBBTklBcElHMENrZ0RrQVpuaVRSNDhmT1BFR21RRndCcDBIVTRJQTM2RzhHYWtnYittcEVHQVJJaGlpNUFHaXdNQjZRQlNBT1FCaUFOUUJxQU5LaXJBdElBcE1GWklnMWVmdjFuTDcvNUx5QU4wZ0lnRGJvT0I2UkJmeU5ZVTlJZ1dDL1N3UGNDK1ZXUUJpQU5RQnFBTkFCcEFOSUFwRUgySTBpRFNoV1FCaUFOemhScDhPM1BUdjdiZndkcGtCWUFhZEIxT0NBTitodkJtcElHNFVDa2djeTU3NEUwQ053dU9RMllBOUxnTkpNR3l1ZWJqMjRacEVIMERZeVdOREM0VlNBTlFCcUFOQUJwa0JVb3J2RmpJQTIwVEptbzBwNDBpUHNCYVFEU29EeUlzWk1HTDc3MnljbTNQbnJ4QVE1UXlBcU1nemZRTlo1TDRnMk1oZ1Blb0w4UjlQOGVETVViYk00T0R5TllFamVmZW9pRVN0aURVckVFZUJSL0t2bWpzME81UjhyaFpNTFV4K2M3Umd2bjlwMmQrK2NqZ3grdFhOYXQxemVqUDgvenNVVVl6OXJldUZ2Nk8zVStyUHZzdGNwdnUreVZWMTZwUWk3ZW9lQVEwZzUzQit3d1FzREovRmlvbUI5ZDZJN20zWkhYS3IvdGtycnVOR2ZYdGJ2STk1TThWUTNHaUNXYVRIeGpMaVRQdjRsQnNyUEN1MG5oM1VaQ0tTNTcvWTJOdTFmUDI1S2JrOHRQS1VvN24vVC9hanlXVjZRZ3JjdzU1WFYyNHpxN05YVUtXSklFQmt5VWJVQkU1VE85dG5IcjNwWmt0Z1ZtU2wyWVQycG43MUZlWHJ6Zzkva2psYjVxc2dwVVZxR0dEb3NkLzFLeEduYzlETld1K3AxWlpIU3FkM2RKZm5aSDk3bDZWR3gyaS9QQ2pxSndlL2M1Z2Q4bDl6bG00YUpQbXk5QmlmTnMyMDBMODlnOTU2NFl0QlpCYW1QUWVvZzVQQVp0QzdrNklVM0pVVVo2dlhiQ05mem5GSWZNamlQUU1uczZqOTdnQS82UHlDKy8rOFpXQkdvZUhVYmUzKzg5ZlJ6NWJkd2lScC9XL1AyRGFkSG9tZ0VrMmVIVVBRT2trTFFIRUV5eW9uY0hTTDEwbUFFa1JuM0YvTmhDZDB5Q1dGaC9BS2xyZCtzTWtKZ2RBaUNWQ3RjQ0pDbmV5VjQxV1FVR2dBU0FWTGdBZ0FTQVpOYnJPZ0lrMlVHYy9RSWs1cXNZbG9ZVm5VbFc5TzRBcVpjT000RGtFRnN4UDJlaE8wZUNXSnorQUZMWDd0b0RKTEo2Z0JRNk1RcFpEa1J5NDY3V0dpUkpNVS8ydXNrcU9BQkpBRW1GQ3dCSlp4VWs5YXBSamh3a3lRNGU2eGNrT1I1dER5S1laRlh2RHBKNjZWQ0FwRkFsSTdvTDNia1MxT0wyQjVLNmRyZk9JTW54ZllBa2ZaQWt4VHpaNnlhcjRBSWtBU1FWTGdBa0FTU1o5YnFPSUVsMjBFcS9JTWwxM1BZZ2drbFc5ZTRncVpjT001RGsrcDVpZnQ1Q2Q1NEV0WGo5Z2FTdTNhMHpTSEk5R3lCSkh5UkpNVS8ydXNrcWVBQkpBRW1GQ3dCSkFFbG12YTRqU0pJbGx1OFhKSGswYUE4aW1HUlY3dzZTZXVrd0EwbWVxNUlUL1lYdWZBbHE4ZnNEU1YyN1cyZVE1RGtNSUVrZkpFa3hUL2E2eVNyNEFFa0FTWVVMQUVrQVNXYTlyaU5Ja2lYUzdSY2srVVFWdE4yd3FqUEpxdDRkSlBYU1lRYVNmRWNsSndZTDNRVVMxQkwwQjVLNmRyZk9JTW1uSGtDU1BraVNZcDdzZFpOVkNBQ1NBSklLRndDU0FKTE1lbDFIa0NSTEhOZ3pTQXFkOWlDQ1NWYjE3aUNwbHc0emtCUlFsWndZTG5RWFNsQkwyQjlJNnRyZE9vT2tJSm9aUUpJMlNKSmludXgxU3l1UVlvVVFJQWtncVhBQklBa2d5YXpYMFlNay91OFVIbEY3RVI2MXpLTk1KTjlYSDRtVW1WTnpsVDhERm5xVzdFem53aUxtMmdaTDJDaHlLU05mOHVKd2xNOHdIOTB5OGlYenRJMWpUWmhzY0srUU1Ca0prNUV3ZWN5NGIwVUprM1VNSEs4eGNNWmtMVnNtcXJUUG1PemF5SmpNRzBURzVNSWdScDh4K1IvKzllU1REejUvOXFQbmYvRkRKRTFPQzR3amFiSzJBVjFTMW1TejhTQnRjbjhqR09CTldGN2U1SGhwRzFnOENaUmhxZzFzdnlOaCt4MlZlT0s1N2VVRi9RNUYzdVJRa2ZXRzJ1WHVvcjhyYWtiaE40VjRraElpalJQczNHTnIvZVNDNjRVbUNncGhKSnROMzd1Vy9EYjVieGl6clpDNkxhU1VDelJ3ak1RVXo0MTdvaU9VVktRS1NmWVNTaVNWNkZXQ3BBSkpKYjh3RHRjYWtrb2JOTllKaGFvNnBkV3pHSk5lT3lHd0MyN29qN1ZqVXFNeWRlN1phM0N1Mi9ROFd2MnFjckxIeVBRcjE1Y2NNQXI5Q3ZwVnplaWdYMEcvZ240Ri9RcjZWV1YwMEs5S1ZhQmZWUWNHL2Fvd2lMSHJWODkvK2N1VEQvNE15bFZhQU1wVjkvRkF1ZXB2Qk91dFhBMS9vQlZMbFoyTk4zWmV2N0oxL2VhZFdGSEpXUFBYRWk2OFVZbUtuUDgyRFlnc2VHa0NtN2o2MXAycjJwVXJmZXRVYmkzNUVCYXNmTStNNDVxZkJwWGRJRE9aSjVhMzFubS9qRnlyeWQ0Y1dRVWNsd2x4cDNoaEhING54SjAyZ0tVYlVHTnlFVVhkN2VnRkIrRk5aT0JDZGhqVTNXZ0FlL0hTbEVHTC9BZkRGWk0yS2hHc3RSTGhWTDI4WW1oRFZhc3FyV3dtTWtTYzQzaFpNa1R2Mm9GeXByem9idm9zK2lLZ2RkYkYrSUNOMDcwd0RzREt5dS9IbUJhclZaR2sxSmdrVmJ6dm9vWVJTYXIxdllrcWV2WkZWRm13WUsxSlV1S0JKQVZKdWdLUzlNVVAvdW1MUC8zc2krLzg4Zi85b3o5KzhjT2Z4Ly8rOXY4Q1o1b1dHQWRudWhxOHJXdStoK01vellhZ3NYZ016Sm11ZmdTRHVFQm14T2dTem1qekpWQzRRSHZLZHZTTDg4OWNSUzRseXF6clc2L2Z2blh6emxiOG8yMDVIdk45VlV5OElpQmVxODMyVWUvRXQ4SXc5RTE0VU5jYmhBajFtRGtSNmdWdDR0MkRlTXFCYnhLN0ZxeU9ENjBoTjNIVVBjak40b1Z4K0lzZ041Y090aTZRWHNuTi9ycDFtNkxEUmsycWxxSzRLMmVpalN5S095RFYrNHdvYmtSeDE0ME9VZHlJNGtZVU42SzRFY1ZkR1IyaXVFdFZFTVZkSFJnRWlzSWdSaTlRL01rblNFRlVLakFPVVFLQjNKVWhJSkI3RFFPNVIzQVNLS1VMQ1hObzlUaUZ3bS9LOHh2VWdrUXZIWXBEcmp6RmNlbDA0ZUJSS2ptL25Hb2ZsNjZlWGRmdTFqb1kzVXVGSUFTalo0VnJnOUdsc2VYWnV5YXJnTFBTb2RjVUw0ekRmWVplMHdaMElSaGRHeUlOZnc1bzBBVkNNTW1hM2gwaTlkS2gyRXZuK29yNUxTU0ZwS0drdTFDanU5MkZLSmVhMlhYdHJuMndDck9OVWpTNndSQWd5U2VrUlhwR3AxMXFSdUthcFdhazRRaXhrdW1SNlJRSFhRRXJGUzhBSzUxUnJGU1QvRkRkYXlkU1N0bXJPMHhPeG5oNTY3UGpNVUhEVWtoTjVkelRrWVhVdUxaa3cyRytsTHVTellxSXA4bC9SandONG1ua28wTThEZUpwRUU4elpwQ0xlQnJFMHlDZUJ2RTBoZko1UE0zTHIvL3MrVTgvUkRCTldnREJOTjNIZzJDYS9rYXdSc0UwUlRxQXlVN3l1dmYwcmNuMjhlekI5TW1UREhPY2ZQSkJLNWJBYjA4U1hBZ2J6LzhPbW1nQ04yaW1DWmdScno4R21xQ0dJa2k2TUtjUVpvZno0OWxCbFVOSWZzK0VRY0VoMUR2SGN0eWovNVpmZmY4d2F5akdWZG5BckUxaVZmV2xySVpvZmFGR1ZXTktSbnBsK3M3ZWUvdXpwOGVKZXhwanNKdDNkbXBHWGlwTW1ndHY3aDFlUDNqYXRFNXRQSjJMZGFhbXlOWDlKM3R2SGRTeHpGeXhpMmRZZHN5ckQvRFU4MExLanpZZjNUSjRJWC9FdEpEQnJlcUpGcnJ6OVBGYjArUEt5NWY4M0dRK0ZyN2hocEdtaFc5djNEOS8rK2FkODN5TnVlaThsdlpzM1NldnZDWVJqM245alliWCtVcmRDMU1aZS9iVDJ2Rmhic1dDbjBJdURCUVhLSzZGQWdLR09za0h4UCsra0JtTVhmS2xCc0pvWUxKTHkwS0xLdTNKTGdxeUsya1FaRmRoRUozSkxwQkdOUVUwU0NNTjRNZ0xMNGt6TWhvT0tLUCtSdEQvZTZEUEdQRUx5d3FkV3VYSGxqb04rWnEvOHUvTmRFVGRJOUw1aGJQd3NGMVhDdk5XL3NqYmpXdlpTU0ZMdkxBc0hlUTY4TUpPNDdtNjRJVkZOK0NGd1F1REZ3WXYzUElqQlM5Y25EaDRZZkRDNElVTFRZTVh6bXVBRjU2QUZ3WXZERjRZdkxEWkNNQUxneGNlNm1NREw1eGVPQXNQRzd4d2I3eHdKU1AvbXZEQ3JsZkZYdUNGd1F0TFJ3cGVHTHd3ZUdINTZNQUxneGNHTHd4ZUdMeHd1UzU0WWZEQzRJWEJDMWNLZ0JmVzVTcDBSd0JlR0x6d1VCOGJlT0gwd2xsNDJPQ0ZlK09GWmNleHJBTXY3SGsxVjhFTGd4ZGVIQ2w0WWZEQzRJWGxvd012REY0WXZEQjRZZkRDNWJyZ2hjRUxneGNHTDF3cEFGNVlsNnZRSFFGNFlmRENRMzFzNElYVEMyZmhZWU1YN3Zld2JqYjhTWlR4c1VHdFQycDBKRWNuT29xVEtCM2ZiWDlXbzM2SDJVbVVjYjdqeHZreFV1NHUrcnR5TkdUaE44VkpsSzRUTnMrdWMzZnRUNklrVkJ6QXJYTVNwZThNY1JLbDQ1Z2YxKzBTMnVZY1NzL2tUS3RZaUJuZElaVFNNeVd6OXkydFFBb1ZvaGNIaDFBYU0wODRoTExjSmc2aExCWll6ME1vbGQ1VkU0blovalRJZUlrWmFjZCtIWkV5K21Nb0piaXdjaGdsY0tFaExvenpuVFhqUW5jQnFMa1NvT2IyaHd1N2R0Y2VGMUtqQThvSGdvVWhiWEZBZVV0Z1NNek9KejhkME5BRk5BUTBMRndBTkFRMGxIWTZFRUtqcW5QQ1Y5WHZhUUtHc2M0T1lOZ0pHTVlKRDVxQm9iZUExRHdKVXZQNkE0WmR1MnNOREQyNmVsem9zbUJKcUpDUk13Y0pQVUJDUU1MQ0JVQkNRRUpwcDhOQU02OGhnbTZWM1o0cVFDZzdweGFBMEFRUXhqdWRtZ0dodjREUWZBbEM4L3NEaEYyN2F3MElpY3RHZ0FnRHRqU20wUGZPSUZIb0F4VUNGUll1QUJVQ0ZVbzdIUWFleFl2TU9QdGRYMXhZM0hFZVIxdVdFZUhsYzYyMmxoT0pQZEhkVzk2MHM1eDZUUXU1RjBqYUxTelpya25RMXloMmxyZllQWDdLTnhvcm4yRSt1bVZzTk9ZYmc4YTYwOWpnWHZXMDAzZ2ROdHhTajVMUVBRT2JidS9Pbmg0KzNEL2tLTjYzWERlMGF4Wkg3TTVkQTVDN290MjVPZ2FPMXhoNFQ2NldMUk5WMnUvSmRiRW5OMmtRZTNJTGcraThKMWM4bzVwci9QclIwV1E3bWVQbS9ab3Z0MVIrZnBRVmZQN0xYNTU4OEdlWExzNlBtdHEvZUZSM3ViSXh1SHpoTE84bGJ1K1lhNXZPWlcxdU5Cb1BkaFAzTjRJQjNvVGxiVFNNMGRYQU1sR25qWGhFc2pPT0tHUWlqM1RZaXFmZllTWVR4YlJGNC93Y1d1NHUrbHQwUjErci9MWkxHMlVpenlQTnMrdmNYWmVOaGthUlF3NGRRaWRpMUROV2lidzBUNDNwUmtPVDBDRWp6bWxKSXBGODMyRDJ2a2txUkM4T1JDS0lSUG1GY2ZqUEVJbmFBSzlCUlNJYURBRzIrQkl6MG80bHdrZER4Mk9TaVNTNDBCa2NGM2JhaUVja08rTzY0OEplT2dRdVRDOFVOaG9Tby9paGdYQ2hUMXJFRDdWRWhzUTJpeUFhSlRpVTdoek1YanFBdzJJaGdFT0F3OHA5QmppczYzUWdqQmF2TXlQdCtGU0JRM2Y0MlBJdW0vR0laSGRjZDNEWVM0Y0FoK21GSEJ3eTIxazlPSFNJZVhheXR0RFFwZXNPREtYN0I3TVhEc0N3V0FqQUVNQ3djcDhCRE9zNkhRaWZ4V3ZNU0RzK1ZjRFFHeHdZZHRxVVJ5Uzc1TG9EdzE0NkJEQk1MeFNBWWVpT0FCaDZiZktUdFlXR29iLytyS0YwRzJIMjBnRWNGZ3NCSEFJY1Z1NHp3R0ZkcDBOaHRMQWhoSHUxSGE4dk9DenRQS3ljZFR1eW5ZY09xVzRld2M3RDB0dUNuWWYxcGc4N0QrdEdoNTJIMkhtSW5ZZGpocm5ZZVlpZGg5aDVpSjJIaGZMNXpzTVhQL3o1eVkrKy91S0RiMkR6WVZvQW13Kzdqd2ViRC9zYndYcHZQaHorbEVOR09zZ3BUS0p2eUhNNEZ1U2lnTFlYVlBRN0ZLY2NlcDVpZmd2cWxDTlJweHdkZFVwemRsMjdheTBYdWNSRUxMS0gwSXFZWTdmUmlvSTJHU3FwYTZRVTJlTVRpdVM2VC9hNnlTb2dRU1dFb3VLRmNYalFFSXJhNEs1dXh6cXY1QVJuL3ZNeVpaUEtZWDhqazAzaUlHM0lKbWxUa0UwZ20wQTJ5UnFDYkxKWUNMSUpaQlBJSnBCTklKdWNmdG5rSC83MTVKTVBQbi8ybytkLzhVTW9KMmtCS0NmZHh3UGxwTDhSckxWeTRnNS8zS3VUS2dzYmIreThmbVhyK3MwN01hbWZjYm12SlF5dGxoSmkySUE0ampYZGR4TlgzN3B6VmJ0eXBXK2R5dTFWQjZQRU5vT29EazdZYW9kS085WEJMS3ZOR0ZVSDQrMHAwbk8wb0RvVWJqTlVCNmdPaFJaT3JlcWd5dkZ5S2xRSHQzSnc2TWhVQjErU2lCR3FRK2x0Z2VwUS8wbENkYWdiSFZRSHFBNVFIY1lNK3FBNlFIV0E2Z0RWb1ZDK2NFelVwMy8xNHQvK04vU0d0QUQwaHU3amdkN1Ezd2pXVzIrb25CM2RmMkl2b3NqNDZvUUxXd3RDeWNhSnNNK2RHcjEwbU9rWm5rK2I1K2N1bkVybFNrNmxjblZPcGRLYlhlZnUxbGt6OFJ3WG1vbStaaUtWUUxMWFRWTEJsUjRyQmMya2NKdWhtVUF6S2JRQXpXU2gxOUZySnRlUFowK1BNbmhVT1VYejhybVRaOTkvL3RNUFRUVVRTUjZxZkNta2tvK2dEOGxFc3AybXVJQUZCcXNYTVZtK09pb211Z3NIOFJ5Mk5seXZ4ZUwvVnJjSWdjaGR4a3BVSzc3bXg2N1p3cys2OXdkUEkvd3V0TmhQUG43KzBhOU9mdjNEeWh2ZHlBMEtFK05iQVhWWlJvczZRV2pIcVBaMkxhTEl6Yy9DdDEzejhCV01ibTZVeW1hbHBuZGhwRWlHb2YzRzNndG1pMWtob1hFUW0xcitLaGd3VjRNdmJySmg0bnF0L0ZpN0N0UXB3TW5GVEFFbU5UTXZ5Y1NTUW5LdG1GK1I2OFdGUzJhYU1hK29CVG0wYnJaY0VwV05Ua3RDemtlbi80TGtJNjZESzlwajFOS1Y4ekVXdjFZOTVxam5lNm9sTlhlN3A4VFc0THJrdXJoRWYrYS9ieC9QNXBGQjNwOGQxbnp1NzI3dUhUeDQ4MGJjUFVlRDFhK2x0b2tLN3VBLzFtRVAzeWNWN01FcjZPTVBYcnk0VE5yOHYwVmZUWDdmYW1GSmNpZWFvSWtvb1FkUFJIRVZSQkVGMVRDRkZ6V0RLcnlLQ1Z6SmI0UW1aT0VWZW9ZdHZNMDY2Rks0V1Bza0ZSQ0dsMUhBbUtTYmhvYnE0QXkvSnRPbXhZVVcrblJTVjZGUjgwSlNhS015bHJ4bUJkdW85R3BlUzBPejV1V3VteU9SVWwxdGN5NXF5ZENQa1pCZGFDWHIzVXpMNWcxbzY5bThkS09tbmJUWHM2N05HelhRdHBQeXcrbmJ2UDB4YU54OElQM28zTFdhY1g2MWlveGw0UzIxcEYzeHFveTQ0OWRWT25KYXFKbkE0NFZVZW5MYVVqT1JseFZLeWJ5bWFJTW1RbytYTU1hSHZKWXU0dUtGNjdrL2ZybVIvK3M2eG9aN1V5L0VtZ3hMOFJtTVp4RGFUNnVYRVEzOFJ0VnI2REp1dDNSaGdkOHRVYlA4bDFwV3haV3dLdHlxVFhhTzkvZmk1VHlESmkrKzk0dVhQLzcyNTU5OU0vcS83VGtXUXEwZ2NOUGo3UlB0TlZ0N21jdGNsNzJhL2lwV1ZPWVJ4NmxodEFvb3BkZDJCWTRoVEw2Z3QrWnFiSXRTSms2NUpJUjRWSk8wOFN6SG9ZR0tjUzdVMnEyckJlcG1VT3JHNEpZUFJ1RG92eXo1dUpkTjRJaFBWcHZBR2VUT0d0STRiZTVzZGFhbmpNdWhkcnd1OXN6bDFPaEp5YmhCM29DOHljcWNmdkxHWi93QVVXNXlQRFA2UnQ5bWlzb3RXQnhLSXpDVjlrSE5hQnpaN0V6SW5NQnpmZGFSekJFVEFLV1RsZ2VsQTBwbmRKU09DV0xrdFl6UUY2L1JENit6UGdTSzBiM3BaVmpMZUlpOVVTbjhFa2NIUEFDdStrRkl1QlllL2hiaDZxTnFROU9EQ0lQRTRFRCtaU1ZWVXpqemxTejJydHhkcFhXajNRcmU4Tm1SL0M3Ui9Fd1NYdDk1dDBJL0hZcnNTNUtqU2NYZUFwLzVDOCtyN1JIZnhQZE45Z0s0N2lDYkFRTFdZak9BYjRlbFd0cUhmQWVCMlJuZmkwZUNqMkpMQUNMOEVlRmZ1akNPdUVwRStEY3hkSU5FK05lY2phM3V0ZE51U21XdmJvMmswZkhJN25qQjZyUGpNZTFvRU81ZEJxTXFtYUJpMlN3YVFFa3h5Mzh3Vy91SmJEZERIK21oN01EeWd1cnJVVmk1bmRDaXZ1VG9pcUlPTmRZMFVkcWJIcXBoaDZkc01SMWdwNEw4Zm94cGdWdFZCaGc2amd3d3lzK3lWS1Y5QmhnUEdXQ1NCcEVCcGpDSXNXZUFlZmxmZnY3RlAvMzFpNTkvOVB6VGI1eDg4dGNuWC92SmkxOS9nSVF3YVlGeEpJUlpDVWJYTnQvREFYYXpJUXlmam1YMUNXRjZ6WVBUUTlhWEN2eVg1WHhaRnZ4bmJlRS9JNDdsMkZYdXBCQlI3M3Y5d24vaUxRLys5NTdhVlF0UkpTOGs2eTgvS0R3WWVEREZWa2Jwd1NqZWQxRmphQTlHYVY5RWxiNDhHT0xCZzRFSHN3SVA1dVRmdnZiODc3NSs4cTJQNExXa0JlQzFySS9Yb3JGZ0RPd3pySDRFSy9kYUtxbVkxc0Zyb1hFSWdtU2ZUaUZKVTV4RzBHc09MUml0MXdMSUQ4Z1B5QS9JRDhnUHlKK1V6eUgvRjMvNkdjQitXZ0JnSDJBL0h3L0EvbVNpRFBWMkJnLzFacllFR3hjQ3M2bGt3M1lXUnMyb3EwaHE3MXJYdDE2L2Zldm1uYTM0Ujl2eUE0L1VobVluSFRxK0ltKzlWcHV0ZzdhcFVmcjJ2SFNmSWR1TXRBblo5cGpiS21TYkVLT0k3VXJ4cFVaczE1eGk2eUplRy9IYWhRdmo4QXdScjcxMG9FVjd6Y2plVzY4MUJkWWdiTHFZQ041emF4TEIvOEtRYUd6bUdZa2t2Rmt2T3NLcHVabzhBMXZTYm5FZE5PRVh3eEhTaTBnRXI3LzJJUkg4TWhiQXVwUmxjZWJPU3NxeXpmM2pCN21HY2ZLMzMyaWZvYXprNnFvenZ4ZTNKSGZOKzc1Z1JWVEp4TXAyUkoxQlRHbWtDaFcwREJVdmo3UmgvYVFOMDdyWmd5VU0wM28zOHNFdU8xZVlFZi9VODUwMFRCQm1lQ2RKLzJuQmpMS3d5eForWGdHWnUycUxJbk5YZnZGVVp1NXlDZTBwZDVlbTRlS1ZhbEJGMzltNnRBMlVxS1p0VlVXdEJkVFJLVGxYdUdacHVRZ054cFNaaXdxZkhUbTZrS09ycmxBalk4Y0xhZWJvMHNrNnBXdEtWTm00TnA4ZTYrVU5NN0o0aXV4Y3ZNeUdScGtyY1JuSHNtbVlwMGFrakNleFVodlF6YVN5NC9zaTRLVlFXVEdEcTRybmZiSDV4bW5mVjVQRnpYd040ZmVZdUpaTGFaYSswdmM5NGxDZDdxNW9QS0JOMHpsY2JmbEVlN3ZoTFY1a0l5aGhla1A0WFNiTUNuM2JxejRpblZlODdmTzlhakMzM201L243YU4xOWpvOHBWZk1YMjhteHB6dU5yeWlUYmQ0NTdQTHlqR09QZ1NMcEF2blE4eVphTndmTUdMWjc5OStkdS9lLzZYZngvOW8wSU8xb1U3SkxkYWhEd1FQNzByUVNOSGx3ZEJVTXQxYlR2THRFQWM0c1dEcnVmcnN2Z0lhZ1dSWCt0VTY5VXJyK2xwa0JZckQxRkdmOVVHZDJpZTRoQmF0aHNtOFFzM2RyZlBGeUllWGl2RU0xUTFlTjVNOFFUN1pzS1VzTUN5U2RJUDV4bS9SQUw3MVkyZGpUdjBmS0dmMXdyOTEvUXB2Si9RQ3BOYnFSVWhJZXJ5ZXh0WUlkV05rdUExQzI1UUdObTUwRk1GU3hScWFSMTV6OHV2a29HbGZsMm5SUXBXVnFxQmd6VWhzQUtQUkxZVEJOWnFDQ3pGdUZzVFdNeU8vMWNUNGNGVUVSNjh1YlBLWGZYR1hCVWlxbmEyN3UrOGVmUHF6bzN6S1EwamljSXJ0VktJY3ZNWDJybXhkZlA2alIzZGhzelpyVFpzazdEd0YwVDAzTTFyNTh1VTArVHk1WW45eXVRQ3NiKzhkZXZlMW1TQmtMb1FkZkpsZlZLc0l5Y21ocmsrdEJoemJDY0FMM1lLZURGK1FSZ2lFYzJ6UTVkdmlHaGZoa2paa0xFaDBnZDhwYnAxWm9nMm1pSGEzUXpSN21hSXdnekJESzNJRERGaGh0anl6UkRyeXd3cEd6TEhRMEh1cXZPNVhFaDc2Z01ic1VhanhMb2JKZTFSMWhzbEJxTUVvM1JhTk1OR3BjOUlNMnlXQTVldEdjYWZxdzY3ZnNHeC9EQndndW1GaHQzWC9aemhVK1E0dVJIU0dSNkxUNmxoWHZQd2xuWFFiNUVvRDVaTmxHY2tOTkhteWYxeURRVS9ya25FTDVjV0Q2eUF1V1J3V3R3aFZoaWt4K3owUkl1blVUcW1qSGpZbWcxM2lPODZZTVB6cnNHR2d3MHZWQUFibmw4REc1NDJCRFo4c1Q3WWNIbDVlSHhndzZ1dHJKSU4xd1Y4cGJwZ3c2dWxZWVlrUGNFTVRjQ0cxNWJMOFpDZmUraGd3MkdVWUpUQWhvTU4xMkhEZ3dYRHVSWnMrSGlPWWkrbHdnbHJVdUY4YUpwelc1SVd1N0MyU2xoR3JWUTREbXRLdDAzdDZqbXZ4UVVyVUdEODB1S2tZblNSQ21laGNhVENRU29ja1FySHR5V3EzcjAvZUxwM0xGTGhQUC9rNCtjZi9hcDlOcHdJTDFPWFpkdFhuQ0MwQTZxWkdhZjhiWGZOalZNMks2clVPQ1NMdS9OMWsrTXdLeVRVOHd3VktWVTJTMTRlR1hMNnlaQ2pkYk1IeTVDai80TGtJMTUybXB6aTE2cVhLNmZuZTJxWUs2Zk5QU1hGL2FuOUpNeUpNTnc4TXNqN3M4T2F6LzNkemIyREIyL2VpTHZuaVJHclgwdHRFMmJaZUh5L2VzNEhyOUJCdnJYNWY0dnFJZFRjdkFxUzg4amFINnVrVzI5VHpDaE1FMlBKYTFhd3pURDVlY3lNb3FpcmJjNUZMUm42NmFURHJwc0lPNlkwUGFBV1IwVXRqakU1VDlOUk5uclVvckhKMDBWY3ZIQS9UR083TWFwQ256b1BTNGVQSGNVZ3RKOVdMeU1hK0kxYVZxaDBpVlVoRWxhRlc3WEp6dkYrNmJERUY5Lzd4Y3NmZi92eno3NFovZC8ySEF1aE1VOGVKRWVYSktlV1pHc3ZjNW5yc2xmVFg4V0t5anppU001RTVNMFdVRXF2N1JhU2NqUkVCYmZoYW5qU0c1clZJWVI0VkpPMDhTekhvWUdLY1M3VTJxMnJCZXBtVU9yRzRKWVBSdURvdnl6NXVKZE40SWhQVnB2QUdlVE9HdEk0YmU1c2RhYW5qTXVoZHJ3dTlzemxJQlMvVWdYa2phejkwMC9lK0l3NEdVbmltZEUzK2paVFZHN0I0bEJLOGpTUlpqU09iSFltWkU3Z3VUN3JTT2FJQ1lEU1NjdUQwZ0dsTXpwS3h3UXg4bHBHNkl2WDZJZlhXUjhDeGVqZTlES3NaVHpFM3FnVWZvbWpBeDRWVy8wZzFpWVFMOTVDWFFuRSs5NnprMmZmTnd6RVk1TEl0UjRDOFZ6SmtsRU14Sk5jTFVhT3F5UWtST0kxZWsySXhFTWtubllrSHBOeHhsSFRKYnI0aSsvOHRsTXdYdWxZYzJVQVhpbVJlK2VqNlR4RFR0ZjBiRHJUeUR1bHdlSVZ3Ti8ydzkvcTNlM2hUcWNiZDloZDZidlVqRjliMmZGMFpyZVNxcFU2SEUrM1dBSWthclVDU05URkpYLzFKS3FtM2VLVmFuQkY3NGZUdFl0NzB6S3FvdG9DN3VpV2U4UUdReXJLZ3lFRlF6cTZFK2xNckp3dTV1R0YrK0ZGalljM0NwSjBGSVBRZmxDOWpHaTQ5MmdGQ1VGOVora0pRUzNmQ3oyL2JqTjRJUldvYXhHSEJ1SkFOTmNuTVZoVXB3VFZvVWV5ZktBR2ZYUk9DOHJvNEJsQjdWNXpnWHF0Y29HS1c5b3FJNmd4QVRSNi9nZkpRQ3QzNWl3NXowZ0dPanEvR2NsQWtReDBqQzQ1bzc0M3BvUlhjTXVSQXJUL0ZLQXRxVDFrL3l5Vmh0MFI3Y1B1VElwMkJ6ay9TK1h5U0d5ays0UVZnaFZhVjFFQ1NUNlhsdVF6SlNyWEo3OW5IYm50THB2Y2pqZnNNQ1oyK3pqRTgzeTljNi9ha3QybVBXYkV0eUlxc1BzWldJNFZ1UDd3WjJDRnZWTGU0bTYyNEwwSnRlS24xcEwzOXEzbzhicyt5Tys4YTVEZklMOExGVUIrNTlkQWZxY05nZnhlckEveVcxNGU3aC9JNzZ5VjFaSGYrakN2VkJjTWVMVTBqSTlvSDhabkFnYTh0bHlPZlZqdWs0TUdoeW1DS1FJTlh0TVNhUEF5aGJuK1hMaTNiQzVjYjZ0NGR3WThEVlBldnJOei8zeWF5UFRXNjV2Um4rZjVyU0ErczdZMzdwYitUbmVrV3ZlZDF5cS83VHF2MUN5OEplNDg2WEYzdUI3UEtBUGZNdWdjNUh2aElzaDNrTzhnMzBHKzE3UUM4bDNTQzhoM09KM3I2M1R5Q3lEZjVlVkF2c1A0d1BpQWZKK0FmQWY1RGxOMG1rMFJ5UGRpSVpEdnN1R3RnbnozbDAyK1U4WWptYlBUejVjUWlHN2FJd0xSbTJod2NUZkJoU2ZYd0lWbnhjR0Znd3NYa3dVWERpNGNYRGg4d0x6OU0rOEQ4Z3Znd3VYbHdJWEQrTUQ0Z0F1ZmdBc0hGdzVUZEpwTkViandZaUZ3NGJMaERjbUZqL1NzeDBCeTF1T3o3ei8vNlllR1p6MlM2b0UwZlp6MTZObVNNeGNMWnozNjFhdUZaU3BRNEhrYzlkaElqT0tvUnh6MXFIM1VZeWpSOU83OXdkTzlZM0hPNC9OUFB1NTB6cU52QmRTTjB4Ynl6OVFKUWp1Z2VtYys2cDI3cUgzcVk2Q3preWZYbjl4TUJOUTk5WkZaSWFHZWFlWi9kK3lhMDJrNitWSHJaZzkyOEtQK0M1S1BlTm1uUHhhL1ZyMGpJSHUrcDRZblFMYTVwMFI5bEkzcE1aQVJocHRIQm5sL2Rsanp1Yis3dVhmdzRNMGJjZmM3ZDkvWWtud3R0VTJZblRIcCs2VDNNeVp0L3QraVBnaTlOcStDSXlkbDdZOVZ0TzNyeUVrVFk4bHJWckROTU9kT21obEZVVmZibkl0YU12VFRTV2xkTjVuVkJyVUlhckY0ZmR6blR6WVUwcVFXalUyZUx1TGloZnRoR3R1TmNSU0hRSTVpRU5wUHE1Y1JEZnhHTFN0UXVzaXFSQ3RCbFZYaFZtMnljN3kvRnkvbmhVanBsei8rOXVlZmZUUDZ2KzA1RmtKam5qeElFbm9rdVR5eXRaZTV6SFhacSttdllrVmxIbkdjR2thcmdGSjZiVmZnR01JYW9uL2JjRFcyUldsNllHWlVoeERpVVUzU3hyTWNod1lxeHJsUWE3ZXVGcWliUWFrYmcxcytHSUdqLzdMazQxNDJnU00rV1cwQ1o1QTdhMGpqdExtejFabWVNaTZIMnZHNjJET1hnMkQ3U2hXUU43TDJUejk1NHpQaVpDU0paMGJmNk50TVVia0ZpME5wQktiRUhqWWpHa2MyT3hNeUovQmNuM1VrYzhRRVFPbWs1VUhwZ05JWkhhVmpnaGg1TFNQMHhXdjB3K3VzRDRGaWRHOTZHZFl5SG1KdlZBcS94TkhCdmZuN0I1TDR1YlVKeEF2SXVBUHg0dUJuNlZVRTRpRVFENEY0NHduRWkyUGlFSWkzVUJxQmVKTlR5dVlpRUErQmVBakVReUFldUZ6ZUpyamNTbDBFNGlFUUQ2d3RXRnV3dHBVU0NNVHJOcXoxNFpFUmlOY3hFSThoRUsrSnFVRWdYdms2cUJzRTR0V09FWUY0TmVOR0lCNEM4YXBGUWQ3a0YwSGVWQXNoRUsrdUxnTHhRT21BMHFrTzQ3UlRPZ2pFNjNzUUNNUmJ2SEJxQS9FY1NTRGU5Mzd6K1cvKzNEQVFqN2tTLzcrQU55U0JiVnFSZUs1ZFhXZ0xLQ0dVT1AvRnpLMitxM0RKU3VzOVVlQ2hGY1RpdVJVSGFxeUJlQWpCT3pzaGVDVVQ0aGJJNG9xZnBFWC8wdEN6UXBwNUNvRVRNTGVST0MzWmxhWURwSGhwN1FBN2FoUExaY0lwOHQyQU1pMytkc0Z3cUZsYjRnU1c0MUZEMWxacG4zaUZZUWhiRTk2bmFyT1NqdGVEOUFIZEE3cEgrcUxMYkorM0tKVEo5akdJWnBSZWZtNFJiY3ZPRCtLelBkOXhtZGRnaTNqdHdzWUgxd3Jjekx3NHhBdmpaTzYxbG9sWDFxQjNpb21LTFR0d3c0emFzU256aUdwMHVkcEZMQnJhMldHQkpLREVibEs3ZU9XaTdZejY1c2NTNmxIdHhiMFdORnBsUEUzT1MyVkhSWmxHbGFSeC9aUFpWSDdCWkY5R1BoWWo4OHFyYUpyWVpDcU5acFlYVVpwYVVVcWZZeGRWZEF5dktLeG5mSGx4Y3dQTXE1a2FZVEUwRTBQTUt3MWdqSG03VFFhNVVLRHhpV3NZWmw1T3d6Z25YYXBRYllPUnpqcVNSelRJRG1IVjNDY2lHamZqNTBQTEQxMHZzMVBLZlNPaWdWTDB3cUs5VXJ4ZzVvZXhTSXlwWW55NUhROHRGbVJyUU9NdUUxRzNZTVlkS3dqOVFBY0NMOVRPTkYrUG1hZ1hHdFpjbEZNU2NjcDF2Q204SVMra0NIUEl4NlFJZDhnSHB1cTNJZnhob1loNUdJUm9RT00yODNMdEhtUzloRjgzQSswZ2lmSU16Ri9RZkZhS2w4eDhEdHBCRk9VNUZHMlFEcXVhejJBSnowVTd4S0k4cHk3UHBXQlJ0U0xYbXlkVkY0RWhyamRHWW9oU0doRVplWS9LSm10UkpiOW91dXRHVkRSSGw3eGF1MTA0K1hTVm9KTVgwd0tlb3FRWitCVFZkQUdvcUtBUFFubVZka0NVVjIwRFJzVXdUUUVwcnpnUUtPVnRxNEJwb1pEeXpkQUVxTHlzSmtoTnV0ZWhKQlJnbFplcEN5UXBGV2daVUpLM29RRmNSV0VwZ05WZFBIZ0xVZ1NyWTI5RkM1bzRWcFMvM2g1Vmx0cG90ZlNKRm1UbzFqZ0FaYUcxNG9qTXcxQkVZMGJoS0tLV0V1am03UThRbmlJYU53eFR5ZXNORzY0aStobEwySW9ZVUMvaEs2SzF4akNXY3FsNmo2bkJ6RFdIdHl5V3FndHpFZVYwd2wwS2hkVmhMNkt3VHZoTG9XVjFHRXl4c0RJY1JoUldoc1dJa3ExOUFGNjdEV0xtRlp1alpVUXhaV1JJbi9QUXVLL05nU3h0aDYzNXlhN1BJRnU5RVlPTWVnVnZ0anFhcVM2VXFGS2dKcHF2RWpra3J0UnltMEZmdTdWRVYyWk1KNG53Q1hWWlA3dXNSUE1GRkRsSSs4cmRYS0prUDJ3cHMyZ2UwS3pjNHlVYUtPWVZpMXFnbnRPU01wWFZCbW02bHFScGkwZTVOTnJVL0NYTjV6VVcybFFZSEdQYWRDbFBwaVZ4MnVYSlZPOEltTlBtUFc2aVlnL01xVUtiVCtZSHFoUlVhVU1oVUtXRFVxV0I2eExmWUMrZWFDT0h1ZVpyaDJpa0ExOUtiRTlrSHREYW8xZHFaTGR1OW0wbzA1RDZhYTZHN3BTcG1CaElVNUNtSUUxQm1wcVJwbTA4QUY2N0ZWcm1OWWRoVFU4Zi9kanEzZzR5N0ZXOEpJTVRrTHhJMDk3R3ZKMWFwckoycjJQZWdXTFBZN21wcHIyUGhXblY3ckNVanJRK3FEK3NDZXIvUmRlZ2ZzZXltVWlJWUFkMjZNUi9hUWYxeDFrTldGYWRCVTRRc2w2aitnbHhMTS9MTy9DSXI0cFlMZkNiMUtLQjREZEpHQkFXbWtUMVU4dm0zWmxIOVJNclpBSjlJcXdmWWYyVDFoUUJ3dnFUdTdBdVlmMmg3TVRnemYzakI3bmtkZkszMytoUDZTcGFjTldHSjE1VGJyMmJ0cXVLcXVheC9CSVRxcTFPU1l5b3ZqQmxacndMdFZzWWNGNGJ3aFF2TVRwaHFzV2pYSm93WmY2UzV2TWFpekJWdFQvYUFzNHlua3hMWWFyTGs2bWExV0dGcVZiUjlVMEFqMWVFUnFTdUFJMElHdEV5TkNLWDBJRlVvamJXbTdmUWhDS0hWb2phR1dmUlJzdkZSN1FoUTVtOUNFUmlUS2RDSUNJMEdMTkdGRDAwemlieWx4WnFVYVUxcUVWcDRXV29SUm90RzZwRlJ2cEZLMXVvcXc1dFBqMDIwN25hVzNkTnlZaVgzVEFvZXlVdTYxck1vWGFXNzRwU3hyTTg2aThibTJramdVMkRhaU9hTTd5cUs0cnAzWFhqaDlNYUwzUmRkUG5qSW9IbHVVNzJDSHpmSXc0MUdjUVZnMmUrMldtNlZ6dStNWU05d0s1ZlYzdTAxK2wrWGtrZnYwdUpVMzM4Smw5ZzEzZm9hdHU3TU5nakhkN1U4L29iZmRpdks1M2VvVTJENlY3dCtNYm9QSzRsN2F5SndVcW1MaENKdXNEQnpJUFo0V0hrcjg2T0N4dHJYano3N2N2Zi90M3p2L3o3NkI4TlNRMFAxWnd0cHk3U2pKU1dROFBNZ0FSYW5ENnZuZWF2ajk0Zkw4dUFTeHppZWI0T3M3OTErREROb3UvWWpqZ2tvRkJmTVlLby9tNDZlaHF3c0R6NkpzSmJkWGRNMVJwbWhhR2RITWw0WTNmN2ZEeXZDOG5OZlMwZVkvTHYzVmQwSlJ3RmlWSGNVR1RSdEYrdVZIeUpCUGFyR3pzYmQrajVRcit2RmNhakdFTkJvcmZDMUdrOW45UjhOVzdsRmZXQkJFVm5QR0NVRmRyWWpkdlkxV2lqNkl4SEF3bGQzU3g4aGRvcGJEd2xZZy8xVllNcXFqMU5wVFhrbmpiY2MrQVI0b0Y3TGxkYk8rNVpjMTZkdVdkbXgvOWJUTkV6Mllsc01oZXJFdVk1enVJRDJybFlwZ2ZhZVREU21SdjY2MjlzM0wxNmZtZnIvczZiTjYvdTNEaWZNcDZ2Tks4N29yVUNBZTB2dEhkajYrYjFHenVtRGJhbm83dlF2MklOdkVDWWxhelBONitkTDdPL2s4dVhKL1lya3d2RS92TFdyWHRia3dWdStFTFUyWmZOcWV1K1NPdHMyT3ZQV0xNWVc0S3lQc09VTlM4Z0RLTTRmbVNIcnQ0dzByNE5vM2FEN1Eyak1TQXZ0VkZuRm1taldhVDltVVhhbjFta01Jc3dpNmZFTERKaEZ0bnF6U0xyMnl4cU45amFMRkthYzBCOGpoZlNudnZFanF6UlNMTCtqS1R4cU91TkpJT1JoSkZjV3lPNW9uQUhyYUNFVnVFT2VoRU1Zd2wzaU0ySWlSSjJ3Ykg4TUhDQzZRVzFyUmxvSTJ4UkRPQkcxR1Q0TEQ1bWtubDZ3eDlManJpaWtrVlhyV1F4eTdOZElyUW9ZeVhMOWNPRnlwb2lWaHNKYlVRQ2xtOEhiT2tDbGhOL3J1NHdBbFloaUxPRGdpVkNOenNwV0lIcnROMjBCQVZMTWpRb1dGQ3dvR0JKYndvVUxDaFlVTENnWUlHRk9FVXNCQzhBQmF2Y1lCY0Z5eENRbDlxQWdnV3pDTE00UHJNSUJZczMyRVhCRWlRUUZDd29XRENTcDhKSVFzR0NnbVdzWUpVWGdsT3BZSzEzN3RBNEkyY2xkK2gzLy9IazQ1K2U5dHloUHJHb2swbDBydS81TkVEdVVObXJodHloMGxMSUhZcmNvZEl1QjhzZDZpQjNLSEtITnBkRDdsRGtEbTMza3VielF1NVFyVmtoZHloeWg1N2E2QmZrRGowYklURElIVHBSb1Vya0RrMmFHNDhXUVYxdnhFcUVEZjFCMHRyYTZnOUlHR3BnU0pFd1ZLY3NFb1oyY2ZGNGJTUU1SY0pRSkF4Rnd0Qk83eEFTaHNaYkZGZTl6VEpneEJWS3FoczZxaE1jOHdaMmsxY284RU1tWGlISFk3NWh6dEJXQThoMlhCTGZDZ1B4UnJqTW8wcVp1dTlObDVFTkpuWXNSaTk1MDJWb0Q3SGZVanlQbGUrMzlDemJwVWdZaXUyV0lKd3JWYkRkRWx4enRRQzJXK1lOWXJ2bG1kOXVTWDF2ekNIekNKU1h0WVpObGhNRGN6ajhKa3RqRkY1cUFuc3NZUXRoQzhkaUM3R3pramZZWmNPNVlIcXdzL0swN0t5RWFUeVRwaEg3S2RXRnNaK3lPT2dpMFg5NjkxUFdTVlhlcXFXcU9OMkxrM2tpVGtoOVY3V2ZNVzlnREZKVmkrNTcxNm9DeXliRThaZC93bDB3aUZqbFIwL0VwMkVuc1VvOGxrNWlsV1BadHV0RHJZSmFCYldxVWdWcUZkU3FhZ0dvVlhtRFVLdWdWb0dHT0lzMEJDOEF0YXJjWUd0emFBN0RTMjFBcm9JeGhERWNpekdFWE1VYmJHME0vUUxaQTdrS2NoVk00eHFiUnNoVmtLdk01S3BnMGZ5ZktibktYN1ZjMVhsbmxmbldKdDVBcGxhMWxNdEd0TEZxVldMVmFLV3E3SmxBcVpLT0Vrb1ZsS3JGQ2xDcW9GUkJxWUpTQmFVS0RFUnpQMkFnb0ZSQnFhcjJCcVVLeGhER1VGb0FTbFc1UVNoVlVLcGdHcys2YVlSU0JhVUtTcFcrVWhXc1dxa2lydVg1NGpRMXo2WEVOOXhaUllubEIwSG16SVNFMmM0WjA2cGNpNFdoczNTcEtvSTVya1Z0ZHdqRktvSWl2aHNFM1JTck1QbzZQZEpSc3FLV0Y0WStGQ3NvVmxDc0ZxdEFzWUppVlMwQXhTcHZFSW9WRkNzd0VXZVJpZUFGb0ZpVkcyeHREbzFSZUtrSkNGYXdoYkNGWTdHRkVLeDRneDNVZTBIM1FLK0NYZ1hMdU1hV0VYb1Y5Q296dmNwZHNQNW5TcTRLVDRGY1pkbSthMmV1akIxNG9ldTVTOVNyeHBBSk1IbUh5Zkl6QVhMQnlobXJZTVdzMFBkaitSQ0NsV3lVRUt3Z1dDMVdnR0FGd1FxQ0ZRUXJDRmFnSXByN0FSVUJ3UXFDVmFVM0NGYXdoYkNGMGdJUXJNb05kaFNzQ0JRcktGWXdqZXR1R3FGWVFiRnFvMWlSTXlsWjBkaHFRTEpxT1lSTXMycXh4YXQzellxRWxrOFlYYnBtRlE2U0VWQThrUzc3cTRnVk11SjNsS3RDSzNBOUQzSVY1Q3JJVll0VklGZEJycW9XZ0Z5Vk53aTVDbklWZUlpenlFUHdBcENyeWcyMk5vZkdLTHpVQk9RcTJFTFl3ckhZUXNoVnZNSDIwRERJbVI3SVZaQ3JZQnJYMkRSQ3JvSmNaU1pYRlluK3N5ZFhrVlhMVlRSYVhOellISEpYSkhCZDJ6Yzl1NHFrVzNFV2QwanBxMVhSRytnTHRVcno4Q3lSRU5DOCs5N0ZxdWdyc2lsYi91bFZKQmhHclFvc0VvWWR6NjhpaXh1MDJtMnVZdEhMR1VDdWdsd0Z1V3F4Q3VRcXlGWFZBcENyOGdZaFYwR3VBZzl4Rm5rSVhnQnlWYm5CRHJ1clRHRjRxUTNvVlRDR01JWmpNWWJRcTNpRHJZMGhLNUE5MEt1Z1Y4RTByckZwaEY0RnZjcE1yM0lXemYrWjBxdm9xdlVxRWxpT1IyaDJBSlFYeE1TemtWN2xXTVMxaVp1MlFId1dFck1EckRydXJ2S3NrSGhoTmdNYWhJR3IydDNWdTJERnJKQjZ3ZkxQc0JyeUNDdmZzajIvbTJqbFdpNWpidGVNZ01RS1BlWlFpRllRclNCYUxWYUJhQVhScWxvQW9sWGVJRVFyaUZZZ0k4NGlHY0VMUUxRcU45amVIQnJEOEZJYkVLMWdER0VNeDJJTUlWcnhCanNvK0RuaEE5RUtvaFZNNHhxYlJvaFdFSzNNUkN1MmFQN1BsR2pGVmk1YXRkdmlWTmhqNVZzMHBGbEdQajgrUmlvdzBxeGFxbVppazFVWXZRT2UyQ1dXOE1sTDE2eWlZYS9nRkNzbi9ueGRPcEJtUlZ5MzJ6NnJ3SEtEa0hhV3JBTEg5Z2trSzBoV2tLd1dxMEN5Z21SVkxRREpLbThRa2hVa0sxQVJaNUdLNEFVZ1daVWI3Q0JabWNMd1VodVFyR0FNWVF6SFlnd2hXZkVHdXh6cEovZ2VTRmFRckdBYTE5ZzBRcktDWkdVcVdTMlkvMU1wV1YwL25qMDkyajZlSGRWK0d2ZW1COU1IOHhnNU5MOGNTVk1wWHhiVG9SdlJPaVl0SFkyMnJsZjVTRXZDR3ErYktXdk9vckoyK2R6Sjk1NmRQUHUrektvcllVMGhvUjYxYk0vTzlLcm9OZkJjcHRDcmlzZ2xldndlYzlMYUxIcVBRNlZhcFFGVEN0Q0VlVmJBc253WWZ1aDdMRlFOTDFkc3FFVURzWCtNaEFGSkt6ZU1ycGdTajFnMnMzVjl4QktNeUE2UTBoSnJkSVFhbFVqVERDRnFGWkE2OVlONERuTnJOVmx6NWNORTlkQlFQUFRVamhaS2g1SEtZYWh3dEZRM2FwUU5SYVUycWtZWis5a2tpTStpS3lvYTBZc2NXNzFwY25aYm9tazR4SFVmZUFxNVFDRnBhTWdadWxLR3JveWhsREJVOGtYSlV2Ti9aNWJhbGNSQTNJMjYyb3Z0WG1hN3Yvak9iNTkvOUt1VFgvK3c5aU16ekl0YU1PTkVKOTVBYnNPSlRxaURwcDlaTU9JU1E2b1lYdlVzdmtKZDFidmYxb1FYYXJjdzQ3ejJtRFYzb3JodkpjbTlvYkNHNHI2cGp0bEppcVNmdy9hY25NdGt2dVNUVW5xcmx6UnVNeS9YOWxGZVRFWm9NQWQ2THVQbWplWmcvcExtODFJSnRjWnpZT2N5U3Mxb0RsWDdvenVEcFR3Wko1bVZzOFFuVXpXcm5XYVZYYTcxWHRvRXVUVENQRjRSUVM3cUNxc09jdEdvMkV1UVM0K1FrTGVOU0pmRkFzMlJMbXFqMVU3TmFHTzdlUXROR0xMWjJJa20ybXNXclV5emFLUGwwaVBha0dITWZpSlZDbWRQcjMrd2lnMEJBZ0pFK2VwUUFvUVc4OTlLZ05DU05rWWlRTFMyNWEwd0s2ODVVUEszVGhQUmpiUHRmZGdtMHM5YURMTGRLekhJc0ZmeGJvOXhrNVczNmsxV3pQSzkwUE5WbWw5aFY1Vm5FZVpsbTZxbzZ4UEhLQkdnTWJ1Wlp3QTA3YmYvRTZ1eXNTOTVNOVVnNTFVVnNXN2JmVlRaTStsMlhGVW5ZaGZicUNSRHd6WXFNRXpZUmlXOUtXZUFYTUkycXFieTJFYUZiVlM4QTdCVGE4NU84UUxZUmxWdWNLVXNQTFpSd1JqQ0dJN0FHR0liRlcrd3RURjBTTTcwWUJzVnRsSEJOSzZ4YWNRMnFoV3FtR3U1amFwSTlKL2ViVlIxb3BTL2FsR0syQmJ4eEdZZjZoRFA4ODFTLzNVVXFkb09JTk9xVE9Md2UxZXBpRy81MUY5K3lyOXdFSmxLUElvdTZmNGNLd3pEb0tOT0ZjVFAxR1hRcWFCVFFhZGFyQUtkQ2pwVnRRQjBxcnhCNkZUUXFjQS9uRVgrZ1JlQVRsVnVzTFU1TklmaHBUYWdVOEVZd2hpT3hSaENwK0lOdHNlR1hzNzFRS2VDVGdYVHVNYW1FVG9WZENvem5hcEk5Wjg5blNwWXRVN1ZJaGxTYnhKVmNmdk85cDJkKytjajh4cXRKOWF0MXplalA4L3plMFp0MTlyZXVGdjZPMDA5WXQxM1hxdjh0dXU4b2tBc1ZZVXI2WDUzK082aGs4bGE3WFU3VjU4Nm1RdWRERG9aZExMRkt0REpvSk5WQzBBbnl4dUVUZ2FkRFB6SFdlUS9lQUhvWk9VR08rcGtKakM4MUFaME1oaERHTU94R0VQb1pMeEI2R1RReVdBYXo3cHBoRTRHblF3Nm1iNU9GcTVhSjJQRUlxR1RKV2YybDcrZnErMEFzSityZDUxS1BJcVI2RlRZendXZENqcFZwUXAwS3VoVTFRTFFxZklHb1ZOQnB3TC9jQmI1QjE0QU9sVzVRZXpuZ2s0RlkzaldqU0YwS3Q0Z2RDcm9WRENOWjkwMFFxZUNUZ1dkcW5ybCt2SHM2ZEgyOGV5bzl0TzROejJZUHBqSHlLSDU1VWlhU3ZteW1BN2RpTll4YWVsb3RIVzl5a2RhVXRPRUtVZ2xOV0pMSkxXNzBaRDM0b1UvdzBENUQ3SUJLV244WEFDaXRrVjhtbnBJanUzNGxDclVxd0trWVk0VjJQRmV1Y1MvOGdpemxRZG5hZUNYSExONHRtVUhicGlKY3pabG51cGdyeHllT0k3bGhtR1dhZEVuSVhOQzFlZ0thS1BjdDhwNUxPRUxQN3FUdHFPcDR1Z29PQ3IxcGhsYjFFb2p0UWQrazlyanZxdUN5SjNaNGJUaHRtaFIyQXRxaFVJcE05QW9EUFdKbHRwRXF4TzNGeldKNXZ1bzFnSjBkUUJkRFVESi82dTQvMGJldit0QjF0bytuZHpXNlI0TVdXUHN0RStHTlBEVzZxeWVMbTFWMExDTjdJK29MN045clhoNXFTMXNSOHVidTFwNmJ0WmdoMU8zY2EyVzRWYU55cVhxMloxU1VFaWkzTkhSWkR1WisrWjloWGtwMVpzZlpSVk9ubjMvK1U4L3ZIUnhmcVRUMzhValZURTEvYVYwRld1YnFIY1IxZTZoam11b2ZhaTJ0a3VvZlppMnRpdW83UWJxdVlDNjV5THJITnlzNGVicHVYaXBlOWRtY2RNYXB0cWRXOG93VFpmZm5nZXUrOURYWkppZEhucWovOTdndTdmeGhnbTg0WnpCSjQ3bGVSbXVZNEhIeHdwdnVISWQzbkJEWVhqRHBYTHdodUVOeStyREc0WTNERzlZVW0vQkcvNEZ2R0ZlQnQ1d2JUbDR3NzBQYzAzY3pEVVo1dHA0d3hUZWNPNE4rOFNpamtoQzQzcytEZUFOd3h1R055d2JCTHhoV1VGNHcvQ0dKZTNDRzRZM2JPNE5mL2NmVHo3K0tieGhYZ2JlY0cwNWVNTzlEM05OM013MUdlYmFlTU1NM25CK1JnUHpySUJsSGZpaDc3RVEzakM4WVhqRHNrSEFHNVlWaERjTWIxalNMcnhoZU1QbTN2RDNucDA4K3o2OFlWNEczbkJ0T1hqRHZROXpUZHpNTlJubW1Memh4dDNOV2p1YjlYWTExK3hvcm82cTJUOTNPdm5uamJpMXppOW5EbU5Pa3d6YzNpZFhJZFE2VkVwODR2bE8wNUFFSEdYbDh6NXJ4dEhLODI3bmRhczg3aVp2dXg1ZVNyMXNRdy9id0x0V2U5YmFYclcyUjIzZ1RiZndwSTI5YUcwUFd1RTk2M2pPT2w1em84ZmM1QzNYZXNwZHZHVFRwTm1HSzNNSHoxalhLKzdpRVhmeGh2dnhoSHZ5Z3MwOFlJMWsxME40dnFaZTc5QWU3Mmk4M2Y0OFhSMHZ0NDJIVy9KdWYvUDViLzc4Ly8zYjMyZzR1QXJuVmlQTlU1MVRLNjBxZDJhYkhWbVZFNnZsd0dvNXIxcU9xNWJUcXVXd3FwMVZIV2RBNVFnb0hGUzFWOUxPNDFNUHE5azNHWFJZSml0ZFR3UFZlWWdqSFZhcmgxanJYTlk0bGhMM3JUNXhsY3FaVkR1U0VpZXlQSUw0cUpmNGpKalNHTlBmSnZISkVMeHd2S0xGbVRpanY2T2xLbG9Qd3VTUEJPUEZhME5XTEQ2aGZtZVdGQ0t4SzdjelN3cHR6OHVPbDBZbjJWK1NYbWl4RjFMc2hXajB3dlNtUWp0TmhXbE9oWFdhaXFNM0ZkWnBLbzdtVkp4T1UzSDFwdUowbW9xck9SVzMwMVE4dmFtNG5hYmlhVTdGNnpRVlgyOHFYcWVwK0pwVDhUdE5KZENiaXQ5cEtvSG1WSUpPVXduMXBoSjBta3FvT1pXd3kxUW8wWnRLcVJPbjJJbGoya245VktqZGFTcDY2MHF4RTlOblFqVlhGVXFsZldoMG9Ha2dhV0ZGY2ZNTzdOK04vbWM1SHZOOWpiNzBiQXZ0dEE1VFRkdENPNWxKcW1kYmFDY3pTVFZ0Q3cxcmVsRjN3VFRuMGVsclpKcnpZSjJ3Sk5PemtSMm5vbWtqV2FlbDNyR1hNSlZ5SncxVDZmUU9PM3JtdnVOVU5NMDk2N1RVTzNybXZ2d1dteG9XUjlQZ095VWpTWXU5VUkxZTlOd0kxZ2tWTzVwdVJNZXA2TGtSckpPNWR6Ulh5WTVUMFhNaldDZFU3R2k2RVIybm9yZXVPSjJXZWtkelhYRTYzVEJYenhnWE96R2RpS3RwaXAxUTJvZEdCM3BramxNSEpQUm1vVW5tdUowTXBLZjNPTnhPV01MVE5WMEZBMWxDeFNSQ3hZRk5QWTIrZk0wUDBpOXhPb1pMSkxYMXZoVmE1aWhxZXVGSEltY3M0cVdMMjN1UFlucngvd05RU3dNRUZBQUFBQWdBUTNhRFd5VHcyL2c2QUFBQU9nQUFBQTRBQUFCeVpXeHpMMTl5Wld4ekxuaHRiTE94cjhqTlVTaExMU3JPek0relZUTFVNMUJTU00xTHprL0p6RXUzVlNvdFNkTzFVTEszNCtXeUNVck5TU3dCcWluT3lDd28xZ2VLQUFCUVN3TUVGQUFBQUFnQVEzYURXeVR3Mi9nNkFBQUFPZ0FBQUJNQUFBQnlaV3h6TDNCaFoyVXhYM0psYkhNdWVHMXNzN0d2eU0xUktFc3RLczdNejdOVk10UXpVRkpJelV2T1Q4bk1TN2RWS2kxSjA3VlFzcmZqNWJJSlNzMUpMQUdxS2M3SUxDaldCNG9BQUZCTEF3UVVBQUFBQ0FCRGRvTmJKVEM3Q3JJREFBQmpId0FBQ1FBQUFIUm9aVzFsTG5odGJPMVp6VzdUUUJDK0kvRU9xKzI1VFJ6SGRpekZWRzFwUktVR2xTYmk1MmpzZFdMVldVZU9vUzBuTGp3QUV1b0Jib2dERndvSGJnamVwcFM4QmJNL1R1TGFEcWtJVksyOGUzRm1aMmJIODgzTWJzYk45YU5CZ0o2VGFPU0gxTUxLV2hValFwM1E5V25Qd3M5aWI3V0IxKy9jdnRYczlzbUFqT0FKd1JDLzBNNWRDNnM2UnZmdEFiSHcrT1hiOHpjZnNXU1pzbTJGUVJoeDNvYUtVYWR2dStHaGhWZHFTcFdQUlB6bnlaZngrNU5aY2E2Q1MzY2N2dCtHNHhBYTZ5RHNlUTNYcVhvZWxyUTZwM21lUVF3em9TbWNWaWV1NFdnSlRaTjhqcU9wQ1UwVmZJcW1PWHBDcXdtYWJyZ2VTV2dOSVV0TVZ6RVNtc0ZwaG1rcVlFdGxVZHZUZHRaejlsSWtuOTdRMWJUdGFUdlZuSGNVdGxlcnFtbTZhZHVsblNuYnBTOW1iVzlXcHJobDBOd0dEemp4QmVncE9VUjhWY25nQjNnUFNTdU1CbmFNSGp6em5ZTzJQVHF3OEdxR2szTzMvQ0NRek4zaklXanVoSUh2NXJGT0hZd2V5aGRoQTZPcDdSRE9HVXpFKzAyM3lWdmU5U2twWEoxd1BDSityeCt6elpVMUhZYVJ1OWVFZmNzZU10NVdZTWZ6R2Zmc09DWVI1UjdPdDUremJwS2VUemVpS0R6a25KQkdIZjhGT0t4ZUxMSk4zY3NKY0VlQXF4YkJnZ3ZNNHFIem1jWkRFL2tQdWpUWWY1OTR3R255VVd4RUpiRWlGOG01V0RWRnNNN0hVaFFrMUE2WldkV0NnSm1qcUZtWkNmRXJpUDZ1VDJNb3JlQlA0WGZDWjhidmYzVDIwck9peklkVVBralhYOENsRFBzYkZ2WnFHZlpMUm9pckxOUGhFbmVnc3J5ai8xN2UxUnFiUmRjZHM3enVMTFh1NjVPcTRoSTJyNzd1MTlaVU5zcXNTR1dGWnJCWmxCVkdtUlZMTGY5MWc4MGliemNXOFhaNVRQemJoRmdDUkZ6bnRVNklWa2pqaTkybFhHOHBKcHY1dTE4bnZubjNzaVh1QzhtYjQxblp6aE5nNVhSbktRVzY3TkJxOVhRMzkvejAwOW1IcnlqYjFwdUlpZmJtRFNvVmM0N3dWS21vTHlEd1YvK2NGSnhHTzFVemFrbWhZQjMwYTF3bGl1Tm8wb1dXREpuSTdaSWpPQ0x0cDUwNEhJclN5WnZTU1FDZi9Uajk5ZjN6K04ycjhiZlg0TW1Od085UkMyOFJDc0VCdmdSaFlaSTRqS3Y1SHg0a0F2SkxSYmJCMzdjajJ3R0ZTTUt5a25TaGR4N3prR3JaQXo4NHRuRGJkNkp3RkhveGVtTGZJMzRTT2txT3pqMVEyWXZzWVIvdFVIZWZKUWZYSk8ydlQxVEQ2aTd4eEdKbnlMQmsrc1JDeTQ5R2NSNGl6YllkUWRpUFVKZjVESlJ0aG5FY0R2aWozQXVlaE43c0VjZ0x0d0JxZDVRYk5GTUd4QjRGRXBtWGh4enVDZmN3OXNRVGk5eHdDb0FROFRMZHZEU3ROTzI2bUtha1RNdjlUMUI2N1FwTm0xMUtWejE1UXJHalJGSWxCWDdKSi9iQi9EZFFTd01FRkFBQUFBZ0FRM2FEVzRQV0o1cmFLZ0FBK1MwQUFBNEFBQUIwYUhWdFltNWhhV3d1YW5CbForMTZlVkJUYWZkbVhKQk5qSUFzZ3BLdlJXVVQ0Z0tpZ0VtckxRZzBSRUJBUUVpcmpSQWlvQUlTSlNhdExHRTFYOHZXRFVwRWxvaUFhWVNBSUhDRlFHaEZSUFltQ05uY1dDTDNOaEt1Wkp2MGI2WitVek0xVXpVMTgrL2MxRWxWS20vZWU1L3pudWM1ejZtSzZpK1ZBTEhaeTkzVEhiRm16UnJFVCtvWFFqV0ZPUDdQcC8rbjY1OU4vbC8zV0tONmdkRFhRb3dpaXRhdDJZRllxNzltbmY0YVZROENoVUNzMGZpdkN4RC83VnF6ZHQxNmpRMmFXdG82dXVvRjdNMkl0V3ZXclZ1N2ZwMkd4dnIxNm05dnFyOUhyTmZYTVBodTM5RU5objduTkhkYzJiTC8xcS9sV3BiSEdycU0vSWZBblFmT1g3MnRyV05zWXJyVmJOZHVLMnNiVzBlbmc4NkhEcnNjLytHRXU4ZEpUNitBMDRGQndXZENRaS84SEhreEtwb1FrNUNZZEMyWmRQMUdhbHA2QmkweksvdHVma0ZoVWZGdnY1YzhyS2lzcW1ZK3Fubjh0TEdKM2R6eXJMV3RtOVBUeSszNzgrV3I0WkhSc2ZHSnZ5WjVRcEg0L1llUG56N1B6a0YvTDMxZGxxN0EzMWIvd2JVR3NlNC9vZjh2Y2VtcmNhMWR2MzdkZXMxL2NLMVptL3pQQXYzMUd0L3QyMkJ3MUUvejNCWERIZnR2YVcwNTltdDVRNWUyNVFGLzBPajgxU0VkNDUyT3dsM1FQOUQrQTluL0diRGIvMWZJL2hQWWY4ZkZRMnhjdDBaOWVPdjBFVmlFVW1uOU1CdnhmeHdzSTdoWDlyM2NDVGJha0QzakVvK2F1MUdjT1hMNjJaQ2JIY2dVOExsWU9nVXptamk5S2RaaUttTGlBWndBMnIyZzZzdXZxeEJhbmJldWk5Q2J6aENWdHZtY0xHR0hvUitFenZncUNUN2QxQWx0b01lbkJBdjRFbk9RSSs3b3k2eHowMVloZEMxL0hHKzNPU2VVNFBGZ1h5LzlGbUN1Uk1COXVLSDJrSnVpKzg2YzBFa3dxbzlPbytxMUJ5ZVZ6NWZRYnBQRElxdUpRVGVPY0l1VGs0UVNmNjBuUE8rbzBLbTVaVVZ4aTlTb2d5WlhTaE9rZUFNYWRQZzY1bUFGUlBieHVLbjlrZTZNZHJ3T0ZNMlhFaVVwa2lkVE1TbFZScEFlWGI3RlZYcHg5RVNlNURubDdhend5SEVmOW9SRWFST2g3TVUyRi8wT0huR3p1Vjd0OGVTNHVKWlBkeWxlVUNFSTRBVWYrRnJKdHRvbjArUWZSc25KUkVISzlzMmVkUkh6MHRWTC90TlcvNloySFZjaGlJTThaK2xQRUhXaDk2RnlrSy85bFo5VGhEZVE0OFRtakp6VndKWnUvaDNBdEQxZU9KZ3hzK2s1ZkpQNURtWnlsRWdGNHl2TEFCN0JnUXRtRTNlYU9neTVuVzQ1WFhqOTNlQWVzNDk1ZGJOVVBjcDNjK2VSRytadjlLM0pMWXhKdExDb2R5bHNWZHlMR2JtUG9adzgzRjljWml2Tm5rMEpqNWhvZGFoM01uR0lmdWsrOFNFbTZDUEJuaEdtUXZ5Nm1uS0NMQlFpZVgwQ2VtNjdQbVF1Mm1nRzNDR2pIc2gzZ2gwVGR6Q1daOGg0MkI1aUNYQjU3WGFDbkRDVWZvd2x0MWlGME1NNGtkMUFaTTkxc3VYTmVDSFN4T01oWE5MZlhSeTZHN2dweEJrU1NuWkp5MnVpemRoVnpHN3FVNFprQ1FybTR0bWFrbkNRSTcwRFIwRUJRcUJiSDBvV2ZpeVdtY2tESWZRQ1V4WXF0d09SdWUzN3hIb09hQjBmd2FBQmFVbkVYMUNBNHU0Wlk4Z3Q0bUFUeU01Z0lPOGtmWDBHVGZTaXMwS0JESXdKa1dJUHRzSEczVHJNWXRIY2NVTW45eXVybFpZdWY5eXpNcU9YSlFvcXRBN05CSGpWeGJ4eWNUcmh4ZUlZZDQxVjN6UFpUNVk4YWhxNWsvVzhKV1duNUJVanhMRWxhbjdhU0Q1TDdmSlRJUVRWRE5DZlB2bGMrdHRJcDZIeUJiL2hIWmFONXR4RWRrVnNhNEhyUmZQb3lVWnBKVHlBL1lWeUlLWXhuRlNpUXJ6Z2ZjckU2TTZWQk5PK0VxTTd0OERGUW15ZXZmMjVFYm5uRTFPMzhDUzNQMXFLQ2N5V0JXUXZtc2Q2UVRHRk53UEdia2FQOGNTU2xyeGlyb1UrZktTY2tZN2EzaDVaUDg4M2JUOGlYTndlNHlQQUdjaDN3c0dnbUl1eVNKejI2RzZqY3daTmprTllqakd3Q2M5VmF0SzZMUndheGgzTnR5ZjgwRFlpM2xVc3R0em1OcTM5OS9sN2dWdFBKTmdzQmFRSFZoNHVhYmQ2L1NRL3hzbWVHdVdxVTMvd1kydWhrRUtjSlRxYkV5UGJXZ2FTUGNZS2dqL3c1UVppNlF0NFRIYVNyQWwyL2lxTGtMdEF6bDN4dkJaZkdqYzRkUEFYT1JITUY5Tzc3YU42eTlhQVFIWnNrejJxcjJGU2pvY1BnRlJPMlU1b3k0MkxyUUloZEF4M1c5eHJzVzZJelRlRWs4OFU4WVdsc013THhnbFVpTE1xQkMyUDhocjFrM0ttVDJLcFpqNWVxaW5mQllDTmdKQ0dqVjJFQXdBd1E0VTRUKzMyVmlHMEFibERQQnhGaFFQeFlLb0swWDFFaFRBRVlCK3NjSzhLa1lhWG9SV3VzakExeDlxWndRN2M0WjVnenA0alhtTjdseTZYY3JxVEhrdzRWbXp0dnB6anp3d29iRXNZOG9scHE2d0l2VmUrZFlsclMzQjZNeHJ4c21ua2hsTml5ZWZKbFJORzM5UUNwT0doK0FQalJCbFFJZGJJL1NvcGYrSTN0ZU1ncHJSdTlCd1lPNTRud0dxUWQ4SmlLRGtFWlA1QzloT1YzdGM5QXkwVVViVXdHK1UvZ1o4eTVCNjdmeStIZThqb2ZQSDNJUERMOHYxa2pzV084UjNOY0lseXpSakZFT2JNVXRNQk52NFhPUTdjM3JtSE5IVzY4KzF5L0hwV2Fyc2xSRHVPMHNHNGtnNkV2YVhzSTlFNE14cWp4Uy9LekdCUE5SdjYwakJ1YzZIMGJEWXFrNkpQRTlJeUhKVGJtSG55SzhnY3VlV0Zpcy9Cdkk4dFJPWkw5SnJzTTZHSDJENnZDbStNVlBqdTh5LzBzSDRjbEg4N0o4Wm9WK0N4QXBic0pmZEtkcHdMUU54MC9kZ3ExOWFudzNKOFRoWnhzTDM0aDdIQldtdFd4czhxeE8wczVadWdvcFhpMVVHYVdvdFlPdEZ0NFJubHRmTVJWbENmM0JCUTZtZ0xzSnFrWlBmaFBYRk85bUZoRURaWEhpWGIremxpQzhpbFZjMUtXNXpiaXRnaXZRcyt3d3YyUDkxTmVmN3Nndi9ZaXRPRllHUm1lYi9rYzFERklBVkg5RXI4MWhvNzBEOW9OQkFYUFRQUnNyL3o4Nk0zQnNDZUNydFErVlBmQ1o0MGJtTDJuYnAvOUR4NG1HMk5VTWM2TVpiSGtFWkFWSzRpcFl1NkdXTWk5d1NMT2Fpc21ZMXFjVmxNTitZTjlpQnBFUWZnS3FFNWd3YVlrQytBeC90bTlyTXRURUZOcmdveHVkUlQxR210THBGaTZRMzRLczhxMDFDMHNTUXA0eTRaVjQwbkVZTmk0M2hMbnQ5a1hRend4eW1mc0Y2TG5kQ0tCQW5WOWxGc29Hb1cyUGVDb1pVNENVVFNzeG5OZlFzRVlTbCtBd25KNVp1VFU1aDBvODlLQzBWTHB6V2NLcUkwT0xSQ0l6M3p4Q3VRTHRmbEMxMG9jWmxPNU90Rmgvb1UxZFozUGFKVUQ0WFYrUVNlZUJ2eDh0Z3A2ZFc3bkxmU1lhWWtNTWxIZElReHZ0MHAwT2FSUy92ajRLZWVUZUpKVGltak1DSEJCaDhlYWVxbEh4L21iT3BiZVM3bGI5dkN3N0dEcmlyRTRUSTdSUW5GZ05LblJPUkxqOE1mMUpWcXIwaFRhc3BONFR6WndSaHM0M2lEQUpWN0EwdnZ0SkJmZzVJWGxsZ2t6Wk13dWo0bXdnUUs3bVhBTms0VHQ1b1lScGgwb1UzZFY5UzJ6M2hFRklpbnlUMFZkZEt5ZFNYcnJsZGluYUFVamdvQmVnMGs5NVhwd0RWZ2dGSkhMTE1uSmZkMTZvUFVQRGV0U0VVTklIaEkzWXE5eE44NElGdzBKOVVLNmRuTDZBVnY1QllWb3Vza3hRd0d1b01IRXNCWDNhKytIREhwcXhGS0lxWk95U0pxaFZQMVVUK0F5cHBxWlNzWnEwSVVGQ25IQWVrRkxJaERLdkFBR0xBcUsybStmc2RtVUE4VFl5TTBQRVBxMDAzTGN5Rk1VblVjald3bXJmK1duZlF1TG5KcmZ2cVU2ZXQ0UHlRZ0lXMytjRnRqWG1oMmxjZWhaN2dTSnRiMVUrcmx1eCtiYWpvOVNDbk1KWnhZWXFuVXZpVTdTam91NmdBa2FIV1dyaW55MlBHWkRIMFZJZ3FucCt5L1pnWXM5TW1paU1EVHZtNGZ0QkIzaXlxTURTZnRtT2hEcmQ5RGpZL1Bhc1p1WTRjZk9BMFBpbzNINkZ5a0tWekxXUzNMam5XTXRlT1VtUmVwRUwwM21Ga3RwWDBxUkVOTHJ2eklZL0p1V0owMGpXdzFlU0ppc0d2Y1BDRmRJZEJETlNTbENJcDdzVnZrWnZBVXBoV2tpU1pvbUlPa3RYZ2Q1VnZLZCtxMVZlU2Z4cFFXTXp4NHNmdkdIdDVnSnRsY01HM1g4M1QyTnVSbVV3c2ZDUE14akhpclFsUThCdkYzR0toRS9xMFc3SWFtM3pFbytWSDR2b2h4UjRVd2VRQWZFS0MweVljd0NGb3dvOGNUbkJEaGV4WHhaOGFTa0ZrVURCd3ZESGZtcVB0SkFranZvK3djKzBUVmYxazMvYVJ3dzYvQ0RpUitZdm1JcTFjclMrSkdUQXFySzJWWnY2bElqTVlRdW80ZTgvcmE4ZEpqY3VUSzVROHhmdjRSMG9lbkNZKzRPdmJ1cmllOFBPMTNObmUyK1hxSHpkcllsM29JY2kybE9qQWUwdTJqN0ZYOFRoVTA4RUVjU250MkJnczNxdnVieTFQbE1LT0oyaFBQWTRwUTh0MWxtMEFHQjZ0TENGcFJJYmJzVkVPdkpuODM2blpPK0t3Q2ptU2U3V1BLajcyVjR4OVhWVmNsUGZCazRSNkVFdHB1Vm1FdFNKcEtiUTlSdUdIM3pMOUFGVUp1TkNqRmpXQU9SVk8zS3AzSjFGSDJvZ2xsdXN4VzdaTStYWUhRMHN3Y2NXeGZ6engvQStWVnFMTkVJc0Rya3ExR05qeUhwdFJubGZZZVRoREg2dmFPYjU3cUpZcFVDRlA0eTFJb0ZGY3JRczNFWjZLTUtDNXdWQSt2czFqQW1pVDI4QTNhRHpPbjZIK1FIbkpFTGQzVWpRYzdibHhLck8wdW9XU0o0amVIVFBObVo1MitsRmV5UHpaY3FaNjVqenRaV0RIODg5Q2l2Uk90VVl6TnhwczE0VXpmUlZzZ0ZiKzFCNHFwZWwwYnpkMFMrWVpxeVkveTZuamV5aDUrY213eW1sZWM5Y1h0NUo1TFA3ZVBMamlGMVIvM0hsazBrSjE4ODJ2Vi9JMmtyMmJaa2JpOVQyYjltVG9GRlo1QmVTZTdUKzhkVlNHb2JnZFJHNnN5QTZxMkpuZ2piYmRVTGQ4ZnhUc0R2aFYzM3QxTlNQZTlManZaNjM1ditycE5RSjdMcXl1NU8rY2lDczRGVmRSb21LeG4rVjladWVESDRvYmh6TlRrUEVMWlJhUm9UVkJqR0xEZHlzSmhVVCtRMXJrZXJnQ1hoTjZVUDRGbXpUemd2TTl4SDNXbXVYbFVJU09MOHAwSFpOakxNNUZ2aVJldDlDQ3pUNzJiWTJqSnpSMW9EMkptOWc3THQwWTFuaXJGcTV0Ky9BVndqSi9oNXMzWnJQelRZaE9zVzA5NVpiRmRmY1JENmx2YTdBR2k4UHFVTjIwckM0MTFuMGZtQTJJQXd6amxGamhmK0pXNktjbjFOektoVG0ycWxwRnJDV1d1c1RZWGdaYUpKbnJxS3BWVzcrVGQzL29UR0JQMlp4R2tRdmpGZU5zMkJCMDdiWkRYOVBUdS9zRHNBK1dSYnR2cituLzl1OEYwVjh6NHVleTgrUGdCenpIL3E3bFZHZDBEeDRMcTd0VndUMGRxZVVYTU5CWThlUGpCOWs1c2EwaGQ0Q0VYY3BaUHdOMDg0YUMvclpmRC90djNydWVUNytoZkNRaE96WDdxZzNwamtzMENCQ1dkRmxCVURoa3ZjNlYyaFZMUEhkbXRRb2lDaXNFV0x6alBSSkl2dzhOaTZZZG56M01FOVo5NnZSZHAvaVRMM3M1ZGFxUjM1THRodXRDMGpxbldDKzc0VjU4d3J2SUFXQ1Y3UjNBT1JkUGFuYWpFbXVuNWtJWlpBUFN1djB4aTlQRTNVd1ZQcUU4M01OWFFRdUFwMEZKNmUzaVpnYUJNbVUyb1ZXUXlvMCtFV2hnUzBuK2hXTURIWm5ZcjdpeWpwcDczWWRiQnRPclFsekpYZU1jaTE2d2xSeDU4RTBMMy9OdE5laU81aDdweHNBcU84bE5yUmVXcW5mWDUyZ0NtN1NucHFYU3Zncm14RHh6aGFPM3BLaDNIMlRmdGl1SWoxNDhWV2FUdmtsUmhwLzJZbnNvdit0bHhCYnNPdmZGYXl0M2xhM0ExLzNMYSswL1dSMXUrdUFma2wrWmVhaTB0YkwwLytKRWpMT2JRdDFDbUxSd1VsY0JGUEkzYWJMV3dGYUpLcVcrQktMNU9HQ3dXRFM0TWdpbGlSdTRsZGhqQW16K3BxTzNVbGY4QW42dVkzMHp0OGxIYXdldTZsSWRCemR0dXlDcDR3TUdKaURJZWVDNmlwck4xZ1EyRUlGN2MvUlJSL0N3bTIwYTA3N2ZjMHdSdVU3bjE4TlhMcHlyYzcvcGVZV29mVGpHNy9JbGNRQWp3SmI5eG5BMWdHcGRyOVI0YVNZdTBxWHozdmlEeXNKZC9mdlo5cjZ6RG5pM3hoS0E2U2NyaDBYdU1qc01IL1U0WXZUN2pkMklMNHIvRkduaGVScFRqRkErQkM2d3NWUE9FSkVVOVlweUhVNkgrNzBjQlFSbWc1Y2pTSWdIZFppdGRma0lVZ3V5aCtFM3VKMHVVZTB4RXdXd2hmaHM1RXI0TzRmekEzQnZKZlNqRTNLd0tvVk9zbnEyUzhzSndEZENKdEtBaXMvdjNjNU1WR2M5Qm9sVGt3cy9pMG1SK3lobFdKWUgzcHRVaWYwOEpRMjV3d1pjV01XSWZaeG03ZjU0VGxJejZJdzU0ZEpUNE9PemwvdG54enYyalRUZTlScWQ2TGRodTlnZW1XWE5OYnprSkc1dFg5RThjYVljOE40SStadjBiMzc2cTJwVjk1dDUrenkyWnIrKzZ6NzJhNnoyeitTUXI2d2tnK0IwQWZlYm5TM09tK0xBVmYrSEU5ZXZYM1NhQ2s1UHhUK2t2VW5KS2EwdXp6RUsrT0ZnVnY4RHRXUnEwYTIvMHNXdTZlL0wxbDlldlBlYzVZMVZhYkpmR0N2U01YZCthWC9wc1pMaklsN3Nic3J3S3dDLzNQVFo1dGlVWlhYL2NWQ24wOVhiNXRhQStibmJXUDNFbW04Qks4blN5T2pRZ2UreDEra0ZCNnk1L2cyK3J1R3dxRzduUUFURUZ5Wnd3Q1ZiYW9lZzRCOCtEVnVLSlh1UVdrc2RwSEd6MUthTnpwOXdFUW5YeFRTajlaYWpoMk1UQnpaK05HUTNJYm50Y2Qwa2FkWnM4bUFrL2NlVWJ5TCtITHBZL0lWRDBPOEFJQmxIWWp6T2RxVWIyeFdmejJmZ2VWamFxb1NYUHpWbUZXUDlTOFlkQXJTNVJMSjVyRDkrVUhMK3BCZkpRYWc5RTFzUkViQnRYSVg1ZTVLVklLYzBqY3J2NGM3THJNZU10cSs4aWRzS3o1Y1NBcmxwK2ROQzZINGFTNHRHbjdpb1dKTHNWZXJDemJEOWxBR2g4U0x4Q0dXUTBmdXBDM3RwSCtsMnlFOXBKM2FBMGhKSEMyNlJiQyt0cno2L3lTRmJmdjUwSVRIRXFpV3dpUXBkamU1NW1lbW1iWTQ5UVpxaG1jWmhOczlUR3BQdUxmUlV5TkVsVDFDZlJxSk1mZ210bDMrY3Nwdkt3Y2p1a3hpei82U2NKR29yM0dkOEVRRXN2VklqTlNzUFBsb0Z3SHNoNkVXRXNvK2FROXlYRkg1N2dGa2J1dVZGVWRmRXAwYzhEbFpPNzkyMDZKbnIwaHQvcDg5K08xRjhVMHg3TVAvdmJuMjE5YkgrOVA3TXh0N1RRSzgvUWZLaXk5WU1OKzFWcFFVRWwvN2x1cTVPdi9hc0llVW51anRZU1A3K1RJSi9Ia2M0cEhtSE1LZjFBVTN3UFdwUGFkVmlGdUtUT0lxbEYvUlRyS0hha1JvNkZFNlNacldZQ1Q1b3VrRkMvQncrMlBpWlkySTBuNHJRb2t5cUVFZG1uamxDMkRXQ25oblNPT09Jek9nOTNkalkvdmN0RDY4NWJFSjRXdDBBbUM4dXkwRm1MUStBSzdTdDlxbGE2QWptbkxoTzlyenRSTGY0aW9FQnZYVk95MDAySFJvMjA4WmJPYldOWUFhT29yV081NDBucEFhSi94R3pHaDhxTXJYVkM5dDBQN2hUdE1ZQ0FuK3pybmJHRTBCeWNzYnFCSkV1U1dHbTg2ZlFWR3B0dUFOT2tkOVZ5YXpoUE1ZV1NhVTZBVG40dGdVZi9KVTZGdU9EZDRhdENlTGEzUHh0MTIvNkVFUHFtckhuaTFJQUdqMU5ETUpsZ25GdUtuMlFKa1F0aHRmUDRKbzgwRElyYVpZTXhvblo1S3JmSTBUQWd4R3ZMOXlycWxVZzVRcjM3SVNiTkxVVTRuU0tOaDdVaDU5Q1JlRGFCakpQdEpLRjdRaWN5NU5mRml5YXpqWFA4VFpqdGZEak8zR2prYThwMGJQdnhxaGpwd2JMMGJmdTd6M1YwaEp6ZzVwMGNyelg3L2NmNWxOREFRQzMzUEp6RXpOU3NJRkxUNzdRMHNkYTk5dXJIZTF1Kzg4TzUzQzE0VjY3cm5wQzJ4VXFTZjVyL1BLek1OdDF6cERSeDBmZnNuSmZlR3ozYm1xdVVJcUlLWVlDTlhweEVpd2U3Z2JRZ3RUTWZwNEorOVNpeFJ6ZWF6dGRmUHRIYXFFaHJONEkwaFJGVklJNkxiOFJuSkJxL1hkYjFjWlVhd2VIWVZISWdFUnJzU2UwTm91d1lkMHNTejdJN0RMdEc0QU0rSTNKWGdyai84ZklnVE1UVGdhKzV5S2xTRldLVHB0eFFQV2RYb3lKc1FHTFBRVlJqWVRNUUtWT1AyVjJiTzQvSXRScWhzNnMzSjdMdE1Yb0VQT2pKU0pmTzdHd2R2dkE4eCt2WmhBRDBrSWpMZSt0dzFTZW9ONDBaQng4Vzd3L3hTTGxXTkdEMjdrY1VUNFVRMWxNd0tzVHdYbXhjdlB3UUN2UkJLMys3U1lKTEN1WUdYSWduTkxiaS9ocm15RHdUdk01K1NUZWU5VytLTkx1V1Z2VzZSdVkrV2kxcVNUc2I4SHg2NXQwd3cvWnAwTWZDS3Z1QVpFSjhYTEZiZ3BnbVljcE9mdTQwQnUvOFhxbnNVaUhZeFYwMkZFdjVWY1U5aWphZWZCNWF5UVRPQVFZd1ZYaU5Cb25GS3h4cUt1VTc2TDJMYy9jZzc3bDRJc3RCN2kyOGoreHpYbVhlTHZXSEEwV0xHbUVrTHY5WUc2UXNUQkg4bGZUY3JrUzVGemFVeFVXSGZtbUlFakttZEtVZ3hMM0ZyQzVhdmRaNkxsbk5ud2R2RjUzRU43V2NvWkRvc24rcEN5ZmxyNXQzZk16ZS8vYmxUVzNOWDcxSmNYcmNVdnYzbGFHb29BbUFRTTNGMkx4ZFptd2tNWlRhT0ZrMFRPZEVXQTZ6dDJ2MllDd20ydkhxemZyR3ZoNUpPVDYyOEhGa09kWThaRGdKQ1Z2NzlHYlVWTVVVbVpnWXU5eTVmelAreUgzSnZhV3dzNXc5Kzl1Y3VTandqUXJ4dEZoaEY4Mkh6NnNRQXZYa29UQXo2alRyTUV2OEZtWGw2MVZaK1dGNW83RnIyZjdUcmVkbmJFOFZZbnc5WjdVUERRUVdqa2FhL2htUVE1NDlnWWwyMzFmTXJ2VTlYZm5ZUGU3eXFUaURnb2YzblNYbkRqM3lDcUs3NWdybkFGTWdtcC9OQjlXME12dWNBMW4xNE5uSmtuNHdKVVJSQ3NUZ2VBZEVmZG5zOEhWUzlCQTVTWVlsUlVranhvQ29XMVNSejBIK2k1bXRpank1RFl0a3NkS3R0dHBrd2lPNDcvc01iQTdLZURuOEFnZXptUzRzemtENTBMaEU3SHc5eFpCOEJrNnFZVXdpcFlDaWxQcnpJTHhqb3BjNnllaEJzVTBXWkZDQ0VDVmwzbDRBQkVWWWJUTHlpZ2pZVHQ0SDBYNXAvMDZFekxJSFM2WGpiUlBvcjJpOUNQaEpXRTcvRkhvamlSaytrcGpGRGlqLzNKYjNqb043cnBpczIrZGtNL2FveXRkbWwwV0lweDlUTFNBZkMxbzcwazFzRSt1M3V0K3ZzRW13amFsa09QSjg3MFdhOG54YXF2OU9pSG1Kem5yVWN1MGU0L21XVXNMT3V6cldEMXY3MVcrLy9HZllXZUU3UnI5T0kwTkdFOE9OOGZyenhtYmhpbytGd3Mvb3VxYVg3R2wzM25oSVhWTm1rcjNYeWFaNTdTUzd0RHR2WEtlK25XOXN2cDQyc1grbjlZTGJoSkJ4cDlPSzFDejZna0xKa2VOS3d6Nk5oejRhNHpWaUJnSnUwNTJxTDlvUlpoM2NiZmFtSWtFL2hBbjgvY1NoWHBEdFRWeGZndHVSMHRPVTFlVnk5NTdsejdNajBxY0pCWVJlN3NpMXRMbER4NnB3MC8wcnB6L1l0bHcrVzF6amMvS0dkVXZUQit2YWxJRkRqNXJmVnlScnNaMzZiUjV4WXoyUHZ1eU9jV3ZoTHZJWUFoVmk0ZHNUa2xVM2YzTWx6S2lCRzBXNzg4WG96U1NQYnBRV0JVRytxWGpvaHE4aEpRc2xuMUlkRjgzZ3UrSnVvSEdGZzg2YStXNm8zVms0NEMyeXVwVTQ0TjNqOHJHMCt2UFFIR1hQMjZiUnpoVEpNUzNVbjRCUXFFSWdnTS9mSzFvQjZBd0s5T2NyMHg3TGRhSEJiaFJzdmFrUmZRY3JlTmlNYjhMZnl2OEJ2aUE3UlJtS1dBditVTnhwbzZoVWEwUWNLVXFnTEpTbGhKTWRKakRiWmwyT01IcTFLR3M5aEpJSXZoQ2Z0aEFGZnVYcmZRUS9zb1NLZFo1NGZVSmIyWk1rM1huV0pCYTJEYVJMOUVTTEd5a3ZVWnJVaTZ5c0VtcjM0RFp5Z3FMdUkzeXpmajUwcGg1YTk0UDZkNElCUSttUGFuZnFFTk81SFRLdUFtdDdJdlRoOUUybDF4K1Q5dzZoaFhRT1pkZHd4SHpRaUdOLytMbEZzdXZCaGlxK3pPaHF1aTliQngvQjhYV3l5bWFHVmw0SUtOYmJzOTA2c01jMnEvZndWZTZOcXpQUzhZbkQ0c3oyU0hTVVU2UlBMeVpzNEhUeEhyT0oybEQraDRUZUw5ZzQvbTI4SVpZNE9Ca21MWUN2QzZoVFZseitXbnZzaFhqZUNLY1djbFVUQlBTbHc5YVlGdUY5M0NsWUFybEt0YUNWYmxmNnBrR204dldCZDZTS1k5QmdhcWNCU1lYb01mUElkbk9PZlF4SE9pb01waGZaS1o1T2k1czhhaFVoVjFRSWpZT0s0bGczbjBxU3cveFJ4ZFBZOWd1c3p4RTdJUGRVb1NzZDNnM0l0MXhER1JJcFc4R01jdUZOcTk2eUhjT09XN0dSdThhYzdIVzdWNWw1Y3BOcU9DZTRrVjJLRzNKQ21zQVJnLzdQbXA5TmZQM3RpNUtnVmpXYzNGN3hBTGdJR0ZHR2dhZDBMaXN6d2dDaVpTaTE0WGhwZEw0UVJTT3ZxU0VIanBIMTFXTmpOMlUzeUtRM2NkVTJZRGZjcng2enQ4SGozTGVoOElFVDdrTWpQWnFjWnArTFZzT0pVM2FsRW4vaVlEK2VweWxZa1c4NTBQTUhaUUlBVDlFMWxVTkt4TkNDMnRZTjVqQmFVR2tZayttNUNDdEZWWDJuTFl3U2VuQ29QTjJRdCtoMlRXR0hGWWV4SlJHNE5WdUZQd0dtZHIxcWM2OEFwVXZISnNTZ3NoQ2JkOGxwZnBZZGx2UEoyeXJ3U3VEbFJWUjYycmxsSjkvMndtRGY5b1ltb1g4dW9XclR6OTkrL3ZLK3FPSHAwTFROK1cyRUdwbE44NWlIdFVORTlPUDRJcC81V05SRmlsS0Y0SENVYTZodmI4a1NxS0kvc0lJcVFLRWR1TXprTURJeG0rQVdjT1VGdzRpeWZmN2ZKSWE2Mm52NEcyQzhDSG1MN0VuVWtOUzNaSkszaTQ4WTlQVlFUQ2ZzSlVsMlJIdDNubDdZRDZOMThjTGJ5amZEVXRNdnhxNjEwVlloTzNDRGZOajJOTjVpZVRGTmhWamJ1Wlh5aHFwZlJ6R0ZsOFJveVhFQk5tTmk1bDlqU1Nqeno2dEhQcVYva1d0Q0hyMHUxYlM2T1laZUVsOFhsZzcrT0JvbnQ2dG1UOGgzS0hjTW8rTU4zaEVta2cwSkppVjVoUk9wMUM0N2pMNXlTRzA0ZTFVSUhsYnFEVTlEVmwzS2ZXQlVOME50NTZUN29PQXV1cmJjZGF3VFBUZXpIazRTQXFha0hDa2J0RmYrK3BEYUxZR1lkREsrZXVCS0pCalBPZGhpRm5IL1NaZVFtS0puZnJMWVo5amV5VHZ2MnBML3h6c1JWYitVT1lrZWNTL25sSFN6c2JFdVJIMlBqUjhaNkIxbmwrTkdDci85dE5wVTJBWjBuUDYyYytSYXdrZ2h4c00xL21aeExQKzFvdjVodHQyYmcvK0RudjVIc0ZKVmlIaWtUaWlKNGFtNGJ3VUJISW1IcUc5aFNVaW44N2lBekovczJBRGpSRmg2ODh3QitDaDJRZTBWWUR6blJsd0RhTmR0b1EvZkVsRnp6SktLSlJvaTNLM1Y5eEhtUSszNkltS2VYZkJ3SW1EdWM0RVlLZlN1RC9QbHBlOEtyU08wSGxxeWVmNW82ZVd6N29CVHpFM1JTNk9QUkRYRE5NZnJjMTc3MmpwZUZyU2U1d1d6MnlaamhtT2Z1MW96cjd1NjdsVHo5aGRGWjZlaEhBVVBWaWdIMnl5cVJIUno4b1doUyszYklaU29oUVBRK0kwMFNienM2SHpaRnRoUzlIelFNTHBvNWw5Rm42US93ZDlCcVRpUWxiMnNGM1U4eEZIUHBNK0FjRXlGOERuUitqeWIyM2YyTFp1Z1RJVFZ3NHpHVnFpanVKZVZNMk1FcndoUVBHd3ZvRk1uZHdWWGVxZ2FuVFprQnpVRHNkU3VVeGdqejVRNm90cEk5WnBqTS9FYjIvRkN0QUhKVlZ3RzFNNlZyUVdWTkpBWjBnVFROQmkvT0NLTnpwTEU0U05OS3NUR3FaZkNtZ2pjUFRjMDJLTFU5cTZDZ1Y2ejRpeEF3SENKeWlhYjEwelBPVnRzQlY5VHdiaEJpVWQ1VEpscHk3TlNuNXZPdU5LZWE5U0diU3JFVlBQcXBYMHhmMnlOKy9ySVlkRk1Pbk05S3VEUytmeFo3Q1JIR0NXSmpIeEVwb3dDUDdOTXlRaEZNZlpucXI3OFBQaUZKVHNvTjRhbjFYWkdDWXVqbnBEd0w1cUJScHFhMHNKQlUyOGhJMk9JTW9KdEdHZUMrRzRYSmxleVRzUXROK0d3TnNzTmg1ZHpXSVk0RVRWclhjallWMFptcUYvelhHMnhiS05icmRlWlAxOEYxWlhuZE4wTURQaVkrT2ltdjlPUjJvQWFJKzN6WjNmVW9tZUNDdllkcURKMUw3dFM5L2gwZ1gvcTZhbUtBVzFQN3NPMHg2ZWxVRzc1MWtPajBteWRxNmZpOUt1MkJ1VG1BNktXTzlnTHdPUkt1T0t4aEQxL1ZKMzVOYzlnVndncDB1UU84cno3bEdwYitpTWZ0Z3RuWmNvTklSMHF6MXpZMG92VkpIODMwbTVicHQ4SWJtREhRK3Q4b0luZThVYW9EcnMrN2l0S2ExSytaMlNpdDhTNFFZUTFQUk9CVjlhcWpmTDNic0d5ZmNvWnhrYktOcm5yUkwyNnFxbHJXampZWEpka3JyMjUvMVAxY1laUnV3SysxTE8zQi9VSkIzc0dNK2lWTWJQcWZ2d0xWWThjWW5GL054MDZIalI2b2ZoN2lKdDYxU25jK1VmdlQ2T0pJVTQrS0wrL3RUdjE1SHJOWUo0MFZaYW9mSzNjQ25mSkNLdytORzlkT0h4ZjluMjQrdDRtMUdqV1ZOaHhpTjg5VFpYZWh2dFpjb3NHMEtNSHRVRytEYTUvUURCelEya3Vzekwya3RDY1lNQkVhVGxOdGdTcmY0OEUrODZPVkkwbFhuOXpqOERYcEdoTVJ3ZUY0aGV3c3Iya0JBRkxRcjhDOGFXeEVKS0R6NE9vWFdiVWFPb2tpb1BkaERHQms4VkFsMTZLK0VtcGlKVkpzWWEzeXR6K0lwWVpQNGVESDVMUDBIb3BHMUhiTUJiekRKUDI3VFV6Wk1laEpQUHQrSjZnUDlEUFB2MGVYSVBURHphbkI3eWdQajhmVlR5MCtsajZwTkRHTjQ5MGZsdmswV05qdTBLcm5MU0dxdWZRTi93Q1BsNnAwQjNKTTd1YTkvUDlrOXphanprUlE0OUcwMFlqMzl3N2Y0K3dGRDVlK1VRUzl0ZEhOVzVyTmlNVjMwRHZIa2pvVmJxQ1dNbW5Ldmw1dFlXeEFjTjZVY2FkWmtoNDk2RGNDTjNEcytwR21jQlJYYzdZS1N6U2tXVk1LaFlNOWtxT2N3M2hoSjRaVytnZy9hWm9Hc3ZGZzduemJ3bHRzWHphMTNETXU0R2tHaklLR3BIdVZaUmhiSlVqbUlNZE5LV0Z0bVlYaTRjTVZWUjBIaUw3UUR4cWx5TlZVUCtXbEs4K1Q2d0pPUWhPRnRHUlpJZTNjalFUeG5HVVdoT1M5Z1FtK1JqYzl6aTZjMCt4WUx6aUFRa3pJcnhZV0EzUGUwR1llbEcvM2YwQXFWaWFCWWZJZm9xSXdhOUx3dklhKy9DTktvVGtzTXhDdlZseTFqS09SeFBRdTNCLzJZbFB0L0h6M0RTdmcwZ3hqdGF1MDdrVERyd2k4NkQ4eGVQMzBYV2pWWWp0YkNDdGJaU3h5YzBlTEZvTUhuRTdmazY0bURVeVBmVlpoVUFtMlQzSFp0SmVzR0Nyc0pERHhkS1RiMDJDMTJ0RnNsV0kxSXRVd3NtbTdiZi9GaDJMUzh4aFRCcXNCSmNFbk50enNGd2k5NHN5YldQZldYbTU3K1dSM0h0Ly9SZ1hQWS9iampQODNWcy9LOTBwdEJPNTdyZ0o2cDJ2SThILzhjeU8vUFF6eC9RZmxTOGtWUXErVmM3dG5LdDNzZDFYK1hua01qTlo2eFhMOHZtVitFTHZsTlpYZ3lVVHVmbUVTV3cxTmo1K3UvSTF0UVhmQlNEbHV5Y1dnSGo2V3JXRnNQOFBUN1NsS2U4aVI2bjlqN1B4YkxzZEc4YTVFWitaaUYrWURrWHFVZ2FweUhiZjFkaVB4YUtiUDhhL0pjY0srMkVuclFXSGlDOXpyOHc3MUhwWnBlYVlINlYzTlhraEJBem9ZVFMxOUtJM1I1Q3hFRTFpQks2VFhvTUd1ZncxOE53aXQrMGdUWGJrSlNqdXRzQkMvQ3czVnhhY0trYjJER2FXN1d4NURzWXhvWVRlVlkvY3BOaXdjSEQ4VmhSQjZPcmFKWXpkOEpYWUVwck91TVhYVmU1RFpUUDBsMVVJMk9wbjdBYnNCZFNrK3VtRkhsMnhCdjFDR2xlZFkyd2ZubllqZ2lVN0ZsMTJXUEVRclo0bE9WMThCQnBqcCt3dXN3SHR2MVFJY1BweW5aRjJQOGd5R01UbmZtVmtGNjBHcHpmWjYvWUV0V0Ixa3ZwRDJnUFUzVnZMVGQ4a0d5RGt4TU0ydEM2Y0RtVVV1ODB0Qk1yeEhRZWlxSGNpZE5WUXZlVEppdnBPRkFrdjJFOWVyeWo3YXQxK1JMQ285OWxpcmFKK1JPaGVHZ1VGYy9nbWJ5ckEvbDdVMW90amFMY1FLa3YrWS9naFFwbmpIM2NYYlJONkg0bjJrMFFOL2kvK1B0WUVqbDV1K2hSUldSV2dHM1Jha2ZxSWFWWXdkL1ZWWldDSVMxenVvcmxOMWJYcWQvc2M3bGtHeWg3N2x6WUZWbmJ1dkJkSy9HRzRxYld3ckliUlFHMEVKR2pRUk5vSVJ6TEpGeFQzTURha0FORWlKOVozVmVaRjYxRnVhYjhiSGV1VXQ3ZFhVZjZRNkpMMC91Q05QaHA3NnRDWFdJYzRSNThVMzVHa00zV3NKcG0wMFRnMHZXQkpWa2c5MUxrSFBpN1RPNnQ4d3plV204c09LamxYbzRIbW1SYXdXSHp3VjlraGVSUUl5UFhSMGh6RjNTL2tYZEJJajhWbUtCTG95a3M1RHRlSTBKT3VuRTR6R0gxVGlOOFNBY2U1b2pOWFYzcnkxdlo5My80SHptQXU0cnZod2wwbHlERmc4cE1JTDFFckdwK09iV1JLOU1USTIxUjlGc2FjYktnb3dUaVJ3cmdxeEFiS1JuaGVFTnRVeE4vZW5pUUxKSmtFZ2s4QUljNWMrUmJiOUVOYjd1cEdvREh2RG9zSjAzd2g5Nnp0b3hUYjV5TnhpUnF4dHR2ZFpUUlVXbFZHUWFUbitYS2R4a2ZsM2x0UCtMTzBqZ1lVaEJGWVJCUEpOcU5Bcjl4STI0UVA2VVVsL2pVMlN6YldFUTV2VHQwdGlGejBzdlZPTmgwNDRic3ZQK0hVdmV1alVTUld5K2VIMlVzRHQ3T3RINno5bjZPVGhPZU5TQW54dkdQeGsrdkpsMkFLbHZDYm0zbTgrQk84bjdlZ0xUNElEb3c2Qi8rSzB5dE5iM2syRnV6WldOeVRiTEgxOWh6T2NCTDJrWkREa3l1NmhEbno5cUhpY2pDKzJ5ZWd1eE1EZWR4aEtkSHlZQ2pSNGwvUHhrdjZYM1JhVGppMnlqV0V0ZUZoZnMyanNjS2h4SlNieG5ySFhQTk1qenJjcno0N1VQdHkyNDN3MTBWLzg3d1BoVDFld205VURsNW04QVo3QURZMWw2d05zaW03a0trODJnS2tibTlaRmx2SGxUdUFPMkdDdS9Mdm44S0ZWYVFEUFcwV05UZktFRC9rOTk2TmNlR1dQeUxjc0pzL3hROE4yZFhNeGhRK3dsVVJTb2RYSCtlUWFDRnZ6bXdOeW8ydUxOeHovaFNsdS9LVHRudmR1WUdkQ3NhZTJrUEFUKy9IS2gvYnVBZWNmcmZMVkdUcHRYK0ZGVnFRSDlkMC9sdTRZMG15dE9qSzA2Q3I5ODRuWWpmKzh6K0d5WDZ4Q1JlWnpVQW96Y2luaHNuQkVGVlFPQzJoOStMV1RjNVNMTm1qWlBNRTVzeGZzeE4yajhKalFwMktDdDB1cWhCK0xVM056MFpZaTdHTHpEdmY5bFE5YzdsWUpmVk5FQUpxdytkTUdhVll3bU1nVG1BaTBUajNXUDRqSEZXRnF5YXB4ZXRGMGI5OW5wQXNic1o5NnNHWU5FQzAyNHZ0U2NMdFJDSC9EcDNXZnFKOHpzK2hpamtMYkNhYk1PZkhqVjJvT1hzYzZ0bDJzUWNDM2dOUnlMOUdoQzFkckJ3VndwUWEvUkt6a2Z3dk1MaVBuN3ZDbTRJWFJVaU9mWUpvZDgwVnNXczR0V2NmaVJhY0g5SUlWWFg5TVJRNWxtUnZkWFJzOFJJWmU3NG9OVGg3TmFrRWQ3aU1RcFJpRlpudGEyVE81Sk53QjRUM1VUQ0FLRWFhMGhrdWo2d2lKQkN4R3N0QTVxcTQ5OEVVS2FlSHAxaE12NVM0YUJGNjVqTm1MZGplc2xwVVdPdE1VNXA4N2pRRXBUVTFZVk45dFo4VE9FSzhqZzhoNE16SlY1V1dMbSs4dGt3N3Y3cTN5M21yUzNhQTE3aFBTbHU5b1UrcjE5MGE5SDFuaW52RjRSUFBsbHg1TWRwOTNzK2FwejYyMk9VeEsrUEUzN3pCUnFYT1Vka1crUms0WDRDOGpVY0NnbloraTNPbTBsSitIS0xSTUdhd25SZnFLWDFob25KV1BiOHlzcEtJdUUya0ZLOG1pSnFERmVRM3dISFd5eDB4WDRiN2ZNYVNHQ2Fla1VtN3Bodjc2NmUzOW80Q2VKd01yYllDSVdWTHZtRW8yRHE1NS9TSWcwUGtiZVY4d0ZORjVyL0c5c1FPSlhsNFM0ZnJzSUxmVmd0emJ4ODNMbzQzS3V3RUVpelpyeWNPdkF0NVJDUmVFRmpKOWNYU0dEZ0FxdjBSNmtFMXJtU1FVVUprT3U5dW1OdzBsY05nb3lTL2kzVHZXMzBQNHJsNVNQRW56bll6bWJBbHUzUHZIRjVyOEZZZEJzM0RRUmxpNGJ1U2paMzZ3eFFIUW1odzNpWHk0YVQ2UDVOeTRuazY3YmpSdTV6UkY0cEk5NnBENC9mZHpuTmVWUjRXay93ZjFld3VEN0o1R1ZSZCt2NXVIdE4rTEtEd2pCZmI1ZGVxQWQvYTJ6WHJIeDg3K3l2aFRZRzY1b2VMajRoM2w4VFpRcjR1U25mMTZCMnNWdjdmdk1WVXZUNHhHclplNUI3QkNsL256N0N5bjVCdHFpamR2SlhjQittT2VaVHd3MDBwc1VTbGRvNHcxbFNiL1p2Y0tUNTVWMi92Nkw5RGZSNDNCU1hzdTAyTWI2U3NWNzQya0p2QjZkQUIwV0EyQlVPK3BDaFg3cEw3cXpVQm9OMFl6RkVlQ0NGckRYMUpwSzhqYnh0WDJzUEZYUmp6dDQ3eDZqRlNRSDBCNko3UTZBUWdRTFNiK1NqbVJtZHEzZnhxV2tsOVZWMWIyeXd2aUJFWnYyeHY5Sks1NS94ZEw1dmFHVi8vT04vZ2dzcjNVK1A5YXJQdWFSOG5xVTJ4MjFrNDVlY2xEVzErLzJVcW9iVGdRMkxWN2dvamcyenJ5alVudHB6Ni8vRy9EMDNWNUg4QlVFc0JBaFFERkFBQUFBZ0FRM2FEVzJJMlhjR3pBUUFBK0FNQUFBd0FDUUFBQUFBQUFBQUFBTGFCQUFBQUFHUnZZM1Z0Wlc1MExuaHRiRlZVQlFBSG50MHZhVkJMQVFJVUF4UUFBQUFJQUVOMmcxdHhCWFZKR2tJQUFGTjJCZ0FQQUFrQUFBQUFBQUFBQUFDMmdkMEJBQUJ3WVdkbGN5OXdZV2RsTVM1NGJXeFZWQVVBQjU3ZEwybFFTd0VDRkFNVUFBQUFDQUJEZG9OYkpQRGIrRG9BQUFBNkFBQUFEZ0FKQUFBQUFBQUFBQUFBdG9Fa1JBQUFjbVZzY3k5ZmNtVnNjeTU0Yld4VlZBVUFCNTdkTDJsUVN3RUNGQU1VQUFBQUNBQkRkb05iSlBEYitEb0FBQUE2QUFBQUV3QUpBQUFBQUFBQUFBQUF0b0dLUkFBQWNtVnNjeTl3WVdkbE1WOXlaV3h6TG5odGJGVlVCUUFIbnQwdmFWQkxBUUlVQXhRQUFBQUlBRU4yZzFzbE1Mc0tzZ01BQUdNZkFBQUpBQWtBQUFBQUFBQUFBQUMyZ2ZWRUFBQjBhR1Z0WlM1NGJXeFZWQVVBQjU3ZEwybFFTd0VDRkFNVUFBQUFDQUJEZG9OYmc5WW5tdG9xQUFENUxRQUFEZ0FKQUFBQUFBQUFBQUFBdG9IT1NBQUFkR2gxYldKdVlXbHNMbXB3WldkVlZBVUFCNTdkTDJsUVN3VUdBQUFBQUFZQUJnQ2RBUUFBMUhNQUFBQUEiLAoJIkZpbGVOYW1lIiA6ICLnu5jlm74xKDE2KS5lZGR4Igp9Cg=="/>
    </extobj>
    <extobj name="F360BE8B-6686-4F3D-AEAF-501FE73E4058-10">
      <extobjdata type="F360BE8B-6686-4F3D-AEAF-501FE73E4058" data="ewoJIkZpbGVDb250ZW50IiA6ICJVRXNEQkJRQUFBQUlBS0orQmx1Wll3WTRzQUVBQU9jREFBQU1BQUFBWkc5amRXMWxiblF1ZUcxc2haTmZiNXN3Rk1YZkorMDdXSDRuTlF4bmNRU3JNdEoybGRJL0ttdjc3TUFGcklCZEdkT2xtL2JkWjlNcU5EVFJlRURpL0E3SDlyM1gwZW0ycWRFejZGWW9HV04vUWpBQ21hbGN5RExHblNtOEdUNzk5dmxUdEZSWjE0QTA2Q2FOOGFPUUdGbmxvaE41alAva2pBR2RVdTR4Q3RRTC9RdzhOaVBVWStzMTQ5Tml6VUsyL292UncyNlZZRUltRE50WVpCOFhuU2haaVBKTjZNVlUxWjJ4YnZRUVkwcDhmREtDVjd6ZE9FYjJ5ZjFUemczYzhoS3VlUVBPY0w1WXBXZWozeXYxNjBLTDNPR2ZkL2NINkYxWGd6Nk8zYm1oRmhLT1c5d1d2bXZnbThPV0cxMHVPcU5XL0VWMTVyQ2xhZjd2V0tsc2s3d1c2U08rTEtYU3NJUWlrU1kxTC9XeGN1eDg1MHFhSTU2ekdqS2pSY2JyUkt1MjNjVU41WTlPeG4yTVVtTkhTZFR0WG0xZU5YVExUV1VuSVJ4VmJvK0c3OEpIV2RFaU0rSzViL1NsekdFNzJvdlRXNmNOZ3hNdG4wU3ZUQUk2aUdtbUFlU2p5RTNWUXhhUU1md0JvcXo2dXZoazluNk5tcHRDNmNhUkhOck5RQkxiZHdQNTByNGNERWhBUGZMVkM2YkkvekluMDNrWWpyeXFuN1hmMjJyUXIrd1ZMTVE0Wk9ZUkcwTG4xT2JRRCthOWxMNGYvWlcxSC84QVVFc0RCQlFBQUFBSUFLSitCbHYvSGhjTWZrQUFBSmsxQmdBUEFBQUFjR0ZuWlhNdmNHRm5aVEV1ZUcxczdaMXJqK1hHbWQvZkI4aDNPT2g5TTdJOEhGYXhlSU5uc3VqcG5vc0NTZTVNdDZ5WnZHdjNISTE2MWRPbmZlYU0xOHFyZFJicnhOak5ZdUZWbkhqdHJMRldEQnNHakZVV1hzUVdWdmFIV2ZkSWZwV3ZFTEpJRm91SFZXUVZMK2ZTL1I4QmRuZnpxUXVMNU1QbitmMnJpcmYvK0Z2UHp5YmZuTTVmbk03Tzcrd1F4OTJaVE05UFprOVB6NS9kMlhubjZQN05hT2VQLzkyLy9UZTNENDZmVFNkdjdDY21ibUp5OU9IRjlNNU8rcmVkeWR2SHo1T2YvL0FQLzN5VDdFeis0MnoyUExIWm1ieHpmcnE0cy9QOCtjN2tZRDQ5T0w2WXp1L3NKQVpKVlpQa0g2L3VZRDY3ZUpIL2dmL3gzZE9uaS9jblgwdktFMG9kbis3Y2tvOCtuSjQrZTMrUkhnNWp6d2xkVWoyY05pZ3FvTVN0SHkwcm9IRllQWngyNSs1OGV2eEJjeGVFV1V0ZkRtYnp4Zno0bEJ2YzMzM3o4RjcxOE83THhlenc5RDlOMDhOSGo5NjVwMm5remVsN3ZBWlhjL3hvZHRGMCtGSFJ4ZVhPRlFaM1o0dkY3TG5DNHZCa1BqczdlOHdyZDN5WEJpNVRHVHpKREZnY2VaNVhOWGd3UDMxNmQvcnM5UHl4b29maTRCUEZ3YS9PbisyZnpxY25pK1IrckhidDlxM2xtK2IybThjZnpsNHU1T0wvL3VYemk3ZG1UNmVLczBvUEhTNCtQSnNxV3VYSDhpc1NWQSs5L2ZMNTE5K2Nmbk42cGlqMi9QbGJ4Mzh5bS9OYnFuN285RHc3dEh3dkpxZjR0ZWw4Ly9URlFsVXdPZnB3MW5KMDk4V0w5R0MwOUlCY0hKNGNaNmZudTh1SGtxZndKS2t6SDFYWHFSa2tMWXFSYzZWQnI0eHgydjc5MCtuWjA5VDY3UGpEeWVIN3N6ODllSCsybUJVMyt1UnRmbXVMWC9uQmc5bUx0TklKZjdxU0FVbk9hcEk5UXNsd3U3blJtNmZuMDhMd2FQcXRSVEpHaTlQa2hJcXFsb2FCZDRPM256OUVtWGNxL05IbHovNzI4bS8rVy9iYk8zZDIwdi9ibWR3L08zNlcxWCs2T0pzcUt1YVZmKzM0N0NVZmhzU0wzZGs1UEhwVUdTcHVjbjkydnBqY1AzNStldmJobloyM1RwUEg0Y1VzZVZpZkhDZG50VFBKQmlDNTdKTzkyZGtzY1h4L3hQaS82cERmS2s3QzZNU29PTEgvL2Fzdi91RWpjV0w4VExiNnpBTHhDdm56bi8vaGYveGNuTm4rOU9KNHZuZytQVjlzNGVubGQzOTZmbUZ4ZnZlZUg1K2VpZFBMZjl2bU00dkVQZmwvZi9yN3ozNzArVWYvL01VLy9pOXhndThtVC9YNXB0K2E1Ujl5ajdiczZGNElUM2ovOU96cy9teisvSGlSaHo5dnA2Y25EdDk5Y0g4K2UzNzAvdlQ1MHN2bjlzSDg5SHh4T0YyOHZKamNQMDFldVlmdlQ2Y0xNWkI1eE9TVzdqRU5Yb1I3VEVNVktaaEtZNEszanVmSnl6TTdWLzZTbC8rUUJBWHlyOWs3WHZxTDZGWGkxNU9vVHg0Yi9wZjhpbjd4NTMvMTZnZi9LSHpxRytmZlBIMXgrdlh5OGszZW5KMThVRHpGL0FTTFgzYVRWL2MzUzd1N3h5Y2ZQSnZQWHA0L0xRd096NDh2VkhHUDNQemwvL25QYVRTWk96NWQ2OFVyUnRWODlwdmNlbTZ0YUo2LzVNckJ1SjFkeExSeHIzUk9mL1ozbjMvMDg4cExpSnZ4bTQyL2pKZENJSDcwM252dkphRk1ldGdMRklmVDF4dy9xRGkyTnpzL1Q4cG1sZnRNNml3L1hQejIxbHRsYjFsNlF4eWZubjg5ZlU3ZG91ZGZPMTBjbjUwdVBtem9Pd3NiKzg3Y2hyNHJEeDYrbjBUOFMwZHYzOHI3V3Z5ZUdXWFBVbHJiM2JQa3F1YTNYQkpSVC9oRkVXKyt4Q3M4U3ZwemZQN3NUQ1FkNVI4cVBaZ2ZuNzk0TDNsU2x4MklDTzU5NHJDZzdtREtxTjZqOWFPN2FVUDFJSkFmZTNDUWg3clVqNXpRVXh2d2NKY21hUVh6NndiSkhWM1drVll4ZWNTajc1M0pXOHVSckdUUHF5UkJ4VmpSOWZ0bnB4ZUtTRndjVXdYaXQxVERlSHZ2WUpZOGJDK1dLOG4rbkYrVmd3VVJqaU83dXU2eXUrZUZIcGVYSXUwLzBad3F0elU4MFZ0WlJ5cm5VZS95N2JkT1g1eFVFNXIwVnN5ZCszOTRlWHJ5d1Z2SEx6NUlrMEMvOXFKcWZnMlUxeWVKWmpNejFlbWtSOStkcWhPMGl0SGVNYy94a25mb1FtOTBjTHhZVE9mbitaZ3J6WGkrdFR1ZnovNlVXN25GKzVLcHplK2RQelUzNXFlYWpFcmplTnpTRHNqdHpOSG9CeXU1T0UrVHJxVEppZklPdnFXcDRQWXQ2YkpXSEVUaWJHcTNNUGRubFJUaUtQbnAzcmNXMC9PblJkT3EzdW04alRCWThqcHR0em92VS9GRVpZbjZIUzlLTkhnbllmUEF4c05VU3BrOWZxSkkzWm5kejF5OGMwUWNQaDVmU210cEtTOGFsUXBuQTlOYyt1aGJpeXhnYllvbXVhWFN4NVgxRk8ra3lkZDJ6MDZmSmZIVFhwS01UT2RaZXByZFZwbWZTT091NDY4ZkxtWkpaQkVwYnhOZW9YamYvdEY3NzVFNC9VOS9FbnZ2SDgrUFQ1TFdKbTg4NWcyMEJiNmtESHpiNmo1SXFuNDJQNzU0djZqNzhDSjlPdk1vTkQ5WGxzWmRUKytmemw4c3VFM3lTeHA4Rmo4L3lzSlRYdmo0WkhwM21veml0UHg5OTcxRit1NXV1Qm16bVBURkpLdVU1YUVzLytrb0hVZFdCSzg2dnlPdWtlWVlQMzV4TVRuSXpuSHZzZVlKcnRndkxnckRWNy8rK0E4Ly9aZmJ0eFlYVGZYZnV0QWRUbTR1ZGQreUEvekdxbm15cFNMWkh5cXZyZ2ZUMmZQcFluNDZyVG13L01pSHFpYmZubkVIclhVUGlVRjZCelFZN0ozTlhreWZOcnl0M3A2bCtXRmpFMm5vM1ZERFc3TnZUbzltdXVIVXhDL2l1Q0tHRWNkdWFhdm1MNitXUmkzOGRtTW50RTJOMFFtRDkwYlBIclZkaS9YM3dPcEMzTDZsZUlERUg4dm5MWThxVkVrTS83bElZT2h5QW5ObjU5VS9mL3Z6bi8rbFphNlMrdVNHVElWMXpWUzhVSkZWMktRcHZtdVJvMUN5dWh5RjAvcjk0OFZ4clpyNTdQbWJwMTkvZzd1eFpUQ2tLalY4dXFPNUpRM0hxSjdlcUxwREJUaHB6Nzdhcm1IWk8xWGdiZFFkTCt1T1o5QWRIbjhZcFlKRGpSWExPc2VHSFN2VzdQcHMwdFRsb2wvOStwOGt1VTdhV1Q0TVN6ZnhVb25iOTc0NVZkeSsvSy83ODBJK1RPUHI1UWVyVmxDWEl0T0FrdGdnU3o2Y25aMCtWUTZ1SEJWbi94UURWdGEzcmtUN1VVb1JUOCtmY2RIWDhmM1lyUk1rVWR0bVplVGFzZWZHbGF6RUpSRkxuMVNCQjVQN1Bta3N5Y0NUZXVMMENaaStsNkoxNHZzbm12Ty9WYlFPQkZBWVZGN21sZ0NneFplSUVsWUF3TWlYaVNKbUhsY1VXWW9ST3FmK2FZdEkvWkg2cnp6MS8veWZ2dnY1VC80YXFYOXVzQm1wdjdIck5JbkF1R0UvS21EWG4xR1l3S0Q1NzFDTkdvMThyeDZNY0NlTVJRUnlFVGV0dnVBQ25rTFlySmhsa1lmOHAwcEdPanRYNTZUbGREc2FNYzZLa25mbndkdEhqMjhrUGo5NWVUbHZmblV2K2ZVRzcxNFM1emtIdTQ4cXYrY0ppUE9ZZkxuMnR5Zmt0ZGRlcTRkZDVTeStuQmZrYlQ0WnNjMGtFTTc0UlI0ZTZFK1JMalZIRmMxUmcrYk1UN0J2aTBrV3FMaThCcERJQ3h5ZjhjNmx3M016dXhlYXNKRmJHRC9Kako4MFVxVFU5c0U3dTQvMmI3aUtJU3FSVW5KeXVkaHpJK3ZDNjJsM1hsUEdiRFhXVkJaN2toWjdvaWttUlpja2NtaG9BYUZjQ3daVm5qS2ZONkk0YlFsS3RSdno4em82ZmxiYWkvdjlNYis4eWp0UFZZQ3FDbWhJbUtuT0hjZFhYT2F1ejhnb2hyZzBaaTNHM1pQcUxDYXZKTlVwbk9PemxraVJVcnNLenN1cjJvcDh1bTlzcW8wc2pXTlRmZWg1UldVcEwrellhcTlnaC85WnpFM0xKb2NuZC9BWi8wRk02MzEybnFTRTZhVDZjdHBkT3ZOZWRycW1PZ3JiY0IzRmQwUEhyNmVwa0ZJZ3BlaDZCeWtGVWdxa0ZFZ3BrRkpxdllPVVVpa0NLYVhlTVVncFVpYzJYVXA1OWNsSGFiVCs1Ly96OGpmL0JFRWxONENnMHI4L0VGU0c2OEYyQ3lyKzZJSUs2eU0xZUFydzc3V3JLZDJWQnZNR0N5bUYrV0hMK2JHbDVwaEMyR0FXVWtyTDJmVnRyb2VPc25ZUmhYbHhGd1dsazN5eTVkcUpVZ29wYmpWVkFRYnRCTnFKZEdBekVtaG9KMTFpcm43YWlScTR0TGU2OGRwSmJTRjlNT1pDZWtJYlJaWE95K2pUaUVUL3VpT3FGZmJTaXkyd2tWTzJldlY4NjVseVU1UGxXRmc2dndGMEdVdm5xd1lWUDdNSkMrZU5uamRScFB1cSthQVA3TVdTZWNEZXRjRGVMNzczNjFlZmZBVE1teHRzQnVaZFMzeHQ3Sy9IdzZwMlhWai9ZdlgxOTJEVnkrVVZMRGNjbitXR2lzeWlKSzlFdFNxKzRLVDVWSy9PcUpRcTJDVnRScVV1YVo5MTNyZkY3clEwaVNtWVMyMlFhVktFK1M0YkJaekdsRThIdDJTbkpBb2NTanROUC9lVDlseGlrMnY2YVZOMGZTZ1ZYSFRKQ0Z4MGMzTk5jTkdWeDIzZVdoVHcxbFkxQmx1QVl5dFQyYU9ocHJMVHFHWC8wdkZtczN1MGhiMnk1QldYK0g3TVo5L3krZXhtRjdMczRrb210V2MzL3NiT2E3Y2RNMHh1eCtUMkRaSWZNTGw5Yy9RT0kwZkhDNDA4djkzY3A0bHkzU2U1aThZdzAxMmQ4RUg4MkZUeEk5czA2Ri8vN050Zi9PNi9mUDdMSHlZL1hQN1ZYM3p4OFY5QURza05Oa01Pc2ZHc3E1cjRidHNsekgwZnJnZmozQStyazB6U2oveU1MSm4wbFQyWVFvUmdiVFBnbWRkTCtEQnYwMHJjaVpaYWpCUlNTMlFxN25odTJ6ejR2czExVm5aY0cwM0hqNUtCaTRNeE5CM3BvbGpOaHcrcEUzYlNkS3cyWW9nZEdySm9mV3FPZG1LOFVzOHA3cjI4QUpFTFJCQ0FJQUJKQnpZaitZWUExQ1VnNnhXTHRqWHFxOVBFTFZOaVNPM3JjaHUycVJDTm1yNGgxNmJCWUR1aDdaZGZzSjBRdGhPQzRnTEZCWXBMOFVkc0oxUXZndTJFSUxKY0o1SGwxWC85bTh1Ly9UWWtsZHhnUXlRVmJDUzAzSVhyS3FaczgwWkNwUGJGeHVFWG56Q3Z1OEJBRk1TLzdiTU1LU25vTERHWU55aSt5ZUMxbkI5WitnUUVrVDRCVWV4YkpQMU52MitSMmRuMWJxNnpnSEtUQzNQci9oNURGRmxMSjhXWTJza21OMzEveS9jU1Vpb2d4ZDJtS0VDVUgyNkFaQ0lOTXlRVFNDWlNEVmRWTXVHdWZzQndiNU5Fa3dmejJjdUxJajZxZmJucXpzN2xEMzV4K2ZFbmxxSko4NTVCcXFObUg3UldhRk1TSlBFVkMyYmt4WnhXZXdiWnZNRjZhaWJHRys0RXpOc2EydXQ0NmIvMXZZZUFjbGZ4TXRMS3IrVTNYZHd5MHpxZG41UWJrbDMrNkR1WG4vMmtkanMzb2tIWndaU0pwZVl1cXppYzBscHpyVnNRYnVtRWxqeURwdkVIR2tlaXU5TXMzSlJVd014VjhRSU43a29jMTJxTldvK3ZrM3V6ZzRYY1N6Um5YZEdFRlVacVlaZ2ZVWXZEMGlFN2daZ1hOQW93ekVaYkxZQ3F1bWNrR0pmZE03bzd5dDdxd2hMajdoa0p5R1gzckhaa0dYb29qZlRremtOWk9UV3J2cXIwWmY3MzVSYy8vNlBOeTU4WE1BOEFza0ZyRHdLeVRtc0RBWDY0TVJnUUZtWUJnVEJ2Q3dxRVlYdGd3RTN0Z2dOZXhDWkFLQWZDTUVqZ0JRWU9GSGlkdW1CQk9xaTlraTFCQTdkcENSeXlaaG9xMGdVUS9KaEtEeFlIbWpWaG4xRHRqZDZtREhNamRVU2h2NlY0SVUxa29aZGxlU2tEa1pqYjZTS05sazdwSW82V1hpMUZIbGFDc1ZUQkUwVUZCcUl4cjhGWU9PYldqZUp4VnAreGdKeW1qQ1lTTXEvV1FrYk83RzJsWk5kWVN1YjFiNEtjekRzeWpLU3NsV2ZMby9XNFZEV1RSQXZJNUtNcVNNYVB0MG0ydVZFekxPTkdiZEp0WGxNek5DdU1Hc0VaTjJxRVo5eWlKYjdsTm5ZZXBJR3I4Y043TCtkR25iTHpkQTJScmJEWk5iQzV5d1U3aDRXaDJNR1ZVaS95SXhPL3VkZFl1T1VNOWxzdStLM21nVE1lVjV1WFdvZDNCeDlrNGpzK3BjVWFtVEFNU0tyNnRyZDMxK0FLN2RtZXhIN0hTenJZaUhlNGs2MWlDTnNCdWR0NGlVenU4YTdYZDkvaTNBWWIva0c5R3kreTIrYzV2MnQ3ZmZjTVRtSy80eVZ0R21TbElsRTVzS1JLVkFRRi9oY1pCY3B6TG53RkNlUnZ6NU5DMkNpQys4OS8rS3ZQUC8zZEY3LzcrMWQvL2RQa2h4b2ExRTIveUlaYVRNSHdIQkpGTEI4WjRzZjV3R2hBWFRtVGdqa3hEZjJpSUdXQkY0Wk56RTVNaWJCcXI1alprRnhBbHk5Z3pDNmc3d1dwTEs5c1RUMUZnUjh4bzZVazZSZGoyWjRiRDU4YzNKQm1MSHhabXBCUUY5TjVOZklVaG1aMEdtZnhQMGVOWHlLUisvcnUwZTdiOUliVXhKZWxwalhObFdwUFBxNUcweHRFVVRrUmFaL2h3SXZKYzJiVGk4SUNBeDl1TTl1QjI2OFR3TkpRMTZoTVlGVldEUWpXaGw1RkFVbmNKK2pWZXVoVlM3ODcweXZQVGYvVFRMZncycVpiOE9xdUs3Z2FERnRKTTZLTzdqMCtldmVOL2FPSE4zSUNvNWhaVjZsRjRsamhVajBQNzczeDRPR1JhVVgyYUtzTGFSTHUvU2J4bkd6cC94djNiMVJwMCtUT25ZbjcydVFtY2I5eTc4M0RlNU1sRm5VemFlUXI1a0NzTHc4cnVyazlSTXlqWVJCdEVCTXpYMTdCNjcvMlRJd2ZFTzVIek9JNW9xdDNQM1FvOTlOYWtiWDdNUS96S21WMXpvYzJPaC9hMy9uUS9zNkh3dm5BK2F6VStYakMrWGlyZHo3ZVVNNm50U0pyNXhPWHlUZy9sWnQ1UTBPRVFWNmpKL0w2ZXlMalh1bzlrUWRQQkUrMDNkSmdvNkJuSlEwMnEzNnJsZ2JydTFIVUxEUFB3NXd3amxnMHZkbXdIcnhGRzJ5Y2QxOTJTbWFYM1BXWWRNOXpvc2ozZ3VidTZkZEJqZ2ZEZzFYRDhOaUpmTjh0ZEFLV0UrN053K0VXcmZYRzRZRVRKUCtpMFhFNGlRYmw0WUhqVXhKMkErSmllRHRSY1kvVFR3WXFYallOS2c0cUxoVUFGUytQZ1lybkZZR0tMNWNIRlZmYkl4MEVGUzlxV1I4Vk53L3pLbVZCeGV2V2NENmlmamlmQ2FpNDFrNlM1TXFrSEZnY3JnaXVDRmhjVXhPd2VKVmhiajhXRDdkbGpyakZyRzFlc29EaXRoaCtIYlBFVjRYRk53YUtpOEVGRkFjVUJ4UUhGQWNVMTlZQ0tLNW9CVkFjeWVEMkpvUDhBS0M0Mmc1UUhNNEh6Z2RRZkFJb0RpZ09WM1NWWFJHZ3VHd0VLSzdxM2pxZ2VMUnFLSjc0WGpmZFpEUUxkWU1jckJwaDhjaWhnUnZuSldQaXVlektZSEhtK0c3c2pvL0ZremUwUHlRWko4UmhMUGE2a1hIK0pJVWR5VGgxcU05OGtIR3BhWkJ4a0hHcEFNaDRlUXhrUEs4SVpIeTVQTWk0Mmg0WkljaDRVY3Y2eUxoNW1GY3BDekpldDRiekVmWEQrVXhBeHJWMmtpeFhadVVnNDNCRmNFVWc0NXFhUU1hckVIUDd5WGk4UldUY0NiMDQvYTRxTCtsR1Fld0hqVjhDN0l2R1Y3bVJTblpYamIrditBYVJjVEVkQ0dRY1pCeGtIR1FjWkZ4YkM4aTRvaFdRY1dTRTI1c1I4Z01nNDJvN2tIRTRIemdma1BISkJwQng3QzhPVndSWEJESU9NbTVFeHEvSS91THBwMGF2UEJtM2JWSk1HamVmcE43L2k1dlp2aVNqay9GaHY3Z3BSbmFWbjl6a1Z5VUt3Y1RMcHNIRXdjU2xBbURpNVRFdzhid2lNUEhsOG1EaWFudmtnbURpUlMzclkrTG1ZVjZsTEpoNDNSck9SOVFQNXpNQkU5ZmFsYkdQWDZiallPSndSWEJGWU9LYW1zREVxL1J5KzVrNFdUa1REeDNpa21MNlJ6cU5PelRjWGx3NzZic2RpVXY3bVFlbUg5MjBhSzQzRWZjeTRqNytYUEZoUDdxWlJBN2k4N08yU0Z3TWJ5Y3VUcHhVRUtIZzRtWFQ0T0xnNGxJQmNQSHlHTGg0WGhHNCtISjVjSEcxUGZKQmNQR2lsdlZ4Y2ZNd3IxSVdYTHh1RGVjajZvZnptWUNMYSsya2hTcGxVZzR1RGxjRVZ3UXVycWtKWEx6S01MZWZpOU9WYzNIZnlUYnF6bmJ0RHFJVXhCbHhjYzloWVVTRDRudWQrY1R4OGFhSys4a3RGWkppRDVVb2puemR6UFFCdURnTlk4L2J1ajFVbUVOZDJvMkxNeWZ3d3FBN0Z3KzhPTUI4Y2FscGNIRndjYWtBdUhoNURGdzhyd2hjZkxrOHVMamFIdmtndUhoUnl6cTV1R21ZVnlrTExsNjNodk1SOWNQNVRNREZ0WGJ5Qms0aUtRY1hoeXVDS3dJWDE5UUVMbDVsbU52UHhiMDE3S0ZpTTN0YjJrS0ZwWk8yaS9uYlliclpkMlNFeFMxQnZOaEJwZmdzWkRheFBlTnRvM0Z4TjJUZStEdW9NT2JFY1J3T3pjYjVUUG91MjZqNGpoL0dYYis4U1J6ZkMwa01ObDQyRFRZT05pNFZBQnN2ajRHTjV4V0JqUytYQnh0WDJ5TW5CQnN2YWxrbkd6Y044eXBsd2NicjFuQStvbjQ0bnduWXVOWk9ZdU5sWWc0MkRsY0VWd1EycnFrSmJMektNYmVIalQrWXoxNWVITXhuRjdWYjhIQjZOajFacEc5QzlVWExpdWJjSXNWSnU0bi9ybGdsdlZpdXZkcURDcG5udGdXYVp3TE5pOVRnOHRNZnYvcmtJOW03YVYvRDh2YmM5WDVMYjFRRlIyeDRUVXFmM29oRDlWRitWYW12YUZYZUNMc2xucSs4a3RxWWJST3YxYkZhOVJ1b0JrcDFrSlFFNlZUN1dsdkdnTlFFamphQTBXWW9hZ0ZFaldDb0lRaTFoS0FhQUtveHRvR2YxVmU4UzZKMDczc1pmQ1kzVXZyUVRyTTk1VFAweVlqdm45UnYydXhDYU1obkEvVnNJNTV0dEZOTE9uV1VzK0pJK00rRkkvRVZHdC9oTjE0ZXo2ZUZYM24xeTQ5ZmZmODNsNS85cEhaSG0rbFhvUk5SM3l2V2tMQW9kcU5HVmE5MFAwdlB0dWJpdDhUdDBzYXJsZG8wclV2NlU2RUtOcll1dWExMFVSUU5Ba3ZOeWQ5MHpZbG96cndpT1NtTUdoU25QYjBZbkIzS2I3MkRCZGtwOEh0MjcycWo5OXNOdzhPUG13LzJyYXdQQnIyak93V2RNK3FkK1ExUzlsZ25kUmozMGRzcGtuaWpQc3BQS3pIcTRjQmp5ckwrc2hISE5QY3J4TDdEeFo5cndXQVN3eTBTaDN3Nk85Yzg3aC9zSForZHZQc3diZjdvMFR2M0ZFK0x0Z29yZ1phRUlhbkZIcnhBRDRIVzVmK1c5VUhvdFdVUm0zQ2xISWl1ZXUwQVlRdXY4N3FLdG5xZllnY3ViWndsTDFtTGJacDhrQ2pWNGN1SE5rNVJsRFYyNTZLVUt2cnBwYlJ1bTh6cUFpMENMY3JIUzdUWXlQcXMwR0lqcExSQ2l3MUdobWpSMnVXWlJsemNlQmpTMksyUGJaT2JlbmZMaE1kdVJDZU1yOVlnUFJyNWpsclZ4T2tLVlFrVVZJVjd0Y25SL1BRNGZaMUxNNmUvK05uM2Z2L3I3eWIvMjUyeEVKcHk4bXdqaWNTdkp5OHI4ZTcxZk0vM3ZkZnp2NG8zcWhjUXhqUkVTNHBTQnEyM3NnWEhvS3pHZFNqMXhOYUJoSkNBR2tLYndHR01SbTNFV1NyMVJGY0s2R1pVZEdNeDVLTUJIUE9icGV6M3FnR09lR1NOQWM0b0kydUpjYnFNYlAxTXJ4akxvVzc2WGh5WTVXQ3lmYTBJNEkycS9xc1BiMEtQc0FLU0JIYjR4dHhuaXNJZEtBNmxTVEJWYkw1bWgzRlVaMmNEYzZMQUQ3MmVNRWVjQUpCT2JnK2tBNlN6Y1VqSEptTGtwYXlpTDE1aUdLNnpQUURGYW13RzZkWXFMdUpnS0lVZjR0SEI0ZUxETThYOHVhMlppT2NSeFVTOEgvemk4dU5QTENmaXFhYmFEVEFSajhXcThUQ2RpTGMwQVFjejhUQVREelB4bHFvZWFpYWVwOXFGZXU5MGZsS3k0c3NmZmFjN0lxWXlNRytkZWxleDdqdnhic2t6dE5OY2sybC9ObTVLS21EbXFuZ0JrTnRoeUszWmFJOEdiWTN1anJLM3ErYTFsU2ZOY09iYXVpaXQ1VkRTZG8zT2xzMWFUWVZUdmZ4NUFlQlQ0TlByaWs5OU10aXlYVFBQeFF0cElvdWhrYW14Z3hMRnpOMnFLTFlVZWZUYldjVGRNanFhcG95YncwZGQ4Rkh3VVkzUmdLdHBEVUNhcVFkcFE2RjdMK2RtME5iSzA3V2dVVzZ6YTJCemx6TWxoNFVoS2FRbFNqMU9FTnY5NWw1ajRaWXoyRytEdTgwRFp6eXVOaSsxRHU4T1BzanAxb2EwM0sweURFaSt6MlZMZTNjTnJ0Q2U3VW5zZDd5a2c0MTRoenZaS29hd0haQzdqWmZJNUI3dmVuMzNMYzV0c09FZjFMdnhJcnQ5bnZPN3R0ZDN6K0FrOWp0ZTBxWkJIbS9mWFcvbCsrNVd0dDBsNXR2dU1pZk85bmZOTGpJTHZEQTAyWGJYcmoyeDZhN3Z1Q0V0bCtWbU8vZU9zK2t1U2ZyRldEejZwcnV4TytSK3U4VzRkdGx1MSsyNDB5Ni9LTXgyMWZQR0ExanN0RnNibWV0RXI3RFQ3c2FCSyt5MGk1MTJONUdJWVllNTdXWmkvQUIyMmxYYlBiQVA4eXBsc2ROdTNSck9SOVFQNXpPUm5ROTIycTNZQ2VjVGw4azROdHFGSjRJbjJqNXBFQnZ0cm15alhabGRiczlHdXpvWXpsWU53Mk1uOG4yMzBBbFlUcmczRDRkYnROWWJoL1BQM1FYUjZEaWNSSVB5OE1EeEtRbTdBWEV4dkoyb3VNZnBKd01WTDVzR0ZRY1Zsd3FBaXBmSFFNWHppa0RGbDh1RGlxdnRrUTZDaWhlMXJJK0ttNGQ1bGJLZzRuVnJPQjlSUDV6UEJGUmNheWRKY21WU0Rpd09Wd1JYQkN5dXFRbFl2TW93dHgrTHE3N2J0SkZ6eEMxbWJmT1NCUlMzeGZEcm1DVytLaXkrTVZCY0RDNmdPS0E0b0RpZ09LQzR0aFpBY1VVcmdPSklCcmMzR2VRSEFNWFZkb0RpY0Q1d1BvRGlFMEJ4UUhHNG9xdnNpZ0RGWlNOQWNWWDMxZ0hGVlovZEd4V0tKNzdYVFRjWnpiK3lrb05WSXl3ZU9UUnc0N3hrVER5WFhSa3N6aHpmamQzeHNmaE5Mb01NUjhZSmNSaUx2VzVrbkQ5SllVY3lUaDNxTXg5a1hHb2FaQnhrWENvQU1sNGVBeG5QS3dJWlh5NFBNcTYyUjBZSU1sN1VzajR5Ymg3bVZjcUNqTmV0NFh4RS9YQStFNUJ4clowa3k1VlpPY2c0WEJGY0VjaTRwaWFROFNyRTNINHlIbTRSR1hkQ0x5WmVYdEtOZ3RnUEdyOEUyQmVOcjNJamxleXVHbjlmOFEwaTQySTZFTWc0eURqSU9NZzR5TGkyRnBCeFJTc2c0OGdJdHpjajVBZEF4dFYySU9Od1BuQStJT09URFNEajJGOGNyZ2l1Q0dRY1pOeUlqRitWL2NXamEwREdiWnNVazhiTko2bjMvK0ptdGkvSjZHUjgyQzl1aXBGZDVTYzMrVldKUWpEeHNta3djVEJ4cVFDWWVIa01URHl2Q0V4OHVUeVl1Tm9ldVNDWWVGSEwrcGk0ZVpoWEtRc21YcmVHOHhIMXcvbE13TVMxZG1YczQ1ZnBPSmc0WEJGY0VaaTRwaVl3OFNxOTNING1IcStjaVljT2NVa3gvU09keGgwYWJpK3VuZlRkanNTbC9jd0QwNDl1V2pUWG00aDdHWEVmZjY3NHNCL2RUQ0lIOGZsWld5UXVocmNURnlkT0tvaFFjUEd5YVhCeGNIR3BBTGg0ZVF4Y1BLOElYSHk1UExpNDJoNzVJTGg0VWN2NnVMaDVtRmNwQ3k1ZXQ0YnpFZlhEK1V6QXhiVjIwa0tWTWlrSEY0Y3JnaXNDRjlmVUJDNWVaWmhiejhXWnUzSXU3anZaUnQzWnJ0MUJsSUk0SXk3dU9TeU1hRkI4cnpPZk9EN2VWSEUvdWFWQ1V1eWhFc1dScjV1WlBnQVhwMkhzZVZ1M2h3cHpxRXU3Y1hIbUJGNFlkT2ZpZ1JjSG1DOHVOUTB1RGk0dUZRQVhMNCtCaStjVmdZc3Zsd2NYVjlzakh3UVhMMnBaSnhjM0RmTXFaY0hGNjlad1BxSitPSjhKdUxqV1R0N0FTU1RsNE9Kd1JYQkY0T0thbXNERnF3eHorN2s0V2NNZUtqYXp0NlV0VkZnNmFidVl2eDJtbTMxSFJsamNFc1NMSFZTS3owSm1FOXN6M2pZYUYzZEQ1bzIvZ3dwalRoekg0ZEJzbk0razc3S05pdS80WWR6MXk1dkU4YjJReEdEalpkTmc0MkRqVWdHdzhmSVkySGhlRWRqNGNubXdjYlU5Y2tLdzhhS1dkYkp4MHpDdlVoWnN2RzRONXlQcWgvT1pnSTFyN1NRMlhpYm1ZT053UlhCRllPT2Ftc0RHcXh4emU5ajRnL25zNWNYQmZIWlJ1d1VQcDJmVGswWDZKbFJmdEt4b3ppMVNuTFNiK08rS1ZkS0w1ZHFyUGFpUWVXNWJvSGtxMEx4SURTNC8vZkdyVHo2U3ZadjJOU3h2ejEzdnQvUkdWWERFaHRkaytXcjBtZVlvdjZyVVY3UXFiNFRkRXM5WFhrbHR6TGFKMStwWXJmb05WQU9sT2toS2duU3FmYTB0WTBCcUFrY2J3R2d6RkxVQW9rWXcxQkNFV2tKUURRRFZHTnZBeitvcjNpVlJ1dmU5REQ2VEd5bDlhS2ZabnZJWittVEU5MC9xTjIxMklUVGtzNEY2dGhIUE50cXBKWjA2eWxseEpQem53cEY0Q28zdjhCc3ZqK2ZUd3ErOCt1WEhyNzcvbTh2UGZsSzdvODMwcTlDSnFPOFZhMGhZRkx0Um82cFh1cCtsWjF0ejhWdmlkbW5qMVVwdG10WWwvYWxRQlJ0Ymw5eFd1aWlLQm9HbDV1UnZ1dVpFTkdkZWtad1VSZzJLMDU1ZURNNE81YmZld1lMc0ZQZzl1M2UxMGZ2dGh1SGh4ODBIKzFiV0I0UGUwWjJDemhuMXp2d0dLWHVza3pxTSsranRGRW04VVIvbHA1VVk5WERnTVdWWmY5bUlZNXI3RldMZjRlTFB0V0F3aWVFV2lVTStuWjFySHZjUDlvN1BUdDU5bURaLzlPaWRlNHFuUlZ1RmxVQkx3cERVWWc5ZW9JZEE2L0oveS9vZzlOcXlpRTI0VWc1RVY3MTJnTENGMTNsZFJWdTlUN0VEbHpiT2twZXN4VFpOUGtpVTZ2RGxReHVuS01vYXUzTlJTaFg5OUZKYXQwMW1kWUVXZ1JibDR5VmFiR1I5Vm1peEVWSmFvY1VHSTBPMGFPM3lUQ011Ymp3TWFleld4N2JKVGIyN1pjSmpONklUeGxkcmtCNk5mRWV0YXVKMGhhb3dCVlhoWG0xeU5EODlUbC9uMHN6cEwzNzJ2ZC8vK3J2Si8zWm5MSVNtbkR6YlNDTHg2OG5MU3J4N1BkL3pmZS8xL0svaWplb0ZTUzgxUkV1S1VnYXR0N0lGeDZDc3huVW85Y1RXZ1lTUWdCcENtOEJoakVadHhGa3E5VVJYQ3VobVZIUmpNZVNqQVJ6em02WHM5Nm9Cam5oa2pRSE9LQ05yaVhHNmpHejlUSzhZeTZGdStsNGNtT1Znc24ydENPQ05xdjZyRDI5Q2o3QUNrZ1IyK01iY1o0ckNIU2dPcFR5VXpEWmZzOE00cXJPemdUbFI0SWRlVDVnalRnQklKN2NIMGdIUzJUaWtZeE14OGxKVzBSY3ZNUXpYMlI2QVlqVTJnM1JyRlJkeE1KVENEL0hvNEhEeDRabGkvdHoyVE1UekZSUHhmdkNMeTQ4L3NaeUlwNXBxTjhCRVBCYXJ4a084b1AzNkM2VXlYOXh0U2Nnd0U2OHhhOEpNUE16RU01NkpGeWlZOGQ3cC9LUmt4WmMvK2s1M1JFeGxZTjQ2OWE1aTNYZmkzWkpuYUtlNUp0UCtiTnlVVk1ETVZmRUNJTGZEa0Z1ejBSNE4yaHJkSFdWdlY4MXJLMCthNGN5MWRWRmF5NkdrN1JxZExadTFtZ3FuZXZuekFzQ253S2ZYRlovNlpMQmx1MmFlaXhmU1JCWkRJMU5qQnlXS21idFZVV3dwOHVpM3M0aTdaWFEwWGJ1MU9YelVCUjhGSDlVWURiaWExZ0NrbVhxUU5oUzY5M0p1Qm0ydFBGMExHdVUydXdZMmR6bFRjbGdZa2tKYW90VGpCTEhkYis0MUZtNDVnLzAydU5zOGNNYmphdk5TNi9EdTRJT2NibTFJeTkwcXc0RGsrMXkydEhmWDRBcnQyWjdFZnNkTE90aUlkN2lUcldJSTJ3RzUyM2lKVE83eHJ0ZDMzK0xjQmh2K1FiMGJMN0xiNXptL2EzdDk5d3hPWXIvakpXMGE1QkgzM1ExWHZlOXVaZHRkWXI3dExuUGliSC9YN0NLendBdERrMjEzN2RvVG0rNzZqaHZTY2xsdXRuUHZPSnZ1a3FSZmpNV2piN29idTBQdXQxdU1hNWZ0ZHQyT08rM3lpOEpzVnoxdlBJREZUcnUxa2JsTzlBbzc3VzRjdU1KT3U5aHBkeE9KR0hhWTIyNG14ZzlncDEyMTNRUDdNSzlTRmp2dDFxM2hmRVQ5Y0Q0VDJmbGdwOTJLblhBK2NabU1ZNk5kZUNKNG91MlRCckhSN3NvMjJwWFo1ZlpzdEt1RDRkR3FZWGpzUkw3dkZqb0J5d24zNXVGd2k5WjY0M0QrdWJzZ0doMkhrMmhRSGg0NFBpVmhOeUF1aHJjVEZmYzQvV1NnNG1YVG9PS2c0bElCVVBIeUdLaDRYaEdvK0hKNVVIRzFQZEpCVVBHaWx2VlJjZk13cjFJV1ZMeHVEZWNqNm9mem1ZQ0thKzBrU2E1TXlvSEY0WXJnaW9ERk5UVUJpMWNaNXZaajhYaGI1b2hiek5ybUpRc29ib3ZoMXpGTGZGVllmR09ndUJoY1FIRkFjVUJ4UUhGQWNXMHRnT0tLVmdERmtReHViekxJRHdDS3ErMEF4ZUY4NEh3QXhTZUE0b0RpY0VWWDJSVUJpc3RHZ09LcTdxMEJpdnZ1cXFGNDRudmRkSlBSL0Nzck9WZzF3dUtSUXdNM3prdkd4SFBabGNIaXpQSGQyQjBmaTk5TXZ5TTRJQmtueEdFczlycVJjZjRraFIzSk9IV296M3lRY2FscGtIR1FjYWtBeUhoNURHUThyd2hrZkxrOHlMamFIaGtoeUhoUnkvckl1SG1ZVnlrTE1sNjNodk1SOWNQNVRFREd0WGFTTEZkbTVTRGpjRVZ3UlNEam1wcEF4cXNRYy92Sk9Oa2lNdTZFWGt5OHZLUWJCYkVmTkg0SnNDOGFYK1ZHS3RsZE5mNis0aHRFeHNWMElKQnhrSEdRY1pCeGtIRnRMU0RqaWxaQXhwRVJibTlHeUErQWpLdnRRTWJoZk9COFFNWW5HMERHc2I4NFhCRmNFY2c0eUxnUkdiOGkrNHY3OUJxUWNkc214YVJ4ODBucS9iKzRtZTFMTWpvWkgvYUxtMkprVi9uSlRYNVZvaEJNdkd3YVRCeE1YQ29BSmw0ZUF4UFBLd0lUWHk0UEpxNjJSeTRJSmw3VXNqNG1iaDdtVmNxQ2lkZXQ0WHhFL1hBK0V6QnhyVjBaKy9obE9nNG1EbGNFVndRbXJxa0pUTHhLTDdlZmlYc3JaK0toUTF4U1RQOUlwM0dIaHR1TGF5ZDl0eU54YVQvendQU2pteGJOOVNiaVhrYmN4NThyUHV4SE41UElRWHgrMWhhSmkrSHR4TVdKa3dvaUZGeThiQnBjSEZ4Y0tnQXVYaDRERjg4ckFoZGZMZzh1cnJaSFBnZ3VYdFN5UGk1dUh1WlZ5b0tMMTYzaGZFVDljRDRUY0hHdG5iUlFwVXpLd2NYaGl1Q0t3TVUxTllHTFZ4bm05bk54dG5JdTdqdlpSdDNacnQxQmxJSTRJeTd1T1N5TWFGQjhyek9mT0Q3ZVZIRS91YVZDVXV5aEVzV1JyNXVaUGdBWHAySHNlVnUzaHdwenFFdTdjWEhtQkY0WWRPZmlnUmNIbUM4dU5RMHVEaTR1RlFBWEw0K0JpK2NWZ1lzdmx3Y1hWOXNqSHdRWEwycFpKeGMzRGZNcVpjSEY2OVp3UHFKK09KOEp1TGpXVHQ3QVNTVGw0T0p3UlhCRjRPS2Ftc0RGcXd4eis3bTR2NFk5Vkd4bWIwdGJxTEIwMG5ZeGZ6dE1OL3VPakxDNEpZZ1hPNmdVbjRYTUpyWm52RzAwTHU2R3pCdC9CeFhHbkRpT3c2SFpPSjlKMzJVYkZkL3h3N2pybHplSjQzc2hpY0hHeTZiQnhzSEdwUUpnNCtVeHNQRzhJckR4NWZKZzQycDc1SVJnNDBVdDYyVGpwbUZlcFN6WWVOMGF6a2ZVRCtjekFSdlgya2xzdkV6TXdjYmhpdUNLd01ZMU5ZR05Wem5tOXJEeEIvUFp5NHVEK2V5aWRnc2VUcyttSjR2MFRhaSthRm5SbkZ1a09HazM4ZDhWcTZRWHk3VlhlMUFoODl5MlFQT0JRUE1pTmJqODlNZXZQdmxJOW03YTE3QzhQWGU5MzlJYlZjRVJHMTZUNWF2Ulo1cWoyU1Iydis3MUtodGh0OFR6bFZkU0c3TnQ0clU2VnF0K0E5VkFxUTZTa2lDZGFsOXJ5eGlRbXNEUkJqRGFERVV0Z0tnUkREVUVvWllRVkFOQU5jWTI4TFA2aW5kSmxPNTlMNFBQNUVaS0g5cHB0cWQ4aGo0WjhmMlQrcU9TWFFnTitXeWdubTNFczQxMmFrbW5qbkpXSEFuL3VYQWtvVUxqTy96R3krUDV0UEFycjM3NThhdnYvK2J5czUvVTdtZ3ovU3AwSXVwN3hSb1NGc1Z1MUtqcWxlNW42ZG5XWFB5V3VGM2FlTFZTbTZaMVNYOHFWTUhHMWlXM2xTNktva0ZncVRuNW02NDVFYzJaVnlRbmhWR0Q0clNuRjRPelEvbXRkN0FnT3dWK3orNWRiZlIrdTJGNCtISHp3YjZWOWNHZ2QzU25vSE5HdlRPL1Fjb2U2NlFPNHo1Nk8wVVNiOVJIK1drbFJqMGNlRXhaMWw4MjRwam1mb1hZZDdqNGN5MFlUR0s0UmVLUVQyZm5tc2Y5ZzczanM1TjNINmJOSHoxNjU1N2lhZEZXWVNYUWtqQWt0ZGlERitnaDBMcjgzN0krQ0wyMkxHSVRycFFEMFZXdkhTQnM0WFZlVjlGVzcxUHN3S1dOcytRbGE3Rk5rdzhTcFRwOCtkREdLWXF5eHU1Y2xGSkZQNzJVMW0yVFdWMmdSYUJGK1hpSkZodFpueFZhYklTVVZtaXh3Y2dRTFZxN1BOT0lpeHNQUXhxNzliRnRjbFB2YnBudzJJM29oUEhWR3FSSEk5OVJxNW80WGFFcWtZS3FjSzgyT1pxZkhxZXZjMm5tOUJjLys5N3ZmLzNkNUgrN014WkNVMDZlYlNTUitQWGtaU1hldlo3ditiNzNldjVYOFViMUFzS1lobWhKVWNxZzlWYTI0QmlVMWJnT3BaN1lPcEFRRWxCRGFCTTRqTkdvalRoTHBaN29TZ0hkaklwdUxJWjhOSUJqZnJPVS9WNDF3QkdQckRIQUdXVmtMVEZPbDVHdG4ra1ZZem5VVGQrTEE3TWNUTGF2RlFHOFVkVi85ZUZONkJGV1FKTEFEdCtZKzB4UnVBUEZvVFFKcG9yTjErd3dqdXJzYkdCT0ZQaWgxeFBtaUJNQTBzbnRnWFNBZERZTzZkaEVqTHlVVmZURlN3ekRkYllIb0ZpTnpTRGRXc1ZGSEF5bDhFTThPamhjZkhpbW1EKzNQUlB4WXNWRXZCLys5dmUvL1V2TGlYZ2VWYVRoVXJ5aG1OaG1OQlBQaXhUMWxodVEwcWh4Smg3bktNWno4Y1FrbncyYWkrZlhFcWhObllpSEtYalhad3FlN0VJQ1Y0TEZ0VHpKQ1AvU2tDVUJ1OWlPZ2tXZTN3aE9LMzZsOVAxOUo5aVJLSEQ4Y3FlNjBJK29aOFJ2bHh4SE83VWxYdWd3ajFsUzIxYi94QXVNQTJ4dHVFL2RaMlVOYndmMEFlNEI3bEhlNkNyZlI1YUZNdFU2QmxGTmE1WmZDbUtSNHpQeFFWYzNDSm52TmUzc3cwdExDeDk4SnhLZm9tSWtpSU9tN1lSNFlRTzhJNjJQOEoyQVVvRjJYT29GcEsxM3BkcEZIQnE3eGFaRkpLTEViVks3ZUdISmQ4WU9EVjNQZE0xMFphMEZkV0lhR0RLdk5qOHFiQnBWa3NiM244cW44Z00yNnpMS3ZsaTVWMTdFME1WbXA5TG9acmxKcTZzVlZ1YU1YUlF4Y2J6QzJNejVjbk43Qjh5TDJUcGgwVFViUjh3TGplQ01lYjFORGxreWFMemlCbzZaMnhrNDU2ekp0cWkyd1VrWERTbG5OS1J4WXRkMUlxSnlPejRmcDI0N0x0eE42N29SVVVGbDlzS3l2MnE1d2F3WnZjcVp0dlN2OU9PeDQwVkYwY1pWSnFLczVNYVo0M3RlYktxWVNxVUx6VGZ3Yk5RTEEyOHU3RnBCWE90N3ZHbDZRMm5VTXMyaDdGUExkSWV5WTIzdE5reC9XREt4bndZaEtqQVlabTdYN1VMcUpYemRHUmhQa3FpZWdmME5XcDVWeTAxbWZ3N0dreWlxNXlEN0lCT3FXcDdCQ3E2TDhSU0w2am4xdVM2U1J6V2F1ZDU4VXJvWkdPSjQ0MHdNWVdVd0k2TnNzYlZLYlZUSkQ5cXV1aEVGN2FOTFhxemJLcHp5ZEZ1RFRtNW1GSGdLUzd2Z1V4UXpEVUJGQWZNZ2xCZnBGb2p5b2wyQ1VkRk4yNENVRnh3cEtPVjF0d1dta2xIcm5XRVlvSEpid3lBMWE5NEVTYlFFcTl4R041R2tZdEJ4UWtsWmgwSGdLb3lWQWF6cHk0UFhvSXhnVGZ5dHFNRXdqaFgyRDdwSGxaVTZPcjM2UkEycTZOWjZBc3BTYlhLUDdLZWhpTXFzcHFPSVVxMkJibG4vQ05OVFJPV1cwMVRLY3VOT1Z4SHRiTXEwRmRHaFFhYXZpTm9hcDdGVXJmUVpVNE9iYTU3ZXNteWxtK1lpN0V5bXUwakc3ZE5laExISjlCZXA1dlpwTUxKeDYzUVlZZHc2TFVaWWRzNEJlT2t1RVRNdjJEeGJScGkxemd3Wjhqd014clY1SWt2WGJocytzdHZUeVU1M3hDaTlYc09kM1Q2YlNUZVZxR2FnbWMxWG16a2tqbWpacGpmVWFpM1JsQjNwSkw0VHhiRTN6Q29yVWIwVVJZNVNmK3RxTG1FNURDMzFIRnBPYUc1ZDR5VXFrSUxLMElsWnZCU2FtaU5UVldsQTA2MkVwaDB1NWNxd3FmMU5XcDdYcG1CVDRYQ3NzZWxLcmt4SGNOcm55dFJIQk9TMGVZMmJLRGdBT1czUjVyUHpBeW9GS20wd0Fpb2RGWlg2WHV3WFd3K1pyTVVUZFpSaHJ2MjdRMVRTbVpkNlRoeXlxSmhYYXJSR3IxTEpFOTNaZDBHbVlSQ0hReUZUY1dLQXBvQ21nS2FBcG5iUXRFc0d3RXQzaXBaNXlYR282ZFhEajUzR2RwUnVyK01tR1IxQWNwT210WTFsUFZwU3FWM3JXRGJRc3VheFdsWFQya2ZwdExRckxKVTkxVS9xWjVwSi9iL3FPYW1mVW9jeU1XUFNqZHlZcGJzTEdFL3FUM2MxRUl1R3ZDaXBTdmZSWGxIYWFsWS9jUU9uUkpSZUZKQ3diY2FxeERlVGs0dEVZUkpISkFXbHhyUDZDWEVJWmI0aG5Lak02aWRPN0pIUU1Hekd0UDZsVThHMGZya1lwdlZQekZIQUJrenJWMzNpZmU5MGZsSktYcGMvK3M1d1NwZnN3ZHNXUFBHU2F1L2R0RnhWRkxYL21LVENoUnFyVXdvbmFpNU0yVGx2cVhRSEI4NUxRNWppRmhzblRIVzRsQ3NUcHV4djB2SzhOa1dZcXZzZll3Rm5GVmVtb3pEVjU4clUzZXE0d2xTbjJmVk5BUjR2Q0kyb3ZRQTBJbWhFcTlDSWZLTDlMbkJaU3llVnFJdjM1alUwUlpGakswVGRuTE9vbytQTFI5U2hpaklIRVloRW42NkVRRVJvdE1rYVVSS3JjWnJJYjFxb1JiWGFvQmJseHF0UWl3eHF0bFNMclBTTFRyN1FWQjNhZXptMzA3bTZlM2REeVlqYjdsclkzazF0ZmNkajFCWHpFcWpIZDNrMGYyM3NaVE1LNHNnTjZuVVludUMrcVNabU51alcxNlp6dU5EM25jdXZGZ2tkR2tURmJKUXdEQWlqTnAyNGEzSEo5M3FkN243UEcyYTBDOWozNGVvZTdQVWFUMzdsMGcyb0tHSDF5Mi96QVBhOWgvYTdqc0pvbDNSOFQ4L0w3dzdndnU3MnVvWDJMTTUyditjTlkzSzFWclN1SmcxVkNtMGhVR2dMUEpRNW1aMmZKOW5xYkM0dHEvbjgwOTk5OGJ1L2YvWFhQMDErYU5qUzhMeWQySEp3a2U5SDZjU0VGSGRBWkVUMGVlbDhCcHlYM0Q2Rjl5RXNPYUhRaE92Zk8zK2FUdzBrUG9sWnZYeExENUx5bWZkS2J0cElMSmFKMmpTRjVDWm9HUjFiclNZNUFlSm1xNFllUGptNGtaN1h6V3h3djV6Mk1mdjV5V3VtQWs0THdwQ1dFMUVuanJNMGxlc1VYeUtSKy9ydTBlN2I5SWJVN3BlbC9yVDBRYzdGWFk5a1V5UnZaRVZmVDZ0NXJmMTdCSEl1SG5uVWsrcDRrdGJ4eEtDT2FpN3UrejZ4ZUxYSnViZHI0Uk0zV3V1aFlWdW5aTEdueWRwQTdlbUNucU1nZFNCQXo1VmlXNGVlRGMrck4zcjIzUFMvNVIxNkprZUpVK1phVlFhZTAwMThRSjFsbXdHbzgyak1tVHY2Qisvc1B0cS9jWFR2OGRHN2Ird2ZQYnlSQTgvWG1sODhvamFKUDRkTDlUMjg5OGFEaDBlMkZYYW4wWDNvcjNnSDNpU2VrNzJnMzdoL293cC9KM2Z1VE56WEpqZUorNVY3Yng3ZW15eWg0WnRKWTEreEo5ZERNZXVpMjlzUHJEM21zZ2pFK2hvVGEyNGdIS1A0K3NnUlhiOWpwRU03UnVNSys4aDBsZ0Y1cFE2ZFc2U05icEVPNXhicGNHNlJ3aTNDTFY0UnQrZ0p0K2l0M3kxNlE3dEY0d283dTBWS1N3akV6L0ZtM3ZLUXNhUFg2Q1M5NFp5a2RhLzFUdEtEazRTVDNGb251YWJaRGtaekVqck5kakNid0xBcHN4MVNOMktqaE4xa1RoaEhMSnJlYlBjMUk2MkRsZFVBN2tSdHV1K2xYNW4wQXJQdWI4b1djYktVRmE1Ynl2SWN6d3ZGMmtWaUxXWDVZZXhYQ3h1cVdGMDB0STFSc0tnVHBkKy9YTFdDeFVMSGRYMHlrb0lsNW5EMlVMREV6TTFlQ2hZamNkdm5RUldsb1dCQndZS0NwUzBLQlVzMUtGQ3dvR0JCd1lLQ0JRcHhoU2dFTjRDQ1ZhMndqNEpsR1pCWDZvQ0NCYmNJdDdoNWJoRUtGcSt3dTRKRlNnZ0VCUXNLRnB6a2xYQ1NVTENnWUZrcVdIVHBSWEFsRmF3dDN6bzBVbXdkK29OZlhINzh5VlhmT3RSUGwvOFZEZmhoRU5JSVc0ZXFialZzSGFxMHd0YWgyRHBVMmVSb1c0ZkcyRG9VVzRjMjIySHJVR3dkMnUwbUxjOExXNGNhblJXMkRzWFdvVmQyOWd1MkRyMGVVMkN3ZGVpa0xhckUxcUZaZFp1alJWQS8yR0Fsd29YK29LaHRhL1VIN0JkcTRVaXhYNmlKTGZZTHhYNmgyQyswWDRUWGF6eXhYNmpTRlB1RjZteXY1bjZob2J2K1JaWStDK0xpOFNGK3pObyszMWhXOENSemlsRVllMUZ4QzdIQUN5MjNETzNVZ1dLOVpmTDR4NUc0STN3dm9LMGk5ZEJMTGdsMWlKdEswU3RlY2htN1k2eTJGTmRqN2FzdEE4ZjFxV2Z4WnNOaVN5eTJCRzd1aHB1eDJQTEtrMllzdG15eXgyTExLN2ZZa29iQkprK1l4elI1VlcxWVlqbXhjSWZqTDdHMGpzSXJWV0NGSlh3aGZPR20rRUtzcStRVjlwcWNVSkFlckt1OEt1c3E0UnF2cFd2RWFzcDJZNnltbERzdGcvNnJ1NXBTSjFXUmRVdFZ4SFhpd0N0U0VSYlQwRzliemxqV3NBbGFWWWZtQnhlclFvY1JQb2lyL3NKZE5JcGFGVHJVOTkyNGwxb2xMa3N2dGNwelFqZGFVdUloVnlrNkJia3FQejNJVlpDcjFFYVFxeUJYdGRoRHJvSmN4UnNBaDloeURzRU5JRmRWSyt6c0R1M0Q4RW9kMEt2Z0RPRU1OOFVaUXEvaUZmYlE3a3ZZQTcwS2VoVmM0eGE3UnVoVjBLdnM5S3B3MmYxZks3MktybHV2NnIyMHluNXRFNjlBZk1hdW8xNjJRVXVyMXFWV2JheFdWVndUU0ZYS1hrS3FnbFMxWEFCU0ZhUXFTRldRcWlCVkFVRTB0d01FQWFrS1VsVzlOVWhWY0lad2hrb0RTRlhWQ2lGVlFhcUNhN3p1cmhGU0ZhUXFTRlhtVXBXM2JxbUtNTWNuYnZFZDdjQ25KTFJjV2tXSkUwWmlHODZZZUM2N2JtS1Y3MUNYMEhqbFlsVVM2RkFuanYweE5DdENuZEFMd242YVZadzhud0hwS1ZwUkozRGRnRUcwZ21nRjBXcTVDRVFyaUZaMUE0aFdaWVVRclNCYUFVWmNSeGpCRFNCYVZTdnM3QTd0dy9CS0hSQ3Q0QXpoRERmRkdVSzA0aFYyZG9aTUlqNFFyU0Jhd1RWdXNXdUVhQVhSeWs2MDhwZmQvN1VTcmRnVkVLMGNOL1RkWWdhZUd3V3hIL2lyVkswMllVZkFkY2xXRzY1YWVVNGNodFFiUkxXeStUd2pWQ3VvVmxDdG9GclZqYUJhUWJWcXNZZHFCZFdLTndBYXNlVTBnaHRBdGFwVzJGTzE2dlNWZEtoV2NJWndocHZrREtGYThRcWhXa0cxZ211ODdxNFJxaFZVSzZoVzVxcVZEOVdxY3hjSzFhckRXcS9CVlNzU095SHg2TXBWcTNpVXJRSEZGZW16eklvNHNVZkNub0pWN0VSK0VFQ3ZnbDRGdldxNUNQUXE2RlYxQStoVlpZWFFxNkJYZ1VOY1J3N0JEYUJYVlN2czdBNnRvL0JLRlpDcjRBdmhDemZGRjBLdTRoVjJEdzJqa3ZSQXJvSmNCZGU0eGE0UmNoWGtLanU1U2diOTEwK3VDdFl1VjhXT1Mxa3hjeTd5ZlRlMC9Zb1ZjVUkvaXVwcnBNelZxaUFrVEtoVmhwL1JFaHNEMmpjL3VGakZITS8zWEgvMVM2eWljZFNxd0lsWTJQTkRWc1ZsNmJtOEtubEVmQTl5RmVRcXlGWExSU0JYUWE2cUcwQ3VLaXVFWEFXNUNoemlPbklJYmdDNXFscGhqK1ZWdG1GNHBRN29WWENHY0lhYjRneWhWL0VLZTN6V3I0UTkwS3VnVjhFMWJyRnJoRjRGdmNwT3IyTEw3djlhNlZYaDJ2V3EwSEdqdUpCN0VxZWRnbWNydllvNXhIZEpvWGlSMEl1SjNaZXNlcTZ1Q3B5WUJIRlJuaVluNDdldDdocGNzUEtjTUtLcCtIaUY5Z1QwbmFpWFl1VTd2dWY1ZlRjRUpFNlUzRThSRkNzb1ZsQ3Nsb3RBc1lKaVZUZUFZbFZXQ01VS2loVkl4SFVrRWR3QWlsVzF3dTd1MERvTXI5UUJ4UXJPRU01d1U1d2hGQ3RlWVEvNXZxUTlVS3lnV01FMWJyRnJoR0lGeGNwT3NmS1czZisxVXF5aXRTdFczZFkzU1F1c1FvZkd0Smg5RjZaZmtZcXNCS3VPa3BsWVlSVW45MEJBaWlWaUdVOWV1V0RsTS80aHJoVUxWaXdaTzVmRll3bFdrUnYwVzJVVk9YNFUwOTZhVlJqeW5RV2hXVUd6Z21aVkxRTE5DcHBWM1FDYVZWa2hOQ3RvVm1BUjE1RkZjQU5vVnRVS2UyaFd0bUY0cFE1b1ZuQ0djSWFiNGd5aFdmRUtlMmhXSmZDQlpnWE5DcTV4aTEwak5DdG9WcmFhMVpMN3Y1S2ExWVA1N09YRndYeDJvWDAwRHFkbjA1TkZHamswM3h4WlZUa3ZTM0hvYnZJZVUxb252ZFcxcXU1cFJWbmpaUXRwTFY2VzF1N3NYUDd3MDh0UGY2enk2cTFoalNUMlJFN3MrVVVpUkJqaGUwODBDbFp5NUpKYy9zQXI5RFl2dVkvalZybktJRXlSUWhNU08rV1dpV0VjQmw3YzFyMVNzYUVPalZpeDlUdUpJNUlYYnVpZEhGVEVEZ3ZTZ1RmS0VTdGhSUEg1S0NPeHhrU29hUk5wbWtNSXJRS2lVejlJd0R4Zks4cmFLeDgycW9lQjRtR21kblJRT3F4VURrdUZvNk82b1ZFMldncDFVVFdxc1o5TG92UkxkTEtpa2R6SXFkZWJabDl1eXpRTlJuei9KR2lSQzFva0RRTTV3MVRLTUpVeFdpV01Odm1pNHFuNXo3bW5UcmNKclUyQ2VKUTBkWno2dmNKMy8rRy8vKzdWOTM5eitkbFB0QStacFdZdnVYRmlNdUZBN2NPSnlWd0h3enhUZ20wS1I5clN2ZnFYK0tTeWJmZCtWeGN1bGU3Z3hubnBUZGJjU2N1NFZTVDNCbU1EeFgydmZkSk9acEkvRGdjTHNsUElmTmtqMVpxdDNqWVlabTdYOVZMZXlucG9jUTUwcDJEelZ1ZGdmNU9XNTlVbTFGcWZnN2RUSURXcmM2ajdIOU16V01tVllkbFpzUlZlbWJwYjdYVld4V0Z0OXRKbGtrdGptTWNMWXBKTGU0RjFUM0l4S0RqSUpKY0JRMEplTjJhNkxCczB6M1JwZDFyZDFJd3V2cHZYMEJSRE5qczdVVVYzQWJlVGF4WjFkSHoxaURwVU1lWXdNMVdrTDA5di8yUVZGd0lFQklqcTBiRUVDQ1B5MzBtQU1KSTJOa1NBNk96TE84V3N2T1JJb2tTdkV6R2RaenQ0dDIya242M29aTGRiWXBSdXIrUGUzc0JWVmhGWjl5b3J6d21ET0FqYk5EOXBXVlhnRUM4b1ZsVlJQeVRNYWh0QWE3cFo3djluMis3d3E2bUt2cTk0TmRVNFg2dVNZdDJ1NjZpS2E5SnZHVlV2c0l0bFZJcXVZUmtWQ0JPV1VTa0g1UnJBSlN5amFyTEhNaW9zbytJTmdFNXRPWjNpQmxoR1ZhMXdyUlFleTZqZ0RPRU1OOEFaWWhrVnI3RDd4NnJDa3ZSZ0dSV1dVY0UxYnJGcnhES3FOYXFZMjdtTUtscHkvemJkMzVwbFZEcFJpcTVibEVveUVUZG14YzU3bEpFZ0NPMzIvdXNwVW5YdFFLRlYyY3pESDF5bElxRVQwcENzWEtXS1I1R3B4S1hvczkwZmMrSTRqbnJxVkZGNlRhMis1Z3lkQ2pvVmRDcm9WSFVqNkZUUXFWcnNvVk5CcCtJTmdEOXNPWC9nQnRDcHFoVjJkb2YyWVhpbER1aFVjSVp3aHB2aURLRlQ4UXE3eDRaQnlYcWdVMEduZ212Y1l0Y0luUW82bFoxT0phUCs2NmRUZWV2V3FUcHNoalNZUkNVdjN6bDQrK2p4amNTOUp1OFQ1ODJ2N2lXLzN1QmpSaUxYT2RoOVZQazkzM3JFZWN5K1hQdmJFL1phUzhSU1Y3aXk1cCtNM3p4ME1sV3RneTduZ2s0R25helNRK2hrclFXZ2swRW5nMDRHblF3NkdmaEhjenZnSDlESm9KUFZXNE5PQm1jSVo2ZzBnRTVXclJBNkdYUXl1TWJyN2hxaGswRW5nMDVtcnBPeGRldGtOTWxGd3JENHRGUzQrdlZjWFR1QTlWeUQ2MVRpVWtDblV0dEJwNEpPQlowS09oVjBLdWhVNmxxZ1U0RS9nRDlzQ3BxRlRzVXJoRTRGblFyTzhMbzdRK2hVdkVMb1ZOQ3A0QnF2dTJ1RVRnV2RDanBWL2NpRCtlemx4Y0Y4ZHFGOU5BNm5aOU9UUlJvNU5OOGNXVlU1TDB0eDZHN3lIbE5hSjczVnRhcnVhVVZORTY2Z2tOUjhoYVQyS09ueWNmcmlMMktnOGcrcURyVmkvRklBSXNTaHpNOHpKT2F5a05JVzlVb0thVHptUks1YjdHWG9COFJ6V3orY1pSQy9sREdMN3pzQnBZVzRSbDNxQlcwZjlpckRFOFljUDQ2RFFwa2pzY2ZpdHQ1SjBVYTE3YmJrc1JKZmhNbEl1c3hReFRGUmNOclVtK2JZUWl1TmFELzRUYlNmKzY0TEltL1B6cWNOdzJLRXNKZlVpaGFsekVLanNOUW5PbW9UbmI2NHZheEpOSTlqdXhaZ3FnT1lhZ0N0L0wrTi9UZHkvNzRmc2piTzZkUyt6dlREa0JwbloveGxTSXRzVGVmMVRMR1ZwR0ZiK1I5Ulh1WDdPbkY1cFMvc2h1WHRVeTJ6Tkd1MGoxTjNTYTFXa1ZadFZFbzFjRHJWZ3BDRTNjWEY1Q0E3OTczSExlNmxVbTV4VVJTNC9QVEhyejc1NlBhdHhZVkplN2N1MnN6YThWZHJxcWl0UXA4aXRxZUhKcW1oOFVlMWpWTkM0NDlwRzZlQ3htbWdXUXBvK2wxa2t3ODNHNlI1WmlsZW50NTFlYmtaZGJNOW5WdEpOMjFmdndOMzNQU2liMGszZTEzMHh2eTlJWGZ2a2cwSHlJWkxndThHRG1GRlF1dEZBUWxidTRkc3VIWVUyVEN5NGRJTzJUQ3lZVlY1Wk1QSWhwRU5LOG90WmNPL1FqYk1iWkFOYSsyUURRL2V6UzFKTTdla20xdVREWWZJaHN0czJJOGN2NHdMd3lDa0ViSmhaTVBJaGxXZFFEYXNNa1Eyakd4WVVTK3lZV1REOXRud0QzNXgrZkVueUlhNURiSmhyUjJ5NGNHN3VTVnA1cFowYzJ1eTRRalpjTG4zRFltbDdvVnhHSGd4c21Ga3c4aUdWWjFBTnF3eVJEYU1iRmhSTDdKaFpNUDIyZkFQUDczODlNZklocmtOc21HdEhiTGh3YnU1SldubWxuUnprN0xoeHRYTlJpdWJ6VlkxYTFZMDEzdlZuSi9IdmZMenhyaFZsNWQ3elBOWWt3emNQU2R2aTFCMVVTa0pTWkJ1U3F2dmtnaEhQVktKUkRYOTZKUjVkOHU2MnpMdXBteGJIMTRxczJ6TEROc2l1MjdQckkyemF1T00yaUtiN3BCSlcyZlJ4aGwwUy9ac2tqbWJaTTJOR1hOVHRxek5sUHRreWJhYlpsdSttWHRreHFaWmNaK011RTgyUEV3bVBGQVdiSmNCRzJ4MlBVYm1hNXYxanAzeGJreTJPMXltYTVMbGRzbHdLOW50YjMvLzI3LzhmLy95ZHdZSmJrdHlhN0ROa3k2cFZSWlZKN1BOaVd4YkVtdVV3Qm9scjBhSnExSFNhcFN3dGllckpzbEFXeUxRa3FDMlp5WGRNcjcyYmpYbkpxTjJ5K1pOTjFCSFRTN2lobmFyMDBYVUpwZWF4RktSdnVrM3JtcExKdHNUU1VVU1dlMUIrcW1YOUJzeGxUN21mNXVrWDRiZ3h1bUxLRW5MMHQrVFYxWHlQaUEwK3kwTDh0S1hnN0JMTitPZjVWWXVTWC9KakE0VzFSTlF0K0xMcmNSbWpYaHlJNTV0SXcybnducWRTdGlsRlNxM1F0dGJJYTdaZ0ZVYVlYSWp6TGFSaGxPSmVwMEtOVHVWcU05VnFUYWlQeFZDK3R4aGtlSERFcmw5TGt2MWtkUVBHREVZTVA1Vm84SVIzTDUxY1B3czlSRC9IMUJMQXdRVUFBQUFDQUNpZmdaYkpQRGIrRG9BQUFBNkFBQUFEZ0FBQUhKbGJITXZYM0psYkhNdWVHMXNzN0d2eU0xUktFc3RLczdNejdOVk10UXpVRkpJelV2T1Q4bk1TN2RWS2kxSjA3VlFzcmZqNWJJSlNzMUpMQUdxS2M3SUxDaldCNG9BQUZCTEF3UVVBQUFBQ0FDaWZnWmJKUERiK0RvQUFBQTZBQUFBRXdBQUFISmxiSE12Y0dGblpURmZjbVZzY3k1NGJXeXpzYS9JelZFb1N5MHF6c3pQczFVeTFETlFVa2pOUzg1UHljeEx0MVVxTFVuVHRWQ3l0K1Bsc2dsS3pVa3NBYW9wenNnc0tOWUhpZ0FBVUVzREJCUUFBQUFJQUtKK0JsczBzczN0dGdNQUFHTWZBQUFKQUFBQWRHaGxiV1V1ZUcxczdWbk5idE5BRUw0ajhRNnI3YmxOSE1kMkxObFViV2tFVW9OS0UwRTVHbnVkV0hYc3lGbG95NGtMRDRDRWVvQWI0c0NGd29FYmdyY3BKVy9CL2ptT2s3WFZva0JwNVYwcHNjY3pzN1B6ell6dHNiVitOQXpCYzVTTWd6aXlvYkpXaHdCRmJ1d0ZVZCtHejdDLzJvTHJkMjdmc25vRE5FUmpjZ1RJNEdmZ2dUTkVOcHk4Zkh2KzVpTUU5Ky9hVU5XaFlNbll0dUl3VGtCMzRIanhvUTFYR2txZERTakVmNTU4bWJ3LzRlSXRkVmFjcVdEU1haZXR0K0c2S01JYVVlS1Q0YnFhQ2dXdEtXZ0dNc3lVMW1DMHBtNTRQa3BwQnFNWnBxbjRma3JUR2EzbHVmV00xdUw2a09rcFJrcFR1RDdrR2E2VzBsUk9VelROMVdIdG9yWUwvcHp0ZVR1NTdmVzZhcHBlM3ZiOHZuWEp2bHVTUFNxQ1QyL3A2cHp0ZkQrenRsdTFETGNGTkxlSlYxd3NzSXZRSVdCVVJRWS9FeUs0ajFBN1RvWU9CZytmQmU1Qnh4a2YySEJWbWVkazNPMGdEQVZ6NzNoRVZ1akdZZURKV0RNSGcwZGljM1JBa05sT3dua0JFNzYvYkJuWjVaMGdRb1ZYcHh5UFVkQWZZTHE0c3FhVFlValhtckp2T1NQSzJ3NGRYTTY0NjJDTWtvajVVMjQvWTkxRS9TRGFTSkw0RUhTREY4UlRUUTVCdlZoa08vSXVKOEFjUVZ4MUVTeVlBTWRqRC9rRUVaTU5LTkRSMmN5alE3S0lWZ1dpV1NzeG9wWmFJVVd5RkN1TEIyczVscnd3Z1U1TURaSGJZZFZLRkZtMW1SQy9ndWlYZVJ1eHVlRHRYaEJoVW1TTE5ybmtyS2p5SVZlZlVvVHltRlJoZjhQQ1hxM0Nmc2tJTVpWVk9semlHYWdxNytDSzQxeHQwRm4wdUdOV2dRNldXZmM5UkdkQlZkSC9UZDF2cktsMFZGbFJncE5tMEZtVUZVYVZGV0NaV2RFMDZDenlkdlVXSUVTdU1pSCtDQ0ttODFvblJEdU84SHgzYWM1YjNEK0tTYWQ4OWV2RVYvWmN0c1IxU2ZKS1BDdmFlUndzU1hjMmlnaWRxSjd0NXA2ZmZqcjc4QldJdHA3V2xMUmxoUmh2Yjk2RVVxRmV0bFFJZ2VaZktoV3NSNTdETzFjbkd1a0RUc2tlLy84cVVSeEgweTYwWUZpSTNCNDZJcmRJOHNOVjg1c3FkZGxHR1BRakcyNmhpTVJCK3BuaDdNZnByKytmSis5ZVRiNjlKcDV6bm5aeFBHSTFsbmV1NVI4ZWhQL0ZGNHZGQnYvQVNSeVhyQUxhempBSWoyM1lDZHdrSHNjK0JrK2NleWlBSWxRVXVzdytNMC9BdDFKUUU2eGRvcktmT0tNQjZJNG9RbFNZaUlsTjBkdFQ1TFdEWkl5Wk5uS3lSeE9Jbit5bnRCM2tZeGtpVnNkSlNOaVBnUkFpNmpnck9laFJmNUQvelJqamVDaUxhMWE0T1ZBN1kyblFaQXlBSG5MWEwvaUVjVTM5UWpLNlQyMjl5QXR1QVJBOFhyTEZLOU1xMDY2VmFVcHFtdlNkb1BMYUZabzJleWxmOWNRZGl0NkNCRlZReUprNG9oL01md05RU3dNRUZBQUFBQWdBb240R1c5WEtaRzlURGdBQUlCQUFBQTRBQUFCMGFIVnRZbTVoYVd3dWFuQmxaNzJXYVZDVFdickhYM1paQkpGTlFJMktiS0VoTFl2Z1Jrb2NvTVZLb2l3aUlHU1FCb0VNcGhIUktERnAyUUlFekNnZ1Y2SkVRWWlBbUViQUtHSWlKQVNYMGNnaWtmU1ZrS1FWMmVSOUd3eXZFcEliNTk2YSsrSE9yYm96VTNYUHFlZkRxZWVwVStkM3p2Lzh6OUcrMVU0QWF5TEM5b2NCZW5wNkFFblhBZTJ2d0w1dm8zK3BmWnZrWDUxRFQvc0VzRjRGWkFKWERQUzJBUHJXZWdiV2Vsb2hnQUFBUGFQL0xBRCtxK25wR3hnYUdadXNNalV6MXhWMHJRSDA5UXdNOUEwTmpJd01EWFhaODdvOFlHaHR0SGJ6dHIzR05vZVNUYlprMi9wZXVIUnpsVXRJZTY5ZDVDQzQxZS9ZeVh4VE0zdUhkWTVPcm03dUhwNUkvNER0Z1VFN2R1NzdRMmhZK0EvN0k2S2lZdzdISG9tTFQva3hOZTE0ZWtabXpxbmMwMmRJWjg4VkZCWVYwMHBLeXk1WFZsVmZxZm0zcTdYMURiY2FtOWkzbTF2dWRYUjIzZWMrZU5qZEp4RDJpd2FlUG5zK05EenlabFR5ZGt3cVZ5aC9lLzloOHVQVU5QVDd3dUpuMVJMODVlczNMajNBNEcvb2Y1ZkxXc2VsYjJob1lHanlqVXRQLzh5M0FtdERvODNiak5mdVBXU1NuRzJ6eGZmQ0t0dVFTemZiZTAxZC9DSkJ1Mk1uQjgzc3QvckxYYUZ2YUg4bCs3K0I1ZjlUWkg4RCsyOHVLV0Job0tjN1BBTnJBQTFvTkI3MVpjQS9GSnc2SWpvRFpUYlZUUk0rU2p3Z254OTRlMnErNktjWjN4bnBweHJRUVZGVC90MW43dUJ4Y05GdkREWUlCMUhGUFllVVZpVzFSWXNVMTN1OHdUdGtaM2xGMmt6Y2NGWUFmV1c3RnozTDdiUGlpNGxBMXNVUUVhVmNKYWVmVXlpN0YxNTJ5dXJDMS9BbldxQklwcWMrbzNnY3ErcGRLZUJuRXFpMmNFYzAvRTVCbE5xRU1uQ2dSS0FGRU9waksrVzdzeHJTS1J2dndlNHAyWWpTdTd0M0tERE9RZ2ZwcHdiMlZJMGl5eEp5R2EwSU9HemRNaDNWRUJLOXVTeG1lcUdGR250YjBmeW1jL1BPaTM0NWRIckZqcVMxTVdqYXZGRW9NdktucXRRNUY1LzlleE5xL1NJKytUNks4SzJvclVyQSttSzlQZDBZSXhFTEZYa0ttVUJtQVErSHdXZmI0SUxacE84bGMzZFEvbTN1eTE0SkQrUG11akRSSDgrZEdzNDhYSnNscWp4V1UvdkE2UlNDeU90Q25ZTENqTlBvMUQ2WlJTNEg5cUFKeitNaWkxRU1Wc2ZGQ3lrM3JydGxoZURYVTN1OXRVQ0dqT2JaR2tyTlBsZmpSS1Z4ZXFLMGdKRzcvc0xCRGdidVVxN3BqV0hpM0dLeno2eVRZbGR4MWE4U3VqcElDK1EzSkZJR3FWYlVaSmFGZWowb3ZoanNURDYvMHJsSXRkeEplcUU4TTV1NmZEaU9Ja1pZZHVIZ1ZIRUp0Wk5keHZIZmt5TmFvellHanc5Z2ZDYzFkdjJ5QXZYbTQrQWpWZEVqcDd2WE9iMlF3d0ZKRDBhZWFEeEJjRDZQeFVZZngxblRtdmZWd3ZSd0cyeG0xUzl3Mlo4N09HSGx6YzkySnIxNWRsRDRNS29oc2pDOXBYb3F1amp5dGhZNGF4a1gxZXF3cmpHbzJkVVZpZDB2OGpzcVlRZkhMRC8xZUpYTnJHb3dEY0UzeUN5b21ad3hxcEpJVng4QWx5ZkVjNXQxaXBsazlEZ2F2WmVVNzdZR0I1UTZMU0JJL0w0cjNhZWI3VXR2SDRWckJFbDJrSDFiVy9yQkl3Uy8zbHRKbUphNCtBRkNDOGF1Y0xibTVGYk1mQXhNVkNTYXF6VDhsUnNVUi9KcEh2eGk0cEFTVGNOYlVIekk2MTR2Vm5ocFRQZEN2OC8zUnNJNXlqTmx3V3RKd3lMdStLYkxhTmd6Wm02eHRvblpvbm5GTThTNFJBNnJjY2R2OVdmbG5TSFkxWEczZHppUFVZbzF6N1NBTGMrSDlFRUxxR3BnS3NURnd6bUsrUTJVVnpMRW9yalFEeGJJaVFLRXJSb0Jza3NYeFdzMEwxa2QzRG5USmxuNEJIb2RPUm1lYkpzNlY4eDBHSWdGM3kwdWtGU0tEU0dZMWNUTlE0dnRmaUhQajhUTVRyOXBMR2xJOHYvVE5ESmIyRlQvUG1LOXBJM1d1Tm85L3RyUnN3OVgzcnVhV0pFb3crUGxSMU1kdHM0eWkzdGE1dUw5S2dkUHpEM3Z4RFFOVVJNSFErMmVwOXNlQ2dYK1orRDNVQ1JPcUg2R3RlWTV1bk9TeGpQQVQ1L0REM2pucWM3QmcvWHFkU09MaVVmU2Q3NjZEcVZFNnpZdUFVR0wvWXA5a1BwenV2UTZpejQ1K09tN2dCUi9GMnozUlMveGRyUTdxZnRnRERLcWFkSXA4NWJjSlBMRTYveXFxcU1mdm9ZRmZxajhXR2x6R2pQMnlHMldlL3BqajJ6ZngvZ3Z6cXBiSzVkNi9KYkRTSGhSckJPcVF1Tkp0b09IVzhoQmI5U09FL3h5TFdCQzhTVm53NkYzWU9xUkFpeDBRTDFqZERlaFVXMEhONERkQ0xvR0FXY294UFl6d1Y3ZzBvWGdMZTlta3B6elo0NUFBWSt2OCtycVBDV3BQZW91K0NZbzBKZ21LdmJFdnlLYVVwNm9naTBlZGoyV3BFR1kvaVcxYy84eWpoeks2bmRZQ25QdHZFWndRTGVmdjJhOWwzQWF4VGx4OTQ3MGErTEpBOHl6S1NOdE40cHhYQUxKU2g1Yk5LOEZDT0tpalZ0MUZ5aE9iUTBUbDYwenV0MW5aNVovU09kM29zdDUzMm1CWGwwdVhYWmgzQkI2TENuaGJhRTg1N0pXcVgyN3R6K3Fwd2k0bEFCb1R6TW9GczdoOTdHdzhFMk9GdWh6Yjl5cjJIdGV6cXlHTEJ6dWEyNTlYNTJPcko3cWtaanZQSGl0T3VLQlhUSGJkZFhETVVueGRuTDdiVVdEbmNkQ1JDVGJ6dmg5NnF2cFpreFVsV2VFZCtnQ3N2M3lvOHNNSkEzSjhvLzZRS3dPRFczRkxoMTQxb1dIdDlhb2JkMmU2cGEwTXhXVXFHMTNLZE9hcWVDQUlxMUJnWUk5TkkwSzlLOHBxdG5oWVZVUm5IdEdxUVdNNFpvd01MQ1BhalZHRGhrOXRkcHlvWTluZmc4Nkl4aVErQytqQzRaSS9UNno1S2c3KzlpWkRrdjJUdWg1QkQxWWord0IwUVJFUzdWckQvaEdRaVBiVER6eWRzR0JGb2pWUFZFS0xWQ1l0QlhPSXQ1TUR3eTJHVXFRMHhnOE80Sm1OYlFrT05DS1c0WFBwS3gyMEJoQWdUUk9FM2lpNHk0Y3B2aUF0eVIwaTY3bUxVeXF2YlFBN0VsYzJjQ1o5ZE1DWlNDOHJBV0cwWnhYYUduNEJMKy9Ja3BaVTBya1Q5eklBdk5VMStDVTgyQ0IzSmdKNm95UEQvNWdKVFZRdFlPSS9OM1VKcGl2eW44QWkzT1NRZHAraURQSGJGWWpvUzR0UVB2TXlIK2hRSlRzRkpmMGVOZXJZd2YvQ0ZKcHAxYjBDYXpDK0s3UnBwdWwvU252YVEzSXJtTy90SnhzK0p4NW9zbDFPV0tRdjNWRFprNHIwcnFaSkFyWU1TWFBpUEJYK2lURjRUdll1S3U4YUhhcWU5VFZ2dW5nYVhMVmRORENjMlJnOW0rcXk1SE5IaUVMakZMeUpwMVVUbE5lVTYyMFFCWWQ5VE8vazYrMkphaEdZYzRFdWx6V3daaXJWaUtLN284YnIzVHhDVllBaWZFa1hCNHJSTC9sOXJFc2VGc1NrK0xJTVozTHNjSkxiSEk2ekhZZEtBeDRTODRESmVMQlkyOSs2NVRNM2lKYXd2alBqelNtTmN2ZnFmKzRjb21mYXJXYXZIMmxRZU9CZ3daVWxhTTlzVXFjc3pvWEZtY3I1MHZSYTlQZ1NrVWJMcjR5QkR4OVIrTUd0MjZDb3FoOWU4RGpBcXE1MnJDYjFEN1UyV29FNXZjM3ZWMUh4eWRwWXVFZ2FxOER6NE1jOGlhWFVZeG8xMmxWQzZ3bkdjajVaYmtzZlhJRWlNN25UL3dzNjBSVjVHSlFBL0hZc2xwS3h3VERGbWFGckpSLzhpR2JLemdXTXd3aUp6UGVkWVUrUGMwdHJaOTJPc3d5NmpsVE03NmdCUXcvZzJkK1ZxNncxYTZRcytvSWVQSFNoR3lzb0IvZmdSN1l4WGNJQjdXQXhuUU1DbFFad21jVmZDZVlya0RQY3U1b3hEeXZLMHFSRnJBSWRwNWliVVNoS0U3eDZuaG1IMlhMVU9XUmd0NnY1NWZLS2c4OFByOUxGTm4rU1RqZ3VIdTdXM1dHY21xd2l0ZmxYdllpbFZiZmtpdy9GTUs0VHlxN1NPOWZlSFhITTh5bk9tTzRBWG5SVG9tdEZUSFpMOE1pL0VldWU2YzRQVDlaY0UzcEdGbVY0b3h0REdwMEQzb2VyY1IwT2JWeGJaYU9sWGx3bUx2MHl6eHUvTjNnWVI2dmNQbHBUSlIwS1hTbFNDeXNRTTdvRGlFWU1VNE9xM3h5SmJJM1p6dGQ5MUFFdHpabXhJL1FmM0xqUW01OGVSdEtXSWZxR01yeUptSXI1Rm42cS9HaUtEZ0p2VUh0Z1N2WmVGVUxtSm5MbWVUNEd1VXA2UWt1V21pL2ZjNW9zUTRGeFg4Y3hSam5qenVuY2NIT25YOEpkc3pKdnZYTHhlU3pqWWtlM2FFam00NmdsbzdlUDBsMmZJQ1g2aXVWZ2t5ZTJma1FuR0V2T0MzVGVDTUtIUlJHL0h6N2hPdHBNMzFXVUVtZzJ0MEdEaU02TVJHT3ZmSW8vM04yOXpsMmk1ZmpFbzhtU2Njem1FT2tkQkcya3hETjdNTWVLdklNdTdhNVBOTnNUVlRWY2VSaS9mdkErWDNtY3p0OEpuRS92SXlPeEMyZHBKZEZiL2p0Rmp2UTB6WEptaUd3MngvZ0dobUQyTzBTZGFXVzFWR0I5WnJRQW5OWHdYQWxRMFNsOC9YVkpyZG5sb0szd1R2YTRBYUI5TjJjcGtSVjV3d1p0NE5MTWE5N2RrSDdNS0NvcFNad2JYQXJLQkJxUEVGZXFkTGJSbmlZc2w1eXJLQ2ZZZ0VWbHpZUnFKWTlPUk44UjFMQkU1NkZ6dUppK1QreUdDd0RuVDBUcFNieXUyeGxXK3dUYW5zVFEybGxwOFlWTC9kZCtxalpLaUdieUtrMGFZM3dKV3BnM0hnd1lFTzhLWkc4UXlrei85Zzl3ak1yNlBjamhRc3ZqMDhGM3FlNDZSUlk3Smg4bGxjSkp5OEhvd1Ntd2Q0a1ZnUkxqdUgzOCtuZTNxOGVRZ202eTZCSGRwN0FyU0hVdG5YV2JXSUp1am5DQW5sRnlQQkJtSmw3OCtqTUVMYWlqWEFZcyt0KzAranZHYi9QeEY0dVo5RzBRTWNma296aEF4QkxQaXNEMlFHSng1V1krWXBjc1gybUZESDdaUUtuUjRycVQ5b0tEUlRlNmRsMU4xTUxyTzNSYThCUTY5VVIzYU0rYldsTVlleTQ1NVdGUTVCOWFiWVZMYmVWdVV6dytPU0dqQmFFeEZ4TEgyMDE4MCtQeVdjSE5SOWpuMjZWZzdvdjdJdUVLN3NVS2JRYjc0Tkdpa2lOU0dzWDA0ZDlHNGRxSjFzam1iZEhxbmRtUjBaY3ozaVhzK3lKdjNwU0ZCTWRGZU1aT3NiNnN4WUE5K09sZkkxcEhyU2tNQkhKeHBaVjRTc2xGRitLR0xVY3B2YUhXSE9Ca05tdlNyYUFhQ1JWNzRZWHdBODZMMVY3b3UxUXhSVmNFWnArSlo0aldIRVI4YndnUk1HZjFFWU5HZWZDKzY2YnpaTDN2dmIzOWhWcFpNTGFCSTJNSW1aMVRQYk9qeVhJVFFxRDlkWDZZQ0pmSUM2czAwL00zZTB5TVlOSndFdThGMytFVUtXNXJIV0VBL1pzUlVYQ1VjbUp3MHRDeXFZM243MjUzWTFQdVlIRm82LzNwcTd1Nmd6ZXR1eEJFZXArQ2VqVXF0RmNzWmthdWNMc0NZU2NoWWN2Wlp6alhxU1lVdjRpTTlYb1pYS0ROK1FsV3VieHphWUQwWmFMZWVhUDg4S0oxbE9vdG4ycUx6ZkxHYk5QVTlzSkZXNWV6eWd2MjZDdVk1UElhT1REUXpYM21nOS9mNTJhSEdXOUNvdXNMenBYbmZZK0lzQjFQemFuN3U2ZDV2MlJ0K3RUOXdmYWVmYUtNbDV0K3hEOTcwckxIN25zVDlJVHlBeXZYVUhOalVHZFpSNzFEekQ1LzV0WC9EK0hsWGJzUHdCUVN3RUNGQU1VQUFBQUNBQ2lmZ1pibVdNR09MQUJBQURuQXdBQURBQUpBQUFBQUFBQUFBQUF0b0VBQUFBQVpHOWpkVzFsYm5RdWVHMXNWVlFGQUFmaENaTm9VRXNCQWhRREZBQUFBQWdBb240R1cvOGVGd3grUUFBQW1UVUdBQThBQ1FBQUFBQUFBQUFBQUxhQjJnRUFBSEJoWjJWekwzQmhaMlV4TG5odGJGVlVCUUFINFFtVGFGQkxBUUlVQXhRQUFBQUlBS0orQmxzazhOdjRPZ0FBQURvQUFBQU9BQWtBQUFBQUFBQUFBQUMyZ1lWQ0FBQnlaV3h6TDE5eVpXeHpMbmh0YkZWVUJRQUg0UW1UYUZCTEFRSVVBeFFBQUFBSUFLSitCbHNrOE52NE9nQUFBRG9BQUFBVEFBa0FBQUFBQUFBQUFBQzJnZXRDQUFCeVpXeHpMM0JoWjJVeFgzSmxiSE11ZUcxc1ZWUUZBQWZoQ1pOb1VFc0JBaFFERkFBQUFBZ0FvbjRHV3pTeXplMjJBd0FBWXg4QUFBa0FDUUFBQUFBQUFBQUFBTGFCVmtNQUFIUm9aVzFsTG5odGJGVlVCUUFINFFtVGFGQkxBUUlVQXhRQUFBQUlBS0orQmx2VnltUnZVdzRBQUNBUUFBQU9BQWtBQUFBQUFBQUFBQUMyZ1ROSEFBQjBhSFZ0WW01aGFXd3VhbkJsWjFWVUJRQUg0UW1UYUZCTEJRWUFBQUFBQmdBR0FKMEJBQUN5VlFBQUFBQT0iLAoJIkZpbGVOYW1lIiA6ICLnu5jlm74xKDE3KS5lZGR4Igp9Cg=="/>
    </extobj>
  </extobj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15b8c544-80ea-4062-9f69-8bc970bf69a9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638643FB</paraID>
      <start xmlns="http://schemas.wps.cn/vas-ai-hub/contract-review">20</start>
      <end xmlns="http://schemas.wps.cn/vas-ai-hub/contract-review">21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63aa8c0a-7994-477c-8079-786802593e6e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729CFFC5</paraID>
      <start xmlns="http://schemas.wps.cn/vas-ai-hub/contract-review">39</start>
      <end xmlns="http://schemas.wps.cn/vas-ai-hub/contract-review">40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27c9c60c-a1d1-4e12-b795-0c3b2a406d74</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 68492A4</paraID>
      <start xmlns="http://schemas.wps.cn/vas-ai-hub/contract-review">19</start>
      <end xmlns="http://schemas.wps.cn/vas-ai-hub/contract-review">20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43b4b20c-8938-4fca-9265-7fad015257cd</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 68492A4</paraID>
      <start xmlns="http://schemas.wps.cn/vas-ai-hub/contract-review">44</start>
      <end xmlns="http://schemas.wps.cn/vas-ai-hub/contract-review">45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fe3b2bef-c04f-4918-bd79-fda7f6a406ee</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，以</item>
      </candidateList>
      <explain xmlns="http://schemas.wps.cn/vas-ai-hub/contract-review"/>
      <paraID xmlns="http://schemas.wps.cn/vas-ai-hub/contract-review">364817C0</paraID>
      <start xmlns="http://schemas.wps.cn/vas-ai-hub/contract-review">26</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2dfd7c48-74e1-48f2-acf7-769c0cd7d40c</errorID>
      <errorWord xmlns="http://schemas.wps.cn/vas-ai-hub/contract-review">心</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心区</item>
      </candidateList>
      <explain xmlns="http://schemas.wps.cn/vas-ai-hub/contract-review"/>
      <paraID xmlns="http://schemas.wps.cn/vas-ai-hub/contract-review">1CF729D3</paraID>
      <start xmlns="http://schemas.wps.cn/vas-ai-hub/contract-review">92</start>
      <end xmlns="http://schemas.wps.cn/vas-ai-hub/contract-review">93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6e8e3a55-fdbf-47e2-a6be-a9bff7539f75</errorID>
      <errorWord xmlns="http://schemas.wps.cn/vas-ai-hub/contract-review">，</errorWord>
      <group xmlns="http://schemas.wps.cn/vas-ai-hub/contract-review">L1_AI</group>
      <groupName xmlns="http://schemas.wps.cn/vas-ai-hub/contract-review">深度校对</groupName>
      <ability xmlns="http://schemas.wps.cn/vas-ai-hub/contract-review">L2_AI_Punc</ability>
      <abilityName xmlns="http://schemas.wps.cn/vas-ai-hub/contract-review">标点纠错</abilityName>
      <candidateList xmlns="http://schemas.wps.cn/vas-ai-hub/contract-review">
        <item xmlns="http://schemas.wps.cn/vas-ai-hub/contract-review">。</item>
      </candidateList>
      <explain xmlns="http://schemas.wps.cn/vas-ai-hub/contract-review"/>
      <paraID xmlns="http://schemas.wps.cn/vas-ai-hub/contract-review">1CF729D3</paraID>
      <start xmlns="http://schemas.wps.cn/vas-ai-hub/contract-review">108</start>
      <end xmlns="http://schemas.wps.cn/vas-ai-hub/contract-review">109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ca8b3932-60bf-4d57-b8d9-239725b8834a</errorID>
      <errorWord xmlns="http://schemas.wps.cn/vas-ai-hub/contract-review">上线</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上限</item>
      </candidateList>
      <explain xmlns="http://schemas.wps.cn/vas-ai-hub/contract-review"/>
      <paraID xmlns="http://schemas.wps.cn/vas-ai-hub/contract-review">547E0DD4</paraID>
      <start xmlns="http://schemas.wps.cn/vas-ai-hub/contract-review">91</start>
      <end xmlns="http://schemas.wps.cn/vas-ai-hub/contract-review">93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4df9206d-c40a-4f39-9be5-4ef7acc92133</errorID>
      <errorWord xmlns="http://schemas.wps.cn/vas-ai-hub/contract-review">中共中央国务院</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中共中央、国务院</item>
      </candidateList>
      <explain xmlns="http://schemas.wps.cn/vas-ai-hub/contract-review">注意检查当前固定表述标点是否使用规范。</explain>
      <paraID xmlns="http://schemas.wps.cn/vas-ai-hub/contract-review">3AE7C3D6</paraID>
      <start xmlns="http://schemas.wps.cn/vas-ai-hub/contract-review">6</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41d60ec7-dd44-40c0-841c-ee898f236f32</errorID>
      <errorWord xmlns="http://schemas.wps.cn/vas-ai-hub/contract-review">实施</errorWord>
      <group xmlns="http://schemas.wps.cn/vas-ai-hub/contract-review">L1_AI</group>
      <groupName xmlns="http://schemas.wps.cn/vas-ai-hub/contract-review">深度校对</groupName>
      <ability xmlns="http://schemas.wps.cn/vas-ai-hub/contract-review">L2_AI_Word</ability>
      <abilityName xmlns="http://schemas.wps.cn/vas-ai-hub/contract-review">字词纠错</abilityName>
      <candidateList xmlns="http://schemas.wps.cn/vas-ai-hub/contract-review">
        <item xmlns="http://schemas.wps.cn/vas-ai-hub/contract-review">构建</item>
      </candidateList>
      <explain xmlns="http://schemas.wps.cn/vas-ai-hub/contract-review"/>
      <paraID xmlns="http://schemas.wps.cn/vas-ai-hub/contract-review">3AE7C3D6</paraID>
      <start xmlns="http://schemas.wps.cn/vas-ai-hub/contract-review">85</start>
      <end xmlns="http://schemas.wps.cn/vas-ai-hub/contract-review">87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631ca3be-5228-457d-9222-63f18b63be89</errorID>
      <errorWord xmlns="http://schemas.wps.cn/vas-ai-hub/contract-review">，</errorWord>
      <group xmlns="http://schemas.wps.cn/vas-ai-hub/contract-review">L1_AI</group>
      <groupName xmlns="http://schemas.wps.cn/vas-ai-hub/contract-review">深度校对</groupName>
      <ability xmlns="http://schemas.wps.cn/vas-ai-hub/contract-review">L2_AI_Grammar</ability>
      <abilityName xmlns="http://schemas.wps.cn/vas-ai-hub/contract-review">语法纠错</abilityName>
      <candidateList xmlns="http://schemas.wps.cn/vas-ai-hub/contract-review">
        <item xmlns="http://schemas.wps.cn/vas-ai-hub/contract-review">的范围内</item>
      </candidateList>
      <explain xmlns="http://schemas.wps.cn/vas-ai-hub/contract-review"/>
      <paraID xmlns="http://schemas.wps.cn/vas-ai-hub/contract-review">67AAF5A0</paraID>
      <start xmlns="http://schemas.wps.cn/vas-ai-hub/contract-review">39</start>
      <end xmlns="http://schemas.wps.cn/vas-ai-hub/contract-review">40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590b9904-2232-4691-93b2-fef3b83cc1ad</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3B935E38</paraID>
      <start xmlns="http://schemas.wps.cn/vas-ai-hub/contract-review">60</start>
      <end xmlns="http://schemas.wps.cn/vas-ai-hub/contract-review">61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2ef77db7-7cf6-48cf-9bea-85396dabf0b6</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58C6F44F</paraID>
      <start xmlns="http://schemas.wps.cn/vas-ai-hub/contract-review">44</start>
      <end xmlns="http://schemas.wps.cn/vas-ai-hub/contract-review">45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d1eafbef-6ccd-4754-9e21-4dc72aa7d223</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4E827085</paraID>
      <start xmlns="http://schemas.wps.cn/vas-ai-hub/contract-review">41</start>
      <end xmlns="http://schemas.wps.cn/vas-ai-hub/contract-review">42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a7f17687-110f-42aa-a691-70903f8a903b</errorID>
      <errorWord xmlns="http://schemas.wps.cn/vas-ai-hub/contract-review">胶粘剂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胶黏剂</item>
      </candidateList>
      <explain xmlns="http://schemas.wps.cn/vas-ai-hub/contract-review"/>
      <paraID xmlns="http://schemas.wps.cn/vas-ai-hub/contract-review">203BA735</paraID>
      <start xmlns="http://schemas.wps.cn/vas-ai-hub/contract-review">139</start>
      <end xmlns="http://schemas.wps.cn/vas-ai-hub/contract-review">142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5673853e-c0d4-4302-b71e-3b2b4d14f67b</errorID>
      <errorWord xmlns="http://schemas.wps.cn/vas-ai-hub/contract-review">环境功能区区划</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环境功能区划</item>
      </candidateList>
      <explain xmlns="http://schemas.wps.cn/vas-ai-hub/contract-review"/>
      <paraID xmlns="http://schemas.wps.cn/vas-ai-hub/contract-review">427F38BD</paraID>
      <start xmlns="http://schemas.wps.cn/vas-ai-hub/contract-review">63</start>
      <end xmlns="http://schemas.wps.cn/vas-ai-hub/contract-review">70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65dae5fd-4d59-4965-a93b-4fcaaa939e96</errorID>
      <errorWord xmlns="http://schemas.wps.cn/vas-ai-hub/contract-review">加强</errorWord>
      <group xmlns="http://schemas.wps.cn/vas-ai-hub/contract-review">L1_Grammar</group>
      <groupName xmlns="http://schemas.wps.cn/vas-ai-hub/contract-review">语法问题</groupName>
      <ability xmlns="http://schemas.wps.cn/vas-ai-hub/contract-review">L2_Grammar</ability>
      <abilityName xmlns="http://schemas.wps.cn/vas-ai-hub/contract-review">语法错误</abilityName>
      <candidateList xmlns="http://schemas.wps.cn/vas-ai-hub/contract-review">
        <item xmlns="http://schemas.wps.cn/vas-ai-hub/contract-review">加大</item>
      </candidateList>
      <explain xmlns="http://schemas.wps.cn/vas-ai-hub/contract-review">“加强～力度”搭配不当，建议修改为“加大～力度”。</explain>
      <paraID xmlns="http://schemas.wps.cn/vas-ai-hub/contract-review">427F38BD</paraID>
      <start xmlns="http://schemas.wps.cn/vas-ai-hub/contract-review">156</start>
      <end xmlns="http://schemas.wps.cn/vas-ai-hub/contract-review">158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61073713-ed4b-4abd-926d-1adc0eb2aad6</errorID>
      <errorWord xmlns="http://schemas.wps.cn/vas-ai-hub/contract-review">产能片</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产能</item>
      </candidateList>
      <explain xmlns="http://schemas.wps.cn/vas-ai-hub/contract-review"/>
      <paraID xmlns="http://schemas.wps.cn/vas-ai-hub/contract-review">632EA2DF</paraID>
      <start xmlns="http://schemas.wps.cn/vas-ai-hub/contract-review">97</start>
      <end xmlns="http://schemas.wps.cn/vas-ai-hub/contract-review">100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f575c0df-ce50-4966-bbc1-5b1d4268fd3c</errorID>
      <errorWord xmlns="http://schemas.wps.cn/vas-ai-hub/contract-review">胶粘剂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胶黏剂</item>
      </candidateList>
      <explain xmlns="http://schemas.wps.cn/vas-ai-hub/contract-review"/>
      <paraID xmlns="http://schemas.wps.cn/vas-ai-hub/contract-review">4628C429</paraID>
      <start xmlns="http://schemas.wps.cn/vas-ai-hub/contract-review">98</start>
      <end xmlns="http://schemas.wps.cn/vas-ai-hub/contract-review">101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c9410f84-44fc-48ae-a7c2-026e98c6524d</errorID>
      <errorWord xmlns="http://schemas.wps.cn/vas-ai-hub/contract-review">胶粘剂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胶黏剂</item>
      </candidateList>
      <explain xmlns="http://schemas.wps.cn/vas-ai-hub/contract-review"/>
      <paraID xmlns="http://schemas.wps.cn/vas-ai-hub/contract-review">4628C429</paraID>
      <start xmlns="http://schemas.wps.cn/vas-ai-hub/contract-review">134</start>
      <end xmlns="http://schemas.wps.cn/vas-ai-hub/contract-review">137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e45b489f-1646-4f7e-b3d6-3239fff7d1a3</errorID>
      <errorWord xmlns="http://schemas.wps.cn/vas-ai-hub/contract-review">胶粘剂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胶黏剂</item>
      </candidateList>
      <explain xmlns="http://schemas.wps.cn/vas-ai-hub/contract-review"/>
      <paraID xmlns="http://schemas.wps.cn/vas-ai-hub/contract-review">4628C429</paraID>
      <start xmlns="http://schemas.wps.cn/vas-ai-hub/contract-review">305</start>
      <end xmlns="http://schemas.wps.cn/vas-ai-hub/contract-review">308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30649a1c-9271-4e02-a789-2ae45424788e</errorID>
      <errorWord xmlns="http://schemas.wps.cn/vas-ai-hub/contract-review">胶粘剂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胶黏剂</item>
      </candidateList>
      <explain xmlns="http://schemas.wps.cn/vas-ai-hub/contract-review"/>
      <paraID xmlns="http://schemas.wps.cn/vas-ai-hub/contract-review">28583125</paraID>
      <start xmlns="http://schemas.wps.cn/vas-ai-hub/contract-review">73</start>
      <end xmlns="http://schemas.wps.cn/vas-ai-hub/contract-review">76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21dd661d-ae5f-4faa-b3bc-48332cfc66ec</errorID>
      <errorWord xmlns="http://schemas.wps.cn/vas-ai-hub/contract-review">紫外光</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紫外线</item>
      </candidateList>
      <explain xmlns="http://schemas.wps.cn/vas-ai-hub/contract-review"/>
      <paraID xmlns="http://schemas.wps.cn/vas-ai-hub/contract-review">770AEB30</paraID>
      <start xmlns="http://schemas.wps.cn/vas-ai-hub/contract-review">32</start>
      <end xmlns="http://schemas.wps.cn/vas-ai-hub/contract-review">35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10827459-2e1a-4fd1-a06b-76e3ff3979de</errorID>
      <errorWord xmlns="http://schemas.wps.cn/vas-ai-hub/contract-review">备</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备和</item>
      </candidateList>
      <explain xmlns="http://schemas.wps.cn/vas-ai-hub/contract-review"/>
      <paraID xmlns="http://schemas.wps.cn/vas-ai-hub/contract-review">39632867</paraID>
      <start xmlns="http://schemas.wps.cn/vas-ai-hub/contract-review">46</start>
      <end xmlns="http://schemas.wps.cn/vas-ai-hub/contract-review">47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a92faa7c-aabd-4d47-839e-903d1e7aeaf9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198D0860</paraID>
      <start xmlns="http://schemas.wps.cn/vas-ai-hub/contract-review">41</start>
      <end xmlns="http://schemas.wps.cn/vas-ai-hub/contract-review">42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2f5551b8-f623-4b02-9376-6b3acf33a431</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4571F004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e1669751-2b74-4e6a-a776-6b6ccb2f195a</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136A6AAC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2124aa29-2dbf-4798-9c73-71a582351a19</errorID>
      <errorWord xmlns="http://schemas.wps.cn/vas-ai-hub/contract-review">黄曲霉素</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黄曲霉毒素</item>
      </candidateList>
      <explain xmlns="http://schemas.wps.cn/vas-ai-hub/contract-review"/>
      <paraID xmlns="http://schemas.wps.cn/vas-ai-hub/contract-review">78BCA802</paraID>
      <start xmlns="http://schemas.wps.cn/vas-ai-hub/contract-review">0</start>
      <end xmlns="http://schemas.wps.cn/vas-ai-hub/contract-review">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27f3183a-02b8-4ace-99bf-cfc605821f0d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6656303</paraID>
      <start xmlns="http://schemas.wps.cn/vas-ai-hub/contract-review">31</start>
      <end xmlns="http://schemas.wps.cn/vas-ai-hub/contract-review">32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f896c419-57a7-4d24-bee9-9f58ed13f87d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6656303</paraID>
      <start xmlns="http://schemas.wps.cn/vas-ai-hub/contract-review">40</start>
      <end xmlns="http://schemas.wps.cn/vas-ai-hub/contract-review">41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20469944-ad30-4b12-8dc3-37b37c0c8cbb</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2BC010E6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7fd89f04-6f76-4a87-b87a-2a366076efbc</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63D27494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6af959fd-b781-45f4-9129-ef86f4b4d95e</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671CAE66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8d3283ae-738b-4010-97a5-df7ba4b243c8</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66CCD4DD</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e98f62e6-b30c-462a-aaeb-b6cd21f18f96</errorID>
      <errorWord xmlns="http://schemas.wps.cn/vas-ai-hub/contract-review">回用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可用</item>
      </candidateList>
      <explain xmlns="http://schemas.wps.cn/vas-ai-hub/contract-review"/>
      <paraID xmlns="http://schemas.wps.cn/vas-ai-hub/contract-review">63BD875C</paraID>
      <start xmlns="http://schemas.wps.cn/vas-ai-hub/contract-review">64</start>
      <end xmlns="http://schemas.wps.cn/vas-ai-hub/contract-review">66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1fe2b77f-ca7e-4ccc-8665-9038ea50b393</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5A57E209</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68e88754-f61c-4d83-a514-5019096bb744</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5512D570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db05c81b-be4b-4fe8-8273-a1ac0136f05b</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243420B1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3c9c9423-901f-4f37-bb31-b32b6cd3ee70</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11E61B8</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d07b0db2-4f6c-417c-9427-8cf39547fc85</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71FF0C1A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b215af06-a3ac-4d5f-9b92-d2d7111bb4d5</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77824CB5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27674127-3b96-4682-b04e-79336f12792d</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5B5F7E2A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3f18600c-4a83-4837-b097-576c58a3e72a</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42DA9161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360e26d9-475e-40e2-92e0-66fe302aca1e</errorID>
      <errorWord xmlns="http://schemas.wps.cn/vas-ai-hub/contract-review">阳阴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阴阳</item>
      </candidateList>
      <explain xmlns="http://schemas.wps.cn/vas-ai-hub/contract-review"/>
      <paraID xmlns="http://schemas.wps.cn/vas-ai-hub/contract-review">24DD0430</paraID>
      <start xmlns="http://schemas.wps.cn/vas-ai-hub/contract-review">5</start>
      <end xmlns="http://schemas.wps.cn/vas-ai-hub/contract-review">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f7134f04-ed95-4aa3-88b8-a595c9d8b7f9</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31AD8754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1e155318-16eb-45ef-99de-dcc3e0e4daa1</errorID>
      <errorWord xmlns="http://schemas.wps.cn/vas-ai-hub/contract-review">9、</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9.</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EE656DB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07eefa5e-02a3-4093-b3e7-e9208b443c83</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1B07B234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aaf07516-3dbe-4bf2-9c61-37fc9d9831d3</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5749E929</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f3ad7404-4a1e-467d-8cc8-b89bc0fdd992</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5E5CF664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3a17a8ca-abac-4335-95a2-f60436775809</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614E2DDB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20c5b120-68c0-457c-9c45-375c9c956da2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177</start>
      <end xmlns="http://schemas.wps.cn/vas-ai-hub/contract-review">178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2fbe6c3c-ad20-460a-9a73-07712ee966ce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184</start>
      <end xmlns="http://schemas.wps.cn/vas-ai-hub/contract-review">185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de81893d-22a2-4b52-8008-7afe08006b15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220</start>
      <end xmlns="http://schemas.wps.cn/vas-ai-hub/contract-review">221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f05da2a5-6685-4796-8a60-a9b233fcf7b6</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227</start>
      <end xmlns="http://schemas.wps.cn/vas-ai-hub/contract-review">228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9ed8498c-3b1f-4611-837d-1c425624d788</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241</start>
      <end xmlns="http://schemas.wps.cn/vas-ai-hub/contract-review">242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858177a7-8bfe-4bb6-af91-5a687047f572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255</start>
      <end xmlns="http://schemas.wps.cn/vas-ai-hub/contract-review">256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7496a73a-0985-4900-9198-6260423633f5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275</start>
      <end xmlns="http://schemas.wps.cn/vas-ai-hub/contract-review">276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0507898d-99e2-4e07-8850-c4a748bad9cb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290</start>
      <end xmlns="http://schemas.wps.cn/vas-ai-hub/contract-review">291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90bc25b3-2bcf-48ed-88c7-218f7ec9e92b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306</start>
      <end xmlns="http://schemas.wps.cn/vas-ai-hub/contract-review">307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f6c1f4f5-9a9b-402b-850c-ee7dee5aa76d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 E1DD220</paraID>
      <start xmlns="http://schemas.wps.cn/vas-ai-hub/contract-review">382</start>
      <end xmlns="http://schemas.wps.cn/vas-ai-hub/contract-review">383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08226456-71ce-49c0-96e7-a4e12a196ac6</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C0B5B46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d8456733-162f-4f35-84c5-2ee30a4a5273</errorID>
      <errorWord xmlns="http://schemas.wps.cn/vas-ai-hub/contract-review">回用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可用</item>
      </candidateList>
      <explain xmlns="http://schemas.wps.cn/vas-ai-hub/contract-review"/>
      <paraID xmlns="http://schemas.wps.cn/vas-ai-hub/contract-review">22F15C89</paraID>
      <start xmlns="http://schemas.wps.cn/vas-ai-hub/contract-review">59</start>
      <end xmlns="http://schemas.wps.cn/vas-ai-hub/contract-review">61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7fa4aa9c-9679-4050-84fb-fbdc6542d32f</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3465D2A2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be033855-958d-4e11-b514-7410e3af5e99</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6647C70E</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f9b8602a-94ba-4b26-a488-5f6e71020389</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2A7976ED</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6207e73a-d0aa-4eed-bb56-e67c7e5e7459</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131F1AE1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06783c45-8a39-42a4-ac01-46b3d73400c1</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4012B4B4</paraID>
      <start xmlns="http://schemas.wps.cn/vas-ai-hub/contract-review">57</start>
      <end xmlns="http://schemas.wps.cn/vas-ai-hub/contract-review">58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5771b03d-4ead-42ef-be66-2d0b55fedc85</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4531785B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41206db2-3018-4935-93b3-22439ab5bbad</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3D929534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14d16b84-1235-4102-bd65-4e9b06dd51e4</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70951B57</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ae4c8fb0-b9d8-41bf-9cb0-9b551be91549</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1158DEAF</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9fd8f892-a416-4621-8629-d04ccce4317d</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F2E45E8</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1557fe65-84e1-4a6a-8521-ce100be459bd</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3729DE88</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e513329b-96f5-4425-a576-d1f5a08b4c88</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548C5D71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0d593d10-f9e7-42a2-a486-916979dbf302</errorID>
      <errorWord xmlns="http://schemas.wps.cn/vas-ai-hub/contract-review">粘结</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黏结</item>
      </candidateList>
      <explain xmlns="http://schemas.wps.cn/vas-ai-hub/contract-review">存在发音相同字词的误用。</explain>
      <paraID xmlns="http://schemas.wps.cn/vas-ai-hub/contract-review">620EB85A</paraID>
      <start xmlns="http://schemas.wps.cn/vas-ai-hub/contract-review">109</start>
      <end xmlns="http://schemas.wps.cn/vas-ai-hub/contract-review">111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ba7402a1-7d90-48e3-83d9-c3bc2fb34b44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67EBDE88</paraID>
      <start xmlns="http://schemas.wps.cn/vas-ai-hub/contract-review">323</start>
      <end xmlns="http://schemas.wps.cn/vas-ai-hub/contract-review">324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63d98bec-9bbe-4d48-8930-479e83900abb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727647A1</paraID>
      <start xmlns="http://schemas.wps.cn/vas-ai-hub/contract-review">1</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7723883d-3a10-4384-8e88-0cffc83a6d16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31E38DFD</paraID>
      <start xmlns="http://schemas.wps.cn/vas-ai-hub/contract-review">23</start>
      <end xmlns="http://schemas.wps.cn/vas-ai-hub/contract-review">24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2c25c10d-ac55-4062-a057-b52e3ce63aa1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4F946E61</paraID>
      <start xmlns="http://schemas.wps.cn/vas-ai-hub/contract-review">57</start>
      <end xmlns="http://schemas.wps.cn/vas-ai-hub/contract-review">58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ad49392a-e8e7-47b1-a917-a013c04c2a1f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27F0C8A2</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210c3780-b4e0-478f-bfc4-d575fda2d4f6</errorID>
      <errorWord xmlns="http://schemas.wps.cn/vas-ai-hub/contract-review">迭加</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叠加</item>
      </candidateList>
      <explain xmlns="http://schemas.wps.cn/vas-ai-hub/contract-review"/>
      <paraID xmlns="http://schemas.wps.cn/vas-ai-hub/contract-review"> B257AFC</paraID>
      <start xmlns="http://schemas.wps.cn/vas-ai-hub/contract-review">31</start>
      <end xmlns="http://schemas.wps.cn/vas-ai-hub/contract-review">33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5e3d9622-b839-4ad6-aed7-46e502d546bb</errorID>
      <errorWord xmlns="http://schemas.wps.cn/vas-ai-hub/contract-review">连轴节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联轴节</item>
      </candidateList>
      <explain xmlns="http://schemas.wps.cn/vas-ai-hub/contract-review">存在发音相同字词的误用。</explain>
      <paraID xmlns="http://schemas.wps.cn/vas-ai-hub/contract-review">1F5723FF</paraID>
      <start xmlns="http://schemas.wps.cn/vas-ai-hub/contract-review">24</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3cd0d196-ce04-4f8d-8d37-1f2dc8c10b52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37F15409</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f3caa54f-680f-4b18-9827-1488f8af895c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  8E48EF</paraID>
      <start xmlns="http://schemas.wps.cn/vas-ai-hub/contract-review">8</start>
      <end xmlns="http://schemas.wps.cn/vas-ai-hub/contract-review">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bf0c64ae-3903-4d69-9dcf-5b3eb1f12fa6</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37244C50</paraID>
      <start xmlns="http://schemas.wps.cn/vas-ai-hub/contract-review">5</start>
      <end xmlns="http://schemas.wps.cn/vas-ai-hub/contract-review">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27ca6164-fef3-4734-a057-42723714f327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此处标点可能未正确匹配，请检查句子中是否存在标点冗余、缺失或使用错误的情况。</explain>
      <paraID xmlns="http://schemas.wps.cn/vas-ai-hub/contract-review">79171B59</paraID>
      <start xmlns="http://schemas.wps.cn/vas-ai-hub/contract-review">154</start>
      <end xmlns="http://schemas.wps.cn/vas-ai-hub/contract-review">155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500b231b-bb40-4f8d-b772-56f5d1114431</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1F5EFBE6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645f7107-d4e8-46ea-9c8b-fde346459bc4</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3CD8BC4C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26767ccc-47bb-45f9-90c5-630586e7ecde</errorID>
      <errorWord xmlns="http://schemas.wps.cn/vas-ai-hub/contract-review">9、</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9.</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13E7D221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a4acd0b2-370c-401d-a3dd-433d169a0bfa</errorID>
      <errorWord xmlns="http://schemas.wps.cn/vas-ai-hub/contract-review">10、</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10.</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3621CB0E</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9d39001f-29f7-4f58-9c88-6e29fd326f3e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653897C4</paraID>
      <start xmlns="http://schemas.wps.cn/vas-ai-hub/contract-review">26</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b608d-61a0-4d55-8ce9-2625bd175dd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117</Pages>
  <Words>27846</Words>
  <Characters>31743</Characters>
  <Lines>1</Lines>
  <Paragraphs>1</Paragraphs>
  <TotalTime>36</TotalTime>
  <ScaleCrop>false</ScaleCrop>
  <LinksUpToDate>false</LinksUpToDate>
  <CharactersWithSpaces>31806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2021-06-24T19:16:00Z</dcterms:created>
  <dc:creator>Administrator</dc:creator>
  <cp:lastModifiedBy>小愤青菜</cp:lastModifiedBy>
  <cp:lastPrinted>2021-06-30T18:49:00Z</cp:lastPrinted>
  <dcterms:modified xsi:type="dcterms:W3CDTF">2026-03-13T09:27:12Z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9667A6C1800641AE9743A4ECC4BC5F70_13</vt:lpwstr>
  </property>
  <property fmtid="{D5CDD505-2E9C-101B-9397-08002B2CF9AE}" pid="4" name="KSOTemplateDocerSaveRecord">
    <vt:lpwstr>eyJoZGlkIjoiMTA3M2IxOGJjNTM2MmMxMzUzZjU4OGQ3NTUzYTY5ZGEiLCJ1c2VySWQiOiIzOTUwNzk5MDkifQ==</vt:lpwstr>
  </property>
</Properties>
</file>