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7F7B34">
      <w:pPr>
        <w:rPr>
          <w:rFonts w:hint="default" w:ascii="Times New Roman" w:hAnsi="Times New Roman" w:eastAsia="宋体" w:cs="Times New Roman"/>
          <w:color w:val="auto"/>
          <w:sz w:val="36"/>
          <w:szCs w:val="36"/>
        </w:rPr>
      </w:pPr>
    </w:p>
    <w:p w14:paraId="35547C6E">
      <w:pPr>
        <w:rPr>
          <w:rFonts w:hint="default" w:ascii="Times New Roman" w:hAnsi="Times New Roman" w:eastAsia="宋体" w:cs="Times New Roman"/>
          <w:color w:val="auto"/>
          <w:sz w:val="36"/>
          <w:szCs w:val="36"/>
        </w:rPr>
      </w:pPr>
    </w:p>
    <w:p w14:paraId="73CE300E">
      <w:pPr>
        <w:rPr>
          <w:rFonts w:hint="default" w:ascii="Times New Roman" w:hAnsi="Times New Roman" w:eastAsia="宋体" w:cs="Times New Roman"/>
          <w:color w:val="auto"/>
          <w:sz w:val="36"/>
          <w:szCs w:val="36"/>
        </w:rPr>
      </w:pPr>
    </w:p>
    <w:p w14:paraId="3701434D">
      <w:pPr>
        <w:rPr>
          <w:rFonts w:hint="default" w:ascii="Times New Roman" w:hAnsi="Times New Roman" w:eastAsia="宋体" w:cs="Times New Roman"/>
          <w:color w:val="auto"/>
          <w:sz w:val="36"/>
          <w:szCs w:val="36"/>
        </w:rPr>
      </w:pPr>
    </w:p>
    <w:p w14:paraId="26943CDF">
      <w:pPr>
        <w:adjustRightInd w:val="0"/>
        <w:snapToGrid w:val="0"/>
        <w:jc w:val="center"/>
        <w:outlineLvl w:val="9"/>
        <w:rPr>
          <w:rFonts w:hint="default" w:ascii="Times New Roman" w:hAnsi="Times New Roman" w:eastAsia="宋体" w:cs="Times New Roman"/>
          <w:bCs/>
          <w:color w:val="auto"/>
          <w:sz w:val="72"/>
          <w:szCs w:val="72"/>
        </w:rPr>
      </w:pPr>
      <w:bookmarkStart w:id="0" w:name="_Toc4703"/>
      <w:r>
        <w:rPr>
          <w:rFonts w:hint="default" w:ascii="Times New Roman" w:hAnsi="Times New Roman" w:eastAsia="宋体" w:cs="Times New Roman"/>
          <w:bCs/>
          <w:color w:val="auto"/>
          <w:sz w:val="72"/>
          <w:szCs w:val="72"/>
        </w:rPr>
        <w:t>建设项目环境影响报告表</w:t>
      </w:r>
      <w:bookmarkEnd w:id="0"/>
    </w:p>
    <w:p w14:paraId="5952DD56">
      <w:pPr>
        <w:adjustRightInd w:val="0"/>
        <w:snapToGrid w:val="0"/>
        <w:spacing w:before="192"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14:paraId="32FDB500">
      <w:pPr>
        <w:adjustRightInd w:val="0"/>
        <w:snapToGrid w:val="0"/>
        <w:spacing w:line="288" w:lineRule="auto"/>
        <w:jc w:val="center"/>
        <w:outlineLvl w:val="9"/>
        <w:rPr>
          <w:rFonts w:hint="default" w:ascii="Times New Roman" w:hAnsi="Times New Roman" w:eastAsia="宋体" w:cs="Times New Roman"/>
          <w:color w:val="auto"/>
          <w:kern w:val="44"/>
          <w:sz w:val="44"/>
          <w:szCs w:val="44"/>
        </w:rPr>
      </w:pPr>
    </w:p>
    <w:p w14:paraId="65B862FD">
      <w:pPr>
        <w:jc w:val="center"/>
        <w:rPr>
          <w:rFonts w:hint="default" w:ascii="Times New Roman" w:hAnsi="Times New Roman" w:eastAsia="宋体" w:cs="Times New Roman"/>
          <w:color w:val="auto"/>
          <w:sz w:val="52"/>
          <w:szCs w:val="52"/>
        </w:rPr>
      </w:pPr>
    </w:p>
    <w:p w14:paraId="7C90E4CA">
      <w:pPr>
        <w:ind w:firstLine="1040"/>
        <w:rPr>
          <w:rFonts w:hint="default" w:ascii="Times New Roman" w:hAnsi="Times New Roman" w:eastAsia="宋体" w:cs="Times New Roman"/>
          <w:color w:val="auto"/>
          <w:sz w:val="44"/>
          <w:szCs w:val="44"/>
        </w:rPr>
      </w:pPr>
    </w:p>
    <w:p w14:paraId="14F88A1B">
      <w:pPr>
        <w:ind w:firstLine="1040"/>
        <w:rPr>
          <w:rFonts w:hint="default" w:ascii="Times New Roman" w:hAnsi="Times New Roman" w:eastAsia="宋体" w:cs="Times New Roman"/>
          <w:color w:val="auto"/>
          <w:sz w:val="44"/>
          <w:szCs w:val="44"/>
        </w:rPr>
      </w:pPr>
    </w:p>
    <w:p w14:paraId="3D20A0AB">
      <w:pPr>
        <w:ind w:firstLine="1040"/>
        <w:rPr>
          <w:rFonts w:hint="default" w:ascii="Times New Roman" w:hAnsi="Times New Roman" w:eastAsia="宋体" w:cs="Times New Roman"/>
          <w:color w:val="auto"/>
          <w:sz w:val="44"/>
          <w:szCs w:val="44"/>
        </w:rPr>
      </w:pPr>
    </w:p>
    <w:p w14:paraId="3780F828">
      <w:pPr>
        <w:ind w:firstLine="1040"/>
        <w:rPr>
          <w:rFonts w:hint="default" w:ascii="Times New Roman" w:hAnsi="Times New Roman" w:eastAsia="宋体" w:cs="Times New Roman"/>
          <w:color w:val="auto"/>
          <w:sz w:val="44"/>
          <w:szCs w:val="44"/>
        </w:rPr>
      </w:pPr>
    </w:p>
    <w:p w14:paraId="5AB8C8CE">
      <w:pPr>
        <w:ind w:firstLine="1040"/>
        <w:rPr>
          <w:rFonts w:hint="default" w:ascii="Times New Roman" w:hAnsi="Times New Roman" w:eastAsia="宋体" w:cs="Times New Roman"/>
          <w:color w:val="auto"/>
          <w:sz w:val="44"/>
          <w:szCs w:val="44"/>
        </w:rPr>
      </w:pPr>
    </w:p>
    <w:tbl>
      <w:tblPr>
        <w:tblStyle w:val="33"/>
        <w:tblW w:w="8529" w:type="dxa"/>
        <w:jc w:val="center"/>
        <w:tblLayout w:type="autofit"/>
        <w:tblCellMar>
          <w:top w:w="0" w:type="dxa"/>
          <w:left w:w="108" w:type="dxa"/>
          <w:bottom w:w="0" w:type="dxa"/>
          <w:right w:w="108" w:type="dxa"/>
        </w:tblCellMar>
      </w:tblPr>
      <w:tblGrid>
        <w:gridCol w:w="1859"/>
        <w:gridCol w:w="1011"/>
        <w:gridCol w:w="5659"/>
      </w:tblGrid>
      <w:tr w14:paraId="4895E187">
        <w:tblPrEx>
          <w:tblCellMar>
            <w:top w:w="0" w:type="dxa"/>
            <w:left w:w="108" w:type="dxa"/>
            <w:bottom w:w="0" w:type="dxa"/>
            <w:right w:w="108" w:type="dxa"/>
          </w:tblCellMar>
        </w:tblPrEx>
        <w:trPr>
          <w:trHeight w:val="637" w:hRule="atLeast"/>
          <w:jc w:val="center"/>
        </w:trPr>
        <w:tc>
          <w:tcPr>
            <w:tcW w:w="1859" w:type="dxa"/>
            <w:noWrap w:val="0"/>
            <w:vAlign w:val="center"/>
          </w:tcPr>
          <w:p w14:paraId="09D4E5D1">
            <w:pPr>
              <w:rPr>
                <w:rFonts w:eastAsia="仿宋"/>
                <w:color w:val="auto"/>
                <w:sz w:val="44"/>
                <w:szCs w:val="44"/>
              </w:rPr>
            </w:pPr>
            <w:r>
              <w:rPr>
                <w:rFonts w:hint="eastAsia" w:ascii="仿宋_GB2312" w:eastAsia="仿宋_GB2312"/>
                <w:b/>
                <w:bCs/>
                <w:color w:val="auto"/>
                <w:sz w:val="32"/>
                <w:szCs w:val="32"/>
              </w:rPr>
              <w:t>项目名称：</w:t>
            </w:r>
          </w:p>
        </w:tc>
        <w:tc>
          <w:tcPr>
            <w:tcW w:w="6670" w:type="dxa"/>
            <w:gridSpan w:val="2"/>
            <w:noWrap w:val="0"/>
            <w:vAlign w:val="center"/>
          </w:tcPr>
          <w:p w14:paraId="70326A97">
            <w:pPr>
              <w:rPr>
                <w:rFonts w:hint="eastAsia" w:ascii="仿宋" w:hAnsi="仿宋" w:eastAsia="仿宋" w:cs="仿宋"/>
                <w:color w:val="auto"/>
                <w:sz w:val="32"/>
                <w:szCs w:val="32"/>
                <w:lang w:eastAsia="zh-CN"/>
              </w:rPr>
            </w:pP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江西瑞鼎精密传动有限公司AB/AF/AD行星减</w:t>
            </w:r>
          </w:p>
        </w:tc>
      </w:tr>
      <w:tr w14:paraId="7BBDF224">
        <w:trPr>
          <w:trHeight w:val="603" w:hRule="atLeast"/>
          <w:jc w:val="center"/>
        </w:trPr>
        <w:tc>
          <w:tcPr>
            <w:tcW w:w="1859" w:type="dxa"/>
            <w:noWrap w:val="0"/>
            <w:vAlign w:val="center"/>
          </w:tcPr>
          <w:p w14:paraId="03524130">
            <w:pPr>
              <w:rPr>
                <w:rFonts w:ascii="仿宋_GB2312" w:eastAsia="仿宋_GB2312"/>
                <w:color w:val="auto"/>
                <w:sz w:val="36"/>
                <w:szCs w:val="36"/>
              </w:rPr>
            </w:pPr>
          </w:p>
        </w:tc>
        <w:tc>
          <w:tcPr>
            <w:tcW w:w="6670" w:type="dxa"/>
            <w:gridSpan w:val="2"/>
            <w:noWrap w:val="0"/>
            <w:vAlign w:val="center"/>
          </w:tcPr>
          <w:p w14:paraId="5B28F918">
            <w:pPr>
              <w:rPr>
                <w:rFonts w:hint="eastAsia" w:ascii="仿宋" w:hAnsi="仿宋" w:eastAsia="仿宋" w:cs="仿宋"/>
                <w:color w:val="auto"/>
                <w:sz w:val="32"/>
                <w:szCs w:val="32"/>
              </w:rPr>
            </w:pP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速机技术改造项目</w:t>
            </w:r>
            <w:r>
              <w:rPr>
                <w:rFonts w:hint="eastAsia" w:ascii="仿宋" w:hAnsi="仿宋" w:eastAsia="仿宋" w:cs="仿宋"/>
                <w:color w:val="auto"/>
                <w:sz w:val="32"/>
                <w:szCs w:val="32"/>
                <w:u w:val="single"/>
              </w:rPr>
              <w:t xml:space="preserve">                       </w:t>
            </w:r>
          </w:p>
        </w:tc>
      </w:tr>
      <w:tr w14:paraId="6DB41B11">
        <w:tblPrEx>
          <w:tblCellMar>
            <w:top w:w="0" w:type="dxa"/>
            <w:left w:w="108" w:type="dxa"/>
            <w:bottom w:w="0" w:type="dxa"/>
            <w:right w:w="108" w:type="dxa"/>
          </w:tblCellMar>
        </w:tblPrEx>
        <w:trPr>
          <w:trHeight w:val="677" w:hRule="atLeast"/>
          <w:jc w:val="center"/>
        </w:trPr>
        <w:tc>
          <w:tcPr>
            <w:tcW w:w="2870" w:type="dxa"/>
            <w:gridSpan w:val="2"/>
            <w:noWrap w:val="0"/>
            <w:vAlign w:val="center"/>
          </w:tcPr>
          <w:p w14:paraId="1EC9DA98">
            <w:pPr>
              <w:rPr>
                <w:rFonts w:eastAsia="仿宋"/>
                <w:color w:val="auto"/>
                <w:sz w:val="32"/>
                <w:szCs w:val="32"/>
              </w:rPr>
            </w:pPr>
            <w:r>
              <w:rPr>
                <w:rFonts w:hint="eastAsia" w:ascii="仿宋_GB2312" w:eastAsia="仿宋_GB2312"/>
                <w:b/>
                <w:bCs/>
                <w:color w:val="auto"/>
                <w:sz w:val="32"/>
                <w:szCs w:val="32"/>
              </w:rPr>
              <w:t>建设单位：（盖章）</w:t>
            </w:r>
          </w:p>
        </w:tc>
        <w:tc>
          <w:tcPr>
            <w:tcW w:w="5659" w:type="dxa"/>
            <w:noWrap w:val="0"/>
            <w:vAlign w:val="center"/>
          </w:tcPr>
          <w:p w14:paraId="711CD50D">
            <w:pPr>
              <w:rPr>
                <w:rFonts w:eastAsia="仿宋"/>
                <w:color w:val="auto"/>
                <w:sz w:val="32"/>
                <w:szCs w:val="32"/>
              </w:rPr>
            </w:pPr>
            <w:r>
              <w:rPr>
                <w:rFonts w:hint="eastAsia" w:eastAsia="仿宋_GB2312"/>
                <w:color w:val="auto"/>
                <w:sz w:val="32"/>
                <w:szCs w:val="32"/>
                <w:u w:val="single"/>
              </w:rPr>
              <w:t xml:space="preserve"> </w:t>
            </w:r>
            <w:r>
              <w:rPr>
                <w:rFonts w:hint="eastAsia" w:eastAsia="仿宋_GB2312"/>
                <w:color w:val="auto"/>
                <w:sz w:val="32"/>
                <w:szCs w:val="32"/>
                <w:u w:val="single"/>
                <w:lang w:val="en-US" w:eastAsia="zh-CN"/>
              </w:rPr>
              <w:t xml:space="preserve">    </w:t>
            </w:r>
            <w:r>
              <w:rPr>
                <w:rFonts w:hint="eastAsia" w:ascii="仿宋" w:hAnsi="仿宋" w:eastAsia="仿宋" w:cs="仿宋"/>
                <w:color w:val="auto"/>
                <w:sz w:val="32"/>
                <w:szCs w:val="32"/>
                <w:u w:val="single"/>
                <w:lang w:val="en-US" w:eastAsia="zh-CN"/>
              </w:rPr>
              <w:t>江西瑞鼎精密传动有限公司</w:t>
            </w:r>
            <w:r>
              <w:rPr>
                <w:rFonts w:hint="eastAsia" w:eastAsia="仿宋_GB2312"/>
                <w:color w:val="auto"/>
                <w:sz w:val="32"/>
                <w:szCs w:val="32"/>
                <w:u w:val="single"/>
              </w:rPr>
              <w:t xml:space="preserve">   </w:t>
            </w:r>
            <w:r>
              <w:rPr>
                <w:rFonts w:hint="eastAsia" w:eastAsia="仿宋_GB2312"/>
                <w:color w:val="auto"/>
                <w:sz w:val="32"/>
                <w:szCs w:val="32"/>
                <w:u w:val="single"/>
                <w:lang w:val="en-US" w:eastAsia="zh-CN"/>
              </w:rPr>
              <w:t xml:space="preserve"> </w:t>
            </w:r>
            <w:r>
              <w:rPr>
                <w:rFonts w:hint="eastAsia" w:eastAsia="仿宋_GB2312"/>
                <w:color w:val="auto"/>
                <w:sz w:val="32"/>
                <w:szCs w:val="32"/>
                <w:u w:val="single"/>
              </w:rPr>
              <w:t xml:space="preserve">  </w:t>
            </w:r>
          </w:p>
        </w:tc>
      </w:tr>
      <w:tr w14:paraId="21DBA42E">
        <w:tblPrEx>
          <w:tblCellMar>
            <w:top w:w="0" w:type="dxa"/>
            <w:left w:w="108" w:type="dxa"/>
            <w:bottom w:w="0" w:type="dxa"/>
            <w:right w:w="108" w:type="dxa"/>
          </w:tblCellMar>
        </w:tblPrEx>
        <w:trPr>
          <w:trHeight w:val="693" w:hRule="atLeast"/>
          <w:jc w:val="center"/>
        </w:trPr>
        <w:tc>
          <w:tcPr>
            <w:tcW w:w="1859" w:type="dxa"/>
            <w:noWrap w:val="0"/>
            <w:vAlign w:val="center"/>
          </w:tcPr>
          <w:p w14:paraId="1C2F1669">
            <w:pPr>
              <w:rPr>
                <w:rFonts w:eastAsia="仿宋"/>
                <w:color w:val="auto"/>
                <w:sz w:val="44"/>
                <w:szCs w:val="44"/>
              </w:rPr>
            </w:pPr>
            <w:r>
              <w:rPr>
                <w:rFonts w:eastAsia="仿宋_GB2312"/>
                <w:b/>
                <w:bCs/>
                <w:color w:val="auto"/>
                <w:sz w:val="32"/>
                <w:szCs w:val="32"/>
              </w:rPr>
              <w:t>编制日期：</w:t>
            </w:r>
          </w:p>
        </w:tc>
        <w:tc>
          <w:tcPr>
            <w:tcW w:w="6670" w:type="dxa"/>
            <w:gridSpan w:val="2"/>
            <w:noWrap w:val="0"/>
            <w:vAlign w:val="center"/>
          </w:tcPr>
          <w:p w14:paraId="5B053551">
            <w:pPr>
              <w:rPr>
                <w:rFonts w:eastAsia="仿宋"/>
                <w:color w:val="auto"/>
                <w:sz w:val="32"/>
                <w:szCs w:val="32"/>
              </w:rPr>
            </w:pPr>
            <w:r>
              <w:rPr>
                <w:rFonts w:hint="eastAsia" w:eastAsia="仿宋_GB2312"/>
                <w:color w:val="auto"/>
                <w:sz w:val="32"/>
                <w:szCs w:val="32"/>
                <w:u w:val="single"/>
              </w:rPr>
              <w:t xml:space="preserve">             2</w:t>
            </w:r>
            <w:r>
              <w:rPr>
                <w:rFonts w:eastAsia="仿宋_GB2312"/>
                <w:color w:val="auto"/>
                <w:sz w:val="32"/>
                <w:szCs w:val="32"/>
                <w:u w:val="single"/>
              </w:rPr>
              <w:t>02</w:t>
            </w:r>
            <w:r>
              <w:rPr>
                <w:rFonts w:hint="eastAsia" w:eastAsia="仿宋_GB2312"/>
                <w:color w:val="auto"/>
                <w:sz w:val="32"/>
                <w:szCs w:val="32"/>
                <w:u w:val="single"/>
                <w:lang w:val="en-US" w:eastAsia="zh-CN"/>
              </w:rPr>
              <w:t>6</w:t>
            </w:r>
            <w:r>
              <w:rPr>
                <w:rFonts w:eastAsia="仿宋_GB2312"/>
                <w:color w:val="auto"/>
                <w:sz w:val="32"/>
                <w:szCs w:val="32"/>
                <w:u w:val="single"/>
              </w:rPr>
              <w:t>年</w:t>
            </w:r>
            <w:r>
              <w:rPr>
                <w:rFonts w:hint="eastAsia" w:eastAsia="仿宋_GB2312"/>
                <w:color w:val="auto"/>
                <w:sz w:val="32"/>
                <w:szCs w:val="32"/>
                <w:u w:val="single"/>
                <w:lang w:val="en-US" w:eastAsia="zh-CN"/>
              </w:rPr>
              <w:t>1</w:t>
            </w:r>
            <w:r>
              <w:rPr>
                <w:rFonts w:eastAsia="仿宋_GB2312"/>
                <w:color w:val="auto"/>
                <w:sz w:val="32"/>
                <w:szCs w:val="32"/>
                <w:u w:val="single"/>
              </w:rPr>
              <w:t>月</w:t>
            </w:r>
            <w:r>
              <w:rPr>
                <w:rFonts w:hint="eastAsia" w:eastAsia="仿宋_GB2312"/>
                <w:color w:val="auto"/>
                <w:sz w:val="32"/>
                <w:szCs w:val="32"/>
                <w:u w:val="single"/>
              </w:rPr>
              <w:t xml:space="preserve">                 </w:t>
            </w:r>
          </w:p>
        </w:tc>
      </w:tr>
    </w:tbl>
    <w:p w14:paraId="563EAD9C">
      <w:pPr>
        <w:ind w:firstLine="1040"/>
        <w:rPr>
          <w:rFonts w:hint="default" w:ascii="Times New Roman" w:hAnsi="Times New Roman" w:eastAsia="宋体" w:cs="Times New Roman"/>
          <w:color w:val="auto"/>
          <w:sz w:val="44"/>
          <w:szCs w:val="44"/>
        </w:rPr>
      </w:pPr>
    </w:p>
    <w:p w14:paraId="0C3CBBD6">
      <w:pPr>
        <w:adjustRightInd w:val="0"/>
        <w:snapToGrid w:val="0"/>
        <w:spacing w:line="288" w:lineRule="auto"/>
        <w:rPr>
          <w:rFonts w:hint="default" w:ascii="Times New Roman" w:hAnsi="Times New Roman" w:eastAsia="宋体" w:cs="Times New Roman"/>
          <w:color w:val="auto"/>
          <w:sz w:val="36"/>
          <w:szCs w:val="36"/>
        </w:rPr>
      </w:pPr>
      <w:bookmarkStart w:id="1" w:name="_Hlk57884087"/>
    </w:p>
    <w:p w14:paraId="5E6C0BDC">
      <w:pPr>
        <w:adjustRightInd w:val="0"/>
        <w:snapToGrid w:val="0"/>
        <w:spacing w:line="288" w:lineRule="auto"/>
        <w:rPr>
          <w:rFonts w:hint="default" w:ascii="Times New Roman" w:hAnsi="Times New Roman" w:eastAsia="宋体" w:cs="Times New Roman"/>
          <w:color w:val="auto"/>
          <w:sz w:val="36"/>
          <w:szCs w:val="36"/>
        </w:rPr>
      </w:pPr>
    </w:p>
    <w:p w14:paraId="568AC819">
      <w:pPr>
        <w:adjustRightInd w:val="0"/>
        <w:snapToGrid w:val="0"/>
        <w:spacing w:line="288" w:lineRule="auto"/>
        <w:rPr>
          <w:rFonts w:hint="default" w:ascii="Times New Roman" w:hAnsi="Times New Roman" w:eastAsia="宋体" w:cs="Times New Roman"/>
          <w:color w:val="auto"/>
          <w:sz w:val="36"/>
          <w:szCs w:val="36"/>
        </w:rPr>
      </w:pPr>
    </w:p>
    <w:p w14:paraId="5D2DBD7F">
      <w:pPr>
        <w:adjustRightInd w:val="0"/>
        <w:snapToGrid w:val="0"/>
        <w:spacing w:line="288" w:lineRule="auto"/>
        <w:ind w:firstLine="1040"/>
        <w:rPr>
          <w:rFonts w:hint="default" w:ascii="Times New Roman" w:hAnsi="Times New Roman" w:eastAsia="宋体" w:cs="Times New Roman"/>
          <w:color w:val="auto"/>
          <w:sz w:val="36"/>
          <w:szCs w:val="36"/>
        </w:rPr>
      </w:pPr>
    </w:p>
    <w:bookmarkEnd w:id="1"/>
    <w:p w14:paraId="2D7FC163">
      <w:pPr>
        <w:adjustRightInd w:val="0"/>
        <w:snapToGrid w:val="0"/>
        <w:spacing w:line="288" w:lineRule="auto"/>
        <w:jc w:val="center"/>
        <w:rPr>
          <w:rFonts w:hint="default" w:ascii="Times New Roman" w:hAnsi="Times New Roman" w:eastAsia="宋体" w:cs="Times New Roman"/>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b/>
          <w:bCs/>
          <w:color w:val="auto"/>
          <w:sz w:val="36"/>
          <w:szCs w:val="36"/>
        </w:rPr>
        <w:t>中华人民共和国生态环境部制</w:t>
      </w:r>
    </w:p>
    <w:p w14:paraId="657C8B58">
      <w:pPr>
        <w:bidi w:val="0"/>
        <w:spacing w:line="360" w:lineRule="auto"/>
        <w:rPr>
          <w:rFonts w:hint="default" w:ascii="Times New Roman" w:hAnsi="Times New Roman" w:eastAsia="宋体" w:cs="Times New Roman"/>
          <w:color w:val="auto"/>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sdt>
      <w:sdtPr>
        <w:rPr>
          <w:rFonts w:ascii="宋体" w:hAnsi="宋体" w:eastAsia="宋体" w:cs="Times New Roman"/>
          <w:color w:val="auto"/>
          <w:kern w:val="2"/>
          <w:sz w:val="21"/>
          <w:szCs w:val="24"/>
          <w:lang w:val="en-US" w:eastAsia="zh-CN" w:bidi="ar-SA"/>
        </w:rPr>
        <w:id w:val="147456625"/>
        <w15:color w:val="DBDBDB"/>
        <w:docPartObj>
          <w:docPartGallery w:val="Table of Contents"/>
          <w:docPartUnique/>
        </w:docPartObj>
      </w:sdtPr>
      <w:sdtEndPr>
        <w:rPr>
          <w:rFonts w:hint="default" w:ascii="Times New Roman" w:hAnsi="Times New Roman" w:eastAsia="宋体" w:cs="Times New Roman"/>
          <w:color w:val="auto"/>
          <w:kern w:val="2"/>
          <w:sz w:val="21"/>
          <w:szCs w:val="36"/>
          <w:lang w:val="en-US" w:eastAsia="zh-CN" w:bidi="ar-SA"/>
        </w:rPr>
      </w:sdtEndPr>
      <w:sdtContent>
        <w:p w14:paraId="0495E4C3">
          <w:pPr>
            <w:spacing w:before="0" w:beforeLines="0" w:after="0" w:afterLines="0" w:line="360" w:lineRule="auto"/>
            <w:ind w:left="0" w:leftChars="0" w:right="0" w:rightChars="0" w:firstLine="0" w:firstLineChars="0"/>
            <w:jc w:val="center"/>
            <w:rPr>
              <w:b/>
              <w:bCs/>
              <w:color w:val="auto"/>
              <w:sz w:val="24"/>
              <w:szCs w:val="24"/>
            </w:rPr>
          </w:pPr>
          <w:r>
            <w:rPr>
              <w:rFonts w:ascii="宋体" w:hAnsi="宋体" w:eastAsia="宋体"/>
              <w:b/>
              <w:bCs/>
              <w:color w:val="auto"/>
              <w:sz w:val="24"/>
              <w:szCs w:val="24"/>
            </w:rPr>
            <w:t>目录</w:t>
          </w:r>
        </w:p>
        <w:p w14:paraId="2F9C2957">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32"/>
              <w:szCs w:val="32"/>
            </w:rPr>
            <w:fldChar w:fldCharType="begin"/>
          </w:r>
          <w:r>
            <w:rPr>
              <w:rFonts w:hint="default" w:ascii="Times New Roman" w:hAnsi="Times New Roman" w:eastAsia="宋体" w:cs="Times New Roman"/>
              <w:color w:val="auto"/>
              <w:sz w:val="32"/>
              <w:szCs w:val="32"/>
            </w:rPr>
            <w:instrText xml:space="preserve">TOC \o "1-1" \h \u </w:instrText>
          </w:r>
          <w:r>
            <w:rPr>
              <w:rFonts w:hint="default" w:ascii="Times New Roman" w:hAnsi="Times New Roman" w:eastAsia="宋体" w:cs="Times New Roman"/>
              <w:color w:val="auto"/>
              <w:sz w:val="32"/>
              <w:szCs w:val="32"/>
            </w:rPr>
            <w:fldChar w:fldCharType="separate"/>
          </w: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_Toc22862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snapToGrid w:val="0"/>
              <w:color w:val="auto"/>
              <w:sz w:val="24"/>
              <w:szCs w:val="36"/>
            </w:rPr>
            <w:t>一、建设项目基本情况</w:t>
          </w:r>
          <w:r>
            <w:rPr>
              <w:color w:val="auto"/>
              <w:sz w:val="24"/>
              <w:szCs w:val="32"/>
            </w:rPr>
            <w:tab/>
          </w:r>
          <w:r>
            <w:rPr>
              <w:color w:val="auto"/>
              <w:sz w:val="24"/>
              <w:szCs w:val="32"/>
            </w:rPr>
            <w:fldChar w:fldCharType="begin"/>
          </w:r>
          <w:r>
            <w:rPr>
              <w:color w:val="auto"/>
              <w:sz w:val="24"/>
              <w:szCs w:val="32"/>
            </w:rPr>
            <w:instrText xml:space="preserve"> PAGEREF _Toc22862 \h </w:instrText>
          </w:r>
          <w:r>
            <w:rPr>
              <w:color w:val="auto"/>
              <w:sz w:val="24"/>
              <w:szCs w:val="32"/>
            </w:rPr>
            <w:fldChar w:fldCharType="separate"/>
          </w:r>
          <w:r>
            <w:rPr>
              <w:color w:val="auto"/>
              <w:sz w:val="24"/>
              <w:szCs w:val="32"/>
            </w:rPr>
            <w:t>1</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53F538C0">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_Toc23782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snapToGrid w:val="0"/>
              <w:color w:val="auto"/>
              <w:sz w:val="24"/>
              <w:szCs w:val="36"/>
            </w:rPr>
            <w:t>二、建设项目工程分析</w:t>
          </w:r>
          <w:r>
            <w:rPr>
              <w:color w:val="auto"/>
              <w:sz w:val="24"/>
              <w:szCs w:val="32"/>
            </w:rPr>
            <w:tab/>
          </w:r>
          <w:r>
            <w:rPr>
              <w:color w:val="auto"/>
              <w:sz w:val="24"/>
              <w:szCs w:val="32"/>
            </w:rPr>
            <w:fldChar w:fldCharType="begin"/>
          </w:r>
          <w:r>
            <w:rPr>
              <w:color w:val="auto"/>
              <w:sz w:val="24"/>
              <w:szCs w:val="32"/>
            </w:rPr>
            <w:instrText xml:space="preserve"> PAGEREF _Toc23782 \h </w:instrText>
          </w:r>
          <w:r>
            <w:rPr>
              <w:color w:val="auto"/>
              <w:sz w:val="24"/>
              <w:szCs w:val="32"/>
            </w:rPr>
            <w:fldChar w:fldCharType="separate"/>
          </w:r>
          <w:r>
            <w:rPr>
              <w:color w:val="auto"/>
              <w:sz w:val="24"/>
              <w:szCs w:val="32"/>
            </w:rPr>
            <w:t>28</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4FF7CC9B">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_Toc16837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bCs/>
              <w:snapToGrid w:val="0"/>
              <w:color w:val="auto"/>
              <w:sz w:val="24"/>
              <w:szCs w:val="36"/>
            </w:rPr>
            <w:t>三、区域环境质量现状、环境保护目标及评价标准</w:t>
          </w:r>
          <w:r>
            <w:rPr>
              <w:color w:val="auto"/>
              <w:sz w:val="24"/>
              <w:szCs w:val="32"/>
            </w:rPr>
            <w:tab/>
          </w:r>
          <w:r>
            <w:rPr>
              <w:color w:val="auto"/>
              <w:sz w:val="24"/>
              <w:szCs w:val="32"/>
            </w:rPr>
            <w:fldChar w:fldCharType="begin"/>
          </w:r>
          <w:r>
            <w:rPr>
              <w:color w:val="auto"/>
              <w:sz w:val="24"/>
              <w:szCs w:val="32"/>
            </w:rPr>
            <w:instrText xml:space="preserve"> PAGEREF _Toc16837 \h </w:instrText>
          </w:r>
          <w:r>
            <w:rPr>
              <w:color w:val="auto"/>
              <w:sz w:val="24"/>
              <w:szCs w:val="32"/>
            </w:rPr>
            <w:fldChar w:fldCharType="separate"/>
          </w:r>
          <w:r>
            <w:rPr>
              <w:color w:val="auto"/>
              <w:sz w:val="24"/>
              <w:szCs w:val="32"/>
            </w:rPr>
            <w:t>44</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40F77932">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_Toc24292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snapToGrid w:val="0"/>
              <w:color w:val="auto"/>
              <w:sz w:val="24"/>
              <w:szCs w:val="36"/>
            </w:rPr>
            <w:t>四、主要环境影响和保护措施</w:t>
          </w:r>
          <w:r>
            <w:rPr>
              <w:color w:val="auto"/>
              <w:sz w:val="24"/>
              <w:szCs w:val="32"/>
            </w:rPr>
            <w:tab/>
          </w:r>
          <w:r>
            <w:rPr>
              <w:color w:val="auto"/>
              <w:sz w:val="24"/>
              <w:szCs w:val="32"/>
            </w:rPr>
            <w:fldChar w:fldCharType="begin"/>
          </w:r>
          <w:r>
            <w:rPr>
              <w:color w:val="auto"/>
              <w:sz w:val="24"/>
              <w:szCs w:val="32"/>
            </w:rPr>
            <w:instrText xml:space="preserve"> PAGEREF _Toc24292 \h </w:instrText>
          </w:r>
          <w:r>
            <w:rPr>
              <w:color w:val="auto"/>
              <w:sz w:val="24"/>
              <w:szCs w:val="32"/>
            </w:rPr>
            <w:fldChar w:fldCharType="separate"/>
          </w:r>
          <w:r>
            <w:rPr>
              <w:color w:val="auto"/>
              <w:sz w:val="24"/>
              <w:szCs w:val="32"/>
            </w:rPr>
            <w:t>50</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570B1328">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_Toc5190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snapToGrid w:val="0"/>
              <w:color w:val="auto"/>
              <w:sz w:val="24"/>
              <w:szCs w:val="36"/>
            </w:rPr>
            <w:t>五、环境保护措施监督检查清单</w:t>
          </w:r>
          <w:r>
            <w:rPr>
              <w:color w:val="auto"/>
              <w:sz w:val="24"/>
              <w:szCs w:val="32"/>
            </w:rPr>
            <w:tab/>
          </w:r>
          <w:r>
            <w:rPr>
              <w:color w:val="auto"/>
              <w:sz w:val="24"/>
              <w:szCs w:val="32"/>
            </w:rPr>
            <w:fldChar w:fldCharType="begin"/>
          </w:r>
          <w:r>
            <w:rPr>
              <w:color w:val="auto"/>
              <w:sz w:val="24"/>
              <w:szCs w:val="32"/>
            </w:rPr>
            <w:instrText xml:space="preserve"> PAGEREF _Toc5190 \h </w:instrText>
          </w:r>
          <w:r>
            <w:rPr>
              <w:color w:val="auto"/>
              <w:sz w:val="24"/>
              <w:szCs w:val="32"/>
            </w:rPr>
            <w:fldChar w:fldCharType="separate"/>
          </w:r>
          <w:r>
            <w:rPr>
              <w:color w:val="auto"/>
              <w:sz w:val="24"/>
              <w:szCs w:val="32"/>
            </w:rPr>
            <w:t>91</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568F1E2F">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_Toc15892 </w:instrText>
          </w:r>
          <w:r>
            <w:rPr>
              <w:rFonts w:hint="default" w:ascii="Times New Roman" w:hAnsi="Times New Roman" w:eastAsia="宋体" w:cs="Times New Roman"/>
              <w:color w:val="auto"/>
              <w:sz w:val="24"/>
              <w:szCs w:val="32"/>
            </w:rPr>
            <w:fldChar w:fldCharType="separate"/>
          </w:r>
          <w:r>
            <w:rPr>
              <w:rFonts w:hint="default" w:ascii="Times New Roman" w:hAnsi="Times New Roman" w:eastAsia="宋体" w:cs="Times New Roman"/>
              <w:snapToGrid w:val="0"/>
              <w:color w:val="auto"/>
              <w:sz w:val="24"/>
              <w:szCs w:val="36"/>
            </w:rPr>
            <w:t>六、结论</w:t>
          </w:r>
          <w:r>
            <w:rPr>
              <w:color w:val="auto"/>
              <w:sz w:val="24"/>
              <w:szCs w:val="32"/>
            </w:rPr>
            <w:tab/>
          </w:r>
          <w:r>
            <w:rPr>
              <w:color w:val="auto"/>
              <w:sz w:val="24"/>
              <w:szCs w:val="32"/>
            </w:rPr>
            <w:fldChar w:fldCharType="begin"/>
          </w:r>
          <w:r>
            <w:rPr>
              <w:color w:val="auto"/>
              <w:sz w:val="24"/>
              <w:szCs w:val="32"/>
            </w:rPr>
            <w:instrText xml:space="preserve"> PAGEREF _Toc15892 \h </w:instrText>
          </w:r>
          <w:r>
            <w:rPr>
              <w:color w:val="auto"/>
              <w:sz w:val="24"/>
              <w:szCs w:val="32"/>
            </w:rPr>
            <w:fldChar w:fldCharType="separate"/>
          </w:r>
          <w:r>
            <w:rPr>
              <w:color w:val="auto"/>
              <w:sz w:val="24"/>
              <w:szCs w:val="32"/>
            </w:rPr>
            <w:t>94</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4B03B109">
          <w:pPr>
            <w:pStyle w:val="25"/>
            <w:tabs>
              <w:tab w:val="right" w:leader="dot" w:pos="8844"/>
            </w:tabs>
            <w:spacing w:line="480" w:lineRule="auto"/>
            <w:rPr>
              <w:color w:val="auto"/>
              <w:sz w:val="24"/>
              <w:szCs w:val="32"/>
            </w:rPr>
          </w:pPr>
          <w:r>
            <w:rPr>
              <w:rFonts w:hint="default" w:ascii="Times New Roman" w:hAnsi="Times New Roman" w:eastAsia="宋体" w:cs="Times New Roman"/>
              <w:color w:val="auto"/>
              <w:sz w:val="24"/>
              <w:szCs w:val="32"/>
            </w:rPr>
            <w:fldChar w:fldCharType="begin"/>
          </w:r>
          <w:r>
            <w:rPr>
              <w:rFonts w:hint="default" w:ascii="Times New Roman" w:hAnsi="Times New Roman" w:eastAsia="宋体" w:cs="Times New Roman"/>
              <w:color w:val="auto"/>
              <w:sz w:val="24"/>
              <w:szCs w:val="32"/>
            </w:rPr>
            <w:instrText xml:space="preserve"> HYPERLINK \l _Toc21051 </w:instrText>
          </w:r>
          <w:r>
            <w:rPr>
              <w:rFonts w:hint="default" w:ascii="Times New Roman" w:hAnsi="Times New Roman" w:eastAsia="宋体" w:cs="Times New Roman"/>
              <w:color w:val="auto"/>
              <w:sz w:val="24"/>
              <w:szCs w:val="32"/>
            </w:rPr>
            <w:fldChar w:fldCharType="separate"/>
          </w:r>
          <w:r>
            <w:rPr>
              <w:rFonts w:hint="default" w:ascii="黑体" w:hAnsi="黑体" w:eastAsia="黑体"/>
              <w:snapToGrid w:val="0"/>
              <w:color w:val="auto"/>
              <w:sz w:val="24"/>
              <w:szCs w:val="40"/>
              <w:highlight w:val="none"/>
            </w:rPr>
            <w:t>附表</w:t>
          </w:r>
          <w:r>
            <w:rPr>
              <w:color w:val="auto"/>
              <w:sz w:val="24"/>
              <w:szCs w:val="32"/>
            </w:rPr>
            <w:tab/>
          </w:r>
          <w:r>
            <w:rPr>
              <w:color w:val="auto"/>
              <w:sz w:val="24"/>
              <w:szCs w:val="32"/>
            </w:rPr>
            <w:fldChar w:fldCharType="begin"/>
          </w:r>
          <w:r>
            <w:rPr>
              <w:color w:val="auto"/>
              <w:sz w:val="24"/>
              <w:szCs w:val="32"/>
            </w:rPr>
            <w:instrText xml:space="preserve"> PAGEREF _Toc21051 \h </w:instrText>
          </w:r>
          <w:r>
            <w:rPr>
              <w:color w:val="auto"/>
              <w:sz w:val="24"/>
              <w:szCs w:val="32"/>
            </w:rPr>
            <w:fldChar w:fldCharType="separate"/>
          </w:r>
          <w:r>
            <w:rPr>
              <w:color w:val="auto"/>
              <w:sz w:val="24"/>
              <w:szCs w:val="32"/>
            </w:rPr>
            <w:t>95</w:t>
          </w:r>
          <w:r>
            <w:rPr>
              <w:color w:val="auto"/>
              <w:sz w:val="24"/>
              <w:szCs w:val="32"/>
            </w:rPr>
            <w:fldChar w:fldCharType="end"/>
          </w:r>
          <w:r>
            <w:rPr>
              <w:rFonts w:hint="default" w:ascii="Times New Roman" w:hAnsi="Times New Roman" w:eastAsia="宋体" w:cs="Times New Roman"/>
              <w:color w:val="auto"/>
              <w:sz w:val="24"/>
              <w:szCs w:val="32"/>
            </w:rPr>
            <w:fldChar w:fldCharType="end"/>
          </w:r>
        </w:p>
        <w:p w14:paraId="082BE4A6">
          <w:pPr>
            <w:pStyle w:val="25"/>
            <w:tabs>
              <w:tab w:val="right" w:leader="dot" w:pos="8844"/>
            </w:tabs>
            <w:spacing w:line="480" w:lineRule="auto"/>
            <w:rPr>
              <w:rFonts w:hint="default" w:ascii="Times New Roman" w:hAnsi="Times New Roman" w:eastAsia="宋体" w:cs="Times New Roman"/>
              <w:color w:val="auto"/>
              <w:kern w:val="2"/>
              <w:sz w:val="21"/>
              <w:szCs w:val="36"/>
              <w:lang w:val="en-US" w:eastAsia="zh-CN" w:bidi="ar-SA"/>
            </w:rPr>
          </w:pPr>
          <w:r>
            <w:rPr>
              <w:rFonts w:hint="default" w:ascii="Times New Roman" w:hAnsi="Times New Roman" w:eastAsia="宋体" w:cs="Times New Roman"/>
              <w:color w:val="auto"/>
              <w:sz w:val="24"/>
              <w:szCs w:val="32"/>
            </w:rPr>
            <w:fldChar w:fldCharType="end"/>
          </w:r>
        </w:p>
      </w:sdtContent>
    </w:sdt>
    <w:p w14:paraId="6B4068A2">
      <w:pPr>
        <w:rPr>
          <w:rFonts w:hint="default"/>
          <w:color w:val="auto"/>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5D61AC7">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42269DC">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附图</w:t>
      </w:r>
    </w:p>
    <w:p w14:paraId="79BE6B2A">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附图1</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项目</w:t>
      </w:r>
      <w:r>
        <w:rPr>
          <w:rFonts w:hint="eastAsia" w:cs="Times New Roman"/>
          <w:color w:val="auto"/>
          <w:sz w:val="24"/>
          <w:szCs w:val="24"/>
          <w:lang w:val="en-US" w:eastAsia="zh-CN"/>
        </w:rPr>
        <w:t>所在地</w:t>
      </w:r>
      <w:r>
        <w:rPr>
          <w:rFonts w:hint="default" w:ascii="Times New Roman" w:hAnsi="Times New Roman" w:eastAsia="宋体" w:cs="Times New Roman"/>
          <w:color w:val="auto"/>
          <w:sz w:val="24"/>
          <w:szCs w:val="24"/>
          <w:lang w:val="en-US" w:eastAsia="zh-CN"/>
        </w:rPr>
        <w:t>地理位置图</w:t>
      </w:r>
    </w:p>
    <w:p w14:paraId="168A4C7E">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附图2</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项目</w:t>
      </w:r>
      <w:r>
        <w:rPr>
          <w:rFonts w:hint="eastAsia" w:cs="Times New Roman"/>
          <w:color w:val="auto"/>
          <w:sz w:val="24"/>
          <w:szCs w:val="24"/>
          <w:lang w:val="en-US" w:eastAsia="zh-CN"/>
        </w:rPr>
        <w:t>总</w:t>
      </w:r>
      <w:r>
        <w:rPr>
          <w:rFonts w:hint="default" w:ascii="Times New Roman" w:hAnsi="Times New Roman" w:eastAsia="宋体" w:cs="Times New Roman"/>
          <w:color w:val="auto"/>
          <w:sz w:val="24"/>
          <w:szCs w:val="24"/>
          <w:lang w:val="en-US" w:eastAsia="zh-CN"/>
        </w:rPr>
        <w:t>平面布置图</w:t>
      </w:r>
    </w:p>
    <w:p w14:paraId="521D5059">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附图3：</w:t>
      </w:r>
      <w:r>
        <w:rPr>
          <w:rFonts w:hint="default" w:ascii="Times New Roman" w:hAnsi="Times New Roman" w:eastAsia="宋体" w:cs="Times New Roman"/>
          <w:color w:val="auto"/>
          <w:sz w:val="24"/>
          <w:szCs w:val="24"/>
          <w:lang w:val="en-US" w:eastAsia="zh-CN"/>
        </w:rPr>
        <w:t>项目周边敏感</w:t>
      </w:r>
      <w:r>
        <w:rPr>
          <w:rFonts w:hint="eastAsia" w:ascii="Times New Roman" w:hAnsi="Times New Roman" w:eastAsia="宋体" w:cs="Times New Roman"/>
          <w:color w:val="auto"/>
          <w:sz w:val="24"/>
          <w:szCs w:val="24"/>
          <w:lang w:val="en-US" w:eastAsia="zh-CN"/>
        </w:rPr>
        <w:t>点</w:t>
      </w:r>
      <w:r>
        <w:rPr>
          <w:rFonts w:hint="default" w:ascii="Times New Roman" w:hAnsi="Times New Roman" w:eastAsia="宋体" w:cs="Times New Roman"/>
          <w:color w:val="auto"/>
          <w:sz w:val="24"/>
          <w:szCs w:val="24"/>
          <w:lang w:val="en-US" w:eastAsia="zh-CN"/>
        </w:rPr>
        <w:t>分布图</w:t>
      </w:r>
    </w:p>
    <w:p w14:paraId="37B3BBD4">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项目所在地水环境功能区划图</w:t>
      </w:r>
    </w:p>
    <w:p w14:paraId="0842ADD0">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本项目与高安</w:t>
      </w:r>
      <w:r>
        <w:rPr>
          <w:rFonts w:hint="default" w:ascii="Times New Roman" w:hAnsi="Times New Roman" w:eastAsia="宋体" w:cs="Times New Roman"/>
          <w:color w:val="auto"/>
          <w:sz w:val="24"/>
          <w:szCs w:val="24"/>
          <w:lang w:val="en-US" w:eastAsia="zh-CN"/>
        </w:rPr>
        <w:t>市生态保护红线</w:t>
      </w:r>
      <w:r>
        <w:rPr>
          <w:rFonts w:hint="eastAsia" w:ascii="Times New Roman" w:hAnsi="Times New Roman" w:eastAsia="宋体" w:cs="Times New Roman"/>
          <w:color w:val="auto"/>
          <w:sz w:val="24"/>
          <w:szCs w:val="24"/>
          <w:lang w:val="en-US" w:eastAsia="zh-CN"/>
        </w:rPr>
        <w:t>位置关系</w:t>
      </w:r>
      <w:r>
        <w:rPr>
          <w:rFonts w:hint="default" w:ascii="Times New Roman" w:hAnsi="Times New Roman" w:eastAsia="宋体" w:cs="Times New Roman"/>
          <w:color w:val="auto"/>
          <w:sz w:val="24"/>
          <w:szCs w:val="24"/>
          <w:lang w:val="en-US" w:eastAsia="zh-CN"/>
        </w:rPr>
        <w:t>图</w:t>
      </w:r>
    </w:p>
    <w:p w14:paraId="01D866AF">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6：高安市三线一单环境管控综合分区图</w:t>
      </w:r>
    </w:p>
    <w:p w14:paraId="635267FC">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7：新世纪产业园土地利用</w:t>
      </w:r>
      <w:r>
        <w:rPr>
          <w:rFonts w:hint="default" w:ascii="Times New Roman" w:hAnsi="Times New Roman" w:eastAsia="宋体" w:cs="Times New Roman"/>
          <w:color w:val="auto"/>
          <w:sz w:val="24"/>
          <w:szCs w:val="24"/>
          <w:lang w:val="en-US" w:eastAsia="zh-CN"/>
        </w:rPr>
        <w:t>规划图</w:t>
      </w:r>
    </w:p>
    <w:p w14:paraId="49E64106">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8：新世纪产业园产业布局</w:t>
      </w:r>
      <w:r>
        <w:rPr>
          <w:rFonts w:hint="default" w:ascii="Times New Roman" w:hAnsi="Times New Roman" w:eastAsia="宋体" w:cs="Times New Roman"/>
          <w:color w:val="auto"/>
          <w:sz w:val="24"/>
          <w:szCs w:val="24"/>
          <w:lang w:val="en-US" w:eastAsia="zh-CN"/>
        </w:rPr>
        <w:t>图</w:t>
      </w:r>
    </w:p>
    <w:p w14:paraId="25C348F2">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9：新世纪产业园</w:t>
      </w:r>
      <w:r>
        <w:rPr>
          <w:rFonts w:hint="default" w:ascii="Times New Roman" w:hAnsi="Times New Roman" w:eastAsia="宋体" w:cs="Times New Roman"/>
          <w:color w:val="auto"/>
          <w:sz w:val="24"/>
          <w:szCs w:val="24"/>
          <w:lang w:val="en-US" w:eastAsia="zh-CN"/>
        </w:rPr>
        <w:t>污水</w:t>
      </w:r>
      <w:r>
        <w:rPr>
          <w:rFonts w:hint="eastAsia" w:ascii="Times New Roman" w:hAnsi="Times New Roman" w:eastAsia="宋体" w:cs="Times New Roman"/>
          <w:color w:val="auto"/>
          <w:sz w:val="24"/>
          <w:szCs w:val="24"/>
          <w:lang w:val="en-US" w:eastAsia="zh-CN"/>
        </w:rPr>
        <w:t>管网</w:t>
      </w:r>
      <w:r>
        <w:rPr>
          <w:rFonts w:hint="default" w:ascii="Times New Roman" w:hAnsi="Times New Roman" w:eastAsia="宋体" w:cs="Times New Roman"/>
          <w:color w:val="auto"/>
          <w:sz w:val="24"/>
          <w:szCs w:val="24"/>
          <w:lang w:val="en-US" w:eastAsia="zh-CN"/>
        </w:rPr>
        <w:t>图</w:t>
      </w:r>
    </w:p>
    <w:p w14:paraId="3DB172EE">
      <w:pPr>
        <w:keepNext w:val="0"/>
        <w:keepLines w:val="0"/>
        <w:pageBreakBefore w:val="0"/>
        <w:widowControl w:val="0"/>
        <w:kinsoku/>
        <w:wordWrap/>
        <w:overflowPunct/>
        <w:topLinePunct w:val="0"/>
        <w:bidi w:val="0"/>
        <w:spacing w:line="360" w:lineRule="auto"/>
        <w:jc w:val="left"/>
        <w:textAlignment w:val="auto"/>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附图</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项目分区防渗图</w:t>
      </w:r>
    </w:p>
    <w:p w14:paraId="7CF7AE89">
      <w:pPr>
        <w:keepNext w:val="0"/>
        <w:keepLines w:val="0"/>
        <w:pageBreakBefore w:val="0"/>
        <w:widowControl w:val="0"/>
        <w:kinsoku/>
        <w:wordWrap/>
        <w:overflowPunct/>
        <w:topLinePunct w:val="0"/>
        <w:autoSpaceDE/>
        <w:autoSpaceDN/>
        <w:bidi w:val="0"/>
        <w:adjustRightInd/>
        <w:snapToGrid/>
        <w:spacing w:before="0" w:beforeLines="-2147483648" w:line="360" w:lineRule="auto"/>
        <w:jc w:val="left"/>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cs="Times New Roman"/>
          <w:b w:val="0"/>
          <w:bCs w:val="0"/>
          <w:color w:val="auto"/>
          <w:sz w:val="24"/>
          <w:szCs w:val="24"/>
          <w:lang w:val="en-US" w:eastAsia="zh-CN"/>
        </w:rPr>
        <w:t>附图1</w:t>
      </w:r>
      <w:r>
        <w:rPr>
          <w:rFonts w:hint="eastAsia" w:ascii="Times New Roman" w:hAnsi="Times New Roman" w:eastAsia="宋体"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w:t>
      </w:r>
      <w:r>
        <w:rPr>
          <w:rFonts w:hint="eastAsia" w:cs="Times New Roman"/>
          <w:color w:val="auto"/>
          <w:sz w:val="24"/>
          <w:szCs w:val="24"/>
          <w:lang w:val="en-US" w:eastAsia="zh-CN"/>
        </w:rPr>
        <w:t>项目四至与</w:t>
      </w:r>
      <w:r>
        <w:rPr>
          <w:rFonts w:hint="eastAsia" w:ascii="Times New Roman" w:hAnsi="Times New Roman" w:eastAsia="宋体" w:cs="Times New Roman"/>
          <w:color w:val="auto"/>
          <w:sz w:val="24"/>
          <w:szCs w:val="24"/>
          <w:lang w:val="en-US" w:eastAsia="zh-CN"/>
        </w:rPr>
        <w:t>工程师现场踏勘图</w:t>
      </w:r>
    </w:p>
    <w:p w14:paraId="78772A0A">
      <w:pPr>
        <w:keepNext w:val="0"/>
        <w:keepLines w:val="0"/>
        <w:pageBreakBefore w:val="0"/>
        <w:widowControl w:val="0"/>
        <w:kinsoku/>
        <w:wordWrap/>
        <w:overflowPunct/>
        <w:topLinePunct w:val="0"/>
        <w:autoSpaceDE/>
        <w:autoSpaceDN/>
        <w:bidi w:val="0"/>
        <w:adjustRightInd/>
        <w:snapToGrid/>
        <w:spacing w:before="0" w:beforeLines="-2147483648" w:line="360" w:lineRule="auto"/>
        <w:jc w:val="left"/>
        <w:textAlignment w:val="auto"/>
        <w:outlineLvl w:val="9"/>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附图12：项目废气收集管网图</w:t>
      </w:r>
    </w:p>
    <w:p w14:paraId="3796CC13">
      <w:pPr>
        <w:keepNext w:val="0"/>
        <w:keepLines w:val="0"/>
        <w:pageBreakBefore w:val="0"/>
        <w:widowControl w:val="0"/>
        <w:kinsoku/>
        <w:wordWrap/>
        <w:overflowPunct/>
        <w:topLinePunct w:val="0"/>
        <w:bidi w:val="0"/>
        <w:spacing w:line="360" w:lineRule="auto"/>
        <w:jc w:val="left"/>
        <w:textAlignment w:val="auto"/>
        <w:rPr>
          <w:rFonts w:hint="eastAsia" w:cs="Times New Roman"/>
          <w:b/>
          <w:bCs/>
          <w:color w:val="auto"/>
          <w:sz w:val="24"/>
          <w:szCs w:val="24"/>
          <w:lang w:val="en-US" w:eastAsia="zh-CN"/>
        </w:rPr>
      </w:pPr>
    </w:p>
    <w:p w14:paraId="3548A963">
      <w:pPr>
        <w:keepNext w:val="0"/>
        <w:keepLines w:val="0"/>
        <w:pageBreakBefore w:val="0"/>
        <w:widowControl w:val="0"/>
        <w:kinsoku/>
        <w:wordWrap/>
        <w:overflowPunct/>
        <w:topLinePunct w:val="0"/>
        <w:bidi w:val="0"/>
        <w:spacing w:line="360" w:lineRule="auto"/>
        <w:jc w:val="left"/>
        <w:textAlignment w:val="auto"/>
        <w:rPr>
          <w:rFonts w:hint="eastAsia" w:cs="Times New Roman"/>
          <w:b/>
          <w:bCs/>
          <w:color w:val="auto"/>
          <w:sz w:val="24"/>
          <w:szCs w:val="24"/>
          <w:lang w:val="en-US" w:eastAsia="zh-CN"/>
        </w:rPr>
      </w:pPr>
      <w:r>
        <w:rPr>
          <w:rFonts w:hint="eastAsia" w:cs="Times New Roman"/>
          <w:b/>
          <w:bCs/>
          <w:color w:val="auto"/>
          <w:sz w:val="24"/>
          <w:szCs w:val="24"/>
          <w:lang w:val="en-US" w:eastAsia="zh-CN"/>
        </w:rPr>
        <w:t>附件</w:t>
      </w:r>
    </w:p>
    <w:p w14:paraId="60785E62">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附件1</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委托书</w:t>
      </w:r>
    </w:p>
    <w:p w14:paraId="4BB62D2F">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附件2</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备案文件</w:t>
      </w:r>
    </w:p>
    <w:p w14:paraId="5C33BF5F">
      <w:pPr>
        <w:keepNext w:val="0"/>
        <w:keepLines w:val="0"/>
        <w:pageBreakBefore w:val="0"/>
        <w:widowControl w:val="0"/>
        <w:kinsoku/>
        <w:wordWrap/>
        <w:overflowPunct/>
        <w:topLinePunct w:val="0"/>
        <w:bidi w:val="0"/>
        <w:spacing w:line="360" w:lineRule="auto"/>
        <w:jc w:val="left"/>
        <w:textAlignment w:val="auto"/>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附件3</w:t>
      </w:r>
      <w:r>
        <w:rPr>
          <w:rFonts w:hint="eastAsia" w:cs="Times New Roman"/>
          <w:color w:val="auto"/>
          <w:sz w:val="24"/>
          <w:szCs w:val="24"/>
          <w:lang w:val="en-US" w:eastAsia="zh-CN"/>
        </w:rPr>
        <w:t>：建设项目初审表</w:t>
      </w:r>
    </w:p>
    <w:p w14:paraId="6E732FEA">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附件4</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营业执照</w:t>
      </w:r>
      <w:r>
        <w:rPr>
          <w:rFonts w:hint="eastAsia" w:cs="Times New Roman"/>
          <w:color w:val="auto"/>
          <w:sz w:val="24"/>
          <w:szCs w:val="24"/>
          <w:lang w:val="en-US" w:eastAsia="zh-CN"/>
        </w:rPr>
        <w:t>及法人身份证</w:t>
      </w:r>
    </w:p>
    <w:p w14:paraId="04BDD32B">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附件5</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土地证</w:t>
      </w:r>
    </w:p>
    <w:p w14:paraId="5C62E665">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附件6：</w:t>
      </w:r>
      <w:r>
        <w:rPr>
          <w:rFonts w:hint="eastAsia" w:cs="Times New Roman"/>
          <w:color w:val="auto"/>
          <w:sz w:val="24"/>
          <w:szCs w:val="24"/>
          <w:lang w:val="en-US" w:eastAsia="zh-CN"/>
        </w:rPr>
        <w:t>原项目环评批复</w:t>
      </w:r>
    </w:p>
    <w:p w14:paraId="32158A37">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附件7：原项目</w:t>
      </w:r>
      <w:r>
        <w:rPr>
          <w:rFonts w:hint="eastAsia" w:cs="Times New Roman"/>
          <w:color w:val="auto"/>
          <w:sz w:val="24"/>
          <w:szCs w:val="24"/>
          <w:lang w:val="en-US" w:eastAsia="zh-CN"/>
        </w:rPr>
        <w:t>竣工环境保护验收</w:t>
      </w:r>
      <w:r>
        <w:rPr>
          <w:rFonts w:hint="eastAsia" w:ascii="Times New Roman" w:hAnsi="Times New Roman" w:eastAsia="宋体" w:cs="Times New Roman"/>
          <w:color w:val="auto"/>
          <w:sz w:val="24"/>
          <w:szCs w:val="24"/>
          <w:lang w:val="en-US" w:eastAsia="zh-CN"/>
        </w:rPr>
        <w:t>批复</w:t>
      </w:r>
    </w:p>
    <w:p w14:paraId="2A38E646">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附件8：项目原料（油性漆）检测报告</w:t>
      </w:r>
    </w:p>
    <w:p w14:paraId="033373D0">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附件9：江西省生态环境厅关于《江西高安高新技术产业园区扩区调区规划环境影响报告书审查意见的函》（赣环环评函</w:t>
      </w:r>
      <w:r>
        <w:rPr>
          <w:rFonts w:hint="eastAsia" w:ascii="宋体" w:hAnsi="宋体" w:eastAsia="宋体" w:cs="宋体"/>
          <w:color w:val="auto"/>
          <w:sz w:val="24"/>
          <w:szCs w:val="24"/>
          <w:lang w:val="en-US" w:eastAsia="zh-CN"/>
        </w:rPr>
        <w:t>〔</w:t>
      </w:r>
      <w:r>
        <w:rPr>
          <w:rFonts w:hint="eastAsia" w:ascii="Times New Roman" w:hAnsi="Times New Roman" w:eastAsia="宋体" w:cs="Times New Roman"/>
          <w:color w:val="auto"/>
          <w:sz w:val="24"/>
          <w:szCs w:val="24"/>
          <w:lang w:val="en-US" w:eastAsia="zh-CN"/>
        </w:rPr>
        <w:t>2024</w:t>
      </w:r>
      <w:r>
        <w:rPr>
          <w:rFonts w:hint="eastAsia" w:ascii="宋体" w:hAnsi="宋体" w:eastAsia="宋体" w:cs="宋体"/>
          <w:color w:val="auto"/>
          <w:sz w:val="24"/>
          <w:szCs w:val="24"/>
          <w:lang w:val="en-US" w:eastAsia="zh-CN"/>
        </w:rPr>
        <w:t>〕</w:t>
      </w:r>
      <w:r>
        <w:rPr>
          <w:rFonts w:hint="eastAsia" w:ascii="Times New Roman" w:hAnsi="Times New Roman" w:eastAsia="宋体" w:cs="Times New Roman"/>
          <w:color w:val="auto"/>
          <w:sz w:val="24"/>
          <w:szCs w:val="24"/>
          <w:lang w:val="en-US" w:eastAsia="zh-CN"/>
        </w:rPr>
        <w:t>69号）</w:t>
      </w:r>
    </w:p>
    <w:p w14:paraId="55B652E2">
      <w:pPr>
        <w:keepNext w:val="0"/>
        <w:keepLines w:val="0"/>
        <w:pageBreakBefore w:val="0"/>
        <w:widowControl w:val="0"/>
        <w:kinsoku/>
        <w:wordWrap/>
        <w:overflowPunct/>
        <w:topLinePunct w:val="0"/>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附件10：污水纳管证明</w:t>
      </w:r>
    </w:p>
    <w:p w14:paraId="627C9CD0">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附件11：现场踏勘记录表</w:t>
      </w:r>
    </w:p>
    <w:p w14:paraId="1332C459">
      <w:pPr>
        <w:keepNext w:val="0"/>
        <w:keepLines w:val="0"/>
        <w:pageBreakBefore w:val="0"/>
        <w:widowControl w:val="0"/>
        <w:kinsoku/>
        <w:wordWrap/>
        <w:overflowPunct/>
        <w:topLinePunct w:val="0"/>
        <w:bidi w:val="0"/>
        <w:spacing w:line="360" w:lineRule="auto"/>
        <w:jc w:val="left"/>
        <w:textAlignment w:val="auto"/>
        <w:rPr>
          <w:rFonts w:hint="default" w:ascii="Times New Roman" w:hAnsi="Times New Roman" w:eastAsia="宋体" w:cs="Times New Roman"/>
          <w:color w:val="auto"/>
          <w:sz w:val="24"/>
          <w:szCs w:val="24"/>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095E5F4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p>
    <w:p w14:paraId="401319E9">
      <w:pPr>
        <w:bidi w:val="0"/>
        <w:rPr>
          <w:rFonts w:hint="default" w:ascii="Times New Roman" w:hAnsi="Times New Roman" w:eastAsia="宋体" w:cs="Times New Roman"/>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2EC80467">
      <w:pPr>
        <w:pStyle w:val="29"/>
        <w:jc w:val="center"/>
        <w:outlineLvl w:val="0"/>
        <w:rPr>
          <w:rFonts w:hint="default" w:ascii="Times New Roman" w:hAnsi="Times New Roman" w:eastAsia="宋体" w:cs="Times New Roman"/>
          <w:b/>
          <w:bCs/>
          <w:snapToGrid w:val="0"/>
          <w:color w:val="auto"/>
          <w:sz w:val="30"/>
          <w:szCs w:val="30"/>
        </w:rPr>
      </w:pPr>
      <w:bookmarkStart w:id="2" w:name="_Toc19813"/>
      <w:bookmarkStart w:id="3" w:name="_Toc22862"/>
      <w:r>
        <w:rPr>
          <w:rFonts w:hint="default" w:ascii="Times New Roman" w:hAnsi="Times New Roman" w:eastAsia="宋体" w:cs="Times New Roman"/>
          <w:b/>
          <w:bCs/>
          <w:snapToGrid w:val="0"/>
          <w:color w:val="auto"/>
          <w:sz w:val="30"/>
          <w:szCs w:val="30"/>
        </w:rPr>
        <w:t>一、建设项目基本情况</w:t>
      </w:r>
      <w:bookmarkEnd w:id="2"/>
      <w:bookmarkEnd w:id="3"/>
    </w:p>
    <w:tbl>
      <w:tblPr>
        <w:tblStyle w:val="33"/>
        <w:tblW w:w="8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78"/>
        <w:gridCol w:w="2227"/>
        <w:gridCol w:w="1815"/>
        <w:gridCol w:w="3079"/>
      </w:tblGrid>
      <w:tr w14:paraId="5BE283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8" w:hRule="atLeast"/>
          <w:jc w:val="center"/>
        </w:trPr>
        <w:tc>
          <w:tcPr>
            <w:tcW w:w="1778" w:type="dxa"/>
            <w:noWrap w:val="0"/>
            <w:tcMar>
              <w:top w:w="16" w:type="dxa"/>
              <w:left w:w="16" w:type="dxa"/>
              <w:right w:w="16" w:type="dxa"/>
            </w:tcMar>
            <w:vAlign w:val="center"/>
          </w:tcPr>
          <w:p w14:paraId="2022267B">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建设项目名称</w:t>
            </w:r>
          </w:p>
        </w:tc>
        <w:tc>
          <w:tcPr>
            <w:tcW w:w="7121" w:type="dxa"/>
            <w:gridSpan w:val="3"/>
            <w:noWrap w:val="0"/>
            <w:vAlign w:val="center"/>
          </w:tcPr>
          <w:p w14:paraId="4A19C263">
            <w:pPr>
              <w:adjustRightInd w:val="0"/>
              <w:snapToGrid w:val="0"/>
              <w:jc w:val="center"/>
              <w:rPr>
                <w:rFonts w:hint="default"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val="en-US" w:eastAsia="zh-CN"/>
              </w:rPr>
              <w:t>江西瑞鼎精密传动有限公司AB/AF/AD行星减速机技术改造项目</w:t>
            </w:r>
          </w:p>
        </w:tc>
      </w:tr>
      <w:tr w14:paraId="3812A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1778" w:type="dxa"/>
            <w:noWrap w:val="0"/>
            <w:tcMar>
              <w:top w:w="16" w:type="dxa"/>
              <w:left w:w="16" w:type="dxa"/>
              <w:right w:w="16" w:type="dxa"/>
            </w:tcMar>
            <w:vAlign w:val="center"/>
          </w:tcPr>
          <w:p w14:paraId="1D3C3B8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项目代码</w:t>
            </w:r>
          </w:p>
        </w:tc>
        <w:tc>
          <w:tcPr>
            <w:tcW w:w="7121" w:type="dxa"/>
            <w:gridSpan w:val="3"/>
            <w:noWrap w:val="0"/>
            <w:vAlign w:val="center"/>
          </w:tcPr>
          <w:p w14:paraId="48A91B6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2512-360983-07-02-134740</w:t>
            </w:r>
          </w:p>
        </w:tc>
      </w:tr>
      <w:tr w14:paraId="73046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3" w:hRule="atLeast"/>
          <w:jc w:val="center"/>
        </w:trPr>
        <w:tc>
          <w:tcPr>
            <w:tcW w:w="1778" w:type="dxa"/>
            <w:noWrap w:val="0"/>
            <w:tcMar>
              <w:top w:w="16" w:type="dxa"/>
              <w:left w:w="16" w:type="dxa"/>
              <w:right w:w="16" w:type="dxa"/>
            </w:tcMar>
            <w:vAlign w:val="center"/>
          </w:tcPr>
          <w:p w14:paraId="639E3EE6">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建设单位联系人</w:t>
            </w:r>
          </w:p>
        </w:tc>
        <w:tc>
          <w:tcPr>
            <w:tcW w:w="2227" w:type="dxa"/>
            <w:noWrap w:val="0"/>
            <w:vAlign w:val="center"/>
          </w:tcPr>
          <w:p w14:paraId="00BD8354">
            <w:pPr>
              <w:adjustRightInd w:val="0"/>
              <w:snapToGrid w:val="0"/>
              <w:jc w:val="center"/>
              <w:rPr>
                <w:rFonts w:hint="default" w:ascii="Times New Roman" w:hAnsi="Times New Roman" w:eastAsia="宋体" w:cs="Times New Roman"/>
                <w:color w:val="auto"/>
                <w:sz w:val="24"/>
                <w:szCs w:val="24"/>
                <w:highlight w:val="none"/>
                <w:lang w:val="en-US" w:eastAsia="zh-CN"/>
              </w:rPr>
            </w:pPr>
          </w:p>
        </w:tc>
        <w:tc>
          <w:tcPr>
            <w:tcW w:w="1815" w:type="dxa"/>
            <w:noWrap w:val="0"/>
            <w:vAlign w:val="center"/>
          </w:tcPr>
          <w:p w14:paraId="465B3B58">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联系方式</w:t>
            </w:r>
          </w:p>
        </w:tc>
        <w:tc>
          <w:tcPr>
            <w:tcW w:w="3079" w:type="dxa"/>
            <w:noWrap w:val="0"/>
            <w:vAlign w:val="center"/>
          </w:tcPr>
          <w:p w14:paraId="01EC73E3">
            <w:pPr>
              <w:adjustRightInd w:val="0"/>
              <w:snapToGrid w:val="0"/>
              <w:jc w:val="center"/>
              <w:rPr>
                <w:rFonts w:hint="default" w:ascii="Times New Roman" w:hAnsi="Times New Roman" w:eastAsia="宋体" w:cs="Times New Roman"/>
                <w:color w:val="auto"/>
                <w:sz w:val="24"/>
                <w:szCs w:val="24"/>
                <w:highlight w:val="none"/>
                <w:lang w:val="en-US" w:eastAsia="zh-CN"/>
              </w:rPr>
            </w:pPr>
            <w:bookmarkStart w:id="62" w:name="_GoBack"/>
            <w:bookmarkEnd w:id="62"/>
          </w:p>
        </w:tc>
      </w:tr>
      <w:tr w14:paraId="519B1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1778" w:type="dxa"/>
            <w:noWrap w:val="0"/>
            <w:tcMar>
              <w:top w:w="16" w:type="dxa"/>
              <w:left w:w="16" w:type="dxa"/>
              <w:right w:w="16" w:type="dxa"/>
            </w:tcMar>
            <w:vAlign w:val="center"/>
          </w:tcPr>
          <w:p w14:paraId="45AB679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建设地点</w:t>
            </w:r>
          </w:p>
        </w:tc>
        <w:tc>
          <w:tcPr>
            <w:tcW w:w="7121" w:type="dxa"/>
            <w:gridSpan w:val="3"/>
            <w:noWrap w:val="0"/>
            <w:vAlign w:val="center"/>
          </w:tcPr>
          <w:p w14:paraId="602FB48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江西高安高新技术产业园</w:t>
            </w:r>
            <w:r>
              <w:rPr>
                <w:rFonts w:hint="eastAsia" w:cs="Times New Roman"/>
                <w:color w:val="auto"/>
                <w:sz w:val="24"/>
                <w:szCs w:val="24"/>
                <w:highlight w:val="none"/>
                <w:lang w:val="en-US" w:eastAsia="zh-CN"/>
              </w:rPr>
              <w:t>区</w:t>
            </w:r>
            <w:r>
              <w:rPr>
                <w:rFonts w:hint="eastAsia" w:ascii="Times New Roman" w:hAnsi="Times New Roman" w:eastAsia="宋体" w:cs="Times New Roman"/>
                <w:color w:val="auto"/>
                <w:sz w:val="24"/>
                <w:highlight w:val="none"/>
                <w:lang w:eastAsia="zh-CN"/>
              </w:rPr>
              <w:t>新世纪</w:t>
            </w:r>
            <w:r>
              <w:rPr>
                <w:rFonts w:hint="eastAsia" w:cs="Times New Roman"/>
                <w:color w:val="auto"/>
                <w:sz w:val="24"/>
                <w:highlight w:val="none"/>
                <w:lang w:val="en-US" w:eastAsia="zh-CN"/>
              </w:rPr>
              <w:t>产</w:t>
            </w:r>
            <w:r>
              <w:rPr>
                <w:rFonts w:hint="eastAsia" w:ascii="Times New Roman" w:hAnsi="Times New Roman" w:eastAsia="宋体" w:cs="Times New Roman"/>
                <w:color w:val="auto"/>
                <w:sz w:val="24"/>
                <w:highlight w:val="none"/>
                <w:lang w:eastAsia="zh-CN"/>
              </w:rPr>
              <w:t>业园</w:t>
            </w:r>
          </w:p>
        </w:tc>
      </w:tr>
      <w:tr w14:paraId="0B418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3" w:hRule="atLeast"/>
          <w:jc w:val="center"/>
        </w:trPr>
        <w:tc>
          <w:tcPr>
            <w:tcW w:w="1778" w:type="dxa"/>
            <w:noWrap w:val="0"/>
            <w:tcMar>
              <w:top w:w="16" w:type="dxa"/>
              <w:left w:w="16" w:type="dxa"/>
              <w:right w:w="16" w:type="dxa"/>
            </w:tcMar>
            <w:vAlign w:val="center"/>
          </w:tcPr>
          <w:p w14:paraId="438C3A1C">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地理坐标</w:t>
            </w:r>
          </w:p>
        </w:tc>
        <w:tc>
          <w:tcPr>
            <w:tcW w:w="7121" w:type="dxa"/>
            <w:gridSpan w:val="3"/>
            <w:noWrap w:val="0"/>
            <w:vAlign w:val="center"/>
          </w:tcPr>
          <w:p w14:paraId="3E8F366D">
            <w:pPr>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szCs w:val="24"/>
                <w:highlight w:val="none"/>
                <w:lang w:val="en-US" w:eastAsia="zh-CN"/>
              </w:rPr>
              <w:t>东经</w:t>
            </w:r>
            <w:bookmarkStart w:id="4" w:name="OLE_LINK19"/>
            <w:r>
              <w:rPr>
                <w:rFonts w:hint="eastAsia" w:cs="Times New Roman"/>
                <w:color w:val="auto"/>
                <w:sz w:val="24"/>
                <w:szCs w:val="24"/>
                <w:highlight w:val="none"/>
                <w:lang w:val="en-US" w:eastAsia="zh-CN"/>
              </w:rPr>
              <w:t>115°23′48.689″</w:t>
            </w:r>
            <w:r>
              <w:rPr>
                <w:rFonts w:hint="default" w:ascii="Times New Roman" w:hAnsi="Times New Roman" w:eastAsia="宋体" w:cs="Times New Roman"/>
                <w:color w:val="auto"/>
                <w:sz w:val="24"/>
                <w:szCs w:val="24"/>
                <w:highlight w:val="none"/>
                <w:lang w:val="en-US" w:eastAsia="zh-CN"/>
              </w:rPr>
              <w:t>，北纬</w:t>
            </w:r>
            <w:bookmarkEnd w:id="4"/>
            <w:r>
              <w:rPr>
                <w:rFonts w:hint="eastAsia" w:cs="Times New Roman"/>
                <w:color w:val="auto"/>
                <w:sz w:val="24"/>
                <w:szCs w:val="24"/>
                <w:highlight w:val="none"/>
                <w:lang w:val="en-US" w:eastAsia="zh-CN"/>
              </w:rPr>
              <w:t>28°28′2.974″</w:t>
            </w:r>
          </w:p>
        </w:tc>
      </w:tr>
      <w:tr w14:paraId="664A9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044C3800">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国民经济</w:t>
            </w:r>
          </w:p>
          <w:p w14:paraId="13B7A6E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行业类别</w:t>
            </w:r>
          </w:p>
        </w:tc>
        <w:tc>
          <w:tcPr>
            <w:tcW w:w="2227" w:type="dxa"/>
            <w:noWrap w:val="0"/>
            <w:vAlign w:val="center"/>
          </w:tcPr>
          <w:p w14:paraId="62044591">
            <w:pPr>
              <w:adjustRightInd w:val="0"/>
              <w:snapToGrid w:val="0"/>
              <w:jc w:val="left"/>
              <w:rPr>
                <w:rFonts w:hint="default" w:ascii="Times New Roman" w:hAnsi="Times New Roman" w:eastAsia="宋体" w:cs="Times New Roman"/>
                <w:color w:val="auto"/>
                <w:highlight w:val="none"/>
                <w:lang w:val="en-US"/>
              </w:rPr>
            </w:pPr>
            <w:r>
              <w:rPr>
                <w:rFonts w:hint="eastAsia" w:cs="Times New Roman"/>
                <w:color w:val="auto"/>
                <w:sz w:val="24"/>
                <w:szCs w:val="24"/>
                <w:highlight w:val="none"/>
                <w:lang w:val="en-US" w:eastAsia="zh-CN"/>
              </w:rPr>
              <w:t>C3453齿轮及齿轮减、变速箱制造</w:t>
            </w:r>
          </w:p>
        </w:tc>
        <w:tc>
          <w:tcPr>
            <w:tcW w:w="1815" w:type="dxa"/>
            <w:noWrap w:val="0"/>
            <w:vAlign w:val="center"/>
          </w:tcPr>
          <w:p w14:paraId="0B380EAD">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17D63B6D">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3079" w:type="dxa"/>
            <w:noWrap w:val="0"/>
            <w:vAlign w:val="center"/>
          </w:tcPr>
          <w:p w14:paraId="794952E1">
            <w:pPr>
              <w:adjustRightInd w:val="0"/>
              <w:snapToGrid w:val="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三十一、通用设备制造业34-69.轴承、齿轮和传动部件制造345中其他</w:t>
            </w:r>
          </w:p>
        </w:tc>
      </w:tr>
      <w:tr w14:paraId="16572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33232501">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建设性质</w:t>
            </w:r>
          </w:p>
        </w:tc>
        <w:tc>
          <w:tcPr>
            <w:tcW w:w="2227" w:type="dxa"/>
            <w:noWrap w:val="0"/>
            <w:vAlign w:val="center"/>
          </w:tcPr>
          <w:p w14:paraId="03470BB2">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□新建（迁建）</w:t>
            </w:r>
          </w:p>
          <w:p w14:paraId="5190222D">
            <w:pPr>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改建</w:t>
            </w:r>
          </w:p>
          <w:p w14:paraId="282254BD">
            <w:pPr>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扩建</w:t>
            </w:r>
          </w:p>
          <w:p w14:paraId="6346EACE">
            <w:pPr>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技术改造</w:t>
            </w:r>
          </w:p>
        </w:tc>
        <w:tc>
          <w:tcPr>
            <w:tcW w:w="1815" w:type="dxa"/>
            <w:noWrap w:val="0"/>
            <w:vAlign w:val="center"/>
          </w:tcPr>
          <w:p w14:paraId="58300EA4">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建设项目</w:t>
            </w:r>
          </w:p>
          <w:p w14:paraId="6F3A1B46">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申报情形</w:t>
            </w:r>
          </w:p>
        </w:tc>
        <w:tc>
          <w:tcPr>
            <w:tcW w:w="3079" w:type="dxa"/>
            <w:noWrap w:val="0"/>
            <w:vAlign w:val="center"/>
          </w:tcPr>
          <w:p w14:paraId="1E935E08">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首次申报项目             </w:t>
            </w:r>
          </w:p>
          <w:p w14:paraId="220EA89A">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不予批准后再次申报项目</w:t>
            </w:r>
          </w:p>
          <w:p w14:paraId="6FB116F2">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□超五年重新审核项目     </w:t>
            </w:r>
          </w:p>
          <w:p w14:paraId="74D54077">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重大变动重新报批项目</w:t>
            </w:r>
          </w:p>
        </w:tc>
      </w:tr>
      <w:tr w14:paraId="2703A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3E6F4CA1">
            <w:pPr>
              <w:adjustRightInd w:val="0"/>
              <w:snapToGrid w:val="0"/>
              <w:jc w:val="left"/>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b/>
                <w:bCs/>
                <w:color w:val="auto"/>
                <w:sz w:val="24"/>
                <w:szCs w:val="24"/>
                <w:highlight w:val="none"/>
                <w:shd w:val="clear" w:color="auto" w:fill="auto"/>
              </w:rPr>
              <w:t>项目审批（核准/备案）部门（选填）</w:t>
            </w:r>
          </w:p>
        </w:tc>
        <w:tc>
          <w:tcPr>
            <w:tcW w:w="2227" w:type="dxa"/>
            <w:noWrap w:val="0"/>
            <w:vAlign w:val="center"/>
          </w:tcPr>
          <w:p w14:paraId="31623F6F">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高安市行政审批局</w:t>
            </w:r>
          </w:p>
        </w:tc>
        <w:tc>
          <w:tcPr>
            <w:tcW w:w="1815" w:type="dxa"/>
            <w:noWrap w:val="0"/>
            <w:vAlign w:val="center"/>
          </w:tcPr>
          <w:p w14:paraId="3AF310B2">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项目审批（核准/</w:t>
            </w:r>
          </w:p>
          <w:p w14:paraId="6B396165">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备案）文号（选填）</w:t>
            </w:r>
          </w:p>
        </w:tc>
        <w:tc>
          <w:tcPr>
            <w:tcW w:w="3079" w:type="dxa"/>
            <w:noWrap w:val="0"/>
            <w:vAlign w:val="center"/>
          </w:tcPr>
          <w:p w14:paraId="090FB0AB">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eastAsia" w:cs="Times New Roman"/>
                <w:color w:val="auto"/>
                <w:sz w:val="24"/>
                <w:szCs w:val="24"/>
                <w:highlight w:val="none"/>
                <w:lang w:val="en-US" w:eastAsia="zh-CN"/>
              </w:rPr>
              <w:t>2512-360983-07-02-134740</w:t>
            </w:r>
          </w:p>
        </w:tc>
      </w:tr>
      <w:tr w14:paraId="7926C4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6652AC3">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总投资（万元）</w:t>
            </w:r>
          </w:p>
        </w:tc>
        <w:tc>
          <w:tcPr>
            <w:tcW w:w="2227" w:type="dxa"/>
            <w:noWrap w:val="0"/>
            <w:vAlign w:val="center"/>
          </w:tcPr>
          <w:p w14:paraId="306F59B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120</w:t>
            </w:r>
            <w:r>
              <w:rPr>
                <w:rFonts w:hint="default" w:ascii="Times New Roman" w:hAnsi="Times New Roman" w:eastAsia="宋体" w:cs="Times New Roman"/>
                <w:color w:val="auto"/>
                <w:sz w:val="24"/>
                <w:szCs w:val="24"/>
                <w:highlight w:val="none"/>
                <w:lang w:val="en-US" w:eastAsia="zh-CN"/>
              </w:rPr>
              <w:t>00</w:t>
            </w:r>
          </w:p>
        </w:tc>
        <w:tc>
          <w:tcPr>
            <w:tcW w:w="1815" w:type="dxa"/>
            <w:noWrap w:val="0"/>
            <w:tcMar>
              <w:top w:w="16" w:type="dxa"/>
              <w:left w:w="16" w:type="dxa"/>
              <w:right w:w="16" w:type="dxa"/>
            </w:tcMar>
            <w:vAlign w:val="center"/>
          </w:tcPr>
          <w:p w14:paraId="5EA5999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环保投资（万元）</w:t>
            </w:r>
          </w:p>
        </w:tc>
        <w:tc>
          <w:tcPr>
            <w:tcW w:w="3079" w:type="dxa"/>
            <w:noWrap w:val="0"/>
            <w:vAlign w:val="center"/>
          </w:tcPr>
          <w:p w14:paraId="2F68B4D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155</w:t>
            </w:r>
          </w:p>
        </w:tc>
      </w:tr>
      <w:tr w14:paraId="5F0733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2C127CA">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环保投资占比（%）</w:t>
            </w:r>
          </w:p>
        </w:tc>
        <w:tc>
          <w:tcPr>
            <w:tcW w:w="2227" w:type="dxa"/>
            <w:noWrap w:val="0"/>
            <w:vAlign w:val="center"/>
          </w:tcPr>
          <w:p w14:paraId="5F056DA8">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w:t>
            </w:r>
            <w:r>
              <w:rPr>
                <w:rFonts w:hint="eastAsia" w:cs="Times New Roman"/>
                <w:color w:val="auto"/>
                <w:sz w:val="24"/>
                <w:szCs w:val="24"/>
                <w:highlight w:val="none"/>
                <w:lang w:val="en-US" w:eastAsia="zh-CN"/>
              </w:rPr>
              <w:t>16</w:t>
            </w:r>
          </w:p>
        </w:tc>
        <w:tc>
          <w:tcPr>
            <w:tcW w:w="1815" w:type="dxa"/>
            <w:noWrap w:val="0"/>
            <w:tcMar>
              <w:top w:w="16" w:type="dxa"/>
              <w:left w:w="16" w:type="dxa"/>
              <w:right w:w="16" w:type="dxa"/>
            </w:tcMar>
            <w:vAlign w:val="center"/>
          </w:tcPr>
          <w:p w14:paraId="50AA58E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施工工期</w:t>
            </w:r>
          </w:p>
        </w:tc>
        <w:tc>
          <w:tcPr>
            <w:tcW w:w="3079" w:type="dxa"/>
            <w:noWrap w:val="0"/>
            <w:vAlign w:val="center"/>
          </w:tcPr>
          <w:p w14:paraId="2F69C97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w:t>
            </w:r>
          </w:p>
        </w:tc>
      </w:tr>
      <w:tr w14:paraId="088CE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A0FB03F">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是否开工建设</w:t>
            </w:r>
          </w:p>
        </w:tc>
        <w:tc>
          <w:tcPr>
            <w:tcW w:w="2227" w:type="dxa"/>
            <w:noWrap w:val="0"/>
            <w:vAlign w:val="center"/>
          </w:tcPr>
          <w:p w14:paraId="4B78735A">
            <w:pPr>
              <w:adjustRightInd w:val="0"/>
              <w:snapToGrid w:val="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否</w:t>
            </w:r>
          </w:p>
          <w:p w14:paraId="4EBF7C84">
            <w:pPr>
              <w:adjustRightInd w:val="0"/>
              <w:snapToGrid w:val="0"/>
              <w:rPr>
                <w:rFonts w:hint="default" w:ascii="Times New Roman" w:hAnsi="Times New Roman" w:eastAsia="宋体" w:cs="Times New Roman"/>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是</w:t>
            </w:r>
            <w:r>
              <w:rPr>
                <w:rFonts w:hint="eastAsia" w:ascii="宋体" w:hAnsi="宋体" w:eastAsia="宋体" w:cs="宋体"/>
                <w:color w:val="auto"/>
                <w:sz w:val="24"/>
                <w:szCs w:val="24"/>
                <w:highlight w:val="none"/>
                <w:lang w:eastAsia="zh-CN"/>
              </w:rPr>
              <w:t>：</w:t>
            </w:r>
            <w:r>
              <w:rPr>
                <w:rFonts w:hint="default" w:ascii="Times New Roman" w:hAnsi="Times New Roman" w:eastAsia="宋体" w:cs="Times New Roman"/>
                <w:color w:val="auto"/>
                <w:sz w:val="24"/>
                <w:szCs w:val="24"/>
                <w:highlight w:val="none"/>
                <w:u w:val="single"/>
                <w:lang w:val="en-US" w:eastAsia="zh-CN"/>
              </w:rPr>
              <w:t xml:space="preserve">          </w:t>
            </w:r>
          </w:p>
        </w:tc>
        <w:tc>
          <w:tcPr>
            <w:tcW w:w="1815" w:type="dxa"/>
            <w:noWrap w:val="0"/>
            <w:tcMar>
              <w:top w:w="16" w:type="dxa"/>
              <w:left w:w="16" w:type="dxa"/>
              <w:right w:w="16" w:type="dxa"/>
            </w:tcMar>
            <w:vAlign w:val="center"/>
          </w:tcPr>
          <w:p w14:paraId="289BFD5B">
            <w:pPr>
              <w:adjustRightInd w:val="0"/>
              <w:snapToGrid w:val="0"/>
              <w:jc w:val="center"/>
              <w:rPr>
                <w:rFonts w:hint="default" w:ascii="Times New Roman" w:hAnsi="Times New Roman" w:eastAsia="宋体" w:cs="Times New Roman"/>
                <w:color w:val="auto"/>
                <w:spacing w:val="-6"/>
                <w:sz w:val="24"/>
                <w:szCs w:val="24"/>
                <w:highlight w:val="none"/>
              </w:rPr>
            </w:pPr>
            <w:r>
              <w:rPr>
                <w:rFonts w:hint="default" w:ascii="Times New Roman" w:hAnsi="Times New Roman" w:eastAsia="宋体" w:cs="Times New Roman"/>
                <w:color w:val="auto"/>
                <w:spacing w:val="-6"/>
                <w:sz w:val="24"/>
                <w:szCs w:val="24"/>
                <w:highlight w:val="none"/>
              </w:rPr>
              <w:t>用地（用海）</w:t>
            </w:r>
          </w:p>
          <w:p w14:paraId="04E9AEEE">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6"/>
                <w:sz w:val="24"/>
                <w:szCs w:val="24"/>
                <w:highlight w:val="none"/>
              </w:rPr>
              <w:t>面积（m</w:t>
            </w:r>
            <w:r>
              <w:rPr>
                <w:rFonts w:hint="default" w:ascii="Times New Roman" w:hAnsi="Times New Roman" w:eastAsia="宋体" w:cs="Times New Roman"/>
                <w:color w:val="auto"/>
                <w:spacing w:val="-6"/>
                <w:sz w:val="24"/>
                <w:szCs w:val="24"/>
                <w:highlight w:val="none"/>
                <w:vertAlign w:val="superscript"/>
              </w:rPr>
              <w:t>2</w:t>
            </w:r>
            <w:r>
              <w:rPr>
                <w:rFonts w:hint="default" w:ascii="Times New Roman" w:hAnsi="Times New Roman" w:eastAsia="宋体" w:cs="Times New Roman"/>
                <w:color w:val="auto"/>
                <w:spacing w:val="-6"/>
                <w:sz w:val="24"/>
                <w:szCs w:val="24"/>
                <w:highlight w:val="none"/>
              </w:rPr>
              <w:t>）</w:t>
            </w:r>
          </w:p>
        </w:tc>
        <w:tc>
          <w:tcPr>
            <w:tcW w:w="3079" w:type="dxa"/>
            <w:noWrap w:val="0"/>
            <w:vAlign w:val="center"/>
          </w:tcPr>
          <w:p w14:paraId="69FD6E7D">
            <w:pPr>
              <w:adjustRightInd w:val="0"/>
              <w:snapToGrid w:val="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lang w:val="en-US" w:eastAsia="zh-CN"/>
              </w:rPr>
              <w:t>项目利用现有厂房，不新增用地</w:t>
            </w:r>
            <w:r>
              <w:rPr>
                <w:rFonts w:hint="eastAsia" w:cs="Times New Roman"/>
                <w:color w:val="auto"/>
                <w:sz w:val="24"/>
                <w:szCs w:val="24"/>
                <w:highlight w:val="none"/>
                <w:lang w:val="en-US" w:eastAsia="zh-CN"/>
              </w:rPr>
              <w:t>（41849.79</w:t>
            </w:r>
            <w:r>
              <w:rPr>
                <w:rFonts w:hint="default" w:ascii="Times New Roman" w:hAnsi="Times New Roman" w:eastAsia="宋体" w:cs="Times New Roman"/>
                <w:color w:val="auto"/>
                <w:spacing w:val="-6"/>
                <w:sz w:val="24"/>
                <w:szCs w:val="24"/>
                <w:highlight w:val="none"/>
              </w:rPr>
              <w:t>m</w:t>
            </w:r>
            <w:r>
              <w:rPr>
                <w:rFonts w:hint="default" w:ascii="Times New Roman" w:hAnsi="Times New Roman" w:eastAsia="宋体" w:cs="Times New Roman"/>
                <w:color w:val="auto"/>
                <w:spacing w:val="-6"/>
                <w:sz w:val="24"/>
                <w:szCs w:val="24"/>
                <w:highlight w:val="none"/>
                <w:vertAlign w:val="superscript"/>
              </w:rPr>
              <w:t>2</w:t>
            </w:r>
            <w:r>
              <w:rPr>
                <w:rFonts w:hint="eastAsia" w:cs="Times New Roman"/>
                <w:color w:val="auto"/>
                <w:sz w:val="24"/>
                <w:szCs w:val="24"/>
                <w:highlight w:val="none"/>
                <w:lang w:val="en-US" w:eastAsia="zh-CN"/>
              </w:rPr>
              <w:t>）</w:t>
            </w:r>
          </w:p>
        </w:tc>
      </w:tr>
      <w:tr w14:paraId="5F0D7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5" w:hRule="atLeast"/>
          <w:jc w:val="center"/>
        </w:trPr>
        <w:tc>
          <w:tcPr>
            <w:tcW w:w="1778" w:type="dxa"/>
            <w:noWrap w:val="0"/>
            <w:vAlign w:val="center"/>
          </w:tcPr>
          <w:p w14:paraId="5FC76AE0">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专项评价设置情况</w:t>
            </w:r>
          </w:p>
        </w:tc>
        <w:tc>
          <w:tcPr>
            <w:tcW w:w="7121" w:type="dxa"/>
            <w:gridSpan w:val="3"/>
            <w:noWrap w:val="0"/>
            <w:vAlign w:val="center"/>
          </w:tcPr>
          <w:p w14:paraId="62941FAD">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按《建设项目环境影响报告表编制技术指南（污染影响类）（试行）》，项目专项评价设置情况</w:t>
            </w:r>
            <w:r>
              <w:rPr>
                <w:rFonts w:hint="eastAsia" w:cs="Times New Roman"/>
                <w:color w:val="auto"/>
                <w:sz w:val="24"/>
                <w:highlight w:val="none"/>
                <w:lang w:val="en-US" w:eastAsia="zh-CN"/>
              </w:rPr>
              <w:t>判断见表1-1。</w:t>
            </w:r>
          </w:p>
          <w:p w14:paraId="2B42CCD2">
            <w:pPr>
              <w:numPr>
                <w:ilvl w:val="0"/>
                <w:numId w:val="5"/>
              </w:numPr>
              <w:adjustRightInd w:val="0"/>
              <w:snapToGrid w:val="0"/>
              <w:ind w:left="0" w:leftChars="0" w:firstLine="0"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专项评价设置原则说明表</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211"/>
              <w:gridCol w:w="2130"/>
              <w:gridCol w:w="656"/>
            </w:tblGrid>
            <w:tr w14:paraId="0A94D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56" w:type="pct"/>
                  <w:tcBorders>
                    <w:tl2br w:val="nil"/>
                    <w:tr2bl w:val="nil"/>
                  </w:tcBorders>
                  <w:noWrap w:val="0"/>
                  <w:vAlign w:val="center"/>
                </w:tcPr>
                <w:p w14:paraId="073EDF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专项评价类别</w:t>
                  </w:r>
                </w:p>
              </w:tc>
              <w:tc>
                <w:tcPr>
                  <w:tcW w:w="2325" w:type="pct"/>
                  <w:tcBorders>
                    <w:tl2br w:val="nil"/>
                    <w:tr2bl w:val="nil"/>
                  </w:tcBorders>
                  <w:noWrap w:val="0"/>
                  <w:vAlign w:val="center"/>
                </w:tcPr>
                <w:p w14:paraId="609B6A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设置原则</w:t>
                  </w:r>
                </w:p>
              </w:tc>
              <w:tc>
                <w:tcPr>
                  <w:tcW w:w="1542" w:type="pct"/>
                  <w:tcBorders>
                    <w:tl2br w:val="nil"/>
                    <w:tr2bl w:val="nil"/>
                  </w:tcBorders>
                  <w:noWrap w:val="0"/>
                  <w:vAlign w:val="center"/>
                </w:tcPr>
                <w:p w14:paraId="66B646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eastAsia" w:cs="Times New Roman"/>
                      <w:b/>
                      <w:bCs w:val="0"/>
                      <w:color w:val="auto"/>
                      <w:sz w:val="21"/>
                      <w:szCs w:val="21"/>
                      <w:highlight w:val="none"/>
                      <w:u w:val="none"/>
                      <w:lang w:val="en-US" w:eastAsia="zh-CN"/>
                    </w:rPr>
                    <w:t>本</w:t>
                  </w:r>
                  <w:r>
                    <w:rPr>
                      <w:rFonts w:hint="default" w:ascii="Times New Roman" w:hAnsi="Times New Roman" w:eastAsia="宋体" w:cs="Times New Roman"/>
                      <w:b/>
                      <w:bCs w:val="0"/>
                      <w:color w:val="auto"/>
                      <w:sz w:val="21"/>
                      <w:szCs w:val="21"/>
                      <w:highlight w:val="none"/>
                      <w:u w:val="none"/>
                      <w:lang w:val="en-US" w:eastAsia="zh-CN"/>
                    </w:rPr>
                    <w:t>项目情况</w:t>
                  </w:r>
                </w:p>
              </w:tc>
              <w:tc>
                <w:tcPr>
                  <w:tcW w:w="475" w:type="pct"/>
                  <w:tcBorders>
                    <w:tl2br w:val="nil"/>
                    <w:tr2bl w:val="nil"/>
                  </w:tcBorders>
                  <w:noWrap w:val="0"/>
                  <w:vAlign w:val="center"/>
                </w:tcPr>
                <w:p w14:paraId="27C3FD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设置情况</w:t>
                  </w:r>
                </w:p>
              </w:tc>
            </w:tr>
            <w:tr w14:paraId="7F0AA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54" w:hRule="atLeast"/>
              </w:trPr>
              <w:tc>
                <w:tcPr>
                  <w:tcW w:w="656" w:type="pct"/>
                  <w:tcBorders>
                    <w:tl2br w:val="nil"/>
                    <w:tr2bl w:val="nil"/>
                  </w:tcBorders>
                  <w:noWrap w:val="0"/>
                  <w:vAlign w:val="center"/>
                </w:tcPr>
                <w:p w14:paraId="4B779C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大气</w:t>
                  </w:r>
                </w:p>
              </w:tc>
              <w:tc>
                <w:tcPr>
                  <w:tcW w:w="2325" w:type="pct"/>
                  <w:tcBorders>
                    <w:tl2br w:val="nil"/>
                    <w:tr2bl w:val="nil"/>
                  </w:tcBorders>
                  <w:noWrap w:val="0"/>
                  <w:vAlign w:val="center"/>
                </w:tcPr>
                <w:p w14:paraId="531D14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排放废气含有毒有害污染物、二噁英、本并[a]芘、氰化物、氯气且厂界外500米范围内有环境空气保护目标的建设项目</w:t>
                  </w:r>
                  <w:r>
                    <w:rPr>
                      <w:rFonts w:hint="eastAsia" w:cs="Times New Roman"/>
                      <w:b w:val="0"/>
                      <w:bCs/>
                      <w:color w:val="auto"/>
                      <w:sz w:val="21"/>
                      <w:szCs w:val="21"/>
                      <w:highlight w:val="none"/>
                      <w:u w:val="none"/>
                      <w:lang w:val="en-US" w:eastAsia="zh-CN"/>
                    </w:rPr>
                    <w:t>。</w:t>
                  </w:r>
                </w:p>
              </w:tc>
              <w:tc>
                <w:tcPr>
                  <w:tcW w:w="1542" w:type="pct"/>
                  <w:tcBorders>
                    <w:tl2br w:val="nil"/>
                    <w:tr2bl w:val="nil"/>
                  </w:tcBorders>
                  <w:noWrap w:val="0"/>
                  <w:vAlign w:val="center"/>
                </w:tcPr>
                <w:p w14:paraId="36198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bCs w:val="0"/>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改扩建</w:t>
                  </w:r>
                  <w:r>
                    <w:rPr>
                      <w:rFonts w:hint="default" w:ascii="Times New Roman" w:hAnsi="Times New Roman" w:eastAsia="宋体" w:cs="Times New Roman"/>
                      <w:b w:val="0"/>
                      <w:bCs/>
                      <w:color w:val="auto"/>
                      <w:sz w:val="21"/>
                      <w:szCs w:val="21"/>
                      <w:highlight w:val="none"/>
                      <w:u w:val="none"/>
                      <w:lang w:val="en-US" w:eastAsia="zh-CN"/>
                    </w:rPr>
                    <w:t>项目排放废气不含有以上污染物</w:t>
                  </w:r>
                </w:p>
              </w:tc>
              <w:tc>
                <w:tcPr>
                  <w:tcW w:w="475" w:type="pct"/>
                  <w:tcBorders>
                    <w:tl2br w:val="nil"/>
                    <w:tr2bl w:val="nil"/>
                  </w:tcBorders>
                  <w:noWrap w:val="0"/>
                  <w:vAlign w:val="center"/>
                </w:tcPr>
                <w:p w14:paraId="6DA58E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325E83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656" w:type="pct"/>
                  <w:tcBorders>
                    <w:tl2br w:val="nil"/>
                    <w:tr2bl w:val="nil"/>
                  </w:tcBorders>
                  <w:noWrap w:val="0"/>
                  <w:vAlign w:val="center"/>
                </w:tcPr>
                <w:p w14:paraId="314094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地表水</w:t>
                  </w:r>
                </w:p>
              </w:tc>
              <w:tc>
                <w:tcPr>
                  <w:tcW w:w="2325" w:type="pct"/>
                  <w:tcBorders>
                    <w:tl2br w:val="nil"/>
                    <w:tr2bl w:val="nil"/>
                  </w:tcBorders>
                  <w:noWrap w:val="0"/>
                  <w:vAlign w:val="center"/>
                </w:tcPr>
                <w:p w14:paraId="784B5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新增工业废水直排建设项目（槽罐车送污水处理厂除外）；新增废水直排的污水集中处理厂</w:t>
                  </w:r>
                  <w:r>
                    <w:rPr>
                      <w:rFonts w:hint="eastAsia" w:cs="Times New Roman"/>
                      <w:b w:val="0"/>
                      <w:bCs/>
                      <w:color w:val="auto"/>
                      <w:sz w:val="21"/>
                      <w:szCs w:val="21"/>
                      <w:highlight w:val="none"/>
                      <w:u w:val="none"/>
                      <w:lang w:val="en-US" w:eastAsia="zh-CN"/>
                    </w:rPr>
                    <w:t>。</w:t>
                  </w:r>
                </w:p>
              </w:tc>
              <w:tc>
                <w:tcPr>
                  <w:tcW w:w="1542" w:type="pct"/>
                  <w:tcBorders>
                    <w:tl2br w:val="nil"/>
                    <w:tr2bl w:val="nil"/>
                  </w:tcBorders>
                  <w:noWrap w:val="0"/>
                  <w:vAlign w:val="center"/>
                </w:tcPr>
                <w:p w14:paraId="672F00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改</w:t>
                  </w:r>
                  <w:r>
                    <w:rPr>
                      <w:rFonts w:hint="eastAsia" w:cs="Times New Roman"/>
                      <w:b w:val="0"/>
                      <w:bCs/>
                      <w:color w:val="auto"/>
                      <w:sz w:val="21"/>
                      <w:szCs w:val="21"/>
                      <w:highlight w:val="none"/>
                      <w:u w:val="none"/>
                      <w:lang w:val="en-US" w:eastAsia="zh-CN"/>
                    </w:rPr>
                    <w:t>扩建</w:t>
                  </w:r>
                  <w:r>
                    <w:rPr>
                      <w:rFonts w:hint="default" w:ascii="Times New Roman" w:hAnsi="Times New Roman" w:eastAsia="宋体" w:cs="Times New Roman"/>
                      <w:b w:val="0"/>
                      <w:bCs/>
                      <w:color w:val="auto"/>
                      <w:sz w:val="21"/>
                      <w:szCs w:val="21"/>
                      <w:highlight w:val="none"/>
                      <w:u w:val="none"/>
                      <w:lang w:val="en-US" w:eastAsia="zh-CN"/>
                    </w:rPr>
                    <w:t>项目不属于工业废水直排建设项目和新增废水直排的污水集中处理厂</w:t>
                  </w:r>
                </w:p>
              </w:tc>
              <w:tc>
                <w:tcPr>
                  <w:tcW w:w="475" w:type="pct"/>
                  <w:tcBorders>
                    <w:tl2br w:val="nil"/>
                    <w:tr2bl w:val="nil"/>
                  </w:tcBorders>
                  <w:noWrap w:val="0"/>
                  <w:vAlign w:val="center"/>
                </w:tcPr>
                <w:p w14:paraId="26D5ED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61B55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21A15D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环境风险</w:t>
                  </w:r>
                </w:p>
              </w:tc>
              <w:tc>
                <w:tcPr>
                  <w:tcW w:w="2325" w:type="pct"/>
                  <w:tcBorders>
                    <w:tl2br w:val="nil"/>
                    <w:tr2bl w:val="nil"/>
                  </w:tcBorders>
                  <w:noWrap w:val="0"/>
                  <w:vAlign w:val="center"/>
                </w:tcPr>
                <w:p w14:paraId="5D05C2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有毒有害和易燃易爆危险物质存储量超过临界量的建设项目</w:t>
                  </w:r>
                </w:p>
              </w:tc>
              <w:tc>
                <w:tcPr>
                  <w:tcW w:w="1542" w:type="pct"/>
                  <w:tcBorders>
                    <w:tl2br w:val="nil"/>
                    <w:tr2bl w:val="nil"/>
                  </w:tcBorders>
                  <w:noWrap w:val="0"/>
                  <w:vAlign w:val="center"/>
                </w:tcPr>
                <w:p w14:paraId="262F13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改</w:t>
                  </w:r>
                  <w:r>
                    <w:rPr>
                      <w:rFonts w:hint="eastAsia" w:cs="Times New Roman"/>
                      <w:b w:val="0"/>
                      <w:bCs/>
                      <w:color w:val="auto"/>
                      <w:sz w:val="21"/>
                      <w:szCs w:val="21"/>
                      <w:highlight w:val="none"/>
                      <w:u w:val="none"/>
                      <w:lang w:val="en-US" w:eastAsia="zh-CN"/>
                    </w:rPr>
                    <w:t>扩建</w:t>
                  </w:r>
                  <w:r>
                    <w:rPr>
                      <w:rFonts w:hint="default" w:ascii="Times New Roman" w:hAnsi="Times New Roman" w:eastAsia="宋体" w:cs="Times New Roman"/>
                      <w:b w:val="0"/>
                      <w:bCs/>
                      <w:color w:val="auto"/>
                      <w:sz w:val="21"/>
                      <w:szCs w:val="21"/>
                      <w:highlight w:val="none"/>
                      <w:u w:val="none"/>
                      <w:lang w:val="en-US" w:eastAsia="zh-CN"/>
                    </w:rPr>
                    <w:t>项目危险物质存储量不超过临界量</w:t>
                  </w:r>
                </w:p>
              </w:tc>
              <w:tc>
                <w:tcPr>
                  <w:tcW w:w="475" w:type="pct"/>
                  <w:tcBorders>
                    <w:tl2br w:val="nil"/>
                    <w:tr2bl w:val="nil"/>
                  </w:tcBorders>
                  <w:noWrap w:val="0"/>
                  <w:vAlign w:val="center"/>
                </w:tcPr>
                <w:p w14:paraId="1FC864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2F8EF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4C2B48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生态</w:t>
                  </w:r>
                </w:p>
              </w:tc>
              <w:tc>
                <w:tcPr>
                  <w:tcW w:w="2325" w:type="pct"/>
                  <w:tcBorders>
                    <w:tl2br w:val="nil"/>
                    <w:tr2bl w:val="nil"/>
                  </w:tcBorders>
                  <w:noWrap w:val="0"/>
                  <w:vAlign w:val="center"/>
                </w:tcPr>
                <w:p w14:paraId="780787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取水口下游500米范围内有重要水生生物的自然产卵场、索饵场、越冬场和洄游通道的新增河道取水的污染类建设项目</w:t>
                  </w:r>
                </w:p>
              </w:tc>
              <w:tc>
                <w:tcPr>
                  <w:tcW w:w="1542" w:type="pct"/>
                  <w:tcBorders>
                    <w:tl2br w:val="nil"/>
                    <w:tr2bl w:val="nil"/>
                  </w:tcBorders>
                  <w:noWrap w:val="0"/>
                  <w:vAlign w:val="center"/>
                </w:tcPr>
                <w:p w14:paraId="3046D9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7ECB50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4B36C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6D58ED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海洋</w:t>
                  </w:r>
                </w:p>
              </w:tc>
              <w:tc>
                <w:tcPr>
                  <w:tcW w:w="2325" w:type="pct"/>
                  <w:tcBorders>
                    <w:tl2br w:val="nil"/>
                    <w:tr2bl w:val="nil"/>
                  </w:tcBorders>
                  <w:noWrap w:val="0"/>
                  <w:vAlign w:val="center"/>
                </w:tcPr>
                <w:p w14:paraId="5D6680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直接向海排放污染物的海洋工程建设项目</w:t>
                  </w:r>
                </w:p>
              </w:tc>
              <w:tc>
                <w:tcPr>
                  <w:tcW w:w="1542" w:type="pct"/>
                  <w:tcBorders>
                    <w:tl2br w:val="nil"/>
                    <w:tr2bl w:val="nil"/>
                  </w:tcBorders>
                  <w:noWrap w:val="0"/>
                  <w:vAlign w:val="center"/>
                </w:tcPr>
                <w:p w14:paraId="4508B4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1F7E2E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6DA4EF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6C7C83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地下水</w:t>
                  </w:r>
                </w:p>
              </w:tc>
              <w:tc>
                <w:tcPr>
                  <w:tcW w:w="2325" w:type="pct"/>
                  <w:tcBorders>
                    <w:tl2br w:val="nil"/>
                    <w:tr2bl w:val="nil"/>
                  </w:tcBorders>
                  <w:noWrap w:val="0"/>
                  <w:vAlign w:val="center"/>
                </w:tcPr>
                <w:p w14:paraId="7C1A5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涉及集中式饮用水水源和热水、矿泉水、温泉等特殊地下水资源保护区的建设项目</w:t>
                  </w:r>
                  <w:r>
                    <w:rPr>
                      <w:rFonts w:hint="eastAsia" w:cs="Times New Roman"/>
                      <w:b w:val="0"/>
                      <w:bCs/>
                      <w:color w:val="auto"/>
                      <w:sz w:val="21"/>
                      <w:szCs w:val="21"/>
                      <w:highlight w:val="none"/>
                      <w:u w:val="none"/>
                      <w:lang w:val="en-US" w:eastAsia="zh-CN"/>
                    </w:rPr>
                    <w:t>。</w:t>
                  </w:r>
                </w:p>
              </w:tc>
              <w:tc>
                <w:tcPr>
                  <w:tcW w:w="1542" w:type="pct"/>
                  <w:tcBorders>
                    <w:tl2br w:val="nil"/>
                    <w:tr2bl w:val="nil"/>
                  </w:tcBorders>
                  <w:noWrap w:val="0"/>
                  <w:vAlign w:val="center"/>
                </w:tcPr>
                <w:p w14:paraId="2290E0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36A05A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bl>
          <w:p w14:paraId="338C35E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highlight w:val="none"/>
                <w:lang w:val="en-US" w:eastAsia="zh-CN"/>
              </w:rPr>
              <w:t>根据表1-1，改</w:t>
            </w:r>
            <w:r>
              <w:rPr>
                <w:rFonts w:hint="eastAsia" w:cs="Times New Roman"/>
                <w:color w:val="auto"/>
                <w:sz w:val="24"/>
                <w:highlight w:val="none"/>
                <w:lang w:val="en-US" w:eastAsia="zh-CN"/>
              </w:rPr>
              <w:t>扩建</w:t>
            </w:r>
            <w:r>
              <w:rPr>
                <w:rFonts w:hint="default" w:ascii="Times New Roman" w:hAnsi="Times New Roman" w:eastAsia="宋体" w:cs="Times New Roman"/>
                <w:color w:val="auto"/>
                <w:sz w:val="24"/>
                <w:highlight w:val="none"/>
                <w:lang w:val="en-US" w:eastAsia="zh-CN"/>
              </w:rPr>
              <w:t>项目不涉及专项评价内容，故不设置专项评价。</w:t>
            </w:r>
          </w:p>
        </w:tc>
      </w:tr>
      <w:tr w14:paraId="61E6C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noWrap w:val="0"/>
            <w:vAlign w:val="center"/>
          </w:tcPr>
          <w:p w14:paraId="57DFDA46">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b/>
                <w:bCs/>
                <w:color w:val="auto"/>
                <w:sz w:val="24"/>
                <w:szCs w:val="24"/>
                <w:highlight w:val="none"/>
              </w:rPr>
              <w:t>规划情况</w:t>
            </w:r>
          </w:p>
        </w:tc>
        <w:tc>
          <w:tcPr>
            <w:tcW w:w="7121" w:type="dxa"/>
            <w:gridSpan w:val="3"/>
            <w:noWrap w:val="0"/>
            <w:vAlign w:val="center"/>
          </w:tcPr>
          <w:p w14:paraId="4BA0B961">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eastAsia" w:ascii="Times New Roman" w:hAnsi="Times New Roman" w:eastAsia="宋体" w:cs="Times New Roman"/>
                <w:smallCaps w:val="0"/>
                <w:color w:val="auto"/>
                <w:sz w:val="24"/>
                <w:highlight w:val="none"/>
                <w:lang w:val="en-US" w:eastAsia="zh-CN"/>
              </w:rPr>
              <w:t>规划名称：</w:t>
            </w:r>
            <w:r>
              <w:rPr>
                <w:rFonts w:hint="eastAsia" w:ascii="Times New Roman" w:hAnsi="Times New Roman" w:eastAsia="宋体" w:cs="Times New Roman"/>
                <w:smallCaps w:val="0"/>
                <w:color w:val="auto"/>
                <w:sz w:val="24"/>
                <w:highlight w:val="none"/>
              </w:rPr>
              <w:t>《高安市新技术产业园区调区规划》。</w:t>
            </w:r>
          </w:p>
          <w:p w14:paraId="739D2596">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eastAsia" w:ascii="Times New Roman" w:hAnsi="Times New Roman" w:eastAsia="宋体" w:cs="Times New Roman"/>
                <w:smallCaps w:val="0"/>
                <w:color w:val="auto"/>
                <w:sz w:val="24"/>
                <w:highlight w:val="none"/>
              </w:rPr>
              <w:t>审批机关：江西省人民政府。</w:t>
            </w:r>
          </w:p>
          <w:p w14:paraId="7D90D658">
            <w:pPr>
              <w:numPr>
                <w:ilvl w:val="0"/>
                <w:numId w:val="0"/>
              </w:numPr>
              <w:autoSpaceDE w:val="0"/>
              <w:autoSpaceDN w:val="0"/>
              <w:adjustRightInd w:val="0"/>
              <w:snapToGrid w:val="0"/>
              <w:spacing w:line="360" w:lineRule="auto"/>
              <w:ind w:firstLine="480" w:firstLineChars="200"/>
              <w:jc w:val="left"/>
              <w:rPr>
                <w:rFonts w:hint="default"/>
                <w:color w:val="auto"/>
                <w:lang w:eastAsia="zh-CN"/>
              </w:rPr>
            </w:pPr>
            <w:r>
              <w:rPr>
                <w:rFonts w:hint="eastAsia" w:ascii="Times New Roman" w:hAnsi="Times New Roman" w:eastAsia="宋体" w:cs="Times New Roman"/>
                <w:smallCaps w:val="0"/>
                <w:color w:val="auto"/>
                <w:sz w:val="24"/>
                <w:highlight w:val="none"/>
              </w:rPr>
              <w:t>审查文件文号及名称：赣府厅字</w:t>
            </w:r>
            <w:r>
              <w:rPr>
                <w:rFonts w:hint="eastAsia" w:ascii="宋体" w:hAnsi="宋体" w:eastAsia="宋体" w:cs="宋体"/>
                <w:smallCaps w:val="0"/>
                <w:color w:val="auto"/>
                <w:sz w:val="24"/>
                <w:highlight w:val="none"/>
              </w:rPr>
              <w:t>〔</w:t>
            </w:r>
            <w:r>
              <w:rPr>
                <w:rFonts w:hint="eastAsia" w:ascii="Times New Roman" w:hAnsi="Times New Roman" w:eastAsia="宋体" w:cs="Times New Roman"/>
                <w:smallCaps w:val="0"/>
                <w:color w:val="auto"/>
                <w:sz w:val="24"/>
                <w:highlight w:val="none"/>
              </w:rPr>
              <w:t>2024</w:t>
            </w:r>
            <w:r>
              <w:rPr>
                <w:rFonts w:hint="eastAsia" w:ascii="宋体" w:hAnsi="宋体" w:eastAsia="宋体" w:cs="宋体"/>
                <w:smallCaps w:val="0"/>
                <w:color w:val="auto"/>
                <w:sz w:val="24"/>
                <w:highlight w:val="none"/>
              </w:rPr>
              <w:t>〕</w:t>
            </w:r>
            <w:r>
              <w:rPr>
                <w:rFonts w:hint="eastAsia" w:ascii="Times New Roman" w:hAnsi="Times New Roman" w:eastAsia="宋体" w:cs="Times New Roman"/>
                <w:smallCaps w:val="0"/>
                <w:color w:val="auto"/>
                <w:sz w:val="24"/>
                <w:highlight w:val="none"/>
              </w:rPr>
              <w:t>32号。</w:t>
            </w:r>
          </w:p>
        </w:tc>
      </w:tr>
      <w:tr w14:paraId="67F82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8" w:hRule="atLeast"/>
          <w:jc w:val="center"/>
        </w:trPr>
        <w:tc>
          <w:tcPr>
            <w:tcW w:w="1778" w:type="dxa"/>
            <w:noWrap w:val="0"/>
            <w:vAlign w:val="center"/>
          </w:tcPr>
          <w:p w14:paraId="0A362BA4">
            <w:pPr>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sz w:val="24"/>
                <w:szCs w:val="24"/>
                <w:highlight w:val="none"/>
              </w:rPr>
              <w:t>规划环境影响评价情况</w:t>
            </w:r>
          </w:p>
        </w:tc>
        <w:tc>
          <w:tcPr>
            <w:tcW w:w="7121" w:type="dxa"/>
            <w:gridSpan w:val="3"/>
            <w:noWrap w:val="0"/>
            <w:vAlign w:val="center"/>
          </w:tcPr>
          <w:p w14:paraId="7733623A">
            <w:pPr>
              <w:numPr>
                <w:ilvl w:val="0"/>
                <w:numId w:val="0"/>
              </w:numPr>
              <w:autoSpaceDE w:val="0"/>
              <w:autoSpaceDN w:val="0"/>
              <w:adjustRightInd w:val="0"/>
              <w:snapToGrid w:val="0"/>
              <w:spacing w:line="360" w:lineRule="auto"/>
              <w:ind w:firstLine="480" w:firstLineChars="200"/>
              <w:jc w:val="left"/>
              <w:rPr>
                <w:rFonts w:hint="eastAsia" w:ascii="Times New Roman" w:hAnsi="Times New Roman" w:eastAsia="宋体" w:cs="Times New Roman"/>
                <w:smallCaps w:val="0"/>
                <w:color w:val="auto"/>
                <w:sz w:val="24"/>
                <w:highlight w:val="none"/>
                <w:lang w:eastAsia="zh-CN"/>
              </w:rPr>
            </w:pPr>
            <w:r>
              <w:rPr>
                <w:rFonts w:hint="default" w:ascii="Times New Roman" w:hAnsi="Times New Roman" w:eastAsia="宋体" w:cs="Times New Roman"/>
                <w:smallCaps w:val="0"/>
                <w:color w:val="auto"/>
                <w:sz w:val="24"/>
                <w:highlight w:val="none"/>
              </w:rPr>
              <w:t>规划环境影响评价名称：《江西高安高新技术产业园区扩区调区规划环境影响报告书》</w:t>
            </w:r>
            <w:r>
              <w:rPr>
                <w:rFonts w:hint="eastAsia" w:cs="Times New Roman"/>
                <w:smallCaps w:val="0"/>
                <w:color w:val="auto"/>
                <w:sz w:val="24"/>
                <w:highlight w:val="none"/>
                <w:lang w:eastAsia="zh-CN"/>
              </w:rPr>
              <w:t>。</w:t>
            </w:r>
          </w:p>
          <w:p w14:paraId="4788501D">
            <w:pPr>
              <w:numPr>
                <w:ilvl w:val="0"/>
                <w:numId w:val="0"/>
              </w:numPr>
              <w:autoSpaceDE w:val="0"/>
              <w:autoSpaceDN w:val="0"/>
              <w:adjustRightInd w:val="0"/>
              <w:snapToGrid w:val="0"/>
              <w:spacing w:line="360" w:lineRule="auto"/>
              <w:ind w:firstLine="480" w:firstLineChars="200"/>
              <w:jc w:val="left"/>
              <w:rPr>
                <w:rFonts w:hint="eastAsia" w:ascii="Times New Roman" w:hAnsi="Times New Roman" w:eastAsia="宋体" w:cs="Times New Roman"/>
                <w:smallCaps w:val="0"/>
                <w:color w:val="auto"/>
                <w:sz w:val="24"/>
                <w:highlight w:val="none"/>
                <w:lang w:eastAsia="zh-CN"/>
              </w:rPr>
            </w:pPr>
            <w:r>
              <w:rPr>
                <w:rFonts w:hint="default" w:ascii="Times New Roman" w:hAnsi="Times New Roman" w:eastAsia="宋体" w:cs="Times New Roman"/>
                <w:smallCaps w:val="0"/>
                <w:color w:val="auto"/>
                <w:sz w:val="24"/>
                <w:highlight w:val="none"/>
              </w:rPr>
              <w:t>召集审查机关：江西省生态环境厅</w:t>
            </w:r>
            <w:r>
              <w:rPr>
                <w:rFonts w:hint="eastAsia" w:cs="Times New Roman"/>
                <w:smallCaps w:val="0"/>
                <w:color w:val="auto"/>
                <w:sz w:val="24"/>
                <w:highlight w:val="none"/>
                <w:lang w:eastAsia="zh-CN"/>
              </w:rPr>
              <w:t>。</w:t>
            </w:r>
          </w:p>
          <w:p w14:paraId="366DB048">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smallCaps w:val="0"/>
                <w:color w:val="auto"/>
                <w:sz w:val="24"/>
                <w:highlight w:val="none"/>
              </w:rPr>
              <w:t>审查文件名称及文号：《江西省生态环境厅关于江西高安高新技术产业园区扩区调区规划环境影响报告书审查意见的函》（赣环环评函</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2024</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69号）。</w:t>
            </w:r>
          </w:p>
        </w:tc>
      </w:tr>
      <w:tr w14:paraId="3318A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1778" w:type="dxa"/>
            <w:noWrap w:val="0"/>
            <w:vAlign w:val="center"/>
          </w:tcPr>
          <w:p w14:paraId="6428186B">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规划及规划环境影响评价符合性分析</w:t>
            </w:r>
          </w:p>
        </w:tc>
        <w:tc>
          <w:tcPr>
            <w:tcW w:w="7121" w:type="dxa"/>
            <w:gridSpan w:val="3"/>
            <w:noWrap w:val="0"/>
            <w:vAlign w:val="center"/>
          </w:tcPr>
          <w:p w14:paraId="4D4FA58A">
            <w:pPr>
              <w:keepNext w:val="0"/>
              <w:keepLines w:val="0"/>
              <w:pageBreakBefore w:val="0"/>
              <w:widowControl w:val="0"/>
              <w:kinsoku/>
              <w:wordWrap/>
              <w:overflowPunct/>
              <w:topLinePunct w:val="0"/>
              <w:autoSpaceDE/>
              <w:autoSpaceDN/>
              <w:bidi w:val="0"/>
              <w:adjustRightInd w:val="0"/>
              <w:snapToGrid/>
              <w:spacing w:before="157" w:beforeLines="50" w:line="360" w:lineRule="auto"/>
              <w:contextualSpacing/>
              <w:jc w:val="both"/>
              <w:textAlignment w:val="auto"/>
              <w:rPr>
                <w:rFonts w:hint="default" w:ascii="Times New Roman" w:hAnsi="Times New Roman" w:eastAsia="宋体" w:cs="Times New Roman"/>
                <w:b/>
                <w:color w:val="auto"/>
                <w:sz w:val="24"/>
              </w:rPr>
            </w:pPr>
            <w:r>
              <w:rPr>
                <w:rFonts w:hint="default" w:ascii="Times New Roman" w:hAnsi="Times New Roman" w:cs="Times New Roman"/>
                <w:b/>
                <w:color w:val="auto"/>
                <w:sz w:val="24"/>
              </w:rPr>
              <w:t>1、与《高安高新技术产业园区调区</w:t>
            </w:r>
            <w:r>
              <w:rPr>
                <w:rFonts w:hint="default" w:ascii="Times New Roman" w:hAnsi="Times New Roman" w:eastAsia="宋体" w:cs="Times New Roman"/>
                <w:b/>
                <w:color w:val="auto"/>
                <w:sz w:val="24"/>
              </w:rPr>
              <w:t>规划》相符性分析</w:t>
            </w:r>
          </w:p>
          <w:p w14:paraId="6321E428">
            <w:pPr>
              <w:widowControl w:val="0"/>
              <w:adjustRightInd w:val="0"/>
              <w:spacing w:line="360" w:lineRule="auto"/>
              <w:ind w:firstLine="482" w:firstLineChars="200"/>
              <w:contextualSpacing/>
              <w:jc w:val="both"/>
              <w:rPr>
                <w:rFonts w:ascii="宋体" w:hAnsi="宋体" w:cs="宋体"/>
                <w:b/>
                <w:bCs/>
                <w:color w:val="auto"/>
                <w:sz w:val="24"/>
              </w:rPr>
            </w:pPr>
            <w:r>
              <w:rPr>
                <w:rFonts w:hint="eastAsia" w:ascii="Times New Roman" w:hAnsi="Times New Roman" w:eastAsia="宋体" w:cs="Times New Roman"/>
                <w:b/>
                <w:bCs/>
                <w:color w:val="auto"/>
                <w:sz w:val="24"/>
              </w:rPr>
              <w:t>（1）与江西高安高新技术产业园规</w:t>
            </w:r>
            <w:r>
              <w:rPr>
                <w:rFonts w:hint="eastAsia" w:ascii="宋体" w:hAnsi="宋体" w:cs="宋体"/>
                <w:b/>
                <w:bCs/>
                <w:color w:val="auto"/>
                <w:sz w:val="24"/>
              </w:rPr>
              <w:t>划相符性分析</w:t>
            </w:r>
          </w:p>
          <w:p w14:paraId="138809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江西高安工业园区中的新世纪产业园前身为新世纪工业城，江西省政府于2006年8月以赣府字〔2006〕17号文件批准其为省级工业园区，并更名</w:t>
            </w:r>
            <w:r>
              <w:rPr>
                <w:rFonts w:hint="eastAsia" w:ascii="宋体" w:hAnsi="宋体" w:eastAsia="宋体" w:cs="宋体"/>
                <w:color w:val="auto"/>
                <w:sz w:val="24"/>
                <w:highlight w:val="none"/>
                <w:lang w:eastAsia="zh-CN"/>
              </w:rPr>
              <w:t>为“江西高安工业园区”，</w:t>
            </w:r>
            <w:r>
              <w:rPr>
                <w:rFonts w:hint="default" w:ascii="Times New Roman" w:hAnsi="Times New Roman" w:eastAsia="宋体" w:cs="Times New Roman"/>
                <w:color w:val="auto"/>
                <w:sz w:val="24"/>
                <w:highlight w:val="none"/>
                <w:lang w:eastAsia="zh-CN"/>
              </w:rPr>
              <w:t>以机械、化工、医药为主导产业，原核准面积为566.67公顷，2007年9月，原江西省环境保护局以赣环督函〔2007〕276号出具规划环评审查意见。</w:t>
            </w:r>
          </w:p>
          <w:p w14:paraId="56528322">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2017年，园区管委会委托编制了《江西高安工业园区扩区调区规划环境影响报告书》，对江西高安工业园区进行扩区调区，将原核定的高安工业园区调扩</w:t>
            </w:r>
            <w:r>
              <w:rPr>
                <w:rFonts w:hint="eastAsia" w:ascii="宋体" w:hAnsi="宋体" w:eastAsia="宋体" w:cs="宋体"/>
                <w:color w:val="auto"/>
                <w:sz w:val="24"/>
                <w:highlight w:val="none"/>
                <w:lang w:eastAsia="zh-CN"/>
              </w:rPr>
              <w:t>为“一区二园”的</w:t>
            </w:r>
            <w:r>
              <w:rPr>
                <w:rFonts w:hint="default" w:ascii="Times New Roman" w:hAnsi="Times New Roman" w:eastAsia="宋体" w:cs="Times New Roman"/>
                <w:color w:val="auto"/>
                <w:sz w:val="24"/>
                <w:highlight w:val="none"/>
                <w:lang w:eastAsia="zh-CN"/>
              </w:rPr>
              <w:t>发展格局，即：新世纪产业园、建筑陶瓷产业园。扩区调区后，园区总规划面积为2693.38公顷，其中：原核定面积566.67公顷，调出地块土地面积为132.67公顷，保留区块面积为434公顷，调入扩大地块土地面积为2259.38公顷，形成以建筑陶瓷、绿色光源产业、高端装备制造（机械加工）为主导产业的工业发展布局，于2017年5月取得原江西省环境保护厅《关于江西高安工业园区扩区调区规划环境影响报告书审查意见的函》（赣环评函〔2017〕19号）。2017年7月，江西省人民政府以赣府厅字〔2017〕59号）文件批复，同意江西高安工业园区名字变更为</w:t>
            </w:r>
            <w:r>
              <w:rPr>
                <w:rFonts w:hint="eastAsia" w:ascii="宋体" w:hAnsi="宋体" w:eastAsia="宋体" w:cs="宋体"/>
                <w:color w:val="auto"/>
                <w:sz w:val="24"/>
                <w:highlight w:val="none"/>
                <w:lang w:eastAsia="zh-CN"/>
              </w:rPr>
              <w:t>“江西高安高新技术产业园区”</w:t>
            </w:r>
            <w:r>
              <w:rPr>
                <w:rFonts w:hint="default" w:ascii="Times New Roman" w:hAnsi="Times New Roman" w:eastAsia="宋体" w:cs="Times New Roman"/>
                <w:color w:val="auto"/>
                <w:sz w:val="24"/>
                <w:highlight w:val="none"/>
                <w:lang w:eastAsia="zh-CN"/>
              </w:rPr>
              <w:t>。2017年12月，江西省人民政府以赣府厅字〔2017〕145号函复同意扩区调区，园区面积1988.67公顷。</w:t>
            </w:r>
          </w:p>
          <w:p w14:paraId="3C86CA8D">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2020年8月，江西省发展和改革委</w:t>
            </w:r>
            <w:r>
              <w:rPr>
                <w:rFonts w:hint="eastAsia" w:ascii="宋体" w:hAnsi="宋体" w:eastAsia="宋体" w:cs="宋体"/>
                <w:color w:val="auto"/>
                <w:sz w:val="24"/>
                <w:highlight w:val="none"/>
                <w:lang w:eastAsia="zh-CN"/>
              </w:rPr>
              <w:t>以“江西省发展改革委关于同意高安高新技术产业园开展扩区前期工作的复函”同意</w:t>
            </w:r>
            <w:r>
              <w:rPr>
                <w:rFonts w:hint="default" w:ascii="Times New Roman" w:hAnsi="Times New Roman" w:eastAsia="宋体" w:cs="Times New Roman"/>
                <w:color w:val="auto"/>
                <w:sz w:val="24"/>
                <w:highlight w:val="none"/>
                <w:lang w:eastAsia="zh-CN"/>
              </w:rPr>
              <w:t>江西高安高新技术产业园开展扩区工作，扩区规划是在原规</w:t>
            </w:r>
            <w:r>
              <w:rPr>
                <w:rFonts w:hint="eastAsia" w:ascii="宋体" w:hAnsi="宋体" w:eastAsia="宋体" w:cs="宋体"/>
                <w:color w:val="auto"/>
                <w:sz w:val="24"/>
                <w:highlight w:val="none"/>
                <w:lang w:eastAsia="zh-CN"/>
              </w:rPr>
              <w:t>划“一区二园”基</w:t>
            </w:r>
            <w:r>
              <w:rPr>
                <w:rFonts w:hint="default" w:ascii="Times New Roman" w:hAnsi="Times New Roman" w:eastAsia="宋体" w:cs="Times New Roman"/>
                <w:color w:val="auto"/>
                <w:sz w:val="24"/>
                <w:highlight w:val="none"/>
                <w:lang w:eastAsia="zh-CN"/>
              </w:rPr>
              <w:t>础上，在高安市田南镇扩增1个地块作为建材环保产业园，扩区后形</w:t>
            </w:r>
            <w:r>
              <w:rPr>
                <w:rFonts w:hint="eastAsia" w:ascii="宋体" w:hAnsi="宋体" w:eastAsia="宋体" w:cs="宋体"/>
                <w:color w:val="auto"/>
                <w:sz w:val="24"/>
                <w:highlight w:val="none"/>
                <w:lang w:eastAsia="zh-CN"/>
              </w:rPr>
              <w:t>成“一区三园”的格</w:t>
            </w:r>
            <w:r>
              <w:rPr>
                <w:rFonts w:hint="default" w:ascii="Times New Roman" w:hAnsi="Times New Roman" w:eastAsia="宋体" w:cs="Times New Roman"/>
                <w:color w:val="auto"/>
                <w:sz w:val="24"/>
                <w:highlight w:val="none"/>
                <w:lang w:eastAsia="zh-CN"/>
              </w:rPr>
              <w:t>局，即新世纪产业园、建筑陶瓷产业园、建材环保产业园，2021年6月，《江西高安高新技术产业园扩区规划环境影响报告书》取得江西省生态环境厅审查意见（赣环环评函〔2021〕6号），总规划面积为 2722.59hm</w:t>
            </w:r>
            <w:r>
              <w:rPr>
                <w:rFonts w:hint="default" w:ascii="Times New Roman" w:hAnsi="Times New Roman" w:eastAsia="宋体" w:cs="Times New Roman"/>
                <w:color w:val="auto"/>
                <w:sz w:val="24"/>
                <w:highlight w:val="none"/>
                <w:vertAlign w:val="superscript"/>
                <w:lang w:eastAsia="zh-CN"/>
              </w:rPr>
              <w:t>2</w:t>
            </w:r>
            <w:r>
              <w:rPr>
                <w:rFonts w:hint="default" w:ascii="Times New Roman" w:hAnsi="Times New Roman" w:eastAsia="宋体" w:cs="Times New Roman"/>
                <w:color w:val="auto"/>
                <w:sz w:val="24"/>
                <w:highlight w:val="none"/>
                <w:lang w:eastAsia="zh-CN"/>
              </w:rPr>
              <w:t>。2021年8月，江西省人民政府以赣府厅字〔2021〕64号函复同意高安高新技术产业园调整区位，产业园区面积1988.67公顷。</w:t>
            </w:r>
          </w:p>
          <w:p w14:paraId="7CEE934D">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2023年4月，江西省发展和改革委</w:t>
            </w:r>
            <w:r>
              <w:rPr>
                <w:rFonts w:hint="eastAsia" w:ascii="宋体" w:hAnsi="宋体" w:eastAsia="宋体" w:cs="宋体"/>
                <w:color w:val="auto"/>
                <w:sz w:val="24"/>
                <w:highlight w:val="none"/>
                <w:lang w:eastAsia="zh-CN"/>
              </w:rPr>
              <w:t>以“江西省发展改革委关于同意高安高新技术产业园区开展扩区调区前期工作的复函”同</w:t>
            </w:r>
            <w:r>
              <w:rPr>
                <w:rFonts w:hint="default" w:ascii="Times New Roman" w:hAnsi="Times New Roman" w:eastAsia="宋体" w:cs="Times New Roman"/>
                <w:color w:val="auto"/>
                <w:sz w:val="24"/>
                <w:highlight w:val="none"/>
                <w:lang w:eastAsia="zh-CN"/>
              </w:rPr>
              <w:t>意江西高安高新技术产业园区开展扩区调区工作，支持高安高新技术产业园提升综合实力，拓展发展空间，优化产业布局，立足本地资源优势，做大做强新能源新材料、建筑陶瓷、机械装备智能制造等主导产业。</w:t>
            </w:r>
          </w:p>
          <w:p w14:paraId="374D5349">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高安高新技术产业园区本轮总规划面积为3896.47公顷，仍为一区三园格局，即新世纪产业园、建筑陶瓷产业园、建材环保产业园，其中新世纪产业园用地规模约1444.80公顷，建筑陶瓷产业园用地规模约2408.42公顷，建材环保产业园用地规模约43.25公顷。新世纪产业园包括工业园核心组团、杨家湖组团和祥符收费站组团，以高端装备制造、电子信息制造、新能源新材料为主导产业；建筑陶瓷产业园包括陶瓷基地核心组团、铁路沿线组团、南组团、胡家坊组团及西组团，以建筑陶瓷、新能源为主导产业；建材环保产业园规划建材水泥产业。</w:t>
            </w:r>
          </w:p>
          <w:p w14:paraId="73FEF065">
            <w:pPr>
              <w:numPr>
                <w:ilvl w:val="0"/>
                <w:numId w:val="5"/>
              </w:numPr>
              <w:adjustRightInd w:val="0"/>
              <w:snapToGrid w:val="0"/>
              <w:ind w:left="0" w:leftChars="0" w:firstLine="0"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江西高安高新技术产业园规划概况一览表</w:t>
            </w:r>
          </w:p>
          <w:tbl>
            <w:tblPr>
              <w:tblStyle w:val="34"/>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1814"/>
              <w:gridCol w:w="3307"/>
            </w:tblGrid>
            <w:tr w14:paraId="1D0169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9" w:type="pct"/>
                  <w:tcBorders>
                    <w:tl2br w:val="nil"/>
                    <w:tr2bl w:val="nil"/>
                  </w:tcBorders>
                  <w:vAlign w:val="center"/>
                </w:tcPr>
                <w:p w14:paraId="64FB184C">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分区名称</w:t>
                  </w:r>
                </w:p>
              </w:tc>
              <w:tc>
                <w:tcPr>
                  <w:tcW w:w="1314" w:type="pct"/>
                  <w:tcBorders>
                    <w:tl2br w:val="nil"/>
                    <w:tr2bl w:val="nil"/>
                  </w:tcBorders>
                  <w:vAlign w:val="center"/>
                </w:tcPr>
                <w:p w14:paraId="779D3B3F">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规划面积（hm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w:t>
                  </w:r>
                </w:p>
              </w:tc>
              <w:tc>
                <w:tcPr>
                  <w:tcW w:w="2396" w:type="pct"/>
                  <w:tcBorders>
                    <w:tl2br w:val="nil"/>
                    <w:tr2bl w:val="nil"/>
                  </w:tcBorders>
                  <w:vAlign w:val="center"/>
                </w:tcPr>
                <w:p w14:paraId="6699D0B3">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产业布局</w:t>
                  </w:r>
                </w:p>
              </w:tc>
            </w:tr>
            <w:tr w14:paraId="36ECC5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9" w:type="pct"/>
                  <w:tcBorders>
                    <w:tl2br w:val="nil"/>
                    <w:tr2bl w:val="nil"/>
                  </w:tcBorders>
                  <w:vAlign w:val="center"/>
                </w:tcPr>
                <w:p w14:paraId="58CE9B94">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新世纪产业园</w:t>
                  </w:r>
                </w:p>
              </w:tc>
              <w:tc>
                <w:tcPr>
                  <w:tcW w:w="1314" w:type="pct"/>
                  <w:tcBorders>
                    <w:tl2br w:val="nil"/>
                    <w:tr2bl w:val="nil"/>
                  </w:tcBorders>
                  <w:vAlign w:val="center"/>
                </w:tcPr>
                <w:p w14:paraId="79E26ED0">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1444.80</w:t>
                  </w:r>
                </w:p>
              </w:tc>
              <w:tc>
                <w:tcPr>
                  <w:tcW w:w="2396" w:type="pct"/>
                  <w:tcBorders>
                    <w:tl2br w:val="nil"/>
                    <w:tr2bl w:val="nil"/>
                  </w:tcBorders>
                  <w:vAlign w:val="center"/>
                </w:tcPr>
                <w:p w14:paraId="25B56F08">
                  <w:pPr>
                    <w:pStyle w:val="67"/>
                    <w:widowControl w:val="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绿色光源、食品加工、高端装备制造（机械加工）、纺织行业、配套服务产业等</w:t>
                  </w:r>
                  <w:r>
                    <w:rPr>
                      <w:rFonts w:hint="eastAsia" w:ascii="Times New Roman" w:hAnsi="Times New Roman" w:cs="Times New Roman"/>
                      <w:color w:val="auto"/>
                      <w:sz w:val="21"/>
                      <w:szCs w:val="21"/>
                      <w:lang w:eastAsia="zh-CN"/>
                    </w:rPr>
                    <w:t>。</w:t>
                  </w:r>
                </w:p>
              </w:tc>
            </w:tr>
            <w:tr w14:paraId="75732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9" w:type="pct"/>
                  <w:tcBorders>
                    <w:tl2br w:val="nil"/>
                    <w:tr2bl w:val="nil"/>
                  </w:tcBorders>
                  <w:vAlign w:val="center"/>
                </w:tcPr>
                <w:p w14:paraId="75DE7599">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建筑陶瓷产业园</w:t>
                  </w:r>
                </w:p>
              </w:tc>
              <w:tc>
                <w:tcPr>
                  <w:tcW w:w="1314" w:type="pct"/>
                  <w:tcBorders>
                    <w:tl2br w:val="nil"/>
                    <w:tr2bl w:val="nil"/>
                  </w:tcBorders>
                  <w:vAlign w:val="center"/>
                </w:tcPr>
                <w:p w14:paraId="47ABB36F">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2408.42</w:t>
                  </w:r>
                </w:p>
              </w:tc>
              <w:tc>
                <w:tcPr>
                  <w:tcW w:w="2396" w:type="pct"/>
                  <w:tcBorders>
                    <w:tl2br w:val="nil"/>
                    <w:tr2bl w:val="nil"/>
                  </w:tcBorders>
                  <w:vAlign w:val="center"/>
                </w:tcPr>
                <w:p w14:paraId="2230F3FB">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建筑陶瓷及其配套产业</w:t>
                  </w:r>
                </w:p>
              </w:tc>
            </w:tr>
            <w:tr w14:paraId="02A51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89" w:type="pct"/>
                  <w:tcBorders>
                    <w:tl2br w:val="nil"/>
                    <w:tr2bl w:val="nil"/>
                  </w:tcBorders>
                  <w:vAlign w:val="center"/>
                </w:tcPr>
                <w:p w14:paraId="3F65C1EF">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建材环保产业园</w:t>
                  </w:r>
                </w:p>
              </w:tc>
              <w:tc>
                <w:tcPr>
                  <w:tcW w:w="1314" w:type="pct"/>
                  <w:tcBorders>
                    <w:tl2br w:val="nil"/>
                    <w:tr2bl w:val="nil"/>
                  </w:tcBorders>
                  <w:vAlign w:val="center"/>
                </w:tcPr>
                <w:p w14:paraId="5952A1BB">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43.25</w:t>
                  </w:r>
                </w:p>
              </w:tc>
              <w:tc>
                <w:tcPr>
                  <w:tcW w:w="2396" w:type="pct"/>
                  <w:tcBorders>
                    <w:tl2br w:val="nil"/>
                    <w:tr2bl w:val="nil"/>
                  </w:tcBorders>
                  <w:vAlign w:val="center"/>
                </w:tcPr>
                <w:p w14:paraId="69E4C7EF">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建材水泥产业</w:t>
                  </w:r>
                </w:p>
              </w:tc>
            </w:tr>
            <w:tr w14:paraId="50CD8D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9" w:type="pct"/>
                  <w:tcBorders>
                    <w:tl2br w:val="nil"/>
                    <w:tr2bl w:val="nil"/>
                  </w:tcBorders>
                  <w:vAlign w:val="center"/>
                </w:tcPr>
                <w:p w14:paraId="25E49EB3">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合计</w:t>
                  </w:r>
                </w:p>
              </w:tc>
              <w:tc>
                <w:tcPr>
                  <w:tcW w:w="1314" w:type="pct"/>
                  <w:tcBorders>
                    <w:tl2br w:val="nil"/>
                    <w:tr2bl w:val="nil"/>
                  </w:tcBorders>
                  <w:vAlign w:val="center"/>
                </w:tcPr>
                <w:p w14:paraId="6EC5DA54">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3896.47</w:t>
                  </w:r>
                </w:p>
              </w:tc>
              <w:tc>
                <w:tcPr>
                  <w:tcW w:w="2396" w:type="pct"/>
                  <w:tcBorders>
                    <w:tl2br w:val="nil"/>
                    <w:tr2bl w:val="nil"/>
                  </w:tcBorders>
                  <w:vAlign w:val="center"/>
                </w:tcPr>
                <w:p w14:paraId="04D17EBE">
                  <w:pPr>
                    <w:pStyle w:val="67"/>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bl>
          <w:p w14:paraId="1B70CD19">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rPr>
              <w:t>本项目为</w:t>
            </w:r>
            <w:r>
              <w:rPr>
                <w:rFonts w:hint="eastAsia" w:cs="Times New Roman"/>
                <w:color w:val="auto"/>
                <w:sz w:val="24"/>
                <w:lang w:val="en-US" w:eastAsia="zh-CN"/>
              </w:rPr>
              <w:t>改扩建</w:t>
            </w:r>
            <w:r>
              <w:rPr>
                <w:rFonts w:hint="default" w:ascii="Times New Roman" w:hAnsi="Times New Roman" w:cs="Times New Roman"/>
                <w:color w:val="auto"/>
                <w:sz w:val="24"/>
              </w:rPr>
              <w:t>项目，项目利用企业现有厂房进行建设，不新增用地，产品属于</w:t>
            </w:r>
            <w:r>
              <w:rPr>
                <w:rFonts w:hint="default" w:ascii="Times New Roman" w:hAnsi="Times New Roman" w:cs="Times New Roman"/>
                <w:color w:val="auto"/>
                <w:sz w:val="24"/>
                <w:lang w:val="en-US" w:eastAsia="zh-CN"/>
              </w:rPr>
              <w:t>通用设备</w:t>
            </w:r>
            <w:r>
              <w:rPr>
                <w:rFonts w:hint="default" w:ascii="Times New Roman" w:hAnsi="Times New Roman" w:cs="Times New Roman"/>
                <w:color w:val="auto"/>
                <w:sz w:val="24"/>
              </w:rPr>
              <w:t>制造，</w:t>
            </w:r>
            <w:r>
              <w:rPr>
                <w:rFonts w:hint="default" w:ascii="Times New Roman" w:hAnsi="Times New Roman" w:cs="Times New Roman"/>
                <w:color w:val="auto"/>
                <w:sz w:val="24"/>
                <w:lang w:eastAsia="zh-CN"/>
              </w:rPr>
              <w:t>属于高端装备制造（机械加工），</w:t>
            </w:r>
            <w:r>
              <w:rPr>
                <w:rFonts w:hint="default" w:ascii="Times New Roman" w:hAnsi="Times New Roman" w:cs="Times New Roman"/>
                <w:color w:val="auto"/>
                <w:sz w:val="24"/>
              </w:rPr>
              <w:t>与园区规划</w:t>
            </w:r>
            <w:r>
              <w:rPr>
                <w:rFonts w:hint="default" w:ascii="Times New Roman" w:hAnsi="Times New Roman" w:cs="Times New Roman"/>
                <w:color w:val="auto"/>
                <w:sz w:val="24"/>
                <w:lang w:eastAsia="zh-CN"/>
              </w:rPr>
              <w:t>相符</w:t>
            </w:r>
            <w:r>
              <w:rPr>
                <w:rFonts w:hint="default" w:ascii="Times New Roman" w:hAnsi="Times New Roman" w:cs="Times New Roman"/>
                <w:color w:val="auto"/>
                <w:sz w:val="24"/>
              </w:rPr>
              <w:t>。综上所述，本项目建设符合《高安高新技术产业园区调区规划》要求。</w:t>
            </w:r>
          </w:p>
          <w:p w14:paraId="302D564F">
            <w:pPr>
              <w:widowControl w:val="0"/>
              <w:adjustRightInd w:val="0"/>
              <w:spacing w:line="360" w:lineRule="auto"/>
              <w:ind w:firstLine="482" w:firstLineChars="200"/>
              <w:contextualSpacing/>
              <w:jc w:val="both"/>
              <w:rPr>
                <w:rFonts w:hint="eastAsia" w:ascii="Times New Roman" w:hAnsi="Times New Roman" w:eastAsia="宋体" w:cs="Times New Roman"/>
                <w:b/>
                <w:bCs/>
                <w:color w:val="auto"/>
                <w:sz w:val="24"/>
              </w:rPr>
            </w:pPr>
            <w:r>
              <w:rPr>
                <w:rFonts w:hint="eastAsia" w:ascii="Times New Roman" w:hAnsi="Times New Roman" w:eastAsia="宋体" w:cs="Times New Roman"/>
                <w:b/>
                <w:bCs/>
                <w:color w:val="auto"/>
                <w:sz w:val="24"/>
              </w:rPr>
              <w:t>（2）与江西省人民政府办公厅关于同意上饶茶亭经济开发区扩区调区和高安高新技术产业园区调区的函相符性分析</w:t>
            </w:r>
          </w:p>
          <w:p w14:paraId="22B1EF2C">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一、同意上饶茶亭经济开发区扩区调区和高安高新技术产业园区调区。</w:t>
            </w:r>
          </w:p>
          <w:p w14:paraId="21AC15D1">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二、上饶茶亭经济开发区扩区调区后批准面积为1479.70公顷；高安高新技术产业园区调整部分区块后维持原批准面积1988.67公顷不变。扩区调区后的四至范围和界址点坐标由省自然资源厅落实。</w:t>
            </w:r>
          </w:p>
          <w:p w14:paraId="40C32980">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三、上饶茶亭经济开发区和高安高新技术产业园区要认真贯彻落实省委和省政府关于促进开发区改革创新发展以及深化开发区管理制度改革的实施意见精神，改革完善管理体制和运行机制，着力推进项目建设，培育壮大特色产业，完善配套服务功能，打造成为助推区域经济高质量发展的强引擎和增长极。必须严格实施国土空间总体规划、环境保护规划等相关规划，按程序履行用地报批手续，在节约集约利用土地资源的前提下进行建设。</w:t>
            </w:r>
          </w:p>
          <w:p w14:paraId="7760E826">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四、上饶市、宜春市政府要加强领导和管理，统筹推进城市和开发区规划、建设、治理，增强开发区综合功能，强化政策保障。要依法依规做好土地、林地征收征用和失地农民补偿安置工作，认真落实各项环境保护、安全生产和风险防范措施，严格保护耕地和永久基本农田，切实保护和节约水资源。</w:t>
            </w:r>
          </w:p>
          <w:p w14:paraId="4607D8E7">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五、省发展改革委要会同省直有关部门加强对上饶茶亭经济开发区和高安高新技术产业园区的指导服务和跟踪问效，推进开发区高质量发展。</w:t>
            </w:r>
          </w:p>
          <w:p w14:paraId="4AD1B4BC">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本项目为</w:t>
            </w:r>
            <w:r>
              <w:rPr>
                <w:rFonts w:hint="eastAsia" w:cs="Times New Roman"/>
                <w:color w:val="auto"/>
                <w:sz w:val="24"/>
                <w:szCs w:val="24"/>
                <w:highlight w:val="none"/>
                <w:lang w:val="en-US" w:eastAsia="zh-CN"/>
              </w:rPr>
              <w:t>C3453齿轮及齿轮减、变速箱制造</w:t>
            </w:r>
            <w:r>
              <w:rPr>
                <w:rFonts w:hint="eastAsia" w:ascii="Times New Roman" w:hAnsi="Times New Roman" w:eastAsia="宋体" w:cs="Times New Roman"/>
                <w:color w:val="auto"/>
                <w:sz w:val="24"/>
                <w:highlight w:val="none"/>
                <w:lang w:eastAsia="zh-CN"/>
              </w:rPr>
              <w:t>，选址位于江西高安高新技术产业园</w:t>
            </w:r>
            <w:r>
              <w:rPr>
                <w:rFonts w:hint="eastAsia" w:cs="Times New Roman"/>
                <w:color w:val="auto"/>
                <w:sz w:val="24"/>
                <w:highlight w:val="none"/>
                <w:lang w:val="en-US" w:eastAsia="zh-CN"/>
              </w:rPr>
              <w:t>区</w:t>
            </w:r>
            <w:r>
              <w:rPr>
                <w:rFonts w:hint="eastAsia" w:ascii="Times New Roman" w:hAnsi="Times New Roman" w:eastAsia="宋体" w:cs="Times New Roman"/>
                <w:color w:val="auto"/>
                <w:sz w:val="24"/>
                <w:highlight w:val="none"/>
                <w:lang w:eastAsia="zh-CN"/>
              </w:rPr>
              <w:t>新世纪</w:t>
            </w:r>
            <w:r>
              <w:rPr>
                <w:rFonts w:hint="eastAsia" w:cs="Times New Roman"/>
                <w:color w:val="auto"/>
                <w:sz w:val="24"/>
                <w:highlight w:val="none"/>
                <w:lang w:val="en-US" w:eastAsia="zh-CN"/>
              </w:rPr>
              <w:t>产</w:t>
            </w:r>
            <w:r>
              <w:rPr>
                <w:rFonts w:hint="eastAsia" w:ascii="Times New Roman" w:hAnsi="Times New Roman" w:eastAsia="宋体" w:cs="Times New Roman"/>
                <w:color w:val="auto"/>
                <w:sz w:val="24"/>
                <w:highlight w:val="none"/>
                <w:lang w:eastAsia="zh-CN"/>
              </w:rPr>
              <w:t>业园，属于园区主导产业，与园区规划相符。本项目符合国土空间总体规划、环境保护规划等相关规划，本项目生产用房均为依托现有，不新增用地，符合用地手续。</w:t>
            </w:r>
          </w:p>
          <w:p w14:paraId="3DA2731C">
            <w:pPr>
              <w:keepNext w:val="0"/>
              <w:keepLines w:val="0"/>
              <w:pageBreakBefore w:val="0"/>
              <w:widowControl w:val="0"/>
              <w:kinsoku/>
              <w:wordWrap/>
              <w:overflowPunct/>
              <w:topLinePunct w:val="0"/>
              <w:autoSpaceDE/>
              <w:autoSpaceDN/>
              <w:bidi w:val="0"/>
              <w:adjustRightInd w:val="0"/>
              <w:snapToGrid/>
              <w:spacing w:before="157" w:beforeLines="50" w:line="360" w:lineRule="auto"/>
              <w:contextualSpacing/>
              <w:jc w:val="both"/>
              <w:textAlignment w:val="auto"/>
              <w:rPr>
                <w:rFonts w:hint="default" w:ascii="Times New Roman" w:hAnsi="Times New Roman" w:eastAsia="宋体" w:cs="Times New Roman"/>
                <w:b/>
                <w:color w:val="auto"/>
                <w:sz w:val="24"/>
              </w:rPr>
            </w:pPr>
            <w:r>
              <w:rPr>
                <w:rFonts w:hint="eastAsia" w:ascii="Times New Roman" w:hAnsi="Times New Roman" w:eastAsia="宋体" w:cs="Times New Roman"/>
                <w:b/>
                <w:color w:val="auto"/>
                <w:sz w:val="24"/>
              </w:rPr>
              <w:t>2、与《江西高安高新技术产业园调区扩区规划环境影响报告书》相符性分析</w:t>
            </w:r>
          </w:p>
          <w:p w14:paraId="6748394B">
            <w:pPr>
              <w:spacing w:line="360" w:lineRule="auto"/>
              <w:ind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根据《江西高安高新技术产业园调区扩区规划环境影响报告书》，产业园设置了环境准入要求，本项目与其相符性分析见表1-</w:t>
            </w:r>
            <w:r>
              <w:rPr>
                <w:rFonts w:hint="eastAsia" w:ascii="Times New Roman" w:hAnsi="Times New Roman" w:eastAsia="宋体" w:cs="Times New Roman"/>
                <w:color w:val="auto"/>
                <w:sz w:val="24"/>
                <w:highlight w:val="none"/>
                <w:lang w:val="en-US" w:eastAsia="zh-CN"/>
              </w:rPr>
              <w:t>3</w:t>
            </w:r>
            <w:r>
              <w:rPr>
                <w:rFonts w:hint="eastAsia" w:ascii="Times New Roman" w:hAnsi="Times New Roman" w:eastAsia="宋体" w:cs="Times New Roman"/>
                <w:color w:val="auto"/>
                <w:sz w:val="24"/>
                <w:highlight w:val="none"/>
                <w:lang w:eastAsia="zh-CN"/>
              </w:rPr>
              <w:t>。</w:t>
            </w:r>
          </w:p>
          <w:p w14:paraId="430FB133">
            <w:pPr>
              <w:numPr>
                <w:ilvl w:val="0"/>
                <w:numId w:val="5"/>
              </w:numPr>
              <w:adjustRightInd w:val="0"/>
              <w:snapToGrid w:val="0"/>
              <w:ind w:left="0" w:leftChars="0" w:firstLine="0"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项目与江西高安高新技术产业园生态环境准入清单的相符性</w:t>
            </w:r>
          </w:p>
          <w:tbl>
            <w:tblPr>
              <w:tblStyle w:val="33"/>
              <w:tblW w:w="707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9"/>
              <w:gridCol w:w="891"/>
              <w:gridCol w:w="3723"/>
              <w:gridCol w:w="1301"/>
              <w:gridCol w:w="499"/>
            </w:tblGrid>
            <w:tr w14:paraId="580AE2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7" w:hRule="atLeast"/>
                <w:jc w:val="center"/>
              </w:trPr>
              <w:tc>
                <w:tcPr>
                  <w:tcW w:w="659" w:type="dxa"/>
                  <w:tcBorders>
                    <w:tl2br w:val="nil"/>
                    <w:tr2bl w:val="nil"/>
                  </w:tcBorders>
                  <w:vAlign w:val="center"/>
                </w:tcPr>
                <w:p w14:paraId="15591F13">
                  <w:pPr>
                    <w:pStyle w:val="155"/>
                    <w:spacing w:before="0"/>
                    <w:jc w:val="center"/>
                    <w:rPr>
                      <w:rFonts w:cs="Times New Roman"/>
                      <w:color w:val="auto"/>
                      <w:sz w:val="21"/>
                      <w:szCs w:val="21"/>
                    </w:rPr>
                  </w:pPr>
                  <w:r>
                    <w:rPr>
                      <w:rFonts w:cs="Times New Roman"/>
                      <w:color w:val="auto"/>
                      <w:sz w:val="21"/>
                      <w:szCs w:val="21"/>
                    </w:rPr>
                    <w:t>清单</w:t>
                  </w:r>
                </w:p>
                <w:p w14:paraId="2D765585">
                  <w:pPr>
                    <w:pStyle w:val="155"/>
                    <w:spacing w:before="0"/>
                    <w:jc w:val="center"/>
                    <w:rPr>
                      <w:rFonts w:cs="Times New Roman"/>
                      <w:color w:val="auto"/>
                      <w:sz w:val="21"/>
                      <w:szCs w:val="21"/>
                    </w:rPr>
                  </w:pPr>
                  <w:r>
                    <w:rPr>
                      <w:rFonts w:cs="Times New Roman"/>
                      <w:color w:val="auto"/>
                      <w:sz w:val="21"/>
                      <w:szCs w:val="21"/>
                    </w:rPr>
                    <w:t>维度</w:t>
                  </w:r>
                </w:p>
              </w:tc>
              <w:tc>
                <w:tcPr>
                  <w:tcW w:w="4614" w:type="dxa"/>
                  <w:gridSpan w:val="2"/>
                  <w:tcBorders>
                    <w:tl2br w:val="nil"/>
                    <w:tr2bl w:val="nil"/>
                  </w:tcBorders>
                  <w:vAlign w:val="center"/>
                </w:tcPr>
                <w:p w14:paraId="4239BE83">
                  <w:pPr>
                    <w:pStyle w:val="155"/>
                    <w:spacing w:before="0"/>
                    <w:rPr>
                      <w:rFonts w:cs="Times New Roman"/>
                      <w:color w:val="auto"/>
                      <w:sz w:val="21"/>
                      <w:szCs w:val="21"/>
                    </w:rPr>
                  </w:pPr>
                  <w:r>
                    <w:rPr>
                      <w:rFonts w:cs="Times New Roman"/>
                      <w:color w:val="auto"/>
                      <w:sz w:val="21"/>
                      <w:szCs w:val="21"/>
                    </w:rPr>
                    <w:t>准入内容</w:t>
                  </w:r>
                </w:p>
              </w:tc>
              <w:tc>
                <w:tcPr>
                  <w:tcW w:w="1301" w:type="dxa"/>
                  <w:tcBorders>
                    <w:tl2br w:val="nil"/>
                    <w:tr2bl w:val="nil"/>
                  </w:tcBorders>
                  <w:vAlign w:val="center"/>
                </w:tcPr>
                <w:p w14:paraId="22305DA3">
                  <w:pPr>
                    <w:pStyle w:val="155"/>
                    <w:spacing w:before="0"/>
                    <w:rPr>
                      <w:rFonts w:cs="Times New Roman"/>
                      <w:color w:val="auto"/>
                      <w:sz w:val="21"/>
                      <w:szCs w:val="21"/>
                    </w:rPr>
                  </w:pPr>
                  <w:r>
                    <w:rPr>
                      <w:rFonts w:cs="Times New Roman"/>
                      <w:color w:val="auto"/>
                      <w:sz w:val="21"/>
                      <w:szCs w:val="21"/>
                    </w:rPr>
                    <w:t>本项目情况</w:t>
                  </w:r>
                </w:p>
              </w:tc>
              <w:tc>
                <w:tcPr>
                  <w:tcW w:w="499" w:type="dxa"/>
                  <w:tcBorders>
                    <w:tl2br w:val="nil"/>
                    <w:tr2bl w:val="nil"/>
                  </w:tcBorders>
                  <w:vAlign w:val="center"/>
                </w:tcPr>
                <w:p w14:paraId="11B5F128">
                  <w:pPr>
                    <w:pStyle w:val="155"/>
                    <w:spacing w:before="0"/>
                    <w:rPr>
                      <w:rFonts w:cs="Times New Roman"/>
                      <w:color w:val="auto"/>
                      <w:sz w:val="21"/>
                      <w:szCs w:val="21"/>
                    </w:rPr>
                  </w:pPr>
                  <w:r>
                    <w:rPr>
                      <w:rFonts w:cs="Times New Roman"/>
                      <w:color w:val="auto"/>
                      <w:sz w:val="21"/>
                      <w:szCs w:val="21"/>
                    </w:rPr>
                    <w:t>相符性</w:t>
                  </w:r>
                </w:p>
              </w:tc>
            </w:tr>
            <w:tr w14:paraId="5FADE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76" w:hRule="atLeast"/>
                <w:jc w:val="center"/>
              </w:trPr>
              <w:tc>
                <w:tcPr>
                  <w:tcW w:w="659" w:type="dxa"/>
                  <w:tcBorders>
                    <w:tl2br w:val="nil"/>
                    <w:tr2bl w:val="nil"/>
                  </w:tcBorders>
                  <w:vAlign w:val="center"/>
                </w:tcPr>
                <w:p w14:paraId="225BE16A">
                  <w:pPr>
                    <w:pStyle w:val="155"/>
                    <w:spacing w:before="0"/>
                    <w:jc w:val="center"/>
                    <w:rPr>
                      <w:rFonts w:cs="Times New Roman"/>
                      <w:color w:val="auto"/>
                      <w:sz w:val="21"/>
                      <w:szCs w:val="21"/>
                    </w:rPr>
                  </w:pPr>
                  <w:r>
                    <w:rPr>
                      <w:rFonts w:cs="Times New Roman"/>
                      <w:color w:val="auto"/>
                      <w:sz w:val="21"/>
                      <w:szCs w:val="21"/>
                    </w:rPr>
                    <w:t>空间布局约束</w:t>
                  </w:r>
                </w:p>
              </w:tc>
              <w:tc>
                <w:tcPr>
                  <w:tcW w:w="4614" w:type="dxa"/>
                  <w:gridSpan w:val="2"/>
                  <w:tcBorders>
                    <w:tl2br w:val="nil"/>
                    <w:tr2bl w:val="nil"/>
                  </w:tcBorders>
                  <w:vAlign w:val="center"/>
                </w:tcPr>
                <w:p w14:paraId="520BF1A8">
                  <w:pPr>
                    <w:pStyle w:val="155"/>
                    <w:spacing w:before="0"/>
                    <w:jc w:val="left"/>
                    <w:rPr>
                      <w:rFonts w:cs="Times New Roman"/>
                      <w:color w:val="auto"/>
                      <w:sz w:val="21"/>
                      <w:szCs w:val="21"/>
                    </w:rPr>
                  </w:pPr>
                  <w:r>
                    <w:rPr>
                      <w:rFonts w:hint="eastAsia" w:cs="Times New Roman"/>
                      <w:color w:val="auto"/>
                      <w:sz w:val="21"/>
                      <w:szCs w:val="21"/>
                    </w:rPr>
                    <w:t>1、新世纪产业园祥符收费站组团地块占用的生态公益林面积未得到补偿和未调整土地功能前不得占用。</w:t>
                  </w:r>
                </w:p>
                <w:p w14:paraId="1F404993">
                  <w:pPr>
                    <w:pStyle w:val="155"/>
                    <w:spacing w:before="0"/>
                    <w:jc w:val="left"/>
                    <w:rPr>
                      <w:rFonts w:cs="Times New Roman"/>
                      <w:color w:val="auto"/>
                      <w:sz w:val="21"/>
                      <w:szCs w:val="21"/>
                    </w:rPr>
                  </w:pPr>
                  <w:r>
                    <w:rPr>
                      <w:rFonts w:hint="eastAsia" w:cs="Times New Roman"/>
                      <w:color w:val="auto"/>
                      <w:sz w:val="21"/>
                      <w:szCs w:val="21"/>
                    </w:rPr>
                    <w:t>2、新世纪产业园工业园核心组团距离锦江岸线1公里范围内禁止新建化工项目。</w:t>
                  </w:r>
                </w:p>
                <w:p w14:paraId="0F67141B">
                  <w:pPr>
                    <w:pStyle w:val="155"/>
                    <w:spacing w:before="0"/>
                    <w:jc w:val="left"/>
                    <w:rPr>
                      <w:rFonts w:cs="Times New Roman"/>
                      <w:color w:val="auto"/>
                      <w:sz w:val="21"/>
                      <w:szCs w:val="21"/>
                    </w:rPr>
                  </w:pPr>
                  <w:r>
                    <w:rPr>
                      <w:rFonts w:hint="eastAsia" w:cs="Times New Roman"/>
                      <w:color w:val="auto"/>
                      <w:sz w:val="21"/>
                      <w:szCs w:val="21"/>
                    </w:rPr>
                    <w:t>3、规划产业：</w:t>
                  </w:r>
                </w:p>
                <w:p w14:paraId="2E4B7170">
                  <w:pPr>
                    <w:pStyle w:val="155"/>
                    <w:spacing w:before="0"/>
                    <w:jc w:val="left"/>
                    <w:rPr>
                      <w:rFonts w:cs="Times New Roman"/>
                      <w:color w:val="auto"/>
                      <w:sz w:val="21"/>
                      <w:szCs w:val="21"/>
                    </w:rPr>
                  </w:pPr>
                  <w:r>
                    <w:rPr>
                      <w:rFonts w:hint="eastAsia" w:cs="Times New Roman"/>
                      <w:color w:val="auto"/>
                      <w:sz w:val="21"/>
                      <w:szCs w:val="21"/>
                    </w:rPr>
                    <w:t>一、高端装备制造</w:t>
                  </w:r>
                </w:p>
                <w:p w14:paraId="73AE0B49">
                  <w:pPr>
                    <w:pStyle w:val="155"/>
                    <w:spacing w:before="0"/>
                    <w:jc w:val="left"/>
                    <w:rPr>
                      <w:rFonts w:cs="Times New Roman"/>
                      <w:color w:val="auto"/>
                      <w:sz w:val="21"/>
                      <w:szCs w:val="21"/>
                    </w:rPr>
                  </w:pPr>
                  <w:r>
                    <w:rPr>
                      <w:rFonts w:hint="eastAsia" w:cs="Times New Roman"/>
                      <w:color w:val="auto"/>
                      <w:sz w:val="21"/>
                      <w:szCs w:val="21"/>
                    </w:rPr>
                    <w:t>新世纪产业园工业园核心组团、祥符收费站组团地块：选择性入园，不得新建涉五类重金属排放的含电镀工序的项目（配套工序的除外），严格控制企业废气无组织排放。</w:t>
                  </w:r>
                </w:p>
                <w:p w14:paraId="23347782">
                  <w:pPr>
                    <w:pStyle w:val="155"/>
                    <w:spacing w:before="0"/>
                    <w:jc w:val="left"/>
                    <w:rPr>
                      <w:rFonts w:cs="Times New Roman"/>
                      <w:color w:val="auto"/>
                      <w:sz w:val="21"/>
                      <w:szCs w:val="21"/>
                    </w:rPr>
                  </w:pPr>
                  <w:r>
                    <w:rPr>
                      <w:rFonts w:hint="eastAsia" w:cs="Times New Roman"/>
                      <w:color w:val="auto"/>
                      <w:sz w:val="21"/>
                      <w:szCs w:val="21"/>
                    </w:rPr>
                    <w:t>二、电子信息制造</w:t>
                  </w:r>
                </w:p>
                <w:p w14:paraId="3A00EB67">
                  <w:pPr>
                    <w:pStyle w:val="155"/>
                    <w:spacing w:before="0"/>
                    <w:jc w:val="left"/>
                    <w:rPr>
                      <w:rFonts w:cs="Times New Roman"/>
                      <w:color w:val="auto"/>
                      <w:sz w:val="21"/>
                      <w:szCs w:val="21"/>
                    </w:rPr>
                  </w:pPr>
                  <w:r>
                    <w:rPr>
                      <w:rFonts w:hint="eastAsia" w:cs="Times New Roman"/>
                      <w:color w:val="auto"/>
                      <w:sz w:val="21"/>
                      <w:szCs w:val="21"/>
                    </w:rPr>
                    <w:t>新世纪产业园工业园核心组团、杨家湖组团地块：不得新建涉五类重金属排放的以电镀加工为主的项目（配套工序的除外）：严格控制废水排放量大的线路板企业，线路板规模不突破园区原有环评批复规模，不新增废水排放量。</w:t>
                  </w:r>
                </w:p>
                <w:p w14:paraId="1C2A8641">
                  <w:pPr>
                    <w:pStyle w:val="155"/>
                    <w:spacing w:before="0"/>
                    <w:jc w:val="left"/>
                    <w:rPr>
                      <w:rFonts w:cs="Times New Roman"/>
                      <w:color w:val="auto"/>
                      <w:sz w:val="21"/>
                      <w:szCs w:val="21"/>
                    </w:rPr>
                  </w:pPr>
                  <w:r>
                    <w:rPr>
                      <w:rFonts w:hint="eastAsia" w:cs="Times New Roman"/>
                      <w:color w:val="auto"/>
                      <w:sz w:val="21"/>
                      <w:szCs w:val="21"/>
                    </w:rPr>
                    <w:t>三、新能源新材料</w:t>
                  </w:r>
                </w:p>
                <w:p w14:paraId="561A85A5">
                  <w:pPr>
                    <w:pStyle w:val="155"/>
                    <w:spacing w:before="0"/>
                    <w:jc w:val="left"/>
                    <w:rPr>
                      <w:rFonts w:cs="Times New Roman"/>
                      <w:color w:val="auto"/>
                      <w:sz w:val="21"/>
                      <w:szCs w:val="21"/>
                    </w:rPr>
                  </w:pPr>
                  <w:r>
                    <w:rPr>
                      <w:rFonts w:hint="eastAsia" w:cs="Times New Roman"/>
                      <w:color w:val="auto"/>
                      <w:sz w:val="21"/>
                      <w:szCs w:val="21"/>
                    </w:rPr>
                    <w:t>新世纪产业园工业园核心组团、杨家湖组团、祥符收费站组团地块：重点发展低污染、科技含量高的项目：严格控制新建污染较大的太阳能电池前端工序多晶硅或单晶硅生产；新世纪产业园不宜引进碳酸锂生产企业。</w:t>
                  </w:r>
                </w:p>
                <w:p w14:paraId="72DB9BD1">
                  <w:pPr>
                    <w:pStyle w:val="155"/>
                    <w:spacing w:before="0"/>
                    <w:jc w:val="left"/>
                    <w:rPr>
                      <w:rFonts w:cs="Times New Roman"/>
                      <w:color w:val="auto"/>
                      <w:sz w:val="21"/>
                      <w:szCs w:val="21"/>
                    </w:rPr>
                  </w:pPr>
                  <w:r>
                    <w:rPr>
                      <w:rFonts w:hint="eastAsia" w:cs="Times New Roman"/>
                      <w:color w:val="auto"/>
                      <w:sz w:val="21"/>
                      <w:szCs w:val="21"/>
                    </w:rPr>
                    <w:t>纺织行业</w:t>
                  </w:r>
                </w:p>
                <w:p w14:paraId="21F99658">
                  <w:pPr>
                    <w:pStyle w:val="155"/>
                    <w:spacing w:before="0"/>
                    <w:jc w:val="left"/>
                    <w:rPr>
                      <w:rFonts w:cs="Times New Roman"/>
                      <w:color w:val="auto"/>
                      <w:sz w:val="21"/>
                      <w:szCs w:val="21"/>
                    </w:rPr>
                  </w:pPr>
                  <w:r>
                    <w:rPr>
                      <w:rFonts w:hint="eastAsia" w:cs="Times New Roman"/>
                      <w:color w:val="auto"/>
                      <w:sz w:val="21"/>
                      <w:szCs w:val="21"/>
                    </w:rPr>
                    <w:t>新世纪产业园工业园核心组团地块：选择性入园，不得新建废水排放量大的湿法印花、染色、水洗等印染工艺的纺织项目。</w:t>
                  </w:r>
                </w:p>
                <w:p w14:paraId="351CC95B">
                  <w:pPr>
                    <w:pStyle w:val="155"/>
                    <w:spacing w:before="0"/>
                    <w:jc w:val="left"/>
                    <w:rPr>
                      <w:rFonts w:cs="Times New Roman"/>
                      <w:color w:val="auto"/>
                      <w:sz w:val="21"/>
                      <w:szCs w:val="21"/>
                    </w:rPr>
                  </w:pPr>
                  <w:r>
                    <w:rPr>
                      <w:rFonts w:hint="eastAsia" w:cs="Times New Roman"/>
                      <w:color w:val="auto"/>
                      <w:sz w:val="21"/>
                      <w:szCs w:val="21"/>
                    </w:rPr>
                    <w:t>其他</w:t>
                  </w:r>
                </w:p>
                <w:p w14:paraId="244288F4">
                  <w:pPr>
                    <w:pStyle w:val="155"/>
                    <w:spacing w:before="0"/>
                    <w:jc w:val="left"/>
                    <w:rPr>
                      <w:rFonts w:cs="Times New Roman"/>
                      <w:color w:val="auto"/>
                      <w:sz w:val="21"/>
                      <w:szCs w:val="21"/>
                    </w:rPr>
                  </w:pPr>
                  <w:r>
                    <w:rPr>
                      <w:rFonts w:hint="eastAsia" w:cs="Times New Roman"/>
                      <w:color w:val="auto"/>
                      <w:sz w:val="21"/>
                      <w:szCs w:val="21"/>
                    </w:rPr>
                    <w:t>新世纪产业园工业园核心组团位于高安市主导风向的上风向，建议调整土地利用性质，慎重引入大气污染型工业项目，引导园区朝规划产业方向发展，注重引入与周边企业相协调的企业。限制废水排放量大的项目入园。产业园区今后不得新引进化工、皮革、冶炼等企业，现有化工、皮革、冶炼等企业优化改造升级，提高清洁生产水平或强化污染防治措施，确保不新增污染物，有条件的情况下适时启动现有化工、皮革、冶炼等企业的搬迁。</w:t>
                  </w:r>
                </w:p>
                <w:p w14:paraId="14E4F8A2">
                  <w:pPr>
                    <w:pStyle w:val="155"/>
                    <w:spacing w:before="0"/>
                    <w:jc w:val="left"/>
                    <w:rPr>
                      <w:rFonts w:cs="Times New Roman"/>
                      <w:color w:val="auto"/>
                      <w:sz w:val="21"/>
                      <w:szCs w:val="21"/>
                    </w:rPr>
                  </w:pPr>
                </w:p>
              </w:tc>
              <w:tc>
                <w:tcPr>
                  <w:tcW w:w="1301" w:type="dxa"/>
                  <w:tcBorders>
                    <w:tl2br w:val="nil"/>
                    <w:tr2bl w:val="nil"/>
                  </w:tcBorders>
                  <w:noWrap/>
                  <w:vAlign w:val="center"/>
                </w:tcPr>
                <w:p w14:paraId="72C6EB2B">
                  <w:pPr>
                    <w:pStyle w:val="155"/>
                    <w:spacing w:before="0"/>
                    <w:jc w:val="left"/>
                    <w:rPr>
                      <w:rFonts w:cs="Times New Roman"/>
                      <w:color w:val="auto"/>
                      <w:sz w:val="21"/>
                      <w:szCs w:val="21"/>
                    </w:rPr>
                  </w:pPr>
                  <w:r>
                    <w:rPr>
                      <w:rFonts w:hint="eastAsia" w:cs="Times New Roman"/>
                      <w:color w:val="auto"/>
                      <w:sz w:val="21"/>
                      <w:szCs w:val="21"/>
                    </w:rPr>
                    <w:t>本项目位于新世纪产业园核心组团，</w:t>
                  </w:r>
                  <w:r>
                    <w:rPr>
                      <w:rFonts w:cs="Times New Roman"/>
                      <w:color w:val="auto"/>
                      <w:sz w:val="21"/>
                      <w:szCs w:val="21"/>
                    </w:rPr>
                    <w:t>本项目为</w:t>
                  </w:r>
                  <w:r>
                    <w:rPr>
                      <w:rFonts w:hint="eastAsia" w:cs="Times New Roman"/>
                      <w:color w:val="auto"/>
                      <w:sz w:val="21"/>
                      <w:szCs w:val="21"/>
                      <w:lang w:eastAsia="zh-CN"/>
                    </w:rPr>
                    <w:t>齿轮及齿轮减、变速箱制造</w:t>
                  </w:r>
                  <w:r>
                    <w:rPr>
                      <w:rFonts w:hint="eastAsia" w:cs="Times New Roman"/>
                      <w:color w:val="auto"/>
                      <w:sz w:val="21"/>
                      <w:szCs w:val="21"/>
                    </w:rPr>
                    <w:t>，</w:t>
                  </w:r>
                  <w:r>
                    <w:rPr>
                      <w:rFonts w:hint="eastAsia" w:cs="Times New Roman"/>
                      <w:color w:val="auto"/>
                      <w:sz w:val="21"/>
                      <w:szCs w:val="21"/>
                      <w:lang w:val="en-US" w:eastAsia="zh-CN"/>
                    </w:rPr>
                    <w:t>不属于化工项目，</w:t>
                  </w:r>
                  <w:r>
                    <w:rPr>
                      <w:rFonts w:hint="eastAsia" w:cs="Times New Roman"/>
                      <w:color w:val="auto"/>
                      <w:sz w:val="21"/>
                      <w:szCs w:val="21"/>
                    </w:rPr>
                    <w:t>属于规划产业中的其他</w:t>
                  </w:r>
                  <w:r>
                    <w:rPr>
                      <w:rFonts w:hint="eastAsia" w:cs="Times New Roman"/>
                      <w:color w:val="auto"/>
                      <w:sz w:val="21"/>
                      <w:szCs w:val="21"/>
                      <w:lang w:eastAsia="zh-CN"/>
                    </w:rPr>
                    <w:t>。</w:t>
                  </w:r>
                </w:p>
                <w:p w14:paraId="5AC493CA">
                  <w:pPr>
                    <w:pStyle w:val="155"/>
                    <w:spacing w:before="0"/>
                    <w:jc w:val="left"/>
                    <w:rPr>
                      <w:rFonts w:cs="Times New Roman"/>
                      <w:color w:val="auto"/>
                      <w:sz w:val="21"/>
                      <w:szCs w:val="21"/>
                    </w:rPr>
                  </w:pPr>
                  <w:r>
                    <w:rPr>
                      <w:rFonts w:hint="eastAsia" w:cs="Times New Roman"/>
                      <w:color w:val="auto"/>
                      <w:sz w:val="21"/>
                      <w:szCs w:val="21"/>
                    </w:rPr>
                    <w:t>本项目不属于</w:t>
                  </w:r>
                  <w:r>
                    <w:rPr>
                      <w:rFonts w:cs="Times New Roman"/>
                      <w:color w:val="auto"/>
                      <w:sz w:val="21"/>
                      <w:szCs w:val="21"/>
                    </w:rPr>
                    <w:t>限制入园的产业类型</w:t>
                  </w:r>
                  <w:r>
                    <w:rPr>
                      <w:rFonts w:hint="eastAsia" w:cs="Times New Roman"/>
                      <w:color w:val="auto"/>
                      <w:sz w:val="21"/>
                      <w:szCs w:val="21"/>
                    </w:rPr>
                    <w:t>；</w:t>
                  </w:r>
                </w:p>
                <w:p w14:paraId="18D598AB">
                  <w:pPr>
                    <w:pStyle w:val="155"/>
                    <w:spacing w:before="0"/>
                    <w:jc w:val="left"/>
                    <w:rPr>
                      <w:rFonts w:hint="eastAsia" w:eastAsia="宋体" w:cs="Times New Roman"/>
                      <w:color w:val="auto"/>
                      <w:sz w:val="21"/>
                      <w:szCs w:val="21"/>
                      <w:lang w:eastAsia="zh-CN"/>
                    </w:rPr>
                  </w:pPr>
                  <w:r>
                    <w:rPr>
                      <w:rFonts w:hint="eastAsia" w:cs="Times New Roman"/>
                      <w:color w:val="0000FF"/>
                      <w:sz w:val="21"/>
                      <w:szCs w:val="21"/>
                    </w:rPr>
                    <w:t>本项目为</w:t>
                  </w:r>
                  <w:r>
                    <w:rPr>
                      <w:rFonts w:hint="eastAsia" w:cs="Times New Roman"/>
                      <w:color w:val="0000FF"/>
                      <w:sz w:val="21"/>
                      <w:szCs w:val="21"/>
                      <w:lang w:eastAsia="zh-CN"/>
                    </w:rPr>
                    <w:t>齿轮及齿轮减、变速箱制造</w:t>
                  </w:r>
                  <w:r>
                    <w:rPr>
                      <w:rFonts w:hint="eastAsia" w:cs="Times New Roman"/>
                      <w:color w:val="0000FF"/>
                      <w:sz w:val="21"/>
                      <w:szCs w:val="21"/>
                    </w:rPr>
                    <w:t>项目，不属于化工、皮革、冶炼企业</w:t>
                  </w:r>
                  <w:r>
                    <w:rPr>
                      <w:rFonts w:hint="eastAsia" w:cs="Times New Roman"/>
                      <w:color w:val="0000FF"/>
                      <w:sz w:val="21"/>
                      <w:szCs w:val="21"/>
                      <w:lang w:eastAsia="zh-CN"/>
                    </w:rPr>
                    <w:t>。</w:t>
                  </w:r>
                </w:p>
              </w:tc>
              <w:tc>
                <w:tcPr>
                  <w:tcW w:w="499" w:type="dxa"/>
                  <w:tcBorders>
                    <w:tl2br w:val="nil"/>
                    <w:tr2bl w:val="nil"/>
                  </w:tcBorders>
                  <w:noWrap/>
                  <w:vAlign w:val="center"/>
                </w:tcPr>
                <w:p w14:paraId="10998E44">
                  <w:pPr>
                    <w:pStyle w:val="155"/>
                    <w:spacing w:before="0"/>
                    <w:jc w:val="center"/>
                    <w:rPr>
                      <w:rFonts w:cs="Times New Roman"/>
                      <w:color w:val="auto"/>
                      <w:sz w:val="21"/>
                      <w:szCs w:val="21"/>
                    </w:rPr>
                  </w:pPr>
                  <w:r>
                    <w:rPr>
                      <w:rFonts w:cs="Times New Roman"/>
                      <w:color w:val="auto"/>
                      <w:sz w:val="21"/>
                      <w:szCs w:val="21"/>
                    </w:rPr>
                    <w:t>符合</w:t>
                  </w:r>
                </w:p>
              </w:tc>
            </w:tr>
            <w:tr w14:paraId="4E3C5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69" w:hRule="atLeast"/>
                <w:jc w:val="center"/>
              </w:trPr>
              <w:tc>
                <w:tcPr>
                  <w:tcW w:w="659" w:type="dxa"/>
                  <w:vMerge w:val="restart"/>
                  <w:tcBorders>
                    <w:tl2br w:val="nil"/>
                    <w:tr2bl w:val="nil"/>
                  </w:tcBorders>
                  <w:vAlign w:val="center"/>
                </w:tcPr>
                <w:p w14:paraId="0A5EBDE6">
                  <w:pPr>
                    <w:pStyle w:val="155"/>
                    <w:spacing w:before="0"/>
                    <w:jc w:val="center"/>
                    <w:rPr>
                      <w:rFonts w:cs="Times New Roman"/>
                      <w:color w:val="auto"/>
                      <w:sz w:val="21"/>
                      <w:szCs w:val="21"/>
                    </w:rPr>
                  </w:pPr>
                  <w:r>
                    <w:rPr>
                      <w:rFonts w:cs="Times New Roman"/>
                      <w:color w:val="auto"/>
                      <w:sz w:val="21"/>
                      <w:szCs w:val="21"/>
                    </w:rPr>
                    <w:t>污染物排放管控</w:t>
                  </w:r>
                </w:p>
              </w:tc>
              <w:tc>
                <w:tcPr>
                  <w:tcW w:w="891" w:type="dxa"/>
                  <w:tcBorders>
                    <w:tl2br w:val="nil"/>
                    <w:tr2bl w:val="nil"/>
                  </w:tcBorders>
                  <w:vAlign w:val="center"/>
                </w:tcPr>
                <w:p w14:paraId="5B86F669">
                  <w:pPr>
                    <w:pStyle w:val="155"/>
                    <w:spacing w:before="0"/>
                    <w:jc w:val="center"/>
                    <w:rPr>
                      <w:rFonts w:cs="Times New Roman"/>
                      <w:color w:val="auto"/>
                      <w:sz w:val="21"/>
                      <w:szCs w:val="21"/>
                    </w:rPr>
                  </w:pPr>
                  <w:r>
                    <w:rPr>
                      <w:rFonts w:hint="eastAsia" w:cs="Times New Roman"/>
                      <w:color w:val="auto"/>
                      <w:sz w:val="21"/>
                      <w:szCs w:val="21"/>
                    </w:rPr>
                    <w:t>现有资源提标升级改造</w:t>
                  </w:r>
                </w:p>
              </w:tc>
              <w:tc>
                <w:tcPr>
                  <w:tcW w:w="3723" w:type="dxa"/>
                  <w:tcBorders>
                    <w:tl2br w:val="nil"/>
                    <w:tr2bl w:val="nil"/>
                  </w:tcBorders>
                  <w:vAlign w:val="center"/>
                </w:tcPr>
                <w:p w14:paraId="129DC822">
                  <w:pPr>
                    <w:pStyle w:val="155"/>
                    <w:spacing w:before="0"/>
                    <w:jc w:val="left"/>
                    <w:rPr>
                      <w:rFonts w:cs="Times New Roman"/>
                      <w:color w:val="auto"/>
                      <w:sz w:val="21"/>
                      <w:szCs w:val="21"/>
                    </w:rPr>
                  </w:pPr>
                  <w:r>
                    <w:rPr>
                      <w:rFonts w:hint="eastAsia" w:cs="Times New Roman"/>
                      <w:color w:val="auto"/>
                      <w:sz w:val="21"/>
                      <w:szCs w:val="21"/>
                    </w:rPr>
                    <w:t>现有企业提标改造或转型升级，不断提高清洁生产水平。</w:t>
                  </w:r>
                </w:p>
              </w:tc>
              <w:tc>
                <w:tcPr>
                  <w:tcW w:w="1301" w:type="dxa"/>
                  <w:tcBorders>
                    <w:tl2br w:val="nil"/>
                    <w:tr2bl w:val="nil"/>
                  </w:tcBorders>
                  <w:noWrap/>
                  <w:vAlign w:val="center"/>
                </w:tcPr>
                <w:p w14:paraId="36D84D35">
                  <w:pPr>
                    <w:pStyle w:val="155"/>
                    <w:spacing w:before="0"/>
                    <w:jc w:val="left"/>
                    <w:rPr>
                      <w:rFonts w:cs="Times New Roman"/>
                      <w:color w:val="auto"/>
                      <w:sz w:val="21"/>
                      <w:szCs w:val="21"/>
                    </w:rPr>
                  </w:pPr>
                  <w:r>
                    <w:rPr>
                      <w:rFonts w:hint="eastAsia" w:cs="Times New Roman"/>
                      <w:color w:val="auto"/>
                      <w:sz w:val="21"/>
                      <w:szCs w:val="21"/>
                    </w:rPr>
                    <w:t>本项目不涉及</w:t>
                  </w:r>
                </w:p>
              </w:tc>
              <w:tc>
                <w:tcPr>
                  <w:tcW w:w="499" w:type="dxa"/>
                  <w:tcBorders>
                    <w:tl2br w:val="nil"/>
                    <w:tr2bl w:val="nil"/>
                  </w:tcBorders>
                  <w:noWrap/>
                  <w:vAlign w:val="center"/>
                </w:tcPr>
                <w:p w14:paraId="66395A3C">
                  <w:pPr>
                    <w:pStyle w:val="155"/>
                    <w:spacing w:before="0"/>
                    <w:jc w:val="center"/>
                    <w:rPr>
                      <w:rFonts w:cs="Times New Roman"/>
                      <w:color w:val="auto"/>
                      <w:sz w:val="21"/>
                      <w:szCs w:val="21"/>
                    </w:rPr>
                  </w:pPr>
                  <w:r>
                    <w:rPr>
                      <w:rFonts w:cs="Times New Roman"/>
                      <w:color w:val="auto"/>
                      <w:sz w:val="21"/>
                      <w:szCs w:val="21"/>
                    </w:rPr>
                    <w:t>符合</w:t>
                  </w:r>
                </w:p>
              </w:tc>
            </w:tr>
            <w:tr w14:paraId="45E91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24" w:hRule="atLeast"/>
                <w:jc w:val="center"/>
              </w:trPr>
              <w:tc>
                <w:tcPr>
                  <w:tcW w:w="659" w:type="dxa"/>
                  <w:vMerge w:val="continue"/>
                  <w:tcBorders>
                    <w:tl2br w:val="nil"/>
                    <w:tr2bl w:val="nil"/>
                  </w:tcBorders>
                  <w:vAlign w:val="center"/>
                </w:tcPr>
                <w:p w14:paraId="49B83BE7">
                  <w:pPr>
                    <w:pStyle w:val="155"/>
                    <w:spacing w:before="0"/>
                    <w:jc w:val="center"/>
                    <w:rPr>
                      <w:rFonts w:cs="Times New Roman"/>
                      <w:color w:val="auto"/>
                      <w:sz w:val="21"/>
                      <w:szCs w:val="21"/>
                    </w:rPr>
                  </w:pPr>
                </w:p>
              </w:tc>
              <w:tc>
                <w:tcPr>
                  <w:tcW w:w="891" w:type="dxa"/>
                  <w:tcBorders>
                    <w:tl2br w:val="nil"/>
                    <w:tr2bl w:val="nil"/>
                  </w:tcBorders>
                  <w:vAlign w:val="center"/>
                </w:tcPr>
                <w:p w14:paraId="004255AC">
                  <w:pPr>
                    <w:pStyle w:val="155"/>
                    <w:spacing w:before="0"/>
                    <w:jc w:val="center"/>
                    <w:rPr>
                      <w:rFonts w:cs="Times New Roman"/>
                      <w:color w:val="auto"/>
                      <w:sz w:val="21"/>
                      <w:szCs w:val="21"/>
                    </w:rPr>
                  </w:pPr>
                  <w:r>
                    <w:rPr>
                      <w:rFonts w:hint="eastAsia" w:cs="Times New Roman"/>
                      <w:color w:val="auto"/>
                      <w:sz w:val="21"/>
                      <w:szCs w:val="21"/>
                    </w:rPr>
                    <w:t>新增源等量或倍量替代</w:t>
                  </w:r>
                </w:p>
              </w:tc>
              <w:tc>
                <w:tcPr>
                  <w:tcW w:w="3723" w:type="dxa"/>
                  <w:tcBorders>
                    <w:tl2br w:val="nil"/>
                    <w:tr2bl w:val="nil"/>
                  </w:tcBorders>
                  <w:vAlign w:val="center"/>
                </w:tcPr>
                <w:p w14:paraId="62F67A51">
                  <w:pPr>
                    <w:pStyle w:val="155"/>
                    <w:spacing w:before="0"/>
                    <w:jc w:val="left"/>
                    <w:rPr>
                      <w:rFonts w:cs="Times New Roman"/>
                      <w:color w:val="auto"/>
                      <w:sz w:val="21"/>
                      <w:szCs w:val="21"/>
                    </w:rPr>
                  </w:pPr>
                  <w:r>
                    <w:rPr>
                      <w:rFonts w:hint="eastAsia" w:cs="Times New Roman"/>
                      <w:color w:val="auto"/>
                      <w:sz w:val="21"/>
                      <w:szCs w:val="21"/>
                    </w:rPr>
                    <w:t>区域环境治理达标，新建、改扩建项目保证区域环境治理维持基本稳定；新建、扩建、改建项目污染物排放量符合总量控制指标要求。2025年，氮氧化物、挥发性有机物、化学需氧量、氨氮重点工程减排量分别达到“十四五”减排目标。</w:t>
                  </w:r>
                </w:p>
              </w:tc>
              <w:tc>
                <w:tcPr>
                  <w:tcW w:w="1301" w:type="dxa"/>
                  <w:tcBorders>
                    <w:tl2br w:val="nil"/>
                    <w:tr2bl w:val="nil"/>
                  </w:tcBorders>
                  <w:noWrap/>
                  <w:vAlign w:val="center"/>
                </w:tcPr>
                <w:p w14:paraId="1AB43516">
                  <w:pPr>
                    <w:pStyle w:val="155"/>
                    <w:spacing w:before="0"/>
                    <w:jc w:val="left"/>
                    <w:rPr>
                      <w:rFonts w:hint="eastAsia" w:cs="Times New Roman"/>
                      <w:color w:val="auto"/>
                      <w:sz w:val="21"/>
                      <w:szCs w:val="21"/>
                    </w:rPr>
                  </w:pPr>
                  <w:r>
                    <w:rPr>
                      <w:rFonts w:hint="eastAsia" w:cs="Times New Roman"/>
                      <w:color w:val="auto"/>
                      <w:sz w:val="21"/>
                      <w:szCs w:val="21"/>
                    </w:rPr>
                    <w:t>本项目氨氮、化学需氧量、挥发性有机物排放总量符合总量控制指标要求。</w:t>
                  </w:r>
                </w:p>
              </w:tc>
              <w:tc>
                <w:tcPr>
                  <w:tcW w:w="499" w:type="dxa"/>
                  <w:tcBorders>
                    <w:tl2br w:val="nil"/>
                    <w:tr2bl w:val="nil"/>
                  </w:tcBorders>
                  <w:noWrap/>
                  <w:vAlign w:val="center"/>
                </w:tcPr>
                <w:p w14:paraId="1C8D7000">
                  <w:pPr>
                    <w:pStyle w:val="155"/>
                    <w:spacing w:before="0"/>
                    <w:jc w:val="center"/>
                    <w:rPr>
                      <w:rFonts w:cs="Times New Roman"/>
                      <w:color w:val="auto"/>
                      <w:sz w:val="21"/>
                      <w:szCs w:val="21"/>
                    </w:rPr>
                  </w:pPr>
                  <w:r>
                    <w:rPr>
                      <w:rFonts w:hint="eastAsia" w:cs="Times New Roman"/>
                      <w:color w:val="auto"/>
                      <w:sz w:val="21"/>
                      <w:szCs w:val="21"/>
                    </w:rPr>
                    <w:t>符合</w:t>
                  </w:r>
                </w:p>
              </w:tc>
            </w:tr>
            <w:tr w14:paraId="5A45CF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24" w:hRule="atLeast"/>
                <w:jc w:val="center"/>
              </w:trPr>
              <w:tc>
                <w:tcPr>
                  <w:tcW w:w="659" w:type="dxa"/>
                  <w:vMerge w:val="continue"/>
                  <w:tcBorders>
                    <w:tl2br w:val="nil"/>
                    <w:tr2bl w:val="nil"/>
                  </w:tcBorders>
                  <w:vAlign w:val="center"/>
                </w:tcPr>
                <w:p w14:paraId="257848C5">
                  <w:pPr>
                    <w:pStyle w:val="155"/>
                    <w:spacing w:before="0"/>
                    <w:jc w:val="center"/>
                    <w:rPr>
                      <w:rFonts w:cs="Times New Roman"/>
                      <w:color w:val="auto"/>
                      <w:sz w:val="21"/>
                      <w:szCs w:val="21"/>
                    </w:rPr>
                  </w:pPr>
                </w:p>
              </w:tc>
              <w:tc>
                <w:tcPr>
                  <w:tcW w:w="891" w:type="dxa"/>
                  <w:tcBorders>
                    <w:tl2br w:val="nil"/>
                    <w:tr2bl w:val="nil"/>
                  </w:tcBorders>
                  <w:vAlign w:val="center"/>
                </w:tcPr>
                <w:p w14:paraId="3C897FCF">
                  <w:pPr>
                    <w:pStyle w:val="155"/>
                    <w:spacing w:before="0"/>
                    <w:jc w:val="center"/>
                    <w:rPr>
                      <w:rFonts w:cs="Times New Roman"/>
                      <w:color w:val="auto"/>
                      <w:sz w:val="21"/>
                      <w:szCs w:val="21"/>
                    </w:rPr>
                  </w:pPr>
                  <w:r>
                    <w:rPr>
                      <w:rFonts w:hint="eastAsia" w:cs="Times New Roman"/>
                      <w:color w:val="auto"/>
                      <w:sz w:val="21"/>
                      <w:szCs w:val="21"/>
                    </w:rPr>
                    <w:t>新增源排放标准限值</w:t>
                  </w:r>
                </w:p>
              </w:tc>
              <w:tc>
                <w:tcPr>
                  <w:tcW w:w="3723" w:type="dxa"/>
                  <w:tcBorders>
                    <w:tl2br w:val="nil"/>
                    <w:tr2bl w:val="nil"/>
                  </w:tcBorders>
                  <w:vAlign w:val="center"/>
                </w:tcPr>
                <w:p w14:paraId="18A4B119">
                  <w:pPr>
                    <w:pStyle w:val="155"/>
                    <w:spacing w:before="0"/>
                    <w:jc w:val="left"/>
                    <w:rPr>
                      <w:rFonts w:cs="Times New Roman"/>
                      <w:color w:val="auto"/>
                      <w:sz w:val="21"/>
                      <w:szCs w:val="21"/>
                    </w:rPr>
                  </w:pPr>
                  <w:r>
                    <w:rPr>
                      <w:rFonts w:hint="eastAsia" w:cs="Times New Roman"/>
                      <w:color w:val="auto"/>
                      <w:sz w:val="21"/>
                      <w:szCs w:val="21"/>
                    </w:rPr>
                    <w:t>新建、改建、扩建排放废水的项目，废水必须经预处理达到园区污水处理厂接管要求，其中一类污染物需在车间或污染治理设施排放口处达标；新建、改建、扩建污水集中处理设施的出水水质应当达到《城镇污水处理厂污染物排放标准》一级A标准。</w:t>
                  </w:r>
                </w:p>
                <w:p w14:paraId="3B5305CA">
                  <w:pPr>
                    <w:pStyle w:val="155"/>
                    <w:spacing w:before="0"/>
                    <w:jc w:val="left"/>
                    <w:rPr>
                      <w:rFonts w:cs="Times New Roman"/>
                      <w:color w:val="auto"/>
                      <w:sz w:val="21"/>
                      <w:szCs w:val="21"/>
                    </w:rPr>
                  </w:pPr>
                  <w:r>
                    <w:rPr>
                      <w:rFonts w:hint="eastAsia" w:cs="Times New Roman"/>
                      <w:color w:val="auto"/>
                      <w:sz w:val="21"/>
                      <w:szCs w:val="21"/>
                    </w:rPr>
                    <w:t>严格控制五类重金属外排。</w:t>
                  </w:r>
                </w:p>
              </w:tc>
              <w:tc>
                <w:tcPr>
                  <w:tcW w:w="1301" w:type="dxa"/>
                  <w:tcBorders>
                    <w:tl2br w:val="nil"/>
                    <w:tr2bl w:val="nil"/>
                  </w:tcBorders>
                  <w:noWrap/>
                  <w:vAlign w:val="center"/>
                </w:tcPr>
                <w:p w14:paraId="5E83A951">
                  <w:pPr>
                    <w:pStyle w:val="155"/>
                    <w:spacing w:before="0"/>
                    <w:jc w:val="left"/>
                    <w:rPr>
                      <w:rFonts w:cs="Times New Roman"/>
                      <w:color w:val="auto"/>
                      <w:sz w:val="21"/>
                      <w:szCs w:val="21"/>
                    </w:rPr>
                  </w:pPr>
                  <w:r>
                    <w:rPr>
                      <w:rFonts w:hint="eastAsia" w:cs="Times New Roman"/>
                      <w:color w:val="auto"/>
                      <w:sz w:val="21"/>
                      <w:szCs w:val="21"/>
                    </w:rPr>
                    <w:t>本项目生活污水经</w:t>
                  </w:r>
                  <w:r>
                    <w:rPr>
                      <w:rFonts w:hint="eastAsia" w:cs="Times New Roman"/>
                      <w:color w:val="auto"/>
                      <w:sz w:val="21"/>
                      <w:szCs w:val="21"/>
                      <w:lang w:eastAsia="zh-CN"/>
                    </w:rPr>
                    <w:t>隔油池+化粪池预处理</w:t>
                  </w:r>
                  <w:r>
                    <w:rPr>
                      <w:rFonts w:hint="eastAsia" w:cs="Times New Roman"/>
                      <w:color w:val="auto"/>
                      <w:sz w:val="21"/>
                      <w:szCs w:val="21"/>
                    </w:rPr>
                    <w:t>后达到高安市工业园污水处理厂污染物接管标准要求</w:t>
                  </w:r>
                </w:p>
              </w:tc>
              <w:tc>
                <w:tcPr>
                  <w:tcW w:w="499" w:type="dxa"/>
                  <w:tcBorders>
                    <w:tl2br w:val="nil"/>
                    <w:tr2bl w:val="nil"/>
                  </w:tcBorders>
                  <w:noWrap/>
                  <w:vAlign w:val="center"/>
                </w:tcPr>
                <w:p w14:paraId="22276D3D">
                  <w:pPr>
                    <w:pStyle w:val="155"/>
                    <w:spacing w:before="0"/>
                    <w:jc w:val="center"/>
                    <w:rPr>
                      <w:rFonts w:cs="Times New Roman"/>
                      <w:color w:val="auto"/>
                      <w:sz w:val="21"/>
                      <w:szCs w:val="21"/>
                    </w:rPr>
                  </w:pPr>
                  <w:r>
                    <w:rPr>
                      <w:rFonts w:hint="eastAsia" w:cs="Times New Roman"/>
                      <w:color w:val="auto"/>
                      <w:sz w:val="21"/>
                      <w:szCs w:val="21"/>
                    </w:rPr>
                    <w:t>符合</w:t>
                  </w:r>
                </w:p>
              </w:tc>
            </w:tr>
            <w:tr w14:paraId="5BB125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76" w:hRule="atLeast"/>
                <w:jc w:val="center"/>
              </w:trPr>
              <w:tc>
                <w:tcPr>
                  <w:tcW w:w="659" w:type="dxa"/>
                  <w:vMerge w:val="continue"/>
                  <w:tcBorders>
                    <w:tl2br w:val="nil"/>
                    <w:tr2bl w:val="nil"/>
                  </w:tcBorders>
                  <w:vAlign w:val="center"/>
                </w:tcPr>
                <w:p w14:paraId="47540AA1">
                  <w:pPr>
                    <w:pStyle w:val="155"/>
                    <w:spacing w:before="0"/>
                    <w:jc w:val="center"/>
                    <w:rPr>
                      <w:rFonts w:cs="Times New Roman"/>
                      <w:color w:val="auto"/>
                      <w:sz w:val="21"/>
                      <w:szCs w:val="21"/>
                    </w:rPr>
                  </w:pPr>
                </w:p>
              </w:tc>
              <w:tc>
                <w:tcPr>
                  <w:tcW w:w="891" w:type="dxa"/>
                  <w:tcBorders>
                    <w:tl2br w:val="nil"/>
                    <w:tr2bl w:val="nil"/>
                  </w:tcBorders>
                  <w:vAlign w:val="center"/>
                </w:tcPr>
                <w:p w14:paraId="198DDFD2">
                  <w:pPr>
                    <w:pStyle w:val="155"/>
                    <w:spacing w:before="0"/>
                    <w:jc w:val="center"/>
                    <w:rPr>
                      <w:rFonts w:cs="Times New Roman"/>
                      <w:color w:val="auto"/>
                      <w:sz w:val="21"/>
                      <w:szCs w:val="21"/>
                    </w:rPr>
                  </w:pPr>
                  <w:r>
                    <w:rPr>
                      <w:rFonts w:hint="eastAsia" w:cs="Times New Roman"/>
                      <w:color w:val="auto"/>
                      <w:sz w:val="21"/>
                      <w:szCs w:val="21"/>
                    </w:rPr>
                    <w:t>污染物排放绩效水平准入要求</w:t>
                  </w:r>
                </w:p>
              </w:tc>
              <w:tc>
                <w:tcPr>
                  <w:tcW w:w="3723" w:type="dxa"/>
                  <w:tcBorders>
                    <w:tl2br w:val="nil"/>
                    <w:tr2bl w:val="nil"/>
                  </w:tcBorders>
                  <w:vAlign w:val="center"/>
                </w:tcPr>
                <w:p w14:paraId="23F217CB">
                  <w:pPr>
                    <w:pStyle w:val="155"/>
                    <w:spacing w:before="0"/>
                    <w:jc w:val="left"/>
                    <w:rPr>
                      <w:rFonts w:cs="Times New Roman"/>
                      <w:color w:val="auto"/>
                      <w:sz w:val="21"/>
                      <w:szCs w:val="21"/>
                    </w:rPr>
                  </w:pPr>
                  <w:r>
                    <w:rPr>
                      <w:rFonts w:hint="eastAsia" w:cs="Times New Roman"/>
                      <w:color w:val="auto"/>
                      <w:sz w:val="21"/>
                      <w:szCs w:val="21"/>
                    </w:rPr>
                    <w:t>污染物排放应达到相应排放标准，污染物排放绩效水平应达到良好水平。</w:t>
                  </w:r>
                </w:p>
                <w:p w14:paraId="21F3E036">
                  <w:pPr>
                    <w:pStyle w:val="155"/>
                    <w:spacing w:before="0"/>
                    <w:jc w:val="left"/>
                    <w:rPr>
                      <w:rFonts w:cs="Times New Roman"/>
                      <w:color w:val="auto"/>
                      <w:sz w:val="21"/>
                      <w:szCs w:val="21"/>
                    </w:rPr>
                  </w:pPr>
                  <w:r>
                    <w:rPr>
                      <w:rFonts w:hint="eastAsia" w:cs="Times New Roman"/>
                      <w:color w:val="auto"/>
                      <w:sz w:val="21"/>
                      <w:szCs w:val="21"/>
                    </w:rPr>
                    <w:t>水泥企业废气排放执行《水泥工业大气污染物排放标准》（GB4915-2013）表2中污染物特别排放限值。</w:t>
                  </w:r>
                </w:p>
              </w:tc>
              <w:tc>
                <w:tcPr>
                  <w:tcW w:w="1301" w:type="dxa"/>
                  <w:tcBorders>
                    <w:tl2br w:val="nil"/>
                    <w:tr2bl w:val="nil"/>
                  </w:tcBorders>
                  <w:noWrap/>
                  <w:vAlign w:val="center"/>
                </w:tcPr>
                <w:p w14:paraId="1C550349">
                  <w:pPr>
                    <w:pStyle w:val="155"/>
                    <w:spacing w:before="0"/>
                    <w:jc w:val="left"/>
                    <w:rPr>
                      <w:rFonts w:cs="Times New Roman"/>
                      <w:color w:val="auto"/>
                      <w:sz w:val="21"/>
                      <w:szCs w:val="21"/>
                    </w:rPr>
                  </w:pPr>
                  <w:r>
                    <w:rPr>
                      <w:rFonts w:hint="eastAsia" w:cs="Times New Roman"/>
                      <w:color w:val="auto"/>
                      <w:sz w:val="21"/>
                      <w:szCs w:val="21"/>
                    </w:rPr>
                    <w:t>本项目污染物经处理均达标排放</w:t>
                  </w:r>
                </w:p>
              </w:tc>
              <w:tc>
                <w:tcPr>
                  <w:tcW w:w="499" w:type="dxa"/>
                  <w:tcBorders>
                    <w:tl2br w:val="nil"/>
                    <w:tr2bl w:val="nil"/>
                  </w:tcBorders>
                  <w:noWrap/>
                  <w:vAlign w:val="center"/>
                </w:tcPr>
                <w:p w14:paraId="25708D5D">
                  <w:pPr>
                    <w:pStyle w:val="155"/>
                    <w:spacing w:before="0"/>
                    <w:jc w:val="center"/>
                    <w:rPr>
                      <w:rFonts w:cs="Times New Roman"/>
                      <w:color w:val="auto"/>
                      <w:sz w:val="21"/>
                      <w:szCs w:val="21"/>
                    </w:rPr>
                  </w:pPr>
                  <w:r>
                    <w:rPr>
                      <w:rFonts w:hint="eastAsia" w:cs="Times New Roman"/>
                      <w:color w:val="auto"/>
                      <w:sz w:val="21"/>
                      <w:szCs w:val="21"/>
                    </w:rPr>
                    <w:t>符合</w:t>
                  </w:r>
                </w:p>
              </w:tc>
            </w:tr>
            <w:tr w14:paraId="2C047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27" w:hRule="atLeast"/>
                <w:jc w:val="center"/>
              </w:trPr>
              <w:tc>
                <w:tcPr>
                  <w:tcW w:w="659" w:type="dxa"/>
                  <w:vMerge w:val="restart"/>
                  <w:tcBorders>
                    <w:tl2br w:val="nil"/>
                    <w:tr2bl w:val="nil"/>
                  </w:tcBorders>
                  <w:vAlign w:val="center"/>
                </w:tcPr>
                <w:p w14:paraId="0AD3DF04">
                  <w:pPr>
                    <w:pStyle w:val="155"/>
                    <w:spacing w:before="0"/>
                    <w:jc w:val="center"/>
                    <w:rPr>
                      <w:rFonts w:cs="Times New Roman"/>
                      <w:color w:val="auto"/>
                      <w:sz w:val="21"/>
                      <w:szCs w:val="21"/>
                    </w:rPr>
                  </w:pPr>
                  <w:r>
                    <w:rPr>
                      <w:rFonts w:cs="Times New Roman"/>
                      <w:color w:val="auto"/>
                      <w:sz w:val="21"/>
                      <w:szCs w:val="21"/>
                    </w:rPr>
                    <w:t>环境风险防控</w:t>
                  </w:r>
                </w:p>
              </w:tc>
              <w:tc>
                <w:tcPr>
                  <w:tcW w:w="891" w:type="dxa"/>
                  <w:tcBorders>
                    <w:tl2br w:val="nil"/>
                    <w:tr2bl w:val="nil"/>
                  </w:tcBorders>
                  <w:vAlign w:val="center"/>
                </w:tcPr>
                <w:p w14:paraId="052B9771">
                  <w:pPr>
                    <w:pStyle w:val="155"/>
                    <w:spacing w:before="0"/>
                    <w:jc w:val="center"/>
                    <w:rPr>
                      <w:rFonts w:cs="Times New Roman"/>
                      <w:color w:val="auto"/>
                      <w:sz w:val="21"/>
                      <w:szCs w:val="21"/>
                    </w:rPr>
                  </w:pPr>
                  <w:r>
                    <w:rPr>
                      <w:rFonts w:hint="eastAsia" w:cs="Times New Roman"/>
                      <w:color w:val="auto"/>
                      <w:sz w:val="21"/>
                      <w:szCs w:val="21"/>
                    </w:rPr>
                    <w:t>用地环境风险防控要求</w:t>
                  </w:r>
                </w:p>
              </w:tc>
              <w:tc>
                <w:tcPr>
                  <w:tcW w:w="3723" w:type="dxa"/>
                  <w:tcBorders>
                    <w:tl2br w:val="nil"/>
                    <w:tr2bl w:val="nil"/>
                  </w:tcBorders>
                  <w:vAlign w:val="center"/>
                </w:tcPr>
                <w:p w14:paraId="5C9F72E0">
                  <w:pPr>
                    <w:pStyle w:val="155"/>
                    <w:spacing w:before="0"/>
                    <w:jc w:val="left"/>
                    <w:rPr>
                      <w:rFonts w:cs="Times New Roman"/>
                      <w:color w:val="auto"/>
                      <w:sz w:val="21"/>
                      <w:szCs w:val="21"/>
                    </w:rPr>
                  </w:pPr>
                  <w:r>
                    <w:rPr>
                      <w:rFonts w:hint="eastAsia" w:cs="Times New Roman"/>
                      <w:color w:val="auto"/>
                      <w:sz w:val="21"/>
                      <w:szCs w:val="21"/>
                    </w:rPr>
                    <w:t>区内部门紧邻规划居住用地等环境敏感目标的工业用地，严格限制设计使用毒化学品的企业进入。</w:t>
                  </w:r>
                </w:p>
              </w:tc>
              <w:tc>
                <w:tcPr>
                  <w:tcW w:w="1301" w:type="dxa"/>
                  <w:tcBorders>
                    <w:tl2br w:val="nil"/>
                    <w:tr2bl w:val="nil"/>
                  </w:tcBorders>
                  <w:noWrap/>
                  <w:vAlign w:val="center"/>
                </w:tcPr>
                <w:p w14:paraId="00F585CC">
                  <w:pPr>
                    <w:pStyle w:val="155"/>
                    <w:spacing w:before="0"/>
                    <w:jc w:val="left"/>
                    <w:rPr>
                      <w:rFonts w:cs="Times New Roman"/>
                      <w:color w:val="auto"/>
                      <w:sz w:val="21"/>
                      <w:szCs w:val="21"/>
                    </w:rPr>
                  </w:pPr>
                  <w:r>
                    <w:rPr>
                      <w:rFonts w:hint="eastAsia" w:cs="Times New Roman"/>
                      <w:color w:val="auto"/>
                      <w:sz w:val="21"/>
                      <w:szCs w:val="21"/>
                    </w:rPr>
                    <w:t>本项目不涉及</w:t>
                  </w:r>
                </w:p>
              </w:tc>
              <w:tc>
                <w:tcPr>
                  <w:tcW w:w="499" w:type="dxa"/>
                  <w:tcBorders>
                    <w:tl2br w:val="nil"/>
                    <w:tr2bl w:val="nil"/>
                  </w:tcBorders>
                  <w:noWrap/>
                  <w:vAlign w:val="center"/>
                </w:tcPr>
                <w:p w14:paraId="58B3D61E">
                  <w:pPr>
                    <w:pStyle w:val="155"/>
                    <w:spacing w:before="0"/>
                    <w:jc w:val="center"/>
                    <w:rPr>
                      <w:rFonts w:cs="Times New Roman"/>
                      <w:color w:val="auto"/>
                      <w:sz w:val="21"/>
                      <w:szCs w:val="21"/>
                    </w:rPr>
                  </w:pPr>
                  <w:r>
                    <w:rPr>
                      <w:rFonts w:cs="Times New Roman"/>
                      <w:color w:val="auto"/>
                      <w:sz w:val="21"/>
                      <w:szCs w:val="21"/>
                    </w:rPr>
                    <w:t>符合</w:t>
                  </w:r>
                </w:p>
              </w:tc>
            </w:tr>
            <w:tr w14:paraId="1C5C7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83" w:hRule="atLeast"/>
                <w:jc w:val="center"/>
              </w:trPr>
              <w:tc>
                <w:tcPr>
                  <w:tcW w:w="659" w:type="dxa"/>
                  <w:vMerge w:val="continue"/>
                  <w:tcBorders>
                    <w:tl2br w:val="nil"/>
                    <w:tr2bl w:val="nil"/>
                  </w:tcBorders>
                  <w:vAlign w:val="center"/>
                </w:tcPr>
                <w:p w14:paraId="5FE95632">
                  <w:pPr>
                    <w:pStyle w:val="155"/>
                    <w:spacing w:before="0"/>
                    <w:jc w:val="center"/>
                    <w:rPr>
                      <w:rFonts w:cs="Times New Roman"/>
                      <w:color w:val="auto"/>
                      <w:sz w:val="21"/>
                      <w:szCs w:val="21"/>
                    </w:rPr>
                  </w:pPr>
                </w:p>
              </w:tc>
              <w:tc>
                <w:tcPr>
                  <w:tcW w:w="891" w:type="dxa"/>
                  <w:tcBorders>
                    <w:tl2br w:val="nil"/>
                    <w:tr2bl w:val="nil"/>
                  </w:tcBorders>
                  <w:vAlign w:val="center"/>
                </w:tcPr>
                <w:p w14:paraId="4202D430">
                  <w:pPr>
                    <w:pStyle w:val="155"/>
                    <w:spacing w:before="0"/>
                    <w:jc w:val="center"/>
                    <w:rPr>
                      <w:rFonts w:cs="Times New Roman"/>
                      <w:color w:val="auto"/>
                      <w:sz w:val="21"/>
                      <w:szCs w:val="21"/>
                    </w:rPr>
                  </w:pPr>
                  <w:r>
                    <w:rPr>
                      <w:rFonts w:hint="eastAsia" w:cs="Times New Roman"/>
                      <w:color w:val="auto"/>
                      <w:sz w:val="21"/>
                      <w:szCs w:val="21"/>
                    </w:rPr>
                    <w:t>园区环境风险防控要求</w:t>
                  </w:r>
                </w:p>
              </w:tc>
              <w:tc>
                <w:tcPr>
                  <w:tcW w:w="3723" w:type="dxa"/>
                  <w:tcBorders>
                    <w:tl2br w:val="nil"/>
                    <w:tr2bl w:val="nil"/>
                  </w:tcBorders>
                  <w:vAlign w:val="center"/>
                </w:tcPr>
                <w:p w14:paraId="29C519D0">
                  <w:pPr>
                    <w:pStyle w:val="155"/>
                    <w:spacing w:before="0"/>
                    <w:jc w:val="left"/>
                    <w:rPr>
                      <w:rFonts w:cs="Times New Roman"/>
                      <w:color w:val="auto"/>
                      <w:sz w:val="21"/>
                      <w:szCs w:val="21"/>
                    </w:rPr>
                  </w:pPr>
                  <w:r>
                    <w:rPr>
                      <w:rFonts w:hint="eastAsia" w:cs="Times New Roman"/>
                      <w:color w:val="auto"/>
                      <w:sz w:val="21"/>
                      <w:szCs w:val="21"/>
                    </w:rPr>
                    <w:t>紧邻居住、行政等环境敏感点的工业用地，禁止新建环境等级高的建设项目。园区应建立三级环境风险防控体系。</w:t>
                  </w:r>
                </w:p>
                <w:p w14:paraId="6EC21530">
                  <w:pPr>
                    <w:pStyle w:val="155"/>
                    <w:spacing w:before="0"/>
                    <w:jc w:val="left"/>
                    <w:rPr>
                      <w:rFonts w:cs="Times New Roman"/>
                      <w:color w:val="auto"/>
                      <w:sz w:val="21"/>
                      <w:szCs w:val="21"/>
                    </w:rPr>
                  </w:pPr>
                  <w:r>
                    <w:rPr>
                      <w:rFonts w:hint="eastAsia" w:cs="Times New Roman"/>
                      <w:color w:val="auto"/>
                      <w:sz w:val="21"/>
                      <w:szCs w:val="21"/>
                    </w:rPr>
                    <w:t>上轮规划提出的新世纪产业园地块二（杨家湖组团）及地块三（祥符收费站组团）废水收集管网提升泵址处合理设置事故废水收集池，本次环评建议继续实施。</w:t>
                  </w:r>
                </w:p>
              </w:tc>
              <w:tc>
                <w:tcPr>
                  <w:tcW w:w="1301" w:type="dxa"/>
                  <w:tcBorders>
                    <w:tl2br w:val="nil"/>
                    <w:tr2bl w:val="nil"/>
                  </w:tcBorders>
                  <w:noWrap/>
                  <w:vAlign w:val="center"/>
                </w:tcPr>
                <w:p w14:paraId="5A228F2F">
                  <w:pPr>
                    <w:pStyle w:val="155"/>
                    <w:spacing w:before="0"/>
                    <w:jc w:val="left"/>
                    <w:rPr>
                      <w:rFonts w:cs="Times New Roman"/>
                      <w:color w:val="auto"/>
                      <w:sz w:val="21"/>
                      <w:szCs w:val="21"/>
                    </w:rPr>
                  </w:pPr>
                  <w:r>
                    <w:rPr>
                      <w:rFonts w:hint="eastAsia" w:cs="Times New Roman"/>
                      <w:color w:val="auto"/>
                      <w:sz w:val="21"/>
                      <w:szCs w:val="21"/>
                    </w:rPr>
                    <w:t>本项目不属于环境等级高的建设项目，项目建设完成后，将建设事故</w:t>
                  </w:r>
                  <w:r>
                    <w:rPr>
                      <w:rFonts w:hint="eastAsia" w:cs="Times New Roman"/>
                      <w:color w:val="auto"/>
                      <w:sz w:val="21"/>
                      <w:szCs w:val="21"/>
                      <w:lang w:val="en-US" w:eastAsia="zh-CN"/>
                    </w:rPr>
                    <w:t>应急</w:t>
                  </w:r>
                  <w:r>
                    <w:rPr>
                      <w:rFonts w:hint="eastAsia" w:cs="Times New Roman"/>
                      <w:color w:val="auto"/>
                      <w:sz w:val="21"/>
                      <w:szCs w:val="21"/>
                    </w:rPr>
                    <w:t>池。</w:t>
                  </w:r>
                </w:p>
              </w:tc>
              <w:tc>
                <w:tcPr>
                  <w:tcW w:w="499" w:type="dxa"/>
                  <w:tcBorders>
                    <w:tl2br w:val="nil"/>
                    <w:tr2bl w:val="nil"/>
                  </w:tcBorders>
                  <w:noWrap/>
                  <w:vAlign w:val="center"/>
                </w:tcPr>
                <w:p w14:paraId="7E62EDCE">
                  <w:pPr>
                    <w:pStyle w:val="155"/>
                    <w:spacing w:before="0"/>
                    <w:jc w:val="center"/>
                    <w:rPr>
                      <w:rFonts w:cs="Times New Roman"/>
                      <w:color w:val="auto"/>
                      <w:sz w:val="21"/>
                      <w:szCs w:val="21"/>
                    </w:rPr>
                  </w:pPr>
                  <w:r>
                    <w:rPr>
                      <w:rFonts w:hint="eastAsia" w:cs="Times New Roman"/>
                      <w:color w:val="auto"/>
                      <w:sz w:val="21"/>
                      <w:szCs w:val="21"/>
                    </w:rPr>
                    <w:t>符合</w:t>
                  </w:r>
                </w:p>
              </w:tc>
            </w:tr>
            <w:tr w14:paraId="78A215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24" w:hRule="atLeast"/>
                <w:jc w:val="center"/>
              </w:trPr>
              <w:tc>
                <w:tcPr>
                  <w:tcW w:w="659" w:type="dxa"/>
                  <w:vMerge w:val="continue"/>
                  <w:tcBorders>
                    <w:tl2br w:val="nil"/>
                    <w:tr2bl w:val="nil"/>
                  </w:tcBorders>
                  <w:vAlign w:val="center"/>
                </w:tcPr>
                <w:p w14:paraId="2E54E081">
                  <w:pPr>
                    <w:pStyle w:val="155"/>
                    <w:spacing w:before="0"/>
                    <w:jc w:val="center"/>
                    <w:rPr>
                      <w:rFonts w:cs="Times New Roman"/>
                      <w:color w:val="auto"/>
                      <w:sz w:val="21"/>
                      <w:szCs w:val="21"/>
                    </w:rPr>
                  </w:pPr>
                </w:p>
              </w:tc>
              <w:tc>
                <w:tcPr>
                  <w:tcW w:w="891" w:type="dxa"/>
                  <w:tcBorders>
                    <w:tl2br w:val="nil"/>
                    <w:tr2bl w:val="nil"/>
                  </w:tcBorders>
                  <w:vAlign w:val="center"/>
                </w:tcPr>
                <w:p w14:paraId="20D4191C">
                  <w:pPr>
                    <w:pStyle w:val="155"/>
                    <w:spacing w:before="0"/>
                    <w:jc w:val="center"/>
                    <w:rPr>
                      <w:rFonts w:cs="Times New Roman"/>
                      <w:color w:val="auto"/>
                      <w:sz w:val="21"/>
                      <w:szCs w:val="21"/>
                    </w:rPr>
                  </w:pPr>
                  <w:r>
                    <w:rPr>
                      <w:rFonts w:hint="eastAsia" w:cs="Times New Roman"/>
                      <w:color w:val="auto"/>
                      <w:sz w:val="21"/>
                      <w:szCs w:val="21"/>
                    </w:rPr>
                    <w:t>企业环境风险防控要求</w:t>
                  </w:r>
                </w:p>
              </w:tc>
              <w:tc>
                <w:tcPr>
                  <w:tcW w:w="3723" w:type="dxa"/>
                  <w:tcBorders>
                    <w:tl2br w:val="nil"/>
                    <w:tr2bl w:val="nil"/>
                  </w:tcBorders>
                  <w:vAlign w:val="center"/>
                </w:tcPr>
                <w:p w14:paraId="2519FD91">
                  <w:pPr>
                    <w:pStyle w:val="155"/>
                    <w:spacing w:before="0"/>
                    <w:jc w:val="left"/>
                    <w:rPr>
                      <w:rFonts w:cs="Times New Roman"/>
                      <w:color w:val="auto"/>
                      <w:sz w:val="21"/>
                      <w:szCs w:val="21"/>
                    </w:rPr>
                  </w:pPr>
                  <w:r>
                    <w:rPr>
                      <w:rFonts w:hint="eastAsia" w:cs="Times New Roman"/>
                      <w:color w:val="auto"/>
                      <w:sz w:val="21"/>
                      <w:szCs w:val="21"/>
                    </w:rPr>
                    <w:t>新增或改扩建存在环境风险的项目，在建设项目环评阶段重点开展环境风险评价，与项目周边环境敏感目标之前控制合理的风险控制距离，提出并落实风险防范措施及应急联动要求，编制应急预案，并于园区应急预案联动。</w:t>
                  </w:r>
                </w:p>
              </w:tc>
              <w:tc>
                <w:tcPr>
                  <w:tcW w:w="1301" w:type="dxa"/>
                  <w:tcBorders>
                    <w:tl2br w:val="nil"/>
                    <w:tr2bl w:val="nil"/>
                  </w:tcBorders>
                  <w:noWrap/>
                  <w:vAlign w:val="center"/>
                </w:tcPr>
                <w:p w14:paraId="67146EB7">
                  <w:pPr>
                    <w:pStyle w:val="155"/>
                    <w:spacing w:before="0"/>
                    <w:jc w:val="left"/>
                    <w:rPr>
                      <w:rFonts w:cs="Times New Roman"/>
                      <w:color w:val="auto"/>
                      <w:sz w:val="21"/>
                      <w:szCs w:val="21"/>
                    </w:rPr>
                  </w:pPr>
                  <w:r>
                    <w:rPr>
                      <w:rFonts w:hint="eastAsia" w:cs="Times New Roman"/>
                      <w:color w:val="auto"/>
                      <w:sz w:val="21"/>
                      <w:szCs w:val="21"/>
                    </w:rPr>
                    <w:t>本项目环境风险评价等级为简单分析</w:t>
                  </w:r>
                </w:p>
              </w:tc>
              <w:tc>
                <w:tcPr>
                  <w:tcW w:w="499" w:type="dxa"/>
                  <w:tcBorders>
                    <w:tl2br w:val="nil"/>
                    <w:tr2bl w:val="nil"/>
                  </w:tcBorders>
                  <w:noWrap/>
                  <w:vAlign w:val="center"/>
                </w:tcPr>
                <w:p w14:paraId="32634E0B">
                  <w:pPr>
                    <w:pStyle w:val="155"/>
                    <w:spacing w:before="0"/>
                    <w:jc w:val="center"/>
                    <w:rPr>
                      <w:rFonts w:cs="Times New Roman"/>
                      <w:color w:val="auto"/>
                      <w:sz w:val="21"/>
                      <w:szCs w:val="21"/>
                    </w:rPr>
                  </w:pPr>
                  <w:r>
                    <w:rPr>
                      <w:rFonts w:hint="eastAsia" w:cs="Times New Roman"/>
                      <w:color w:val="auto"/>
                      <w:sz w:val="21"/>
                      <w:szCs w:val="21"/>
                    </w:rPr>
                    <w:t>符合</w:t>
                  </w:r>
                </w:p>
              </w:tc>
            </w:tr>
            <w:tr w14:paraId="3B39B9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57" w:hRule="atLeast"/>
                <w:jc w:val="center"/>
              </w:trPr>
              <w:tc>
                <w:tcPr>
                  <w:tcW w:w="659" w:type="dxa"/>
                  <w:vMerge w:val="restart"/>
                  <w:tcBorders>
                    <w:tl2br w:val="nil"/>
                    <w:tr2bl w:val="nil"/>
                  </w:tcBorders>
                  <w:vAlign w:val="center"/>
                </w:tcPr>
                <w:p w14:paraId="6ADFC38A">
                  <w:pPr>
                    <w:pStyle w:val="155"/>
                    <w:spacing w:before="0"/>
                    <w:jc w:val="center"/>
                    <w:rPr>
                      <w:rFonts w:cs="Times New Roman"/>
                      <w:color w:val="auto"/>
                      <w:sz w:val="21"/>
                      <w:szCs w:val="21"/>
                    </w:rPr>
                  </w:pPr>
                  <w:r>
                    <w:rPr>
                      <w:rFonts w:cs="Times New Roman"/>
                      <w:color w:val="auto"/>
                      <w:sz w:val="21"/>
                      <w:szCs w:val="21"/>
                    </w:rPr>
                    <w:t>资源开发利用要求</w:t>
                  </w:r>
                </w:p>
              </w:tc>
              <w:tc>
                <w:tcPr>
                  <w:tcW w:w="891" w:type="dxa"/>
                  <w:tcBorders>
                    <w:tl2br w:val="nil"/>
                    <w:tr2bl w:val="nil"/>
                  </w:tcBorders>
                  <w:vAlign w:val="center"/>
                </w:tcPr>
                <w:p w14:paraId="52689AB1">
                  <w:pPr>
                    <w:pStyle w:val="155"/>
                    <w:spacing w:before="0"/>
                    <w:jc w:val="center"/>
                    <w:rPr>
                      <w:rFonts w:cs="Times New Roman"/>
                      <w:color w:val="auto"/>
                      <w:sz w:val="21"/>
                      <w:szCs w:val="21"/>
                    </w:rPr>
                  </w:pPr>
                  <w:r>
                    <w:rPr>
                      <w:rFonts w:cs="Times New Roman"/>
                      <w:color w:val="auto"/>
                      <w:sz w:val="21"/>
                      <w:szCs w:val="21"/>
                    </w:rPr>
                    <w:t>水资源利用效率要求</w:t>
                  </w:r>
                </w:p>
              </w:tc>
              <w:tc>
                <w:tcPr>
                  <w:tcW w:w="3723" w:type="dxa"/>
                  <w:tcBorders>
                    <w:tl2br w:val="nil"/>
                    <w:tr2bl w:val="nil"/>
                  </w:tcBorders>
                  <w:vAlign w:val="center"/>
                </w:tcPr>
                <w:p w14:paraId="35E087AE">
                  <w:pPr>
                    <w:pStyle w:val="155"/>
                    <w:spacing w:before="0"/>
                    <w:jc w:val="left"/>
                    <w:rPr>
                      <w:rFonts w:cs="Times New Roman"/>
                      <w:color w:val="auto"/>
                      <w:sz w:val="21"/>
                      <w:szCs w:val="21"/>
                    </w:rPr>
                  </w:pPr>
                  <w:r>
                    <w:rPr>
                      <w:rFonts w:cs="Times New Roman"/>
                      <w:color w:val="auto"/>
                      <w:sz w:val="21"/>
                      <w:szCs w:val="21"/>
                    </w:rPr>
                    <w:t>单位工业增加值水耗(立方米/万元)≤9</w:t>
                  </w:r>
                </w:p>
              </w:tc>
              <w:tc>
                <w:tcPr>
                  <w:tcW w:w="1301" w:type="dxa"/>
                  <w:tcBorders>
                    <w:tl2br w:val="nil"/>
                    <w:tr2bl w:val="nil"/>
                  </w:tcBorders>
                  <w:noWrap/>
                  <w:vAlign w:val="center"/>
                </w:tcPr>
                <w:p w14:paraId="1D4F04E8">
                  <w:pPr>
                    <w:pStyle w:val="155"/>
                    <w:spacing w:before="0"/>
                    <w:jc w:val="left"/>
                    <w:rPr>
                      <w:rFonts w:cs="Times New Roman"/>
                      <w:color w:val="auto"/>
                      <w:sz w:val="21"/>
                      <w:szCs w:val="21"/>
                    </w:rPr>
                  </w:pPr>
                  <w:r>
                    <w:rPr>
                      <w:rFonts w:hint="eastAsia" w:cs="Times New Roman"/>
                      <w:color w:val="auto"/>
                      <w:sz w:val="21"/>
                      <w:szCs w:val="21"/>
                    </w:rPr>
                    <w:t>本项目</w:t>
                  </w:r>
                  <w:r>
                    <w:rPr>
                      <w:rFonts w:cs="Times New Roman"/>
                      <w:color w:val="auto"/>
                      <w:sz w:val="21"/>
                      <w:szCs w:val="21"/>
                    </w:rPr>
                    <w:t>单位工业增加值水耗(立方米/万元)</w:t>
                  </w:r>
                  <w:r>
                    <w:rPr>
                      <w:rFonts w:hint="eastAsia" w:cs="Times New Roman"/>
                      <w:color w:val="auto"/>
                      <w:sz w:val="21"/>
                      <w:szCs w:val="21"/>
                      <w:lang w:val="en-US" w:eastAsia="zh-CN"/>
                    </w:rPr>
                    <w:t>为0.3，</w:t>
                  </w:r>
                  <w:r>
                    <w:rPr>
                      <w:rFonts w:cs="Times New Roman"/>
                      <w:color w:val="auto"/>
                      <w:sz w:val="21"/>
                      <w:szCs w:val="21"/>
                    </w:rPr>
                    <w:t>≤</w:t>
                  </w:r>
                  <w:r>
                    <w:rPr>
                      <w:rFonts w:hint="eastAsia" w:cs="Times New Roman"/>
                      <w:color w:val="auto"/>
                      <w:sz w:val="21"/>
                      <w:szCs w:val="21"/>
                    </w:rPr>
                    <w:t>9</w:t>
                  </w:r>
                </w:p>
              </w:tc>
              <w:tc>
                <w:tcPr>
                  <w:tcW w:w="499" w:type="dxa"/>
                  <w:tcBorders>
                    <w:tl2br w:val="nil"/>
                    <w:tr2bl w:val="nil"/>
                  </w:tcBorders>
                  <w:vAlign w:val="center"/>
                </w:tcPr>
                <w:p w14:paraId="4C328809">
                  <w:pPr>
                    <w:pStyle w:val="155"/>
                    <w:spacing w:before="0"/>
                    <w:jc w:val="center"/>
                    <w:rPr>
                      <w:rFonts w:cs="Times New Roman"/>
                      <w:color w:val="auto"/>
                      <w:sz w:val="21"/>
                      <w:szCs w:val="21"/>
                    </w:rPr>
                  </w:pPr>
                  <w:r>
                    <w:rPr>
                      <w:rFonts w:hint="eastAsia" w:cs="Times New Roman"/>
                      <w:color w:val="auto"/>
                      <w:sz w:val="21"/>
                      <w:szCs w:val="21"/>
                    </w:rPr>
                    <w:t>符合</w:t>
                  </w:r>
                </w:p>
              </w:tc>
            </w:tr>
            <w:tr w14:paraId="2BEDA0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24" w:hRule="atLeast"/>
                <w:jc w:val="center"/>
              </w:trPr>
              <w:tc>
                <w:tcPr>
                  <w:tcW w:w="659" w:type="dxa"/>
                  <w:vMerge w:val="continue"/>
                  <w:tcBorders>
                    <w:tl2br w:val="nil"/>
                    <w:tr2bl w:val="nil"/>
                  </w:tcBorders>
                  <w:vAlign w:val="center"/>
                </w:tcPr>
                <w:p w14:paraId="1014635F">
                  <w:pPr>
                    <w:pStyle w:val="155"/>
                    <w:spacing w:before="0"/>
                    <w:jc w:val="left"/>
                    <w:rPr>
                      <w:rFonts w:cs="Times New Roman"/>
                      <w:color w:val="auto"/>
                      <w:sz w:val="21"/>
                      <w:szCs w:val="21"/>
                    </w:rPr>
                  </w:pPr>
                </w:p>
              </w:tc>
              <w:tc>
                <w:tcPr>
                  <w:tcW w:w="891" w:type="dxa"/>
                  <w:tcBorders>
                    <w:tl2br w:val="nil"/>
                    <w:tr2bl w:val="nil"/>
                  </w:tcBorders>
                  <w:vAlign w:val="center"/>
                </w:tcPr>
                <w:p w14:paraId="60D993E1">
                  <w:pPr>
                    <w:pStyle w:val="155"/>
                    <w:spacing w:before="0"/>
                    <w:jc w:val="center"/>
                    <w:rPr>
                      <w:rFonts w:cs="Times New Roman"/>
                      <w:color w:val="auto"/>
                      <w:sz w:val="21"/>
                      <w:szCs w:val="21"/>
                    </w:rPr>
                  </w:pPr>
                  <w:r>
                    <w:rPr>
                      <w:rFonts w:hint="eastAsia" w:cs="Times New Roman"/>
                      <w:color w:val="auto"/>
                      <w:sz w:val="21"/>
                      <w:szCs w:val="21"/>
                    </w:rPr>
                    <w:t>土地资源利用效率要求</w:t>
                  </w:r>
                </w:p>
              </w:tc>
              <w:tc>
                <w:tcPr>
                  <w:tcW w:w="3723" w:type="dxa"/>
                  <w:tcBorders>
                    <w:tl2br w:val="nil"/>
                    <w:tr2bl w:val="nil"/>
                  </w:tcBorders>
                  <w:vAlign w:val="center"/>
                </w:tcPr>
                <w:p w14:paraId="77274812">
                  <w:pPr>
                    <w:pStyle w:val="155"/>
                    <w:spacing w:before="0"/>
                    <w:jc w:val="left"/>
                    <w:rPr>
                      <w:rFonts w:cs="Times New Roman"/>
                      <w:color w:val="auto"/>
                      <w:sz w:val="21"/>
                      <w:szCs w:val="21"/>
                    </w:rPr>
                  </w:pPr>
                  <w:r>
                    <w:rPr>
                      <w:rFonts w:hint="eastAsia" w:cs="Times New Roman"/>
                      <w:color w:val="auto"/>
                      <w:sz w:val="21"/>
                      <w:szCs w:val="21"/>
                    </w:rPr>
                    <w:t>满足《江西省建设用地控制指标》（2018年）中的相关要求</w:t>
                  </w:r>
                </w:p>
              </w:tc>
              <w:tc>
                <w:tcPr>
                  <w:tcW w:w="1301" w:type="dxa"/>
                  <w:tcBorders>
                    <w:tl2br w:val="nil"/>
                    <w:tr2bl w:val="nil"/>
                  </w:tcBorders>
                  <w:noWrap/>
                  <w:vAlign w:val="center"/>
                </w:tcPr>
                <w:p w14:paraId="16C158C5">
                  <w:pPr>
                    <w:pStyle w:val="155"/>
                    <w:spacing w:before="0"/>
                    <w:jc w:val="left"/>
                    <w:rPr>
                      <w:rFonts w:cs="Times New Roman"/>
                      <w:color w:val="auto"/>
                      <w:sz w:val="21"/>
                      <w:szCs w:val="21"/>
                    </w:rPr>
                  </w:pPr>
                  <w:r>
                    <w:rPr>
                      <w:rFonts w:cs="Times New Roman"/>
                      <w:color w:val="auto"/>
                      <w:sz w:val="21"/>
                      <w:szCs w:val="21"/>
                    </w:rPr>
                    <w:t>本项目</w:t>
                  </w:r>
                  <w:r>
                    <w:rPr>
                      <w:rFonts w:hint="eastAsia" w:cs="Times New Roman"/>
                      <w:color w:val="auto"/>
                      <w:sz w:val="21"/>
                      <w:szCs w:val="21"/>
                    </w:rPr>
                    <w:t>用地满足《江西省建设用地控制指标》（2018年）中的相关要求</w:t>
                  </w:r>
                </w:p>
              </w:tc>
              <w:tc>
                <w:tcPr>
                  <w:tcW w:w="499" w:type="dxa"/>
                  <w:tcBorders>
                    <w:tl2br w:val="nil"/>
                    <w:tr2bl w:val="nil"/>
                  </w:tcBorders>
                  <w:noWrap/>
                  <w:vAlign w:val="center"/>
                </w:tcPr>
                <w:p w14:paraId="208B67AD">
                  <w:pPr>
                    <w:pStyle w:val="155"/>
                    <w:spacing w:before="0"/>
                    <w:jc w:val="center"/>
                    <w:rPr>
                      <w:rFonts w:cs="Times New Roman"/>
                      <w:color w:val="auto"/>
                      <w:sz w:val="21"/>
                      <w:szCs w:val="21"/>
                    </w:rPr>
                  </w:pPr>
                  <w:r>
                    <w:rPr>
                      <w:rFonts w:cs="Times New Roman"/>
                      <w:color w:val="auto"/>
                      <w:sz w:val="21"/>
                      <w:szCs w:val="21"/>
                    </w:rPr>
                    <w:t>符合</w:t>
                  </w:r>
                </w:p>
              </w:tc>
            </w:tr>
            <w:tr w14:paraId="4BE1B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659" w:type="dxa"/>
                  <w:vMerge w:val="continue"/>
                  <w:tcBorders>
                    <w:tl2br w:val="nil"/>
                    <w:tr2bl w:val="nil"/>
                  </w:tcBorders>
                  <w:vAlign w:val="center"/>
                </w:tcPr>
                <w:p w14:paraId="5CE644B0">
                  <w:pPr>
                    <w:pStyle w:val="155"/>
                    <w:spacing w:before="0"/>
                    <w:jc w:val="left"/>
                    <w:rPr>
                      <w:rFonts w:cs="Times New Roman"/>
                      <w:color w:val="auto"/>
                      <w:sz w:val="21"/>
                      <w:szCs w:val="21"/>
                    </w:rPr>
                  </w:pPr>
                </w:p>
              </w:tc>
              <w:tc>
                <w:tcPr>
                  <w:tcW w:w="891" w:type="dxa"/>
                  <w:tcBorders>
                    <w:tl2br w:val="nil"/>
                    <w:tr2bl w:val="nil"/>
                  </w:tcBorders>
                  <w:vAlign w:val="center"/>
                </w:tcPr>
                <w:p w14:paraId="41A373D6">
                  <w:pPr>
                    <w:pStyle w:val="155"/>
                    <w:spacing w:before="0"/>
                    <w:jc w:val="center"/>
                    <w:rPr>
                      <w:rFonts w:cs="Times New Roman"/>
                      <w:color w:val="auto"/>
                      <w:sz w:val="21"/>
                      <w:szCs w:val="21"/>
                    </w:rPr>
                  </w:pPr>
                  <w:r>
                    <w:rPr>
                      <w:rFonts w:cs="Times New Roman"/>
                      <w:color w:val="auto"/>
                      <w:sz w:val="21"/>
                      <w:szCs w:val="21"/>
                    </w:rPr>
                    <w:t>能源利用效率要求</w:t>
                  </w:r>
                </w:p>
              </w:tc>
              <w:tc>
                <w:tcPr>
                  <w:tcW w:w="3723" w:type="dxa"/>
                  <w:tcBorders>
                    <w:tl2br w:val="nil"/>
                    <w:tr2bl w:val="nil"/>
                  </w:tcBorders>
                  <w:vAlign w:val="center"/>
                </w:tcPr>
                <w:p w14:paraId="13AD72D4">
                  <w:pPr>
                    <w:pStyle w:val="155"/>
                    <w:spacing w:before="0"/>
                    <w:jc w:val="left"/>
                    <w:rPr>
                      <w:rFonts w:cs="Times New Roman"/>
                      <w:color w:val="auto"/>
                      <w:sz w:val="21"/>
                      <w:szCs w:val="21"/>
                    </w:rPr>
                  </w:pPr>
                  <w:r>
                    <w:rPr>
                      <w:rFonts w:cs="Times New Roman"/>
                      <w:color w:val="auto"/>
                      <w:sz w:val="21"/>
                      <w:szCs w:val="21"/>
                    </w:rPr>
                    <w:t>单位工业增加值能耗(吨标煤/万元)≤0.5</w:t>
                  </w:r>
                </w:p>
              </w:tc>
              <w:tc>
                <w:tcPr>
                  <w:tcW w:w="1301" w:type="dxa"/>
                  <w:tcBorders>
                    <w:tl2br w:val="nil"/>
                    <w:tr2bl w:val="nil"/>
                  </w:tcBorders>
                  <w:noWrap/>
                  <w:vAlign w:val="center"/>
                </w:tcPr>
                <w:p w14:paraId="5339871E">
                  <w:pPr>
                    <w:pStyle w:val="155"/>
                    <w:spacing w:before="0"/>
                    <w:jc w:val="left"/>
                    <w:rPr>
                      <w:rFonts w:cs="Times New Roman"/>
                      <w:color w:val="auto"/>
                      <w:sz w:val="21"/>
                      <w:szCs w:val="21"/>
                    </w:rPr>
                  </w:pPr>
                  <w:r>
                    <w:rPr>
                      <w:rFonts w:cs="Times New Roman"/>
                      <w:color w:val="auto"/>
                      <w:sz w:val="21"/>
                      <w:szCs w:val="21"/>
                    </w:rPr>
                    <w:t>本项目单位工业增加值能耗(吨标煤/</w:t>
                  </w:r>
                  <w:r>
                    <w:rPr>
                      <w:rFonts w:hint="eastAsia" w:cs="Times New Roman"/>
                      <w:color w:val="auto"/>
                      <w:sz w:val="21"/>
                      <w:szCs w:val="21"/>
                    </w:rPr>
                    <w:t>万</w:t>
                  </w:r>
                  <w:r>
                    <w:rPr>
                      <w:rFonts w:cs="Times New Roman"/>
                      <w:color w:val="auto"/>
                      <w:sz w:val="21"/>
                      <w:szCs w:val="21"/>
                    </w:rPr>
                    <w:t>元)</w:t>
                  </w:r>
                  <w:r>
                    <w:rPr>
                      <w:rFonts w:hint="eastAsia" w:cs="Times New Roman"/>
                      <w:color w:val="auto"/>
                      <w:sz w:val="21"/>
                      <w:szCs w:val="21"/>
                      <w:lang w:val="en-US" w:eastAsia="zh-CN"/>
                    </w:rPr>
                    <w:t>为</w:t>
                  </w:r>
                  <w:r>
                    <w:rPr>
                      <w:rFonts w:cs="Times New Roman"/>
                      <w:color w:val="auto"/>
                      <w:sz w:val="21"/>
                      <w:szCs w:val="21"/>
                    </w:rPr>
                    <w:t>≤0.5</w:t>
                  </w:r>
                </w:p>
              </w:tc>
              <w:tc>
                <w:tcPr>
                  <w:tcW w:w="499" w:type="dxa"/>
                  <w:tcBorders>
                    <w:tl2br w:val="nil"/>
                    <w:tr2bl w:val="nil"/>
                  </w:tcBorders>
                  <w:noWrap/>
                  <w:vAlign w:val="center"/>
                </w:tcPr>
                <w:p w14:paraId="7490E89F">
                  <w:pPr>
                    <w:pStyle w:val="155"/>
                    <w:spacing w:before="0"/>
                    <w:jc w:val="center"/>
                    <w:rPr>
                      <w:rFonts w:cs="Times New Roman"/>
                      <w:color w:val="auto"/>
                      <w:sz w:val="21"/>
                      <w:szCs w:val="21"/>
                    </w:rPr>
                  </w:pPr>
                  <w:r>
                    <w:rPr>
                      <w:rFonts w:cs="Times New Roman"/>
                      <w:color w:val="auto"/>
                      <w:sz w:val="21"/>
                      <w:szCs w:val="21"/>
                    </w:rPr>
                    <w:t>符合</w:t>
                  </w:r>
                </w:p>
              </w:tc>
            </w:tr>
          </w:tbl>
          <w:p w14:paraId="57DBCA4D">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rPr>
              <w:t>综上所述，本项目不属于生态环境准入清单内禁止入园企业，符合江西高安高新技术产业园区发展规划要求。</w:t>
            </w:r>
          </w:p>
          <w:p w14:paraId="089743AD">
            <w:pPr>
              <w:keepNext w:val="0"/>
              <w:keepLines w:val="0"/>
              <w:pageBreakBefore w:val="0"/>
              <w:widowControl w:val="0"/>
              <w:kinsoku/>
              <w:wordWrap/>
              <w:overflowPunct/>
              <w:topLinePunct w:val="0"/>
              <w:autoSpaceDE/>
              <w:autoSpaceDN/>
              <w:bidi w:val="0"/>
              <w:adjustRightInd w:val="0"/>
              <w:snapToGrid/>
              <w:spacing w:before="157" w:beforeLines="50" w:line="360" w:lineRule="auto"/>
              <w:contextualSpacing/>
              <w:jc w:val="both"/>
              <w:textAlignment w:val="auto"/>
              <w:rPr>
                <w:rFonts w:hint="eastAsia" w:ascii="Times New Roman" w:hAnsi="Times New Roman" w:eastAsia="宋体" w:cs="Times New Roman"/>
                <w:b/>
                <w:color w:val="auto"/>
                <w:sz w:val="24"/>
              </w:rPr>
            </w:pPr>
            <w:r>
              <w:rPr>
                <w:rFonts w:hint="eastAsia" w:ascii="Times New Roman" w:hAnsi="Times New Roman" w:eastAsia="宋体" w:cs="Times New Roman"/>
                <w:b/>
                <w:color w:val="auto"/>
                <w:sz w:val="24"/>
              </w:rPr>
              <w:t>3、与《江西省生态环境厅关于江西高安高新技术产业园区扩区调区规划环境影响报告书审查意见的函》（赣环环评函〔2024〕69号）相符性分析</w:t>
            </w:r>
          </w:p>
          <w:p w14:paraId="4A9EEA00">
            <w:pPr>
              <w:numPr>
                <w:ilvl w:val="0"/>
                <w:numId w:val="5"/>
              </w:numPr>
              <w:adjustRightInd w:val="0"/>
              <w:snapToGrid w:val="0"/>
              <w:ind w:left="0" w:leftChars="0" w:firstLine="0" w:firstLineChars="0"/>
              <w:jc w:val="right"/>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与江西省生态环境厅关于江西高安高新技术产业园区扩区调区规划</w:t>
            </w:r>
          </w:p>
          <w:p w14:paraId="6AABF2D2">
            <w:pPr>
              <w:numPr>
                <w:ilvl w:val="0"/>
                <w:numId w:val="0"/>
              </w:numPr>
              <w:tabs>
                <w:tab w:val="left" w:pos="0"/>
              </w:tabs>
              <w:adjustRightInd w:val="0"/>
              <w:snapToGrid w:val="0"/>
              <w:ind w:leftChars="0"/>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环境影响报告书审查意见的函》（赣环环评函〔2024〕69号）相符性分析</w:t>
            </w:r>
          </w:p>
          <w:tbl>
            <w:tblPr>
              <w:tblStyle w:val="33"/>
              <w:tblW w:w="697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824"/>
              <w:gridCol w:w="2288"/>
              <w:gridCol w:w="866"/>
            </w:tblGrid>
            <w:tr w14:paraId="7B7577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3824" w:type="dxa"/>
                  <w:tcBorders>
                    <w:tl2br w:val="nil"/>
                    <w:tr2bl w:val="nil"/>
                  </w:tcBorders>
                  <w:noWrap/>
                  <w:vAlign w:val="center"/>
                </w:tcPr>
                <w:p w14:paraId="4442EDA7">
                  <w:pPr>
                    <w:pStyle w:val="155"/>
                    <w:spacing w:before="0"/>
                    <w:rPr>
                      <w:rFonts w:cs="Times New Roman"/>
                      <w:color w:val="auto"/>
                      <w:sz w:val="21"/>
                      <w:szCs w:val="21"/>
                    </w:rPr>
                  </w:pPr>
                  <w:r>
                    <w:rPr>
                      <w:rFonts w:hint="eastAsia" w:cs="Times New Roman"/>
                      <w:color w:val="auto"/>
                      <w:sz w:val="21"/>
                      <w:szCs w:val="21"/>
                    </w:rPr>
                    <w:t>审查意见</w:t>
                  </w:r>
                </w:p>
              </w:tc>
              <w:tc>
                <w:tcPr>
                  <w:tcW w:w="2288" w:type="dxa"/>
                  <w:tcBorders>
                    <w:tl2br w:val="nil"/>
                    <w:tr2bl w:val="nil"/>
                  </w:tcBorders>
                  <w:noWrap/>
                  <w:vAlign w:val="center"/>
                </w:tcPr>
                <w:p w14:paraId="442993CF">
                  <w:pPr>
                    <w:pStyle w:val="155"/>
                    <w:spacing w:before="0"/>
                    <w:rPr>
                      <w:rFonts w:cs="Times New Roman"/>
                      <w:color w:val="auto"/>
                      <w:sz w:val="21"/>
                      <w:szCs w:val="21"/>
                    </w:rPr>
                  </w:pPr>
                  <w:r>
                    <w:rPr>
                      <w:rFonts w:hint="eastAsia" w:cs="Times New Roman"/>
                      <w:color w:val="auto"/>
                      <w:sz w:val="21"/>
                      <w:szCs w:val="21"/>
                    </w:rPr>
                    <w:t>本项目情况</w:t>
                  </w:r>
                </w:p>
              </w:tc>
              <w:tc>
                <w:tcPr>
                  <w:tcW w:w="866" w:type="dxa"/>
                  <w:tcBorders>
                    <w:tl2br w:val="nil"/>
                    <w:tr2bl w:val="nil"/>
                  </w:tcBorders>
                  <w:noWrap/>
                  <w:vAlign w:val="center"/>
                </w:tcPr>
                <w:p w14:paraId="2F344F4C">
                  <w:pPr>
                    <w:pStyle w:val="155"/>
                    <w:spacing w:before="0"/>
                    <w:rPr>
                      <w:rFonts w:cs="Times New Roman"/>
                      <w:color w:val="auto"/>
                      <w:sz w:val="21"/>
                      <w:szCs w:val="21"/>
                    </w:rPr>
                  </w:pPr>
                  <w:r>
                    <w:rPr>
                      <w:rFonts w:hint="eastAsia" w:cs="Times New Roman"/>
                      <w:color w:val="auto"/>
                      <w:sz w:val="21"/>
                      <w:szCs w:val="21"/>
                    </w:rPr>
                    <w:t>相符性</w:t>
                  </w:r>
                </w:p>
              </w:tc>
            </w:tr>
            <w:tr w14:paraId="4F0127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6978" w:type="dxa"/>
                  <w:gridSpan w:val="3"/>
                  <w:tcBorders>
                    <w:tl2br w:val="nil"/>
                    <w:tr2bl w:val="nil"/>
                  </w:tcBorders>
                  <w:noWrap/>
                  <w:vAlign w:val="center"/>
                </w:tcPr>
                <w:p w14:paraId="6607A502">
                  <w:pPr>
                    <w:pStyle w:val="155"/>
                    <w:spacing w:before="0"/>
                    <w:rPr>
                      <w:rFonts w:cs="Times New Roman"/>
                      <w:color w:val="auto"/>
                      <w:sz w:val="21"/>
                      <w:szCs w:val="21"/>
                    </w:rPr>
                  </w:pPr>
                  <w:r>
                    <w:rPr>
                      <w:rFonts w:hint="eastAsia" w:cs="Times New Roman"/>
                      <w:color w:val="auto"/>
                      <w:sz w:val="21"/>
                      <w:szCs w:val="21"/>
                    </w:rPr>
                    <w:t>规划优化调整和实施建议</w:t>
                  </w:r>
                </w:p>
              </w:tc>
            </w:tr>
            <w:tr w14:paraId="1EFEFF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3824" w:type="dxa"/>
                  <w:tcBorders>
                    <w:tl2br w:val="nil"/>
                    <w:tr2bl w:val="nil"/>
                  </w:tcBorders>
                  <w:noWrap/>
                  <w:vAlign w:val="center"/>
                </w:tcPr>
                <w:p w14:paraId="39889501">
                  <w:pPr>
                    <w:pStyle w:val="155"/>
                    <w:spacing w:before="0"/>
                    <w:jc w:val="left"/>
                    <w:rPr>
                      <w:rFonts w:hint="eastAsia" w:eastAsia="宋体" w:cs="Times New Roman"/>
                      <w:color w:val="auto"/>
                      <w:sz w:val="21"/>
                      <w:szCs w:val="21"/>
                      <w:lang w:eastAsia="zh-CN"/>
                    </w:rPr>
                  </w:pPr>
                  <w:r>
                    <w:rPr>
                      <w:rFonts w:hint="eastAsia" w:cs="Times New Roman"/>
                      <w:color w:val="auto"/>
                      <w:sz w:val="21"/>
                      <w:szCs w:val="21"/>
                    </w:rPr>
                    <w:t>（一）新世纪产业园祥符收费站组团内涉及国家二级生态公益林，应符合用林管理要求，相关要求未落实之前，建议不开发利用</w:t>
                  </w:r>
                  <w:r>
                    <w:rPr>
                      <w:rFonts w:hint="eastAsia" w:cs="Times New Roman"/>
                      <w:color w:val="auto"/>
                      <w:sz w:val="21"/>
                      <w:szCs w:val="21"/>
                      <w:lang w:eastAsia="zh-CN"/>
                    </w:rPr>
                    <w:t>。</w:t>
                  </w:r>
                </w:p>
              </w:tc>
              <w:tc>
                <w:tcPr>
                  <w:tcW w:w="2288" w:type="dxa"/>
                  <w:tcBorders>
                    <w:tl2br w:val="nil"/>
                    <w:tr2bl w:val="nil"/>
                  </w:tcBorders>
                  <w:noWrap/>
                  <w:vAlign w:val="center"/>
                </w:tcPr>
                <w:p w14:paraId="2BED5AC1">
                  <w:pPr>
                    <w:pStyle w:val="155"/>
                    <w:spacing w:before="0"/>
                    <w:jc w:val="left"/>
                    <w:rPr>
                      <w:rFonts w:cs="Times New Roman"/>
                      <w:color w:val="auto"/>
                      <w:sz w:val="21"/>
                      <w:szCs w:val="21"/>
                    </w:rPr>
                  </w:pPr>
                  <w:r>
                    <w:rPr>
                      <w:rFonts w:hint="eastAsia" w:cs="Times New Roman"/>
                      <w:color w:val="auto"/>
                      <w:sz w:val="21"/>
                      <w:szCs w:val="21"/>
                    </w:rPr>
                    <w:t>本项目位于新世纪产业园核心组团，不在祥符收费站组团内，不涉及国家二级生态公益林。</w:t>
                  </w:r>
                </w:p>
              </w:tc>
              <w:tc>
                <w:tcPr>
                  <w:tcW w:w="866" w:type="dxa"/>
                  <w:tcBorders>
                    <w:tl2br w:val="nil"/>
                    <w:tr2bl w:val="nil"/>
                  </w:tcBorders>
                  <w:noWrap/>
                  <w:vAlign w:val="center"/>
                </w:tcPr>
                <w:p w14:paraId="26734934">
                  <w:pPr>
                    <w:pStyle w:val="155"/>
                    <w:spacing w:before="0"/>
                    <w:rPr>
                      <w:rFonts w:cs="Times New Roman"/>
                      <w:color w:val="auto"/>
                      <w:sz w:val="21"/>
                      <w:szCs w:val="21"/>
                    </w:rPr>
                  </w:pPr>
                  <w:r>
                    <w:rPr>
                      <w:rFonts w:hint="eastAsia" w:cs="Times New Roman"/>
                      <w:color w:val="auto"/>
                      <w:sz w:val="21"/>
                      <w:szCs w:val="21"/>
                    </w:rPr>
                    <w:t>符合</w:t>
                  </w:r>
                </w:p>
              </w:tc>
            </w:tr>
            <w:tr w14:paraId="3BA7FE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32" w:hRule="atLeast"/>
                <w:jc w:val="center"/>
              </w:trPr>
              <w:tc>
                <w:tcPr>
                  <w:tcW w:w="3824" w:type="dxa"/>
                  <w:tcBorders>
                    <w:tl2br w:val="nil"/>
                    <w:tr2bl w:val="nil"/>
                  </w:tcBorders>
                  <w:noWrap/>
                  <w:vAlign w:val="center"/>
                </w:tcPr>
                <w:p w14:paraId="23C56758">
                  <w:pPr>
                    <w:pStyle w:val="155"/>
                    <w:spacing w:before="0"/>
                    <w:jc w:val="left"/>
                    <w:rPr>
                      <w:rFonts w:cs="Times New Roman"/>
                      <w:color w:val="auto"/>
                      <w:sz w:val="21"/>
                      <w:szCs w:val="21"/>
                    </w:rPr>
                  </w:pPr>
                  <w:r>
                    <w:rPr>
                      <w:rFonts w:hint="eastAsia" w:cs="Times New Roman"/>
                      <w:color w:val="auto"/>
                      <w:sz w:val="21"/>
                      <w:szCs w:val="21"/>
                    </w:rPr>
                    <w:t>（二）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2288" w:type="dxa"/>
                  <w:tcBorders>
                    <w:tl2br w:val="nil"/>
                    <w:tr2bl w:val="nil"/>
                  </w:tcBorders>
                  <w:noWrap/>
                  <w:vAlign w:val="center"/>
                </w:tcPr>
                <w:p w14:paraId="089826CE">
                  <w:pPr>
                    <w:pStyle w:val="155"/>
                    <w:spacing w:before="0"/>
                    <w:jc w:val="left"/>
                    <w:rPr>
                      <w:rFonts w:cs="Times New Roman"/>
                      <w:color w:val="auto"/>
                      <w:sz w:val="21"/>
                      <w:szCs w:val="21"/>
                    </w:rPr>
                  </w:pPr>
                  <w:r>
                    <w:rPr>
                      <w:rFonts w:hint="eastAsia" w:cs="Times New Roman"/>
                      <w:color w:val="auto"/>
                      <w:sz w:val="21"/>
                      <w:szCs w:val="21"/>
                    </w:rPr>
                    <w:t>本项目为</w:t>
                  </w:r>
                  <w:r>
                    <w:rPr>
                      <w:rFonts w:hint="eastAsia" w:cs="Times New Roman"/>
                      <w:color w:val="auto"/>
                      <w:sz w:val="21"/>
                      <w:szCs w:val="21"/>
                      <w:lang w:val="en-US" w:eastAsia="zh-CN"/>
                    </w:rPr>
                    <w:t>改扩建</w:t>
                  </w:r>
                  <w:r>
                    <w:rPr>
                      <w:rFonts w:hint="eastAsia" w:cs="Times New Roman"/>
                      <w:color w:val="auto"/>
                      <w:sz w:val="21"/>
                      <w:szCs w:val="21"/>
                    </w:rPr>
                    <w:t>项目，不新增用地，位于新世纪产业园，主要产生大气污染物</w:t>
                  </w:r>
                  <w:r>
                    <w:rPr>
                      <w:rFonts w:hint="eastAsia" w:cs="Times New Roman"/>
                      <w:color w:val="auto"/>
                      <w:sz w:val="21"/>
                      <w:szCs w:val="21"/>
                      <w:lang w:eastAsia="zh-CN"/>
                    </w:rPr>
                    <w:t>为</w:t>
                  </w:r>
                  <w:r>
                    <w:rPr>
                      <w:rFonts w:hint="eastAsia" w:cs="Times New Roman"/>
                      <w:color w:val="auto"/>
                      <w:sz w:val="21"/>
                      <w:szCs w:val="21"/>
                    </w:rPr>
                    <w:t>颗粒物、非甲烷总烃、二甲苯，均稳定达标排放，项目为</w:t>
                  </w:r>
                  <w:r>
                    <w:rPr>
                      <w:rFonts w:hint="eastAsia" w:cs="Times New Roman"/>
                      <w:color w:val="auto"/>
                      <w:sz w:val="21"/>
                      <w:szCs w:val="21"/>
                      <w:lang w:eastAsia="zh-CN"/>
                    </w:rPr>
                    <w:t>齿轮及齿轮减、变速箱制造</w:t>
                  </w:r>
                  <w:r>
                    <w:rPr>
                      <w:rFonts w:hint="eastAsia" w:cs="Times New Roman"/>
                      <w:color w:val="auto"/>
                      <w:sz w:val="21"/>
                      <w:szCs w:val="21"/>
                    </w:rPr>
                    <w:t>，不属于化工、皮革、冶炼等企业。</w:t>
                  </w:r>
                </w:p>
              </w:tc>
              <w:tc>
                <w:tcPr>
                  <w:tcW w:w="866" w:type="dxa"/>
                  <w:tcBorders>
                    <w:tl2br w:val="nil"/>
                    <w:tr2bl w:val="nil"/>
                  </w:tcBorders>
                  <w:noWrap/>
                  <w:vAlign w:val="center"/>
                </w:tcPr>
                <w:p w14:paraId="356BBE25">
                  <w:pPr>
                    <w:pStyle w:val="155"/>
                    <w:spacing w:before="0"/>
                    <w:rPr>
                      <w:rFonts w:cs="Times New Roman"/>
                      <w:color w:val="auto"/>
                      <w:sz w:val="21"/>
                      <w:szCs w:val="21"/>
                    </w:rPr>
                  </w:pPr>
                  <w:r>
                    <w:rPr>
                      <w:rFonts w:hint="eastAsia" w:cs="Times New Roman"/>
                      <w:color w:val="auto"/>
                      <w:sz w:val="21"/>
                      <w:szCs w:val="21"/>
                    </w:rPr>
                    <w:t>符合</w:t>
                  </w:r>
                </w:p>
              </w:tc>
            </w:tr>
            <w:tr w14:paraId="4D94F1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824" w:type="dxa"/>
                  <w:tcBorders>
                    <w:tl2br w:val="nil"/>
                    <w:tr2bl w:val="nil"/>
                  </w:tcBorders>
                  <w:noWrap/>
                  <w:vAlign w:val="center"/>
                </w:tcPr>
                <w:p w14:paraId="1BFC6E77">
                  <w:pPr>
                    <w:pStyle w:val="155"/>
                    <w:spacing w:before="0"/>
                    <w:jc w:val="left"/>
                    <w:rPr>
                      <w:rFonts w:cs="Times New Roman"/>
                      <w:color w:val="auto"/>
                      <w:sz w:val="21"/>
                      <w:szCs w:val="21"/>
                    </w:rPr>
                  </w:pPr>
                  <w:r>
                    <w:rPr>
                      <w:rFonts w:hint="eastAsia" w:cs="Times New Roman"/>
                      <w:color w:val="auto"/>
                      <w:sz w:val="21"/>
                      <w:szCs w:val="21"/>
                    </w:rPr>
                    <w:t>（三）建筑陶瓷产业园规划布局建筑陶瓷，新能源产业，废气污染物排放量较大，要科学确定防护距离，合理设置缓冲隔离带或绿化屏障。</w:t>
                  </w:r>
                </w:p>
              </w:tc>
              <w:tc>
                <w:tcPr>
                  <w:tcW w:w="2288" w:type="dxa"/>
                  <w:tcBorders>
                    <w:tl2br w:val="nil"/>
                    <w:tr2bl w:val="nil"/>
                  </w:tcBorders>
                  <w:noWrap/>
                  <w:vAlign w:val="center"/>
                </w:tcPr>
                <w:p w14:paraId="4150EBF6">
                  <w:pPr>
                    <w:pStyle w:val="155"/>
                    <w:spacing w:before="0"/>
                    <w:jc w:val="left"/>
                    <w:rPr>
                      <w:rFonts w:cs="Times New Roman"/>
                      <w:color w:val="auto"/>
                      <w:sz w:val="21"/>
                      <w:szCs w:val="21"/>
                    </w:rPr>
                  </w:pPr>
                  <w:r>
                    <w:rPr>
                      <w:rFonts w:hint="eastAsia" w:cs="Times New Roman"/>
                      <w:color w:val="auto"/>
                      <w:sz w:val="21"/>
                      <w:szCs w:val="21"/>
                    </w:rPr>
                    <w:t>本项目位于新世纪产业园，不涉及建筑陶瓷产业园。</w:t>
                  </w:r>
                </w:p>
              </w:tc>
              <w:tc>
                <w:tcPr>
                  <w:tcW w:w="866" w:type="dxa"/>
                  <w:tcBorders>
                    <w:tl2br w:val="nil"/>
                    <w:tr2bl w:val="nil"/>
                  </w:tcBorders>
                  <w:noWrap/>
                  <w:vAlign w:val="center"/>
                </w:tcPr>
                <w:p w14:paraId="316EA1C0">
                  <w:pPr>
                    <w:pStyle w:val="155"/>
                    <w:spacing w:before="0"/>
                    <w:rPr>
                      <w:rFonts w:cs="Times New Roman"/>
                      <w:color w:val="auto"/>
                      <w:sz w:val="21"/>
                      <w:szCs w:val="21"/>
                    </w:rPr>
                  </w:pPr>
                  <w:r>
                    <w:rPr>
                      <w:rFonts w:hint="eastAsia" w:cs="Times New Roman"/>
                      <w:color w:val="auto"/>
                      <w:sz w:val="21"/>
                      <w:szCs w:val="21"/>
                    </w:rPr>
                    <w:t>符合</w:t>
                  </w:r>
                </w:p>
              </w:tc>
            </w:tr>
            <w:tr w14:paraId="600836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824" w:type="dxa"/>
                  <w:tcBorders>
                    <w:tl2br w:val="nil"/>
                    <w:tr2bl w:val="nil"/>
                  </w:tcBorders>
                  <w:noWrap/>
                  <w:vAlign w:val="center"/>
                </w:tcPr>
                <w:p w14:paraId="6D43CCC0">
                  <w:pPr>
                    <w:pStyle w:val="155"/>
                    <w:spacing w:before="0"/>
                    <w:jc w:val="left"/>
                    <w:rPr>
                      <w:rFonts w:cs="Times New Roman"/>
                      <w:color w:val="auto"/>
                      <w:sz w:val="21"/>
                      <w:szCs w:val="21"/>
                    </w:rPr>
                  </w:pPr>
                  <w:r>
                    <w:rPr>
                      <w:rFonts w:hint="eastAsia" w:cs="Times New Roman"/>
                      <w:color w:val="auto"/>
                      <w:sz w:val="21"/>
                      <w:szCs w:val="21"/>
                    </w:rPr>
                    <w:t>（四）针对大港河氟化物因子超标问题，尽快推进高安市大港河水质净化工程及高安市工业园污水处理厂入河排污口迁移工作。</w:t>
                  </w:r>
                </w:p>
              </w:tc>
              <w:tc>
                <w:tcPr>
                  <w:tcW w:w="2288" w:type="dxa"/>
                  <w:tcBorders>
                    <w:tl2br w:val="nil"/>
                    <w:tr2bl w:val="nil"/>
                  </w:tcBorders>
                  <w:noWrap/>
                  <w:vAlign w:val="center"/>
                </w:tcPr>
                <w:p w14:paraId="1F4A3962">
                  <w:pPr>
                    <w:pStyle w:val="155"/>
                    <w:spacing w:before="0"/>
                    <w:jc w:val="left"/>
                    <w:rPr>
                      <w:rFonts w:cs="Times New Roman"/>
                      <w:color w:val="auto"/>
                      <w:sz w:val="21"/>
                      <w:szCs w:val="21"/>
                    </w:rPr>
                  </w:pPr>
                  <w:r>
                    <w:rPr>
                      <w:rFonts w:hint="eastAsia" w:cs="Times New Roman"/>
                      <w:color w:val="auto"/>
                      <w:sz w:val="21"/>
                      <w:szCs w:val="21"/>
                    </w:rPr>
                    <w:t>本项目位于新世纪产业园，项目所在地地表水为锦江，不涉及大港河。</w:t>
                  </w:r>
                </w:p>
              </w:tc>
              <w:tc>
                <w:tcPr>
                  <w:tcW w:w="866" w:type="dxa"/>
                  <w:tcBorders>
                    <w:tl2br w:val="nil"/>
                    <w:tr2bl w:val="nil"/>
                  </w:tcBorders>
                  <w:noWrap/>
                  <w:vAlign w:val="center"/>
                </w:tcPr>
                <w:p w14:paraId="3947B562">
                  <w:pPr>
                    <w:pStyle w:val="155"/>
                    <w:spacing w:before="0"/>
                    <w:rPr>
                      <w:rFonts w:cs="Times New Roman"/>
                      <w:color w:val="auto"/>
                      <w:sz w:val="21"/>
                      <w:szCs w:val="21"/>
                    </w:rPr>
                  </w:pPr>
                  <w:r>
                    <w:rPr>
                      <w:rFonts w:hint="eastAsia" w:cs="Times New Roman"/>
                      <w:color w:val="auto"/>
                      <w:sz w:val="21"/>
                      <w:szCs w:val="21"/>
                    </w:rPr>
                    <w:t>符合</w:t>
                  </w:r>
                </w:p>
              </w:tc>
            </w:tr>
            <w:tr w14:paraId="35CA25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824" w:type="dxa"/>
                  <w:tcBorders>
                    <w:tl2br w:val="nil"/>
                    <w:tr2bl w:val="nil"/>
                  </w:tcBorders>
                  <w:noWrap/>
                  <w:vAlign w:val="center"/>
                </w:tcPr>
                <w:p w14:paraId="0539F055">
                  <w:pPr>
                    <w:pStyle w:val="155"/>
                    <w:spacing w:before="0"/>
                    <w:jc w:val="left"/>
                    <w:rPr>
                      <w:rFonts w:hint="eastAsia" w:eastAsia="宋体" w:cs="Times New Roman"/>
                      <w:color w:val="auto"/>
                      <w:sz w:val="21"/>
                      <w:szCs w:val="21"/>
                      <w:lang w:eastAsia="zh-CN"/>
                    </w:rPr>
                  </w:pPr>
                  <w:r>
                    <w:rPr>
                      <w:rFonts w:hint="eastAsia" w:cs="Times New Roman"/>
                      <w:color w:val="auto"/>
                      <w:sz w:val="21"/>
                      <w:szCs w:val="21"/>
                    </w:rPr>
                    <w:t>（五）合理规划碳酸锂等新能源产业发展规模并配套固体废物处置设施建设</w:t>
                  </w:r>
                  <w:r>
                    <w:rPr>
                      <w:rFonts w:hint="eastAsia" w:cs="Times New Roman"/>
                      <w:color w:val="auto"/>
                      <w:sz w:val="21"/>
                      <w:szCs w:val="21"/>
                      <w:lang w:eastAsia="zh-CN"/>
                    </w:rPr>
                    <w:t>。</w:t>
                  </w:r>
                </w:p>
              </w:tc>
              <w:tc>
                <w:tcPr>
                  <w:tcW w:w="2288" w:type="dxa"/>
                  <w:tcBorders>
                    <w:tl2br w:val="nil"/>
                    <w:tr2bl w:val="nil"/>
                  </w:tcBorders>
                  <w:noWrap/>
                  <w:vAlign w:val="center"/>
                </w:tcPr>
                <w:p w14:paraId="52DB3BD6">
                  <w:pPr>
                    <w:pStyle w:val="155"/>
                    <w:spacing w:before="0"/>
                    <w:jc w:val="left"/>
                    <w:rPr>
                      <w:rFonts w:cs="Times New Roman"/>
                      <w:color w:val="auto"/>
                      <w:sz w:val="21"/>
                      <w:szCs w:val="21"/>
                    </w:rPr>
                  </w:pPr>
                  <w:r>
                    <w:rPr>
                      <w:rFonts w:hint="eastAsia" w:cs="Times New Roman"/>
                      <w:color w:val="auto"/>
                      <w:sz w:val="21"/>
                      <w:szCs w:val="21"/>
                    </w:rPr>
                    <w:t>本项目为</w:t>
                  </w:r>
                  <w:r>
                    <w:rPr>
                      <w:rFonts w:hint="eastAsia" w:cs="Times New Roman"/>
                      <w:color w:val="auto"/>
                      <w:sz w:val="21"/>
                      <w:szCs w:val="21"/>
                      <w:lang w:eastAsia="zh-CN"/>
                    </w:rPr>
                    <w:t>齿轮及齿轮减、变速箱制造</w:t>
                  </w:r>
                  <w:r>
                    <w:rPr>
                      <w:rFonts w:hint="eastAsia" w:cs="Times New Roman"/>
                      <w:color w:val="auto"/>
                      <w:sz w:val="21"/>
                      <w:szCs w:val="21"/>
                    </w:rPr>
                    <w:t>，不涉及碳酸锂等新能源产业。</w:t>
                  </w:r>
                </w:p>
              </w:tc>
              <w:tc>
                <w:tcPr>
                  <w:tcW w:w="866" w:type="dxa"/>
                  <w:tcBorders>
                    <w:tl2br w:val="nil"/>
                    <w:tr2bl w:val="nil"/>
                  </w:tcBorders>
                  <w:noWrap/>
                  <w:vAlign w:val="center"/>
                </w:tcPr>
                <w:p w14:paraId="3E47B4F4">
                  <w:pPr>
                    <w:pStyle w:val="155"/>
                    <w:spacing w:before="0"/>
                    <w:rPr>
                      <w:rFonts w:cs="Times New Roman"/>
                      <w:color w:val="auto"/>
                      <w:sz w:val="21"/>
                      <w:szCs w:val="21"/>
                    </w:rPr>
                  </w:pPr>
                  <w:r>
                    <w:rPr>
                      <w:rFonts w:hint="eastAsia" w:cs="Times New Roman"/>
                      <w:color w:val="auto"/>
                      <w:sz w:val="21"/>
                      <w:szCs w:val="21"/>
                    </w:rPr>
                    <w:t>符合</w:t>
                  </w:r>
                </w:p>
              </w:tc>
            </w:tr>
            <w:tr w14:paraId="1EC2E4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6978" w:type="dxa"/>
                  <w:gridSpan w:val="3"/>
                  <w:tcBorders>
                    <w:tl2br w:val="nil"/>
                    <w:tr2bl w:val="nil"/>
                  </w:tcBorders>
                  <w:noWrap/>
                  <w:vAlign w:val="center"/>
                </w:tcPr>
                <w:p w14:paraId="37F42729">
                  <w:pPr>
                    <w:pStyle w:val="155"/>
                    <w:spacing w:before="0"/>
                    <w:jc w:val="center"/>
                    <w:rPr>
                      <w:rFonts w:cs="Times New Roman"/>
                      <w:color w:val="auto"/>
                      <w:sz w:val="21"/>
                      <w:szCs w:val="21"/>
                    </w:rPr>
                  </w:pPr>
                  <w:r>
                    <w:rPr>
                      <w:rFonts w:hint="eastAsia" w:cs="Times New Roman"/>
                      <w:color w:val="auto"/>
                      <w:sz w:val="21"/>
                      <w:szCs w:val="21"/>
                    </w:rPr>
                    <w:t>实施过程中的环境管理意见</w:t>
                  </w:r>
                </w:p>
              </w:tc>
            </w:tr>
            <w:tr w14:paraId="6FFAFD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43" w:hRule="atLeast"/>
                <w:jc w:val="center"/>
              </w:trPr>
              <w:tc>
                <w:tcPr>
                  <w:tcW w:w="3824" w:type="dxa"/>
                  <w:tcBorders>
                    <w:tl2br w:val="nil"/>
                    <w:tr2bl w:val="nil"/>
                  </w:tcBorders>
                  <w:noWrap/>
                  <w:vAlign w:val="center"/>
                </w:tcPr>
                <w:p w14:paraId="00D3E71B">
                  <w:pPr>
                    <w:pStyle w:val="155"/>
                    <w:spacing w:before="0"/>
                    <w:jc w:val="left"/>
                    <w:rPr>
                      <w:rFonts w:cs="Times New Roman"/>
                      <w:color w:val="auto"/>
                      <w:sz w:val="21"/>
                      <w:szCs w:val="21"/>
                    </w:rPr>
                  </w:pPr>
                  <w:r>
                    <w:rPr>
                      <w:rFonts w:hint="eastAsia" w:cs="Times New Roman"/>
                      <w:color w:val="auto"/>
                      <w:sz w:val="21"/>
                      <w:szCs w:val="21"/>
                    </w:rPr>
                    <w:t>（一）下阶段入园项目的环评重点应放在敏感目标环境空气影响分析、防护距离设置、地表水影响分析、规划相符性分析、环境风险影响分析及污染治理措施可行性论证等方面，对符合规划环评环境管控要求和生态环境准入清单的具体建设项目，应将规划环评结论作为重要依据。当规划环评中资源、环境现状调查与评价结果仍具有时效性时，规划所包含的建设项目环评中的现状调查与评价内容可适当简化。</w:t>
                  </w:r>
                </w:p>
              </w:tc>
              <w:tc>
                <w:tcPr>
                  <w:tcW w:w="2288" w:type="dxa"/>
                  <w:tcBorders>
                    <w:tl2br w:val="nil"/>
                    <w:tr2bl w:val="nil"/>
                  </w:tcBorders>
                  <w:noWrap/>
                  <w:vAlign w:val="center"/>
                </w:tcPr>
                <w:p w14:paraId="1ECBF74C">
                  <w:pPr>
                    <w:pStyle w:val="155"/>
                    <w:spacing w:before="0"/>
                    <w:jc w:val="left"/>
                    <w:rPr>
                      <w:rFonts w:cs="Times New Roman"/>
                      <w:color w:val="auto"/>
                      <w:sz w:val="21"/>
                      <w:szCs w:val="21"/>
                    </w:rPr>
                  </w:pPr>
                  <w:r>
                    <w:rPr>
                      <w:rFonts w:hint="eastAsia" w:cs="Times New Roman"/>
                      <w:color w:val="0000FF"/>
                      <w:sz w:val="21"/>
                      <w:szCs w:val="21"/>
                    </w:rPr>
                    <w:t>本项目为</w:t>
                  </w:r>
                  <w:r>
                    <w:rPr>
                      <w:rFonts w:hint="eastAsia" w:cs="Times New Roman"/>
                      <w:color w:val="0000FF"/>
                      <w:sz w:val="21"/>
                      <w:szCs w:val="21"/>
                      <w:lang w:val="en-US" w:eastAsia="zh-CN"/>
                    </w:rPr>
                    <w:t>改扩建</w:t>
                  </w:r>
                  <w:r>
                    <w:rPr>
                      <w:rFonts w:hint="eastAsia" w:cs="Times New Roman"/>
                      <w:color w:val="0000FF"/>
                      <w:sz w:val="21"/>
                      <w:szCs w:val="21"/>
                    </w:rPr>
                    <w:t>项目，项目依托现有生产用房，不新增用地，主要产生大气污染物</w:t>
                  </w:r>
                  <w:r>
                    <w:rPr>
                      <w:rFonts w:hint="eastAsia" w:cs="Times New Roman"/>
                      <w:color w:val="0000FF"/>
                      <w:sz w:val="21"/>
                      <w:szCs w:val="21"/>
                      <w:lang w:val="en-US" w:eastAsia="zh-CN"/>
                    </w:rPr>
                    <w:t>为</w:t>
                  </w:r>
                  <w:r>
                    <w:rPr>
                      <w:rFonts w:hint="eastAsia" w:cs="Times New Roman"/>
                      <w:color w:val="0000FF"/>
                      <w:sz w:val="21"/>
                      <w:szCs w:val="21"/>
                    </w:rPr>
                    <w:t>颗粒物、非甲烷总烃、二甲苯，均稳定达标排放。</w:t>
                  </w:r>
                </w:p>
              </w:tc>
              <w:tc>
                <w:tcPr>
                  <w:tcW w:w="866" w:type="dxa"/>
                  <w:tcBorders>
                    <w:tl2br w:val="nil"/>
                    <w:tr2bl w:val="nil"/>
                  </w:tcBorders>
                  <w:noWrap/>
                  <w:vAlign w:val="center"/>
                </w:tcPr>
                <w:p w14:paraId="3F13F68D">
                  <w:pPr>
                    <w:pStyle w:val="155"/>
                    <w:spacing w:before="0"/>
                    <w:rPr>
                      <w:rFonts w:cs="Times New Roman"/>
                      <w:color w:val="auto"/>
                      <w:sz w:val="21"/>
                      <w:szCs w:val="21"/>
                    </w:rPr>
                  </w:pPr>
                  <w:r>
                    <w:rPr>
                      <w:rFonts w:hint="eastAsia" w:cs="Times New Roman"/>
                      <w:color w:val="auto"/>
                      <w:sz w:val="21"/>
                      <w:szCs w:val="21"/>
                    </w:rPr>
                    <w:t>符合</w:t>
                  </w:r>
                </w:p>
              </w:tc>
            </w:tr>
            <w:tr w14:paraId="54188C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58" w:hRule="atLeast"/>
                <w:jc w:val="center"/>
              </w:trPr>
              <w:tc>
                <w:tcPr>
                  <w:tcW w:w="3824" w:type="dxa"/>
                  <w:tcBorders>
                    <w:tl2br w:val="nil"/>
                    <w:tr2bl w:val="nil"/>
                  </w:tcBorders>
                  <w:noWrap/>
                  <w:vAlign w:val="center"/>
                </w:tcPr>
                <w:p w14:paraId="2CB70E55">
                  <w:pPr>
                    <w:pStyle w:val="155"/>
                    <w:spacing w:before="0"/>
                    <w:jc w:val="left"/>
                    <w:rPr>
                      <w:rFonts w:cs="Times New Roman"/>
                      <w:color w:val="auto"/>
                      <w:sz w:val="21"/>
                      <w:szCs w:val="21"/>
                    </w:rPr>
                  </w:pPr>
                  <w:r>
                    <w:rPr>
                      <w:rFonts w:hint="eastAsia" w:cs="Times New Roman"/>
                      <w:color w:val="auto"/>
                      <w:sz w:val="21"/>
                      <w:szCs w:val="21"/>
                    </w:rPr>
                    <w:t>（二）园区管理部门应制定环境管理计划，建立有效的环境监控体系，实现园区环境目标。及时开展规划实施后不同阶段的环境影响跟踪评价，掌握规划实施后环境变化趋势。</w:t>
                  </w:r>
                </w:p>
              </w:tc>
              <w:tc>
                <w:tcPr>
                  <w:tcW w:w="2288" w:type="dxa"/>
                  <w:tcBorders>
                    <w:tl2br w:val="nil"/>
                    <w:tr2bl w:val="nil"/>
                  </w:tcBorders>
                  <w:noWrap/>
                  <w:vAlign w:val="center"/>
                </w:tcPr>
                <w:p w14:paraId="6A238597">
                  <w:pPr>
                    <w:pStyle w:val="155"/>
                    <w:spacing w:before="0"/>
                    <w:rPr>
                      <w:rFonts w:cs="Times New Roman"/>
                      <w:color w:val="auto"/>
                      <w:sz w:val="21"/>
                      <w:szCs w:val="21"/>
                    </w:rPr>
                  </w:pPr>
                  <w:r>
                    <w:rPr>
                      <w:rFonts w:hint="eastAsia" w:cs="Times New Roman"/>
                      <w:color w:val="auto"/>
                      <w:sz w:val="21"/>
                      <w:szCs w:val="21"/>
                    </w:rPr>
                    <w:t>不涉及</w:t>
                  </w:r>
                </w:p>
              </w:tc>
              <w:tc>
                <w:tcPr>
                  <w:tcW w:w="866" w:type="dxa"/>
                  <w:tcBorders>
                    <w:tl2br w:val="nil"/>
                    <w:tr2bl w:val="nil"/>
                  </w:tcBorders>
                  <w:noWrap/>
                  <w:vAlign w:val="center"/>
                </w:tcPr>
                <w:p w14:paraId="2D064AE4">
                  <w:pPr>
                    <w:pStyle w:val="155"/>
                    <w:spacing w:before="0"/>
                    <w:rPr>
                      <w:rFonts w:cs="Times New Roman"/>
                      <w:color w:val="auto"/>
                      <w:sz w:val="21"/>
                      <w:szCs w:val="21"/>
                    </w:rPr>
                  </w:pPr>
                  <w:r>
                    <w:rPr>
                      <w:rFonts w:hint="eastAsia" w:cs="Times New Roman"/>
                      <w:color w:val="auto"/>
                      <w:sz w:val="21"/>
                      <w:szCs w:val="21"/>
                    </w:rPr>
                    <w:t>符合</w:t>
                  </w:r>
                </w:p>
              </w:tc>
            </w:tr>
            <w:tr w14:paraId="229C48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88" w:hRule="atLeast"/>
                <w:jc w:val="center"/>
              </w:trPr>
              <w:tc>
                <w:tcPr>
                  <w:tcW w:w="3824" w:type="dxa"/>
                  <w:tcBorders>
                    <w:tl2br w:val="nil"/>
                    <w:tr2bl w:val="nil"/>
                  </w:tcBorders>
                  <w:noWrap/>
                  <w:vAlign w:val="center"/>
                </w:tcPr>
                <w:p w14:paraId="030D3D40">
                  <w:pPr>
                    <w:pStyle w:val="155"/>
                    <w:spacing w:before="0"/>
                    <w:jc w:val="left"/>
                    <w:rPr>
                      <w:rFonts w:cs="Times New Roman"/>
                      <w:color w:val="auto"/>
                      <w:sz w:val="21"/>
                      <w:szCs w:val="21"/>
                    </w:rPr>
                  </w:pPr>
                  <w:r>
                    <w:rPr>
                      <w:rFonts w:hint="eastAsia" w:cs="Times New Roman"/>
                      <w:color w:val="auto"/>
                      <w:sz w:val="21"/>
                      <w:szCs w:val="21"/>
                    </w:rPr>
                    <w:t>（三）高安市政府应制定污染物总量年度减排计划并严格执行，全面推进污染治理，积极优化产业结构，鼓励支持低碳产业发展，实现总量控制目标。</w:t>
                  </w:r>
                </w:p>
              </w:tc>
              <w:tc>
                <w:tcPr>
                  <w:tcW w:w="2288" w:type="dxa"/>
                  <w:tcBorders>
                    <w:tl2br w:val="nil"/>
                    <w:tr2bl w:val="nil"/>
                  </w:tcBorders>
                  <w:noWrap/>
                  <w:vAlign w:val="center"/>
                </w:tcPr>
                <w:p w14:paraId="79BEC616">
                  <w:pPr>
                    <w:pStyle w:val="155"/>
                    <w:spacing w:before="0"/>
                    <w:jc w:val="left"/>
                    <w:rPr>
                      <w:rFonts w:cs="Times New Roman"/>
                      <w:color w:val="auto"/>
                      <w:sz w:val="21"/>
                      <w:szCs w:val="21"/>
                    </w:rPr>
                  </w:pPr>
                  <w:r>
                    <w:rPr>
                      <w:rFonts w:hint="eastAsia" w:cs="Times New Roman"/>
                      <w:color w:val="auto"/>
                      <w:sz w:val="21"/>
                      <w:szCs w:val="21"/>
                    </w:rPr>
                    <w:t>本项目主要污染物排放总量符合总量控制要求</w:t>
                  </w:r>
                </w:p>
              </w:tc>
              <w:tc>
                <w:tcPr>
                  <w:tcW w:w="866" w:type="dxa"/>
                  <w:tcBorders>
                    <w:tl2br w:val="nil"/>
                    <w:tr2bl w:val="nil"/>
                  </w:tcBorders>
                  <w:noWrap/>
                  <w:vAlign w:val="center"/>
                </w:tcPr>
                <w:p w14:paraId="65216E5E">
                  <w:pPr>
                    <w:pStyle w:val="155"/>
                    <w:spacing w:before="0"/>
                    <w:rPr>
                      <w:rFonts w:cs="Times New Roman"/>
                      <w:color w:val="auto"/>
                      <w:sz w:val="21"/>
                      <w:szCs w:val="21"/>
                    </w:rPr>
                  </w:pPr>
                  <w:r>
                    <w:rPr>
                      <w:rFonts w:hint="eastAsia" w:cs="Times New Roman"/>
                      <w:color w:val="auto"/>
                      <w:sz w:val="21"/>
                      <w:szCs w:val="21"/>
                    </w:rPr>
                    <w:t>符合</w:t>
                  </w:r>
                </w:p>
              </w:tc>
            </w:tr>
          </w:tbl>
          <w:p w14:paraId="0AC1F2D4">
            <w:pPr>
              <w:spacing w:line="360" w:lineRule="auto"/>
              <w:ind w:firstLine="480"/>
              <w:rPr>
                <w:rFonts w:hint="default" w:ascii="Times New Roman" w:hAnsi="Times New Roman" w:eastAsia="宋体" w:cs="Times New Roman"/>
                <w:color w:val="auto"/>
                <w:sz w:val="24"/>
                <w:szCs w:val="24"/>
                <w:highlight w:val="none"/>
              </w:rPr>
            </w:pPr>
          </w:p>
          <w:p w14:paraId="65FAB3E2">
            <w:pPr>
              <w:spacing w:line="360" w:lineRule="auto"/>
              <w:ind w:firstLine="480"/>
              <w:rPr>
                <w:rFonts w:hint="default" w:ascii="Times New Roman" w:hAnsi="Times New Roman" w:eastAsia="宋体" w:cs="Times New Roman"/>
                <w:color w:val="auto"/>
                <w:sz w:val="24"/>
                <w:szCs w:val="24"/>
                <w:highlight w:val="none"/>
              </w:rPr>
            </w:pPr>
          </w:p>
          <w:p w14:paraId="4A56B6D5">
            <w:pPr>
              <w:spacing w:line="360" w:lineRule="auto"/>
              <w:ind w:firstLine="480"/>
              <w:rPr>
                <w:rFonts w:hint="default" w:ascii="Times New Roman" w:hAnsi="Times New Roman" w:eastAsia="宋体" w:cs="Times New Roman"/>
                <w:color w:val="auto"/>
                <w:kern w:val="0"/>
                <w:sz w:val="24"/>
                <w:szCs w:val="24"/>
                <w:highlight w:val="none"/>
                <w:lang w:eastAsia="zh-CN"/>
              </w:rPr>
            </w:pPr>
          </w:p>
        </w:tc>
      </w:tr>
      <w:tr w14:paraId="1BA90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2" w:hRule="atLeast"/>
          <w:jc w:val="center"/>
        </w:trPr>
        <w:tc>
          <w:tcPr>
            <w:tcW w:w="1778" w:type="dxa"/>
            <w:noWrap w:val="0"/>
            <w:vAlign w:val="center"/>
          </w:tcPr>
          <w:p w14:paraId="7D6C1C37">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其他符合性分析</w:t>
            </w:r>
          </w:p>
        </w:tc>
        <w:tc>
          <w:tcPr>
            <w:tcW w:w="7121" w:type="dxa"/>
            <w:gridSpan w:val="3"/>
            <w:noWrap w:val="0"/>
            <w:vAlign w:val="center"/>
          </w:tcPr>
          <w:p w14:paraId="7FCE8CE5">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1、产业政策相符性</w:t>
            </w:r>
          </w:p>
          <w:p w14:paraId="2358ED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rPr>
            </w:pPr>
            <w:r>
              <w:rPr>
                <w:rFonts w:hint="default" w:ascii="Times New Roman" w:hAnsi="Times New Roman" w:eastAsia="宋体" w:cs="Times New Roman"/>
                <w:color w:val="auto"/>
                <w:sz w:val="24"/>
                <w:szCs w:val="24"/>
                <w:highlight w:val="none"/>
                <w:lang w:val="en-US" w:eastAsia="zh-CN"/>
              </w:rPr>
              <w:t>根据《国民经济行业分类》（GB/T4754-2017），本项目属于</w:t>
            </w:r>
            <w:r>
              <w:rPr>
                <w:rFonts w:hint="eastAsia" w:cs="Times New Roman"/>
                <w:color w:val="auto"/>
                <w:sz w:val="24"/>
                <w:szCs w:val="24"/>
                <w:highlight w:val="none"/>
                <w:lang w:val="en-US" w:eastAsia="zh-CN"/>
              </w:rPr>
              <w:t>C3453齿轮及齿轮减、变速箱制造</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根据《产业结构调整指导目录（20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rPr>
              <w:t>年本）》，</w:t>
            </w:r>
            <w:r>
              <w:rPr>
                <w:rFonts w:hint="default" w:ascii="Times New Roman" w:hAnsi="Times New Roman" w:eastAsia="宋体" w:cs="Times New Roman"/>
                <w:color w:val="auto"/>
                <w:sz w:val="24"/>
                <w:szCs w:val="24"/>
                <w:highlight w:val="none"/>
                <w:lang w:val="en-US" w:eastAsia="zh-CN"/>
              </w:rPr>
              <w:t>本项目不属于鼓励类、限制类和淘汰类，</w:t>
            </w:r>
            <w:r>
              <w:rPr>
                <w:rFonts w:hint="eastAsia" w:cs="Times New Roman"/>
                <w:color w:val="auto"/>
                <w:sz w:val="24"/>
                <w:szCs w:val="24"/>
                <w:highlight w:val="none"/>
                <w:lang w:val="en-US" w:eastAsia="zh-CN"/>
              </w:rPr>
              <w:t>可</w:t>
            </w:r>
            <w:r>
              <w:rPr>
                <w:rFonts w:hint="default" w:ascii="Times New Roman" w:hAnsi="Times New Roman" w:eastAsia="宋体" w:cs="Times New Roman"/>
                <w:color w:val="auto"/>
                <w:sz w:val="24"/>
                <w:szCs w:val="24"/>
                <w:highlight w:val="none"/>
                <w:lang w:val="en-US" w:eastAsia="zh-CN"/>
              </w:rPr>
              <w:t>视为允许类</w:t>
            </w:r>
            <w:r>
              <w:rPr>
                <w:rFonts w:hint="default" w:ascii="Times New Roman" w:hAnsi="Times New Roman" w:eastAsia="宋体" w:cs="Times New Roman"/>
                <w:bCs/>
                <w:snapToGrid w:val="0"/>
                <w:color w:val="auto"/>
                <w:kern w:val="0"/>
                <w:sz w:val="24"/>
                <w:highlight w:val="none"/>
                <w:lang w:eastAsia="zh-CN"/>
              </w:rPr>
              <w:t>；</w:t>
            </w:r>
            <w:r>
              <w:rPr>
                <w:rFonts w:hint="default" w:ascii="Times New Roman" w:hAnsi="Times New Roman" w:eastAsia="宋体" w:cs="Times New Roman"/>
                <w:b w:val="0"/>
                <w:bCs w:val="0"/>
                <w:color w:val="auto"/>
                <w:kern w:val="0"/>
                <w:sz w:val="24"/>
                <w:szCs w:val="24"/>
                <w:highlight w:val="none"/>
              </w:rPr>
              <w:t>且该项目已在</w:t>
            </w:r>
            <w:r>
              <w:rPr>
                <w:rFonts w:hint="default" w:ascii="Times New Roman" w:hAnsi="Times New Roman" w:eastAsia="宋体" w:cs="Times New Roman"/>
                <w:color w:val="auto"/>
                <w:sz w:val="24"/>
                <w:szCs w:val="24"/>
                <w:highlight w:val="none"/>
                <w:shd w:val="clear" w:color="auto" w:fill="auto"/>
                <w:lang w:val="en-US" w:eastAsia="zh-CN"/>
              </w:rPr>
              <w:t>高安市行政审批局</w:t>
            </w:r>
            <w:r>
              <w:rPr>
                <w:rFonts w:hint="default" w:ascii="Times New Roman" w:hAnsi="Times New Roman" w:eastAsia="宋体" w:cs="Times New Roman"/>
                <w:b w:val="0"/>
                <w:bCs w:val="0"/>
                <w:color w:val="auto"/>
                <w:kern w:val="0"/>
                <w:sz w:val="24"/>
                <w:szCs w:val="24"/>
                <w:highlight w:val="none"/>
              </w:rPr>
              <w:t>备案</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项目统一</w:t>
            </w:r>
            <w:r>
              <w:rPr>
                <w:rFonts w:hint="default" w:ascii="Times New Roman" w:hAnsi="Times New Roman" w:eastAsia="宋体" w:cs="Times New Roman"/>
                <w:color w:val="auto"/>
                <w:sz w:val="24"/>
                <w:highlight w:val="none"/>
              </w:rPr>
              <w:t>代码：</w:t>
            </w:r>
            <w:r>
              <w:rPr>
                <w:rFonts w:hint="eastAsia" w:cs="Times New Roman"/>
                <w:color w:val="auto"/>
                <w:sz w:val="24"/>
                <w:highlight w:val="none"/>
                <w:lang w:eastAsia="zh-CN"/>
              </w:rPr>
              <w:t>2512-360983-07-02-134740</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因此项目</w:t>
            </w:r>
            <w:r>
              <w:rPr>
                <w:rFonts w:hint="eastAsia" w:cs="Times New Roman"/>
                <w:color w:val="auto"/>
                <w:sz w:val="24"/>
                <w:highlight w:val="none"/>
                <w:lang w:val="en-US" w:eastAsia="zh-CN"/>
              </w:rPr>
              <w:t>建设</w:t>
            </w:r>
            <w:r>
              <w:rPr>
                <w:rFonts w:hint="default" w:ascii="Times New Roman" w:hAnsi="Times New Roman" w:eastAsia="宋体" w:cs="Times New Roman"/>
                <w:color w:val="auto"/>
                <w:sz w:val="24"/>
                <w:highlight w:val="none"/>
                <w:lang w:val="en-US" w:eastAsia="zh-CN"/>
              </w:rPr>
              <w:t>符合国家和地方产业政策要求</w:t>
            </w:r>
            <w:r>
              <w:rPr>
                <w:rFonts w:hint="default" w:ascii="Times New Roman" w:hAnsi="Times New Roman" w:eastAsia="宋体" w:cs="Times New Roman"/>
                <w:color w:val="auto"/>
                <w:sz w:val="24"/>
                <w:highlight w:val="none"/>
              </w:rPr>
              <w:t>。</w:t>
            </w:r>
          </w:p>
          <w:p w14:paraId="63B3A0DF">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2、选址</w:t>
            </w:r>
            <w:r>
              <w:rPr>
                <w:rFonts w:hint="eastAsia" w:cs="Times New Roman"/>
                <w:b/>
                <w:color w:val="auto"/>
                <w:sz w:val="24"/>
                <w:szCs w:val="24"/>
                <w:highlight w:val="none"/>
                <w:lang w:val="en-US" w:eastAsia="zh-CN"/>
              </w:rPr>
              <w:t>可行</w:t>
            </w:r>
            <w:r>
              <w:rPr>
                <w:rFonts w:hint="default" w:ascii="Times New Roman" w:hAnsi="Times New Roman" w:eastAsia="宋体" w:cs="Times New Roman"/>
                <w:b/>
                <w:color w:val="auto"/>
                <w:sz w:val="24"/>
                <w:szCs w:val="24"/>
                <w:highlight w:val="none"/>
              </w:rPr>
              <w:t>性分析</w:t>
            </w:r>
          </w:p>
          <w:p w14:paraId="3BEEBD8A">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eastAsia="zh-CN"/>
              </w:rPr>
              <w:t>（</w:t>
            </w:r>
            <w:r>
              <w:rPr>
                <w:rFonts w:hint="eastAsia" w:cs="Times New Roman"/>
                <w:color w:val="auto"/>
                <w:sz w:val="24"/>
                <w:highlight w:val="none"/>
                <w:lang w:val="en-US" w:eastAsia="zh-CN"/>
              </w:rPr>
              <w:t>1</w:t>
            </w:r>
            <w:r>
              <w:rPr>
                <w:rFonts w:hint="eastAsia" w:cs="Times New Roman"/>
                <w:color w:val="auto"/>
                <w:sz w:val="24"/>
                <w:highlight w:val="none"/>
                <w:lang w:eastAsia="zh-CN"/>
              </w:rPr>
              <w:t>）</w:t>
            </w:r>
            <w:r>
              <w:rPr>
                <w:rFonts w:hint="eastAsia" w:cs="Times New Roman"/>
                <w:color w:val="auto"/>
                <w:sz w:val="24"/>
                <w:highlight w:val="none"/>
                <w:lang w:val="en-US" w:eastAsia="zh-CN"/>
              </w:rPr>
              <w:t>用地性质相符性分析</w:t>
            </w:r>
          </w:p>
          <w:p w14:paraId="3E6C3615">
            <w:pPr>
              <w:spacing w:line="360" w:lineRule="auto"/>
              <w:ind w:firstLine="480" w:firstLineChars="200"/>
              <w:rPr>
                <w:rFonts w:hint="default" w:ascii="Times New Roman" w:hAnsi="Times New Roman" w:eastAsia="宋体" w:cs="Times New Roman"/>
                <w:color w:val="auto"/>
                <w:kern w:val="0"/>
                <w:sz w:val="24"/>
                <w:highlight w:val="none"/>
                <w:shd w:val="clear" w:color="auto" w:fill="FFFFFF"/>
              </w:rPr>
            </w:pPr>
            <w:r>
              <w:rPr>
                <w:rFonts w:hint="default" w:ascii="Times New Roman" w:hAnsi="Times New Roman" w:eastAsia="宋体" w:cs="Times New Roman"/>
                <w:color w:val="auto"/>
                <w:sz w:val="24"/>
                <w:highlight w:val="none"/>
              </w:rPr>
              <w:t>项目选址位于</w:t>
            </w:r>
            <w:r>
              <w:rPr>
                <w:rFonts w:hint="default" w:ascii="Times New Roman" w:hAnsi="Times New Roman" w:cs="Times New Roman"/>
                <w:color w:val="auto"/>
                <w:sz w:val="24"/>
                <w:szCs w:val="24"/>
                <w:highlight w:val="none"/>
                <w:lang w:eastAsia="zh-CN"/>
              </w:rPr>
              <w:t>江西高安高新技术产业园</w:t>
            </w:r>
            <w:r>
              <w:rPr>
                <w:rFonts w:hint="eastAsia" w:cs="Times New Roman"/>
                <w:color w:val="auto"/>
                <w:sz w:val="24"/>
                <w:szCs w:val="24"/>
                <w:highlight w:val="none"/>
                <w:lang w:val="en-US" w:eastAsia="zh-CN"/>
              </w:rPr>
              <w:t>区新世纪产业园</w:t>
            </w:r>
            <w:r>
              <w:rPr>
                <w:rFonts w:hint="default" w:ascii="Times New Roman" w:hAnsi="Times New Roman" w:eastAsia="宋体" w:cs="Times New Roman"/>
                <w:color w:val="auto"/>
                <w:sz w:val="24"/>
                <w:highlight w:val="none"/>
              </w:rPr>
              <w:t>，根据建设单位提供的</w:t>
            </w:r>
            <w:r>
              <w:rPr>
                <w:rFonts w:hint="eastAsia" w:cs="Times New Roman"/>
                <w:color w:val="auto"/>
                <w:sz w:val="24"/>
                <w:highlight w:val="none"/>
                <w:lang w:val="en-US" w:eastAsia="zh-CN"/>
              </w:rPr>
              <w:t>土地</w:t>
            </w:r>
            <w:r>
              <w:rPr>
                <w:rFonts w:hint="eastAsia" w:ascii="Times New Roman" w:hAnsi="Times New Roman" w:eastAsia="宋体" w:cs="Times New Roman"/>
                <w:color w:val="auto"/>
                <w:sz w:val="24"/>
                <w:highlight w:val="none"/>
                <w:lang w:val="en-US" w:eastAsia="zh-CN"/>
              </w:rPr>
              <w:t>证</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详见附件</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，项目用地性质为工业用地，</w:t>
            </w:r>
            <w:r>
              <w:rPr>
                <w:rFonts w:hint="default" w:ascii="Times New Roman" w:hAnsi="Times New Roman" w:eastAsia="宋体" w:cs="Times New Roman"/>
                <w:color w:val="auto"/>
                <w:sz w:val="24"/>
                <w:highlight w:val="none"/>
                <w:lang w:val="en-US" w:eastAsia="zh-CN"/>
              </w:rPr>
              <w:t>符合用地要求。项目</w:t>
            </w:r>
            <w:r>
              <w:rPr>
                <w:rFonts w:hint="eastAsia" w:ascii="Times New Roman" w:hAnsi="Times New Roman" w:eastAsia="宋体" w:cs="Times New Roman"/>
                <w:color w:val="auto"/>
                <w:sz w:val="24"/>
                <w:highlight w:val="none"/>
                <w:lang w:eastAsia="zh-CN"/>
              </w:rPr>
              <w:t>东</w:t>
            </w:r>
            <w:r>
              <w:rPr>
                <w:rFonts w:hint="eastAsia" w:ascii="Times New Roman" w:hAnsi="Times New Roman" w:eastAsia="宋体" w:cs="Times New Roman"/>
                <w:color w:val="auto"/>
                <w:sz w:val="24"/>
                <w:highlight w:val="none"/>
                <w:lang w:val="en-US" w:eastAsia="zh-CN"/>
              </w:rPr>
              <w:t>北</w:t>
            </w:r>
            <w:r>
              <w:rPr>
                <w:rFonts w:hint="eastAsia" w:ascii="Times New Roman" w:hAnsi="Times New Roman" w:eastAsia="宋体" w:cs="Times New Roman"/>
                <w:color w:val="auto"/>
                <w:sz w:val="24"/>
                <w:highlight w:val="none"/>
                <w:lang w:eastAsia="zh-CN"/>
              </w:rPr>
              <w:t>面</w:t>
            </w:r>
            <w:r>
              <w:rPr>
                <w:rFonts w:hint="eastAsia" w:ascii="Times New Roman" w:hAnsi="Times New Roman" w:eastAsia="宋体" w:cs="Times New Roman"/>
                <w:color w:val="auto"/>
                <w:sz w:val="24"/>
                <w:highlight w:val="none"/>
                <w:lang w:val="en-US" w:eastAsia="zh-CN"/>
              </w:rPr>
              <w:t>为高安市和盛纺织有限公司</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西北</w:t>
            </w:r>
            <w:r>
              <w:rPr>
                <w:rFonts w:hint="eastAsia" w:ascii="Times New Roman" w:hAnsi="Times New Roman" w:eastAsia="宋体" w:cs="Times New Roman"/>
                <w:color w:val="auto"/>
                <w:sz w:val="24"/>
                <w:highlight w:val="none"/>
                <w:lang w:eastAsia="zh-CN"/>
              </w:rPr>
              <w:t>面</w:t>
            </w:r>
            <w:r>
              <w:rPr>
                <w:rFonts w:hint="eastAsia" w:ascii="Times New Roman" w:hAnsi="Times New Roman" w:eastAsia="宋体" w:cs="Times New Roman"/>
                <w:color w:val="auto"/>
                <w:sz w:val="24"/>
                <w:highlight w:val="none"/>
                <w:lang w:val="en-US" w:eastAsia="zh-CN"/>
              </w:rPr>
              <w:t>为江西高门医疗科技有限公司</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西</w:t>
            </w:r>
            <w:r>
              <w:rPr>
                <w:rFonts w:hint="eastAsia" w:ascii="Times New Roman" w:hAnsi="Times New Roman" w:eastAsia="宋体" w:cs="Times New Roman"/>
                <w:color w:val="auto"/>
                <w:sz w:val="24"/>
                <w:highlight w:val="none"/>
                <w:lang w:val="en-US" w:eastAsia="zh-CN"/>
              </w:rPr>
              <w:t>南</w:t>
            </w:r>
            <w:r>
              <w:rPr>
                <w:rFonts w:hint="eastAsia" w:ascii="Times New Roman" w:hAnsi="Times New Roman" w:eastAsia="宋体" w:cs="Times New Roman"/>
                <w:color w:val="auto"/>
                <w:sz w:val="24"/>
                <w:highlight w:val="none"/>
                <w:lang w:eastAsia="zh-CN"/>
              </w:rPr>
              <w:t>面</w:t>
            </w:r>
            <w:r>
              <w:rPr>
                <w:rFonts w:hint="eastAsia" w:ascii="Times New Roman" w:hAnsi="Times New Roman" w:eastAsia="宋体" w:cs="Times New Roman"/>
                <w:color w:val="auto"/>
                <w:sz w:val="24"/>
                <w:highlight w:val="none"/>
                <w:lang w:val="en-US" w:eastAsia="zh-CN"/>
              </w:rPr>
              <w:t>为江西省通瑞新能源科技发展</w:t>
            </w:r>
            <w:r>
              <w:rPr>
                <w:rFonts w:hint="eastAsia" w:ascii="Times New Roman" w:hAnsi="Times New Roman" w:eastAsia="宋体" w:cs="Times New Roman"/>
                <w:color w:val="auto"/>
                <w:sz w:val="24"/>
                <w:highlight w:val="none"/>
                <w:lang w:eastAsia="zh-CN"/>
              </w:rPr>
              <w:t>有限公司</w:t>
            </w:r>
            <w:r>
              <w:rPr>
                <w:rFonts w:hint="eastAsia"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东南</w:t>
            </w:r>
            <w:r>
              <w:rPr>
                <w:rFonts w:hint="eastAsia" w:ascii="Times New Roman" w:hAnsi="Times New Roman" w:eastAsia="宋体" w:cs="Times New Roman"/>
                <w:color w:val="auto"/>
                <w:sz w:val="24"/>
                <w:highlight w:val="none"/>
                <w:lang w:eastAsia="zh-CN"/>
              </w:rPr>
              <w:t>面</w:t>
            </w:r>
            <w:r>
              <w:rPr>
                <w:rFonts w:hint="eastAsia" w:ascii="Times New Roman" w:hAnsi="Times New Roman" w:eastAsia="宋体" w:cs="Times New Roman"/>
                <w:color w:val="auto"/>
                <w:sz w:val="24"/>
                <w:highlight w:val="none"/>
                <w:lang w:val="en-US" w:eastAsia="zh-CN"/>
              </w:rPr>
              <w:t>为</w:t>
            </w:r>
            <w:r>
              <w:rPr>
                <w:rFonts w:hint="eastAsia" w:ascii="Times New Roman" w:hAnsi="Times New Roman" w:eastAsia="宋体" w:cs="Times New Roman"/>
                <w:color w:val="auto"/>
                <w:sz w:val="24"/>
                <w:highlight w:val="none"/>
                <w:lang w:eastAsia="zh-CN"/>
              </w:rPr>
              <w:t>天丰集团</w:t>
            </w:r>
            <w:r>
              <w:rPr>
                <w:rFonts w:hint="default" w:ascii="Times New Roman" w:hAnsi="Times New Roman" w:eastAsia="宋体" w:cs="Times New Roman"/>
                <w:color w:val="auto"/>
                <w:sz w:val="24"/>
                <w:highlight w:val="none"/>
              </w:rPr>
              <w:t>。项目所在区域内不涉及其他自然保护区，风景名胜区等特殊需要保护的对象，项目周边地表水、环境空气、声环境质量现状良好，项目与周边环境相容</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在认真落实各项处理措施的前提下，本项目各项污染物均能达标排放，对周边环境影响较小，项目选址可行</w:t>
            </w:r>
            <w:r>
              <w:rPr>
                <w:rFonts w:hint="default" w:ascii="Times New Roman" w:hAnsi="Times New Roman" w:eastAsia="宋体" w:cs="Times New Roman"/>
                <w:color w:val="auto"/>
                <w:kern w:val="0"/>
                <w:sz w:val="24"/>
                <w:highlight w:val="none"/>
                <w:shd w:val="clear" w:color="auto" w:fill="FFFFFF"/>
              </w:rPr>
              <w:t>。</w:t>
            </w:r>
          </w:p>
          <w:p w14:paraId="6DE50CA0">
            <w:pPr>
              <w:pStyle w:val="167"/>
              <w:ind w:firstLine="480"/>
              <w:rPr>
                <w:color w:val="auto"/>
                <w:kern w:val="2"/>
                <w:szCs w:val="24"/>
              </w:rPr>
            </w:pPr>
            <w:r>
              <w:rPr>
                <w:color w:val="auto"/>
              </w:rPr>
              <w:t>项目建设初审表已获高安市</w:t>
            </w:r>
            <w:r>
              <w:rPr>
                <w:rFonts w:hint="eastAsia"/>
                <w:color w:val="auto"/>
                <w:lang w:val="en-US" w:eastAsia="zh-CN"/>
              </w:rPr>
              <w:t>太阳</w:t>
            </w:r>
            <w:r>
              <w:rPr>
                <w:color w:val="auto"/>
              </w:rPr>
              <w:t>镇人民政府同意，详见附件</w:t>
            </w:r>
            <w:r>
              <w:rPr>
                <w:rFonts w:hint="eastAsia"/>
                <w:color w:val="auto"/>
                <w:lang w:val="en-US" w:eastAsia="zh-CN"/>
              </w:rPr>
              <w:t>3</w:t>
            </w:r>
            <w:r>
              <w:rPr>
                <w:color w:val="auto"/>
              </w:rPr>
              <w:t>。</w:t>
            </w:r>
          </w:p>
          <w:p w14:paraId="64C81419">
            <w:pPr>
              <w:pStyle w:val="167"/>
              <w:ind w:firstLine="480"/>
              <w:rPr>
                <w:color w:val="auto"/>
                <w:kern w:val="2"/>
                <w:szCs w:val="24"/>
              </w:rPr>
            </w:pPr>
            <w:r>
              <w:rPr>
                <w:color w:val="auto"/>
                <w:kern w:val="2"/>
                <w:szCs w:val="24"/>
              </w:rPr>
              <w:t>（2）选址所在地环境敏感程度分析</w:t>
            </w:r>
          </w:p>
          <w:p w14:paraId="082246A8">
            <w:pPr>
              <w:spacing w:line="360" w:lineRule="auto"/>
              <w:ind w:firstLine="480" w:firstLineChars="200"/>
              <w:rPr>
                <w:rFonts w:hint="default" w:ascii="Times New Roman" w:hAnsi="Times New Roman" w:eastAsia="宋体" w:cs="Times New Roman"/>
                <w:color w:val="auto"/>
                <w:kern w:val="0"/>
                <w:sz w:val="24"/>
                <w:highlight w:val="none"/>
                <w:shd w:val="clear" w:color="auto" w:fill="FFFFFF"/>
              </w:rPr>
            </w:pPr>
            <w:r>
              <w:rPr>
                <w:color w:val="auto"/>
                <w:kern w:val="2"/>
                <w:sz w:val="24"/>
                <w:szCs w:val="24"/>
              </w:rPr>
              <w:t>项目所在地不属于生活饮用水和地下水补给区、风景名胜区、温泉疗养区、水产养殖区、基本农田保护区、自然保护区等需要特殊保护的区域，最近的敏感点为</w:t>
            </w:r>
            <w:r>
              <w:rPr>
                <w:rFonts w:hint="eastAsia"/>
                <w:color w:val="auto"/>
                <w:kern w:val="2"/>
                <w:sz w:val="24"/>
                <w:szCs w:val="24"/>
              </w:rPr>
              <w:t>厂界</w:t>
            </w:r>
            <w:r>
              <w:rPr>
                <w:color w:val="auto"/>
                <w:kern w:val="2"/>
                <w:sz w:val="24"/>
                <w:szCs w:val="24"/>
              </w:rPr>
              <w:t>西南方向96m处的民房，</w:t>
            </w:r>
            <w:r>
              <w:rPr>
                <w:rFonts w:hint="eastAsia"/>
                <w:color w:val="auto"/>
                <w:kern w:val="2"/>
                <w:sz w:val="24"/>
                <w:szCs w:val="24"/>
              </w:rPr>
              <w:t>根据现状勘查、现有项目环评及批复内容，</w:t>
            </w:r>
            <w:r>
              <w:rPr>
                <w:color w:val="auto"/>
                <w:kern w:val="2"/>
                <w:sz w:val="24"/>
                <w:szCs w:val="24"/>
              </w:rPr>
              <w:t>本项目</w:t>
            </w:r>
            <w:r>
              <w:rPr>
                <w:rFonts w:hint="eastAsia"/>
                <w:color w:val="auto"/>
                <w:kern w:val="2"/>
                <w:sz w:val="24"/>
                <w:szCs w:val="24"/>
                <w:lang w:val="en-US" w:eastAsia="zh-CN"/>
              </w:rPr>
              <w:t>500m范围内不存在敏感保护目标</w:t>
            </w:r>
            <w:r>
              <w:rPr>
                <w:rFonts w:hint="eastAsia"/>
                <w:color w:val="auto"/>
                <w:sz w:val="24"/>
              </w:rPr>
              <w:t>，</w:t>
            </w:r>
            <w:r>
              <w:rPr>
                <w:color w:val="auto"/>
                <w:kern w:val="2"/>
                <w:sz w:val="24"/>
                <w:szCs w:val="24"/>
              </w:rPr>
              <w:t>满足本项目卫生防护距离要求。</w:t>
            </w:r>
          </w:p>
          <w:p w14:paraId="76F5229C">
            <w:pPr>
              <w:pStyle w:val="7"/>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eastAsia="宋体" w:cs="Times New Roman"/>
                <w:b/>
                <w:bCs/>
                <w:color w:val="auto"/>
                <w:sz w:val="24"/>
                <w:szCs w:val="32"/>
                <w:lang w:val="en-US" w:eastAsia="zh-CN"/>
              </w:rPr>
              <w:t>3、项目与周边企业的污染物产排特征及其相容性分析</w:t>
            </w:r>
          </w:p>
          <w:p w14:paraId="74E716FB">
            <w:pPr>
              <w:pStyle w:val="6"/>
              <w:pageBreakBefore w:val="0"/>
              <w:widowControl w:val="0"/>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auto"/>
                <w:sz w:val="24"/>
                <w:szCs w:val="36"/>
                <w:lang w:val="en-US" w:eastAsia="zh-CN"/>
              </w:rPr>
            </w:pPr>
            <w:r>
              <w:rPr>
                <w:rFonts w:hint="default" w:ascii="Times New Roman" w:hAnsi="Times New Roman" w:eastAsia="宋体" w:cs="Times New Roman"/>
                <w:b w:val="0"/>
                <w:bCs w:val="0"/>
                <w:color w:val="auto"/>
                <w:sz w:val="24"/>
                <w:szCs w:val="36"/>
                <w:lang w:val="en-US" w:eastAsia="zh-CN"/>
              </w:rPr>
              <w:t>本项目位于</w:t>
            </w:r>
            <w:r>
              <w:rPr>
                <w:rFonts w:hint="default" w:ascii="Times New Roman" w:hAnsi="Times New Roman" w:cs="Times New Roman"/>
                <w:b w:val="0"/>
                <w:bCs w:val="0"/>
                <w:color w:val="auto"/>
                <w:sz w:val="24"/>
                <w:szCs w:val="36"/>
                <w:lang w:val="en-US" w:eastAsia="zh-CN"/>
              </w:rPr>
              <w:t>江西高安高新技术产业园</w:t>
            </w:r>
            <w:r>
              <w:rPr>
                <w:rFonts w:hint="eastAsia" w:hAnsi="Times New Roman" w:cs="Times New Roman"/>
                <w:b w:val="0"/>
                <w:bCs w:val="0"/>
                <w:color w:val="auto"/>
                <w:sz w:val="24"/>
                <w:szCs w:val="36"/>
                <w:lang w:val="en-US" w:eastAsia="zh-CN"/>
              </w:rPr>
              <w:t>区</w:t>
            </w:r>
            <w:r>
              <w:rPr>
                <w:rFonts w:hint="default" w:ascii="Times New Roman" w:hAnsi="Times New Roman" w:eastAsia="宋体" w:cs="Times New Roman"/>
                <w:b w:val="0"/>
                <w:bCs w:val="0"/>
                <w:color w:val="auto"/>
                <w:sz w:val="24"/>
                <w:szCs w:val="36"/>
                <w:lang w:val="en-US" w:eastAsia="zh-CN"/>
              </w:rPr>
              <w:t>——新世纪产业园——工业园核心组团内，新世纪产业园——工业园核心组团规划重点发展新能源新材料（锂电隔膜，塑膜，锂电负极材料，光伏组件电池，绿色光源等）、高端装备制造、电子信息制造等。项目周边企业特征污染物多为颗粒物、VOCs等，本项目特征污染物为VOCs，与周边企业污染物产排特征相容。</w:t>
            </w:r>
          </w:p>
          <w:p w14:paraId="40B6F839">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w:t>
            </w:r>
            <w:r>
              <w:rPr>
                <w:rFonts w:hint="eastAsia" w:ascii="宋体" w:hAnsi="宋体" w:eastAsia="宋体" w:cs="宋体"/>
                <w:b/>
                <w:color w:val="auto"/>
                <w:sz w:val="24"/>
                <w:szCs w:val="24"/>
                <w:highlight w:val="none"/>
              </w:rPr>
              <w:t>“三线一单”符</w:t>
            </w:r>
            <w:r>
              <w:rPr>
                <w:rFonts w:hint="default" w:ascii="Times New Roman" w:hAnsi="Times New Roman" w:eastAsia="宋体" w:cs="Times New Roman"/>
                <w:b/>
                <w:color w:val="auto"/>
                <w:sz w:val="24"/>
                <w:szCs w:val="24"/>
                <w:highlight w:val="none"/>
              </w:rPr>
              <w:t>合性分析</w:t>
            </w:r>
          </w:p>
          <w:p w14:paraId="69D12B1C">
            <w:pPr>
              <w:widowControl w:val="0"/>
              <w:autoSpaceDE w:val="0"/>
              <w:autoSpaceDN w:val="0"/>
              <w:adjustRightInd w:val="0"/>
              <w:snapToGrid w:val="0"/>
              <w:spacing w:line="360" w:lineRule="auto"/>
              <w:ind w:firstLine="480" w:firstLineChars="200"/>
              <w:jc w:val="left"/>
              <w:rPr>
                <w:rFonts w:ascii="宋体" w:hAnsi="宋体" w:eastAsia="宋体" w:cs="宋体"/>
                <w:color w:val="0000FF"/>
                <w:sz w:val="24"/>
              </w:rPr>
            </w:pPr>
            <w:r>
              <w:rPr>
                <w:rFonts w:hint="eastAsia" w:ascii="宋体" w:hAnsi="宋体" w:eastAsia="宋体" w:cs="宋体"/>
                <w:color w:val="0000FF"/>
                <w:sz w:val="24"/>
              </w:rPr>
              <w:t>根据《宜春市“三线一单”生态环境分区管控方案》（宜府发</w:t>
            </w:r>
            <w:r>
              <w:rPr>
                <w:rFonts w:hint="default" w:ascii="Times New Roman" w:hAnsi="Times New Roman" w:eastAsia="宋体" w:cs="Times New Roman"/>
                <w:color w:val="0000FF"/>
                <w:sz w:val="24"/>
              </w:rPr>
              <w:t>〔2020〕14号</w:t>
            </w:r>
            <w:r>
              <w:rPr>
                <w:rFonts w:hint="eastAsia" w:ascii="宋体" w:hAnsi="宋体" w:eastAsia="宋体" w:cs="宋体"/>
                <w:color w:val="0000FF"/>
                <w:sz w:val="24"/>
              </w:rPr>
              <w:t>），项目分析如下：</w:t>
            </w:r>
          </w:p>
          <w:p w14:paraId="2C32D655">
            <w:pPr>
              <w:widowControl w:val="0"/>
              <w:autoSpaceDE w:val="0"/>
              <w:autoSpaceDN w:val="0"/>
              <w:adjustRightInd w:val="0"/>
              <w:snapToGrid w:val="0"/>
              <w:spacing w:line="360" w:lineRule="auto"/>
              <w:ind w:firstLine="480" w:firstLineChars="200"/>
              <w:jc w:val="left"/>
              <w:rPr>
                <w:rFonts w:ascii="宋体" w:hAnsi="宋体" w:eastAsia="宋体" w:cs="宋体"/>
                <w:color w:val="0000FF"/>
                <w:sz w:val="24"/>
              </w:rPr>
            </w:pPr>
            <w:r>
              <w:rPr>
                <w:rFonts w:hint="eastAsia" w:ascii="宋体" w:hAnsi="宋体" w:eastAsia="宋体" w:cs="宋体"/>
                <w:color w:val="0000FF"/>
                <w:sz w:val="24"/>
              </w:rPr>
              <w:t>（1）生态保护红线符合性分析</w:t>
            </w:r>
          </w:p>
          <w:p w14:paraId="7836F08F">
            <w:pPr>
              <w:pStyle w:val="42"/>
              <w:widowControl w:val="0"/>
              <w:snapToGrid w:val="0"/>
              <w:spacing w:line="360" w:lineRule="auto"/>
              <w:ind w:firstLine="480" w:firstLineChars="200"/>
              <w:jc w:val="both"/>
              <w:rPr>
                <w:rFonts w:hAnsi="宋体" w:eastAsia="宋体" w:cs="宋体"/>
                <w:bCs/>
                <w:color w:val="0000FF"/>
              </w:rPr>
            </w:pPr>
            <w:r>
              <w:rPr>
                <w:rFonts w:hint="eastAsia" w:hAnsi="宋体" w:eastAsia="宋体" w:cs="宋体"/>
                <w:bCs/>
                <w:color w:val="0000FF"/>
              </w:rPr>
              <w:t>根据《宜春市人民政府办公室关于公布宜春市生态环境分区管控成果（</w:t>
            </w:r>
            <w:r>
              <w:rPr>
                <w:rFonts w:hint="default" w:ascii="Times New Roman" w:hAnsi="Times New Roman" w:eastAsia="宋体" w:cs="Times New Roman"/>
                <w:bCs/>
                <w:color w:val="0000FF"/>
              </w:rPr>
              <w:t>2023版）的通知》：全市共划定环境管控单元98</w:t>
            </w:r>
            <w:r>
              <w:rPr>
                <w:rFonts w:hint="eastAsia" w:hAnsi="宋体" w:eastAsia="宋体" w:cs="宋体"/>
                <w:bCs/>
                <w:color w:val="0000FF"/>
              </w:rPr>
              <w:t>个，分为优先保护单元、重点管控单元、一般管控单元三类，实施分区管控。重点管控单元，指对水、大气、土壤、自然资源等资源环境要素需进行重点管控的区域。</w:t>
            </w:r>
          </w:p>
          <w:p w14:paraId="5431BE68">
            <w:pPr>
              <w:spacing w:line="360" w:lineRule="auto"/>
              <w:ind w:firstLine="480" w:firstLineChars="200"/>
              <w:rPr>
                <w:rFonts w:hint="default" w:ascii="Times New Roman" w:hAnsi="Times New Roman" w:eastAsia="宋体" w:cs="Times New Roman"/>
                <w:color w:val="0000FF"/>
                <w:sz w:val="24"/>
                <w:szCs w:val="24"/>
                <w:highlight w:val="none"/>
              </w:rPr>
            </w:pPr>
            <w:r>
              <w:rPr>
                <w:rFonts w:hint="eastAsia" w:ascii="宋体" w:hAnsi="宋体" w:eastAsia="宋体" w:cs="宋体"/>
                <w:color w:val="0000FF"/>
                <w:sz w:val="24"/>
              </w:rPr>
              <w:t>宜春市生态环境总体</w:t>
            </w:r>
            <w:r>
              <w:rPr>
                <w:rFonts w:ascii="Times New Roman" w:hAnsi="Times New Roman" w:eastAsia="宋体" w:cs="Times New Roman"/>
                <w:color w:val="0000FF"/>
                <w:sz w:val="24"/>
              </w:rPr>
              <w:t>管控清单从空间约束、污染物排放管</w:t>
            </w:r>
            <w:r>
              <w:rPr>
                <w:rFonts w:hint="eastAsia" w:ascii="Times New Roman" w:hAnsi="Times New Roman" w:eastAsia="宋体" w:cs="Times New Roman"/>
                <w:color w:val="0000FF"/>
                <w:sz w:val="24"/>
              </w:rPr>
              <w:t>控</w:t>
            </w:r>
            <w:r>
              <w:rPr>
                <w:rFonts w:ascii="Times New Roman" w:hAnsi="Times New Roman" w:eastAsia="宋体" w:cs="Times New Roman"/>
                <w:color w:val="0000FF"/>
                <w:sz w:val="24"/>
              </w:rPr>
              <w:t>、环境风险防控和资源利用效率等4个维度提出准入要求，适用全市范围。</w:t>
            </w:r>
            <w:r>
              <w:rPr>
                <w:rFonts w:ascii="Times New Roman" w:hAnsi="Times New Roman" w:cs="Times New Roman"/>
                <w:color w:val="0000FF"/>
                <w:sz w:val="24"/>
              </w:rPr>
              <w:t>经对比，本项目位于</w:t>
            </w:r>
            <w:r>
              <w:rPr>
                <w:rFonts w:hint="eastAsia" w:ascii="Times New Roman" w:hAnsi="Times New Roman" w:cs="Times New Roman"/>
                <w:color w:val="0000FF"/>
                <w:sz w:val="24"/>
              </w:rPr>
              <w:t>江西高安高新技术产业园区新世纪产业园</w:t>
            </w:r>
            <w:r>
              <w:rPr>
                <w:rFonts w:ascii="Times New Roman" w:hAnsi="Times New Roman" w:cs="Times New Roman"/>
                <w:color w:val="0000FF"/>
                <w:sz w:val="24"/>
              </w:rPr>
              <w:t>，属于</w:t>
            </w:r>
            <w:r>
              <w:rPr>
                <w:rFonts w:hint="eastAsia" w:ascii="Times New Roman" w:hAnsi="Times New Roman" w:cs="Times New Roman"/>
                <w:color w:val="0000FF"/>
                <w:sz w:val="24"/>
              </w:rPr>
              <w:t>江西省宜春市高安市重点管控单元2，</w:t>
            </w:r>
            <w:r>
              <w:rPr>
                <w:rFonts w:ascii="Times New Roman" w:hAnsi="Times New Roman" w:cs="Times New Roman"/>
                <w:color w:val="0000FF"/>
                <w:sz w:val="24"/>
              </w:rPr>
              <w:t>环境管控单元编码：ZH36098320002</w:t>
            </w:r>
            <w:r>
              <w:rPr>
                <w:rFonts w:hint="eastAsia" w:ascii="Times New Roman" w:hAnsi="Times New Roman" w:cs="Times New Roman"/>
                <w:color w:val="0000FF"/>
                <w:sz w:val="24"/>
              </w:rPr>
              <w:t>，环境管控单元范围为高安市工业园区（新世纪产业园、建筑陶瓷产业园、建材环保产业园）。</w:t>
            </w:r>
            <w:r>
              <w:rPr>
                <w:rFonts w:ascii="Times New Roman" w:hAnsi="Times New Roman" w:cs="Times New Roman"/>
                <w:color w:val="0000FF"/>
                <w:sz w:val="24"/>
              </w:rPr>
              <w:t>重点管控单元应优化空间和产业布局，结合生态环境质量达标情况以及经济社会发展水平等，按照差别化的生态环境准入要求，加强污染物排放控制和环境风险防控，不断提升资源利用效率，稳步改善生态环境质量。项目主要污染物经治理后均可达标排放，满足该区域生态环境保护的要求，符合生态环境分区管控的要求</w:t>
            </w:r>
            <w:r>
              <w:rPr>
                <w:rFonts w:hint="eastAsia" w:ascii="Times New Roman" w:hAnsi="Times New Roman" w:eastAsia="宋体" w:cs="Times New Roman"/>
                <w:color w:val="0000FF"/>
                <w:sz w:val="24"/>
              </w:rPr>
              <w:t>。</w:t>
            </w:r>
          </w:p>
          <w:p w14:paraId="4C8DDB49">
            <w:pPr>
              <w:autoSpaceDE w:val="0"/>
              <w:autoSpaceDN w:val="0"/>
              <w:adjustRightInd w:val="0"/>
              <w:snapToGrid w:val="0"/>
              <w:spacing w:line="360" w:lineRule="auto"/>
              <w:ind w:firstLine="480" w:firstLineChars="200"/>
              <w:rPr>
                <w:rFonts w:hint="default" w:ascii="Times New Roman" w:hAnsi="Times New Roman" w:eastAsia="宋体" w:cs="Times New Roman"/>
                <w:color w:val="0000FF"/>
                <w:sz w:val="24"/>
                <w:szCs w:val="24"/>
                <w:highlight w:val="none"/>
                <w:lang w:val="en-US" w:eastAsia="zh-CN"/>
              </w:rPr>
            </w:pPr>
            <w:r>
              <w:rPr>
                <w:rFonts w:hint="default" w:ascii="Times New Roman" w:hAnsi="Times New Roman" w:eastAsia="宋体" w:cs="Times New Roman"/>
                <w:color w:val="0000FF"/>
                <w:sz w:val="24"/>
                <w:szCs w:val="24"/>
                <w:highlight w:val="none"/>
              </w:rPr>
              <w:t>（2）环境质量底线</w:t>
            </w:r>
            <w:r>
              <w:rPr>
                <w:rFonts w:hint="eastAsia" w:cs="Times New Roman"/>
                <w:color w:val="0000FF"/>
                <w:sz w:val="24"/>
                <w:szCs w:val="24"/>
                <w:highlight w:val="none"/>
                <w:lang w:val="en-US" w:eastAsia="zh-CN"/>
              </w:rPr>
              <w:t>相符性分析</w:t>
            </w:r>
          </w:p>
          <w:p w14:paraId="73C0D5CE">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项目所在区域的环境质量底线为：项目所在区域环境空气质量执行《环境空气质量标准》（</w:t>
            </w:r>
            <w:r>
              <w:rPr>
                <w:rFonts w:hint="eastAsia" w:cs="Times New Roman"/>
                <w:color w:val="auto"/>
                <w:sz w:val="24"/>
                <w:szCs w:val="24"/>
                <w:highlight w:val="none"/>
                <w:lang w:val="en-US" w:eastAsia="zh-CN"/>
              </w:rPr>
              <w:t>GB3095-2026</w:t>
            </w:r>
            <w:r>
              <w:rPr>
                <w:rFonts w:hint="default" w:ascii="Times New Roman" w:hAnsi="Times New Roman" w:eastAsia="宋体" w:cs="Times New Roman"/>
                <w:color w:val="auto"/>
                <w:sz w:val="24"/>
                <w:szCs w:val="24"/>
                <w:highlight w:val="none"/>
                <w:lang w:val="en-US" w:eastAsia="zh-CN"/>
              </w:rPr>
              <w:t>）二级标准，地表水环境质量执行《地表水环境质量标准》（GB3838-2002）Ⅲ类标准，声环境质量执行《声环境质量标准》（GB3096-2008）</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类标准。</w:t>
            </w:r>
          </w:p>
          <w:p w14:paraId="76DBBEF7">
            <w:pPr>
              <w:spacing w:line="360" w:lineRule="auto"/>
              <w:ind w:firstLine="480" w:firstLineChars="200"/>
              <w:rPr>
                <w:rFonts w:hint="default" w:ascii="Times New Roman" w:hAnsi="Times New Roman" w:eastAsia="宋体" w:cs="Times New Roman"/>
                <w:color w:val="auto"/>
                <w:spacing w:val="-8"/>
                <w:sz w:val="24"/>
                <w:szCs w:val="24"/>
                <w:highlight w:val="none"/>
                <w:shd w:val="clear" w:color="auto" w:fill="FFFFFF"/>
              </w:rPr>
            </w:pPr>
            <w:r>
              <w:rPr>
                <w:rFonts w:hint="default" w:ascii="Times New Roman" w:hAnsi="Times New Roman" w:eastAsia="宋体" w:cs="Times New Roman"/>
                <w:color w:val="auto"/>
                <w:sz w:val="24"/>
                <w:szCs w:val="24"/>
                <w:highlight w:val="none"/>
                <w:lang w:val="en-US" w:eastAsia="zh-CN"/>
              </w:rPr>
              <w:t>项目区域环境质量现状较好，具有相应的环境容量</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采取本环评提出的各项污染防治措施后，可确保污染物达标排放，本项目排放的污染物不会对区域环境质量底线造成冲击，不会明显降低区域环境质量现状。因此项目的建设符合环境质量底线</w:t>
            </w:r>
            <w:r>
              <w:rPr>
                <w:rFonts w:hint="eastAsia"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lang w:val="en-US" w:eastAsia="zh-CN"/>
              </w:rPr>
              <w:t>。</w:t>
            </w:r>
          </w:p>
          <w:p w14:paraId="08B6811B">
            <w:pPr>
              <w:numPr>
                <w:ilvl w:val="0"/>
                <w:numId w:val="6"/>
              </w:num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资源利用上线</w:t>
            </w:r>
            <w:r>
              <w:rPr>
                <w:rFonts w:hint="eastAsia" w:cs="Times New Roman"/>
                <w:color w:val="auto"/>
                <w:sz w:val="24"/>
                <w:szCs w:val="24"/>
                <w:highlight w:val="none"/>
                <w:lang w:val="en-US" w:eastAsia="zh-CN"/>
              </w:rPr>
              <w:t>相符性分析</w:t>
            </w:r>
          </w:p>
          <w:p w14:paraId="745EF4CC">
            <w:pPr>
              <w:spacing w:line="360" w:lineRule="auto"/>
              <w:ind w:firstLine="472" w:firstLineChars="200"/>
              <w:rPr>
                <w:rFonts w:hint="default" w:ascii="Times New Roman" w:hAnsi="Times New Roman" w:eastAsia="宋体" w:cs="Times New Roman"/>
                <w:color w:val="auto"/>
                <w:spacing w:val="-2"/>
                <w:kern w:val="2"/>
                <w:sz w:val="24"/>
                <w:szCs w:val="24"/>
                <w:highlight w:val="none"/>
                <w:lang w:val="zh-CN" w:eastAsia="zh-CN" w:bidi="zh-CN"/>
              </w:rPr>
            </w:pPr>
            <w:r>
              <w:rPr>
                <w:rFonts w:hint="default" w:ascii="Times New Roman" w:hAnsi="Times New Roman" w:eastAsia="宋体" w:cs="Times New Roman"/>
                <w:color w:val="auto"/>
                <w:spacing w:val="-2"/>
                <w:kern w:val="2"/>
                <w:sz w:val="24"/>
                <w:szCs w:val="24"/>
                <w:highlight w:val="none"/>
                <w:lang w:val="zh-CN" w:eastAsia="zh-CN" w:bidi="zh-CN"/>
              </w:rPr>
              <w:t>本项目用水来自</w:t>
            </w:r>
            <w:r>
              <w:rPr>
                <w:rFonts w:hint="default" w:ascii="Times New Roman" w:hAnsi="Times New Roman" w:eastAsia="宋体" w:cs="Times New Roman"/>
                <w:color w:val="auto"/>
                <w:spacing w:val="-2"/>
                <w:kern w:val="2"/>
                <w:sz w:val="24"/>
                <w:szCs w:val="24"/>
                <w:highlight w:val="none"/>
                <w:lang w:val="en-US" w:eastAsia="zh-CN" w:bidi="zh-CN"/>
              </w:rPr>
              <w:t>当地自来水供水</w:t>
            </w:r>
            <w:r>
              <w:rPr>
                <w:rFonts w:hint="default" w:ascii="Times New Roman" w:hAnsi="Times New Roman" w:eastAsia="宋体" w:cs="Times New Roman"/>
                <w:color w:val="auto"/>
                <w:spacing w:val="-2"/>
                <w:kern w:val="2"/>
                <w:sz w:val="24"/>
                <w:szCs w:val="24"/>
                <w:highlight w:val="none"/>
                <w:lang w:val="zh-CN" w:eastAsia="zh-CN" w:bidi="zh-CN"/>
              </w:rPr>
              <w:t>管网，用电来自</w:t>
            </w:r>
            <w:r>
              <w:rPr>
                <w:rFonts w:hint="default" w:ascii="Times New Roman" w:hAnsi="Times New Roman" w:eastAsia="宋体" w:cs="Times New Roman"/>
                <w:color w:val="auto"/>
                <w:spacing w:val="-2"/>
                <w:kern w:val="2"/>
                <w:sz w:val="24"/>
                <w:szCs w:val="24"/>
                <w:highlight w:val="none"/>
                <w:lang w:val="en-US" w:eastAsia="zh-CN" w:bidi="zh-CN"/>
              </w:rPr>
              <w:t>当地供电系统</w:t>
            </w:r>
            <w:r>
              <w:rPr>
                <w:rFonts w:hint="default" w:ascii="Times New Roman" w:hAnsi="Times New Roman" w:eastAsia="宋体" w:cs="Times New Roman"/>
                <w:color w:val="auto"/>
                <w:spacing w:val="-2"/>
                <w:kern w:val="2"/>
                <w:sz w:val="24"/>
                <w:szCs w:val="24"/>
                <w:highlight w:val="none"/>
                <w:lang w:val="zh-CN" w:eastAsia="zh-CN" w:bidi="zh-CN"/>
              </w:rPr>
              <w:t>。本项目建成后通过内部管理、设备的选用和管理、污染治理等多方面采取合理可行的防治措施，</w:t>
            </w:r>
            <w:r>
              <w:rPr>
                <w:rFonts w:hint="eastAsia" w:ascii="宋体" w:hAnsi="宋体" w:eastAsia="宋体" w:cs="宋体"/>
                <w:color w:val="auto"/>
                <w:spacing w:val="-2"/>
                <w:kern w:val="2"/>
                <w:sz w:val="24"/>
                <w:szCs w:val="24"/>
                <w:highlight w:val="none"/>
                <w:lang w:val="zh-CN" w:eastAsia="zh-CN" w:bidi="zh-CN"/>
              </w:rPr>
              <w:t>以“节能、降耗、减污”为目</w:t>
            </w:r>
            <w:r>
              <w:rPr>
                <w:rFonts w:hint="default" w:ascii="Times New Roman" w:hAnsi="Times New Roman" w:eastAsia="宋体" w:cs="Times New Roman"/>
                <w:color w:val="auto"/>
                <w:spacing w:val="-2"/>
                <w:kern w:val="2"/>
                <w:sz w:val="24"/>
                <w:szCs w:val="24"/>
                <w:highlight w:val="none"/>
                <w:lang w:val="zh-CN" w:eastAsia="zh-CN" w:bidi="zh-CN"/>
              </w:rPr>
              <w:t>标，有效地控制污染。项目用水</w:t>
            </w:r>
            <w:r>
              <w:rPr>
                <w:rFonts w:hint="default" w:ascii="Times New Roman" w:hAnsi="Times New Roman" w:eastAsia="宋体" w:cs="Times New Roman"/>
                <w:color w:val="auto"/>
                <w:spacing w:val="-2"/>
                <w:kern w:val="2"/>
                <w:sz w:val="24"/>
                <w:szCs w:val="24"/>
                <w:highlight w:val="none"/>
                <w:lang w:val="en-US" w:eastAsia="zh-CN" w:bidi="zh-CN"/>
              </w:rPr>
              <w:t>电</w:t>
            </w:r>
            <w:r>
              <w:rPr>
                <w:rFonts w:hint="default" w:ascii="Times New Roman" w:hAnsi="Times New Roman" w:eastAsia="宋体" w:cs="Times New Roman"/>
                <w:color w:val="auto"/>
                <w:spacing w:val="-2"/>
                <w:kern w:val="2"/>
                <w:sz w:val="24"/>
                <w:szCs w:val="24"/>
                <w:highlight w:val="none"/>
                <w:lang w:val="zh-CN" w:eastAsia="zh-CN" w:bidi="zh-CN"/>
              </w:rPr>
              <w:t>等资源利用不会突破区域的资源利用上线。</w:t>
            </w:r>
          </w:p>
          <w:p w14:paraId="74DF67D7">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lang w:val="en-US" w:eastAsia="zh-CN"/>
              </w:rPr>
              <w:t>生态环境准入</w:t>
            </w:r>
            <w:r>
              <w:rPr>
                <w:rFonts w:hint="default" w:ascii="Times New Roman" w:hAnsi="Times New Roman" w:eastAsia="宋体" w:cs="Times New Roman"/>
                <w:color w:val="auto"/>
                <w:sz w:val="24"/>
                <w:szCs w:val="24"/>
                <w:highlight w:val="none"/>
              </w:rPr>
              <w:t>清单</w:t>
            </w:r>
            <w:r>
              <w:rPr>
                <w:rFonts w:hint="eastAsia" w:cs="Times New Roman"/>
                <w:color w:val="auto"/>
                <w:sz w:val="24"/>
                <w:szCs w:val="24"/>
                <w:highlight w:val="none"/>
                <w:lang w:val="en-US" w:eastAsia="zh-CN"/>
              </w:rPr>
              <w:t>相符性分析</w:t>
            </w:r>
          </w:p>
          <w:p w14:paraId="72A0B121">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根据江西省生态环境厅2024年4月28日发布的《江西省生态环境厅关于公布江西省生态环境分区管控成果（2023版）的函》（赣环环评函〔2024〕87号）中附件3《江西省环境管控单元分布图（2023版）》</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本项目属于重点管控单元，与江西省生态环境总体准入清单中重点保护单元相符性分析见表</w:t>
            </w:r>
            <w:r>
              <w:rPr>
                <w:rFonts w:hint="default" w:ascii="Times New Roman" w:hAnsi="Times New Roman" w:eastAsia="宋体" w:cs="Times New Roman"/>
                <w:color w:val="auto"/>
                <w:sz w:val="24"/>
                <w:szCs w:val="24"/>
                <w:highlight w:val="none"/>
                <w:lang w:val="en-US" w:eastAsia="zh-CN"/>
              </w:rPr>
              <w:t>1-</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p>
          <w:p w14:paraId="0CD5FD05">
            <w:pPr>
              <w:numPr>
                <w:ilvl w:val="0"/>
                <w:numId w:val="5"/>
              </w:numPr>
              <w:adjustRightInd w:val="0"/>
              <w:snapToGrid w:val="0"/>
              <w:ind w:left="0" w:leftChars="0" w:firstLine="0" w:firstLineChars="0"/>
              <w:jc w:val="right"/>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与《江西省生态环境总体准入清单（2023版）》相符性分析一览表</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74"/>
              <w:gridCol w:w="427"/>
              <w:gridCol w:w="2710"/>
              <w:gridCol w:w="2078"/>
              <w:gridCol w:w="612"/>
            </w:tblGrid>
            <w:tr w14:paraId="6CD9D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tcBorders>
                    <w:tl2br w:val="nil"/>
                    <w:tr2bl w:val="nil"/>
                  </w:tcBorders>
                  <w:vAlign w:val="center"/>
                </w:tcPr>
                <w:p w14:paraId="3BD4AE30">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单元类别</w:t>
                  </w:r>
                </w:p>
              </w:tc>
              <w:tc>
                <w:tcPr>
                  <w:tcW w:w="343" w:type="pct"/>
                  <w:tcBorders>
                    <w:tl2br w:val="nil"/>
                    <w:tr2bl w:val="nil"/>
                  </w:tcBorders>
                  <w:vAlign w:val="center"/>
                </w:tcPr>
                <w:p w14:paraId="7D2E6E51">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维度</w:t>
                  </w:r>
                </w:p>
              </w:tc>
              <w:tc>
                <w:tcPr>
                  <w:tcW w:w="309" w:type="pct"/>
                  <w:tcBorders>
                    <w:tl2br w:val="nil"/>
                    <w:tr2bl w:val="nil"/>
                  </w:tcBorders>
                  <w:vAlign w:val="center"/>
                </w:tcPr>
                <w:p w14:paraId="47642FCF">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962" w:type="pct"/>
                  <w:tcBorders>
                    <w:tl2br w:val="nil"/>
                    <w:tr2bl w:val="nil"/>
                  </w:tcBorders>
                  <w:vAlign w:val="center"/>
                </w:tcPr>
                <w:p w14:paraId="787EA5A4">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生态环境准入要求</w:t>
                  </w:r>
                </w:p>
              </w:tc>
              <w:tc>
                <w:tcPr>
                  <w:tcW w:w="1505" w:type="pct"/>
                  <w:tcBorders>
                    <w:tl2br w:val="nil"/>
                    <w:tr2bl w:val="nil"/>
                  </w:tcBorders>
                  <w:vAlign w:val="center"/>
                </w:tcPr>
                <w:p w14:paraId="3F8CF218">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43" w:type="pct"/>
                  <w:tcBorders>
                    <w:tl2br w:val="nil"/>
                    <w:tr2bl w:val="nil"/>
                  </w:tcBorders>
                  <w:vAlign w:val="center"/>
                </w:tcPr>
                <w:p w14:paraId="4C156107">
                  <w:pPr>
                    <w:pStyle w:val="9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相符性</w:t>
                  </w:r>
                </w:p>
              </w:tc>
            </w:tr>
            <w:tr w14:paraId="0734D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restart"/>
                  <w:tcBorders>
                    <w:tl2br w:val="nil"/>
                    <w:tr2bl w:val="nil"/>
                  </w:tcBorders>
                  <w:vAlign w:val="center"/>
                </w:tcPr>
                <w:p w14:paraId="3686B4F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重点管控单元</w:t>
                  </w:r>
                </w:p>
              </w:tc>
              <w:tc>
                <w:tcPr>
                  <w:tcW w:w="343" w:type="pct"/>
                  <w:vMerge w:val="restart"/>
                  <w:tcBorders>
                    <w:tl2br w:val="nil"/>
                    <w:tr2bl w:val="nil"/>
                  </w:tcBorders>
                  <w:vAlign w:val="center"/>
                </w:tcPr>
                <w:p w14:paraId="21A918EC">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空间布局约束</w:t>
                  </w:r>
                </w:p>
              </w:tc>
              <w:tc>
                <w:tcPr>
                  <w:tcW w:w="309" w:type="pct"/>
                  <w:tcBorders>
                    <w:tl2br w:val="nil"/>
                    <w:tr2bl w:val="nil"/>
                  </w:tcBorders>
                  <w:vAlign w:val="center"/>
                </w:tcPr>
                <w:p w14:paraId="13E00063">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962" w:type="pct"/>
                  <w:tcBorders>
                    <w:tl2br w:val="nil"/>
                    <w:tr2bl w:val="nil"/>
                  </w:tcBorders>
                  <w:vAlign w:val="center"/>
                </w:tcPr>
                <w:p w14:paraId="48B61A09">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1505" w:type="pct"/>
                  <w:tcBorders>
                    <w:tl2br w:val="nil"/>
                    <w:tr2bl w:val="nil"/>
                  </w:tcBorders>
                  <w:vAlign w:val="center"/>
                </w:tcPr>
                <w:p w14:paraId="074243CF">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新、扩建不符合国家石化、现代煤化工等产业布局规划的项目；不属于法律法规和相关政策明令禁止的落后产能项目；不属于淘汰类和限制类项目；不属于不符合国家产能置换要求的钢铁、电解铝、水泥熟料、平板玻璃、船舶等严重过剩产能行业的项目；不属于两高项目。</w:t>
                  </w:r>
                </w:p>
              </w:tc>
              <w:tc>
                <w:tcPr>
                  <w:tcW w:w="443" w:type="pct"/>
                  <w:tcBorders>
                    <w:tl2br w:val="nil"/>
                    <w:tr2bl w:val="nil"/>
                  </w:tcBorders>
                  <w:vAlign w:val="center"/>
                </w:tcPr>
                <w:p w14:paraId="2AF7D2B9">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6C8D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596A38C">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2043A67">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5F9DEDA">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962" w:type="pct"/>
                  <w:tcBorders>
                    <w:tl2br w:val="nil"/>
                    <w:tr2bl w:val="nil"/>
                  </w:tcBorders>
                  <w:vAlign w:val="center"/>
                </w:tcPr>
                <w:p w14:paraId="6828FFF0">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县级及以上城市建成区原则上不再新建35蒸吨/小时及以下燃煤锅炉。</w:t>
                  </w:r>
                </w:p>
              </w:tc>
              <w:tc>
                <w:tcPr>
                  <w:tcW w:w="1505" w:type="pct"/>
                  <w:tcBorders>
                    <w:tl2br w:val="nil"/>
                    <w:tr2bl w:val="nil"/>
                  </w:tcBorders>
                  <w:vAlign w:val="center"/>
                </w:tcPr>
                <w:p w14:paraId="37AA0368">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项目不新增燃煤锅炉</w:t>
                  </w:r>
                </w:p>
              </w:tc>
              <w:tc>
                <w:tcPr>
                  <w:tcW w:w="443" w:type="pct"/>
                  <w:tcBorders>
                    <w:tl2br w:val="nil"/>
                    <w:tr2bl w:val="nil"/>
                  </w:tcBorders>
                  <w:vAlign w:val="center"/>
                </w:tcPr>
                <w:p w14:paraId="569BD08C">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9649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203A55EC">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D51AC5C">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F1E9242">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962" w:type="pct"/>
                  <w:tcBorders>
                    <w:tl2br w:val="nil"/>
                    <w:tr2bl w:val="nil"/>
                  </w:tcBorders>
                  <w:vAlign w:val="center"/>
                </w:tcPr>
                <w:p w14:paraId="36BDFC14">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禁止在长江干支流、重要湖泊岸线1公里范围内新建、扩建化工园区和化工项目。禁止在合规园区外新建、扩建钢铁、石化、化工、焦化、建材、有色、制浆造纸等高污染项目。</w:t>
                  </w:r>
                </w:p>
              </w:tc>
              <w:tc>
                <w:tcPr>
                  <w:tcW w:w="1505" w:type="pct"/>
                  <w:tcBorders>
                    <w:tl2br w:val="nil"/>
                    <w:tr2bl w:val="nil"/>
                  </w:tcBorders>
                  <w:vAlign w:val="center"/>
                </w:tcPr>
                <w:p w14:paraId="72D5709E">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项目不在长江干支流、重要湖泊岸线1公里范围内，不属于新建、扩建化工园区和化工项目；不属于新建、扩建钢铁、石化、化工、焦化、建材、有色、制浆造纸等高污染项目。</w:t>
                  </w:r>
                </w:p>
              </w:tc>
              <w:tc>
                <w:tcPr>
                  <w:tcW w:w="443" w:type="pct"/>
                  <w:tcBorders>
                    <w:tl2br w:val="nil"/>
                    <w:tr2bl w:val="nil"/>
                  </w:tcBorders>
                  <w:vAlign w:val="center"/>
                </w:tcPr>
                <w:p w14:paraId="470905FE">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4FE29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D9B59C6">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3BB4E40">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FCF425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962" w:type="pct"/>
                  <w:tcBorders>
                    <w:tl2br w:val="nil"/>
                    <w:tr2bl w:val="nil"/>
                  </w:tcBorders>
                  <w:vAlign w:val="center"/>
                </w:tcPr>
                <w:p w14:paraId="449BAC02">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禁止建设不符合国家和省级港口布局规划以及港口总体规划的码头项目。</w:t>
                  </w:r>
                </w:p>
              </w:tc>
              <w:tc>
                <w:tcPr>
                  <w:tcW w:w="1505" w:type="pct"/>
                  <w:tcBorders>
                    <w:tl2br w:val="nil"/>
                    <w:tr2bl w:val="nil"/>
                  </w:tcBorders>
                  <w:vAlign w:val="center"/>
                </w:tcPr>
                <w:p w14:paraId="62DB96C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不涉及</w:t>
                  </w:r>
                </w:p>
              </w:tc>
              <w:tc>
                <w:tcPr>
                  <w:tcW w:w="443" w:type="pct"/>
                  <w:tcBorders>
                    <w:tl2br w:val="nil"/>
                    <w:tr2bl w:val="nil"/>
                  </w:tcBorders>
                  <w:vAlign w:val="center"/>
                </w:tcPr>
                <w:p w14:paraId="53CBF80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A2D5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6892A4B">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3E385FB">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5649DFC">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962" w:type="pct"/>
                  <w:tcBorders>
                    <w:tl2br w:val="nil"/>
                    <w:tr2bl w:val="nil"/>
                  </w:tcBorders>
                  <w:vAlign w:val="center"/>
                </w:tcPr>
                <w:p w14:paraId="2A051675">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禁止在江河、湖泊、运河、渠道、水库最高水位线以下的滩地和岸坡堆放、存贮固体废弃物和其他污染物。</w:t>
                  </w:r>
                </w:p>
              </w:tc>
              <w:tc>
                <w:tcPr>
                  <w:tcW w:w="1505" w:type="pct"/>
                  <w:tcBorders>
                    <w:tl2br w:val="nil"/>
                    <w:tr2bl w:val="nil"/>
                  </w:tcBorders>
                  <w:vAlign w:val="center"/>
                </w:tcPr>
                <w:p w14:paraId="6DF8FD9D">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项目不在江河、湖泊、运河、渠道、水库最高水位线以下的滩地和岸坡堆放、存贮固体废弃物和其他污染物。</w:t>
                  </w:r>
                </w:p>
              </w:tc>
              <w:tc>
                <w:tcPr>
                  <w:tcW w:w="443" w:type="pct"/>
                  <w:tcBorders>
                    <w:tl2br w:val="nil"/>
                    <w:tr2bl w:val="nil"/>
                  </w:tcBorders>
                  <w:vAlign w:val="center"/>
                </w:tcPr>
                <w:p w14:paraId="55ABEC42">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417D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FB56C52">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C6644B5">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29494605">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962" w:type="pct"/>
                  <w:tcBorders>
                    <w:tl2br w:val="nil"/>
                    <w:tr2bl w:val="nil"/>
                  </w:tcBorders>
                  <w:vAlign w:val="center"/>
                </w:tcPr>
                <w:p w14:paraId="0141B093">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505" w:type="pct"/>
                  <w:tcBorders>
                    <w:tl2br w:val="nil"/>
                    <w:tr2bl w:val="nil"/>
                  </w:tcBorders>
                  <w:vAlign w:val="center"/>
                </w:tcPr>
                <w:p w14:paraId="4E0B964A">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项目不属于钢铁、石油、化工、有色金属、水泥、平板玻璃、建筑陶瓷等行业中的高排放、高污染项目。</w:t>
                  </w:r>
                </w:p>
              </w:tc>
              <w:tc>
                <w:tcPr>
                  <w:tcW w:w="443" w:type="pct"/>
                  <w:tcBorders>
                    <w:tl2br w:val="nil"/>
                    <w:tr2bl w:val="nil"/>
                  </w:tcBorders>
                  <w:vAlign w:val="center"/>
                </w:tcPr>
                <w:p w14:paraId="490BD291">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2B52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36D18750">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90577EA">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0AEFBC8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962" w:type="pct"/>
                  <w:tcBorders>
                    <w:tl2br w:val="nil"/>
                    <w:tr2bl w:val="nil"/>
                  </w:tcBorders>
                  <w:vAlign w:val="center"/>
                </w:tcPr>
                <w:p w14:paraId="13F5173F">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禁止在居民区和学校、医院、疗养院、养老院等单位周边新建、改扩建可能造成土壤污染的建设项目；在永久基本农田集中区域，不得新建可能造成土壤污染的项目，已经建成的，限期关闭拆除。</w:t>
                  </w:r>
                </w:p>
              </w:tc>
              <w:tc>
                <w:tcPr>
                  <w:tcW w:w="1505" w:type="pct"/>
                  <w:tcBorders>
                    <w:tl2br w:val="nil"/>
                    <w:tr2bl w:val="nil"/>
                  </w:tcBorders>
                  <w:vAlign w:val="center"/>
                </w:tcPr>
                <w:p w14:paraId="6E409AEA">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r>
                    <w:rPr>
                      <w:rFonts w:hint="eastAsia" w:cs="Times New Roman"/>
                      <w:color w:val="auto"/>
                      <w:sz w:val="21"/>
                      <w:szCs w:val="21"/>
                      <w:highlight w:val="none"/>
                      <w:lang w:val="en-US" w:eastAsia="zh-CN"/>
                    </w:rPr>
                    <w:t>不在居民区和学校、医院、疗养院、养老院等单位周边</w:t>
                  </w:r>
                  <w:r>
                    <w:rPr>
                      <w:rFonts w:hint="default" w:ascii="Times New Roman" w:hAnsi="Times New Roman" w:eastAsia="宋体" w:cs="Times New Roman"/>
                      <w:color w:val="auto"/>
                      <w:sz w:val="21"/>
                      <w:szCs w:val="21"/>
                      <w:highlight w:val="none"/>
                    </w:rPr>
                    <w:t>；不在永久基本农田集中区域，不属于可能造成土壤污染的项目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1BDCDC87">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E3C0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5EA88274">
                  <w:pPr>
                    <w:pStyle w:val="99"/>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1B83F29E">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309" w:type="pct"/>
                  <w:tcBorders>
                    <w:tl2br w:val="nil"/>
                    <w:tr2bl w:val="nil"/>
                  </w:tcBorders>
                  <w:vAlign w:val="center"/>
                </w:tcPr>
                <w:p w14:paraId="76FAB7FD">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962" w:type="pct"/>
                  <w:tcBorders>
                    <w:tl2br w:val="nil"/>
                    <w:tr2bl w:val="nil"/>
                  </w:tcBorders>
                  <w:vAlign w:val="center"/>
                </w:tcPr>
                <w:p w14:paraId="005839D4">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505" w:type="pct"/>
                  <w:tcBorders>
                    <w:tl2br w:val="nil"/>
                    <w:tr2bl w:val="nil"/>
                  </w:tcBorders>
                  <w:vAlign w:val="center"/>
                </w:tcPr>
                <w:p w14:paraId="7A50E409">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项目不位于城镇开发边界内划定的特别用途区</w:t>
                  </w:r>
                </w:p>
              </w:tc>
              <w:tc>
                <w:tcPr>
                  <w:tcW w:w="443" w:type="pct"/>
                  <w:tcBorders>
                    <w:tl2br w:val="nil"/>
                    <w:tr2bl w:val="nil"/>
                  </w:tcBorders>
                  <w:vAlign w:val="center"/>
                </w:tcPr>
                <w:p w14:paraId="41D51E95">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D29B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3C790BA8">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EB5EC2C">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23C236A">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962" w:type="pct"/>
                  <w:tcBorders>
                    <w:tl2br w:val="nil"/>
                    <w:tr2bl w:val="nil"/>
                  </w:tcBorders>
                  <w:vAlign w:val="center"/>
                </w:tcPr>
                <w:p w14:paraId="19F419B7">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到2025年，全省单位生产总值能源消耗比2020年下降14%，力争达到14.5%，能源消费总量得到合理控制，氮氧化物、挥发性有机物、化学需氧量、氨氮重点工程减排量分别达到2.73万吨、1.41万吨、8.41万吨、0.55万吨。</w:t>
                  </w:r>
                </w:p>
              </w:tc>
              <w:tc>
                <w:tcPr>
                  <w:tcW w:w="1505" w:type="pct"/>
                  <w:tcBorders>
                    <w:tl2br w:val="nil"/>
                    <w:tr2bl w:val="nil"/>
                  </w:tcBorders>
                  <w:vAlign w:val="center"/>
                </w:tcPr>
                <w:p w14:paraId="5B93E8FE">
                  <w:pPr>
                    <w:pStyle w:val="99"/>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执行总量控制指标要求</w:t>
                  </w:r>
                </w:p>
              </w:tc>
              <w:tc>
                <w:tcPr>
                  <w:tcW w:w="443" w:type="pct"/>
                  <w:tcBorders>
                    <w:tl2br w:val="nil"/>
                    <w:tr2bl w:val="nil"/>
                  </w:tcBorders>
                  <w:vAlign w:val="center"/>
                </w:tcPr>
                <w:p w14:paraId="186AFFC3">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09F4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5DAEA5A">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DB3F110">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2845171">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962" w:type="pct"/>
                  <w:tcBorders>
                    <w:tl2br w:val="nil"/>
                    <w:tr2bl w:val="nil"/>
                  </w:tcBorders>
                  <w:vAlign w:val="center"/>
                </w:tcPr>
                <w:p w14:paraId="61697456">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禁止新建不符合国家产业政策的小型造纸、制革、印染、染料、炼焦、炼硫、炼砷、炼汞、炼油、电镀、农药、石棉、水泥、玻璃、钢铁、火电以及其他严重污染水环境的生产项目。</w:t>
                  </w:r>
                </w:p>
              </w:tc>
              <w:tc>
                <w:tcPr>
                  <w:tcW w:w="1505" w:type="pct"/>
                  <w:tcBorders>
                    <w:tl2br w:val="nil"/>
                    <w:tr2bl w:val="nil"/>
                  </w:tcBorders>
                  <w:vAlign w:val="center"/>
                </w:tcPr>
                <w:p w14:paraId="545ED734">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本项目不属于小型造纸、制革、印染、染料、炼焦、炼硫、炼砷、炼汞、炼油、电镀、农药、石棉、水泥、玻璃、钢铁、火电以及其他严重污染水环境的生产项目。</w:t>
                  </w:r>
                </w:p>
              </w:tc>
              <w:tc>
                <w:tcPr>
                  <w:tcW w:w="443" w:type="pct"/>
                  <w:tcBorders>
                    <w:tl2br w:val="nil"/>
                    <w:tr2bl w:val="nil"/>
                  </w:tcBorders>
                  <w:vAlign w:val="center"/>
                </w:tcPr>
                <w:p w14:paraId="28A2B45F">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EA320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15452221">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BA50C55">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38177B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1962" w:type="pct"/>
                  <w:tcBorders>
                    <w:tl2br w:val="nil"/>
                    <w:tr2bl w:val="nil"/>
                  </w:tcBorders>
                  <w:vAlign w:val="center"/>
                </w:tcPr>
                <w:p w14:paraId="42A33795">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新建、改建、扩建造纸、焦化、氮肥、有色金属、印染、农副食品加工、原料药制造、制革、农药、电镀等重点行业建设项目，实行主要污染物排放等量或减量置换。</w:t>
                  </w:r>
                </w:p>
              </w:tc>
              <w:tc>
                <w:tcPr>
                  <w:tcW w:w="1505" w:type="pct"/>
                  <w:tcBorders>
                    <w:tl2br w:val="nil"/>
                    <w:tr2bl w:val="nil"/>
                  </w:tcBorders>
                  <w:vAlign w:val="center"/>
                </w:tcPr>
                <w:p w14:paraId="5FEB60D9">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本项目不属于新建、改建、扩建造纸、焦化、氮肥、有色金属、印染、农副食品加工、原料药制造、制革、农药、电镀等重点行业建设项目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792BE1E">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6FE6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1EA1612">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0088579">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D6D5C3A">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1962" w:type="pct"/>
                  <w:tcBorders>
                    <w:tl2br w:val="nil"/>
                    <w:tr2bl w:val="nil"/>
                  </w:tcBorders>
                  <w:vAlign w:val="center"/>
                </w:tcPr>
                <w:p w14:paraId="08DD551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严格落实钢铁、水泥、平板玻璃产能减量置换政策。推进钢铁、水泥、焦化行业及燃煤锅炉超低排放改造。</w:t>
                  </w:r>
                </w:p>
              </w:tc>
              <w:tc>
                <w:tcPr>
                  <w:tcW w:w="1505" w:type="pct"/>
                  <w:tcBorders>
                    <w:tl2br w:val="nil"/>
                    <w:tr2bl w:val="nil"/>
                  </w:tcBorders>
                  <w:vAlign w:val="center"/>
                </w:tcPr>
                <w:p w14:paraId="63D84BF4">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项目不属于钢铁、水泥、平板玻璃项目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302B236D">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691C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97545D7">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33BB1F44">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7A917D7">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1962" w:type="pct"/>
                  <w:tcBorders>
                    <w:tl2br w:val="nil"/>
                    <w:tr2bl w:val="nil"/>
                  </w:tcBorders>
                  <w:vAlign w:val="center"/>
                </w:tcPr>
                <w:p w14:paraId="195039C9">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推动全省34个涉气重点行业企业绩效分级，积极引导污染物排放总量大、污染物排放浓度高的行业企业开展超低排放改造。</w:t>
                  </w:r>
                </w:p>
              </w:tc>
              <w:tc>
                <w:tcPr>
                  <w:tcW w:w="1505" w:type="pct"/>
                  <w:tcBorders>
                    <w:tl2br w:val="nil"/>
                    <w:tr2bl w:val="nil"/>
                  </w:tcBorders>
                  <w:vAlign w:val="center"/>
                </w:tcPr>
                <w:p w14:paraId="1026A7C8">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本企业不属于污染物排放总量大、污染物排放浓度高的行业企业</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B0B09F9">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D94E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2790FE0C">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6EF4F78E">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0169AA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w:t>
                  </w:r>
                </w:p>
              </w:tc>
              <w:tc>
                <w:tcPr>
                  <w:tcW w:w="1962" w:type="pct"/>
                  <w:tcBorders>
                    <w:tl2br w:val="nil"/>
                    <w:tr2bl w:val="nil"/>
                  </w:tcBorders>
                  <w:vAlign w:val="center"/>
                </w:tcPr>
                <w:p w14:paraId="185D3C47">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禁止新建、扩建不符合要求的高耗能高排放项目。</w:t>
                  </w:r>
                </w:p>
              </w:tc>
              <w:tc>
                <w:tcPr>
                  <w:tcW w:w="1505" w:type="pct"/>
                  <w:tcBorders>
                    <w:tl2br w:val="nil"/>
                    <w:tr2bl w:val="nil"/>
                  </w:tcBorders>
                  <w:vAlign w:val="center"/>
                </w:tcPr>
                <w:p w14:paraId="2232162C">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项目不属于新建、扩建不符合要求的高耗能高排放项目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D3B287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85E5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1AD4376E">
                  <w:pPr>
                    <w:pStyle w:val="99"/>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4B2CEC9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309" w:type="pct"/>
                  <w:tcBorders>
                    <w:tl2br w:val="nil"/>
                    <w:tr2bl w:val="nil"/>
                  </w:tcBorders>
                  <w:vAlign w:val="center"/>
                </w:tcPr>
                <w:p w14:paraId="42AD26A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962" w:type="pct"/>
                  <w:tcBorders>
                    <w:tl2br w:val="nil"/>
                    <w:tr2bl w:val="nil"/>
                  </w:tcBorders>
                  <w:vAlign w:val="center"/>
                </w:tcPr>
                <w:p w14:paraId="4BEFC451">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在居民集中区、医院和学校附近、重要水源涵养生态功能区等环境风险防控重点区域，禁止新建或扩建化工石化、有色冶炼、制浆造纸等可能引发环境风险的项目。</w:t>
                  </w:r>
                </w:p>
              </w:tc>
              <w:tc>
                <w:tcPr>
                  <w:tcW w:w="1505" w:type="pct"/>
                  <w:tcBorders>
                    <w:tl2br w:val="nil"/>
                    <w:tr2bl w:val="nil"/>
                  </w:tcBorders>
                  <w:vAlign w:val="center"/>
                </w:tcPr>
                <w:p w14:paraId="1305CB94">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项目不属于新建或扩建化工石化、有色冶炼、制浆造纸项目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9AB368C">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3555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4C93011">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562F796">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564B5975">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1962" w:type="pct"/>
                  <w:tcBorders>
                    <w:tl2br w:val="nil"/>
                    <w:tr2bl w:val="nil"/>
                  </w:tcBorders>
                  <w:vAlign w:val="center"/>
                </w:tcPr>
                <w:p w14:paraId="0FA99894">
                  <w:pPr>
                    <w:pStyle w:val="99"/>
                    <w:jc w:val="left"/>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含有毒有害氰化物电镀工艺（电镀金、银、铜基合金及</w:t>
                  </w:r>
                  <w:r>
                    <w:rPr>
                      <w:rFonts w:hint="default" w:ascii="Times New Roman" w:hAnsi="Times New Roman" w:eastAsia="宋体" w:cs="Times New Roman"/>
                      <w:color w:val="auto"/>
                      <w:sz w:val="21"/>
                      <w:szCs w:val="21"/>
                      <w:highlight w:val="none"/>
                      <w:lang w:eastAsia="zh-CN"/>
                    </w:rPr>
                    <w:t>预</w:t>
                  </w:r>
                  <w:r>
                    <w:rPr>
                      <w:rFonts w:hint="default" w:ascii="Times New Roman" w:hAnsi="Times New Roman" w:eastAsia="宋体" w:cs="Times New Roman"/>
                      <w:color w:val="auto"/>
                      <w:sz w:val="21"/>
                      <w:szCs w:val="21"/>
                      <w:highlight w:val="none"/>
                    </w:rPr>
                    <w:t>镀铜打底工艺除外）</w:t>
                  </w:r>
                  <w:r>
                    <w:rPr>
                      <w:rFonts w:hint="eastAsia" w:cs="Times New Roman"/>
                      <w:color w:val="auto"/>
                      <w:sz w:val="21"/>
                      <w:szCs w:val="21"/>
                      <w:highlight w:val="none"/>
                      <w:lang w:eastAsia="zh-CN"/>
                    </w:rPr>
                    <w:t>。</w:t>
                  </w:r>
                </w:p>
              </w:tc>
              <w:tc>
                <w:tcPr>
                  <w:tcW w:w="1505" w:type="pct"/>
                  <w:tcBorders>
                    <w:tl2br w:val="nil"/>
                    <w:tr2bl w:val="nil"/>
                  </w:tcBorders>
                  <w:vAlign w:val="center"/>
                </w:tcPr>
                <w:p w14:paraId="343C048C">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项目不含有毒有害氰化物电镀工艺</w:t>
                  </w:r>
                </w:p>
              </w:tc>
              <w:tc>
                <w:tcPr>
                  <w:tcW w:w="443" w:type="pct"/>
                  <w:tcBorders>
                    <w:tl2br w:val="nil"/>
                    <w:tr2bl w:val="nil"/>
                  </w:tcBorders>
                  <w:vAlign w:val="center"/>
                </w:tcPr>
                <w:p w14:paraId="22027C73">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C1FE7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3275DCF">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F38B4DA">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1CBBA162">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1962" w:type="pct"/>
                  <w:tcBorders>
                    <w:tl2br w:val="nil"/>
                    <w:tr2bl w:val="nil"/>
                  </w:tcBorders>
                  <w:vAlign w:val="center"/>
                </w:tcPr>
                <w:p w14:paraId="00BAA455">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505" w:type="pct"/>
                  <w:tcBorders>
                    <w:tl2br w:val="nil"/>
                    <w:tr2bl w:val="nil"/>
                  </w:tcBorders>
                  <w:vAlign w:val="center"/>
                </w:tcPr>
                <w:p w14:paraId="4A747D70">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项目不属于港口、码头、装卸站和船舶修造厂</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8AE2ACA">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575D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A642320">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A04872F">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168A51AF">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1962" w:type="pct"/>
                  <w:tcBorders>
                    <w:tl2br w:val="nil"/>
                    <w:tr2bl w:val="nil"/>
                  </w:tcBorders>
                  <w:vAlign w:val="center"/>
                </w:tcPr>
                <w:p w14:paraId="2E9849A9">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位于城镇人口密集区内，安全、卫生防护距离不能满足相关要求和不符合规划的现有危险化学品生产企业限期退出或依法关停。</w:t>
                  </w:r>
                </w:p>
              </w:tc>
              <w:tc>
                <w:tcPr>
                  <w:tcW w:w="1505" w:type="pct"/>
                  <w:tcBorders>
                    <w:tl2br w:val="nil"/>
                    <w:tr2bl w:val="nil"/>
                  </w:tcBorders>
                  <w:vAlign w:val="center"/>
                </w:tcPr>
                <w:p w14:paraId="7D1027B1">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危险化学品生产企业</w:t>
                  </w:r>
                </w:p>
              </w:tc>
              <w:tc>
                <w:tcPr>
                  <w:tcW w:w="443" w:type="pct"/>
                  <w:tcBorders>
                    <w:tl2br w:val="nil"/>
                    <w:tr2bl w:val="nil"/>
                  </w:tcBorders>
                  <w:vAlign w:val="center"/>
                </w:tcPr>
                <w:p w14:paraId="6514596F">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6567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5327E1E9">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2388BE2">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B4A5AD7">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w:t>
                  </w:r>
                </w:p>
              </w:tc>
              <w:tc>
                <w:tcPr>
                  <w:tcW w:w="1962" w:type="pct"/>
                  <w:tcBorders>
                    <w:tl2br w:val="nil"/>
                    <w:tr2bl w:val="nil"/>
                  </w:tcBorders>
                  <w:vAlign w:val="center"/>
                </w:tcPr>
                <w:p w14:paraId="27A1988F">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禁止在长江干流岸线三公里范围内和重要支流岸线一公里范围内新建、改建、扩建尾矿库、冶炼渣库和磷石膏库，以提升安全、生态环境保护水平为目的的改建除外。</w:t>
                  </w:r>
                </w:p>
              </w:tc>
              <w:tc>
                <w:tcPr>
                  <w:tcW w:w="1505" w:type="pct"/>
                  <w:tcBorders>
                    <w:tl2br w:val="nil"/>
                    <w:tr2bl w:val="nil"/>
                  </w:tcBorders>
                  <w:vAlign w:val="center"/>
                </w:tcPr>
                <w:p w14:paraId="60D2456D">
                  <w:pPr>
                    <w:pStyle w:val="9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项目不属于新建、改建、扩建尾矿库、冶炼渣库和磷石膏库</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C971B43">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E717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1681E7B">
                  <w:pPr>
                    <w:pStyle w:val="99"/>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381CE321">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资源利用效率</w:t>
                  </w:r>
                </w:p>
              </w:tc>
              <w:tc>
                <w:tcPr>
                  <w:tcW w:w="309" w:type="pct"/>
                  <w:tcBorders>
                    <w:tl2br w:val="nil"/>
                    <w:tr2bl w:val="nil"/>
                  </w:tcBorders>
                  <w:vAlign w:val="center"/>
                </w:tcPr>
                <w:p w14:paraId="52203D58">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962" w:type="pct"/>
                  <w:tcBorders>
                    <w:tl2br w:val="nil"/>
                    <w:tr2bl w:val="nil"/>
                  </w:tcBorders>
                  <w:vAlign w:val="center"/>
                </w:tcPr>
                <w:p w14:paraId="5BA3D055">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对取用水总量已达到或超过控制指标的地区，暂停审批建设项目新增取水。对取用水总量接近控制指标的地区，限制审批建设项目新增取水。</w:t>
                  </w:r>
                </w:p>
              </w:tc>
              <w:tc>
                <w:tcPr>
                  <w:tcW w:w="1505" w:type="pct"/>
                  <w:tcBorders>
                    <w:tl2br w:val="nil"/>
                    <w:tr2bl w:val="nil"/>
                  </w:tcBorders>
                  <w:vAlign w:val="center"/>
                </w:tcPr>
                <w:p w14:paraId="4DC1516F">
                  <w:pPr>
                    <w:pStyle w:val="99"/>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项目不属于用水总量已达到或超过控制指标的地区</w:t>
                  </w:r>
                </w:p>
              </w:tc>
              <w:tc>
                <w:tcPr>
                  <w:tcW w:w="443" w:type="pct"/>
                  <w:tcBorders>
                    <w:tl2br w:val="nil"/>
                    <w:tr2bl w:val="nil"/>
                  </w:tcBorders>
                  <w:vAlign w:val="center"/>
                </w:tcPr>
                <w:p w14:paraId="37143624">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2461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384C3FD1">
                  <w:pPr>
                    <w:pStyle w:val="99"/>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A7F51DD">
                  <w:pPr>
                    <w:pStyle w:val="99"/>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5A689006">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w:t>
                  </w:r>
                </w:p>
              </w:tc>
              <w:tc>
                <w:tcPr>
                  <w:tcW w:w="1962" w:type="pct"/>
                  <w:tcBorders>
                    <w:tl2br w:val="nil"/>
                    <w:tr2bl w:val="nil"/>
                  </w:tcBorders>
                  <w:vAlign w:val="center"/>
                </w:tcPr>
                <w:p w14:paraId="147C811A">
                  <w:pPr>
                    <w:pStyle w:val="9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在禁燃区内，禁止新建、扩建燃用高污染燃料的项目和设施，已建成的应逐步改用天然气、电或者其他清洁能源。</w:t>
                  </w:r>
                </w:p>
              </w:tc>
              <w:tc>
                <w:tcPr>
                  <w:tcW w:w="1505" w:type="pct"/>
                  <w:tcBorders>
                    <w:tl2br w:val="nil"/>
                    <w:tr2bl w:val="nil"/>
                  </w:tcBorders>
                  <w:vAlign w:val="center"/>
                </w:tcPr>
                <w:p w14:paraId="7DF29D5A">
                  <w:pPr>
                    <w:pStyle w:val="9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项目不在禁燃区</w:t>
                  </w:r>
                </w:p>
              </w:tc>
              <w:tc>
                <w:tcPr>
                  <w:tcW w:w="443" w:type="pct"/>
                  <w:tcBorders>
                    <w:tl2br w:val="nil"/>
                    <w:tr2bl w:val="nil"/>
                  </w:tcBorders>
                  <w:vAlign w:val="center"/>
                </w:tcPr>
                <w:p w14:paraId="4CA6756C">
                  <w:pPr>
                    <w:pStyle w:val="9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7521F9C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FFFFFF"/>
                <w:lang w:eastAsia="zh-CN"/>
              </w:rPr>
            </w:pPr>
            <w:r>
              <w:rPr>
                <w:rFonts w:hint="default" w:ascii="Times New Roman" w:hAnsi="Times New Roman" w:eastAsia="宋体" w:cs="Times New Roman"/>
                <w:color w:val="auto"/>
                <w:sz w:val="24"/>
                <w:szCs w:val="24"/>
                <w:highlight w:val="none"/>
                <w:lang w:val="en-US" w:eastAsia="zh-CN"/>
              </w:rPr>
              <w:t>依据</w:t>
            </w:r>
            <w:r>
              <w:rPr>
                <w:rFonts w:hint="default" w:ascii="Times New Roman" w:hAnsi="Times New Roman" w:eastAsia="宋体" w:cs="Times New Roman"/>
                <w:color w:val="auto"/>
                <w:sz w:val="24"/>
                <w:szCs w:val="24"/>
                <w:highlight w:val="none"/>
              </w:rPr>
              <w:t>《宜春市人民政府办公室关于公布宜春市生态环境分区管控成果（2023版）的通知》（宜府办发〔2024〕9号），</w:t>
            </w:r>
            <w:r>
              <w:rPr>
                <w:rFonts w:hint="default" w:ascii="Times New Roman" w:hAnsi="Times New Roman" w:eastAsia="宋体" w:cs="Times New Roman"/>
                <w:color w:val="auto"/>
                <w:sz w:val="24"/>
                <w:szCs w:val="24"/>
                <w:highlight w:val="none"/>
                <w:lang w:val="en-US" w:eastAsia="zh-CN"/>
              </w:rPr>
              <w:t>高安市</w:t>
            </w:r>
            <w:r>
              <w:rPr>
                <w:rFonts w:hint="default" w:ascii="Times New Roman" w:hAnsi="Times New Roman" w:eastAsia="宋体" w:cs="Times New Roman"/>
                <w:color w:val="auto"/>
                <w:sz w:val="24"/>
                <w:szCs w:val="24"/>
                <w:highlight w:val="none"/>
              </w:rPr>
              <w:t>设</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个优先保护单元，5个重点管控单元，</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个一般管控单元。项目位于</w:t>
            </w:r>
            <w:r>
              <w:rPr>
                <w:rFonts w:hint="default" w:ascii="Times New Roman" w:hAnsi="Times New Roman" w:cs="Times New Roman"/>
                <w:color w:val="auto"/>
                <w:sz w:val="24"/>
                <w:szCs w:val="24"/>
                <w:highlight w:val="none"/>
                <w:lang w:eastAsia="zh-CN"/>
              </w:rPr>
              <w:t>江西高安高新技术产业园</w:t>
            </w:r>
            <w:r>
              <w:rPr>
                <w:rFonts w:hint="eastAsia" w:cs="Times New Roman"/>
                <w:color w:val="auto"/>
                <w:sz w:val="24"/>
                <w:szCs w:val="24"/>
                <w:highlight w:val="none"/>
                <w:lang w:val="en-US" w:eastAsia="zh-CN"/>
              </w:rPr>
              <w:t>区</w:t>
            </w:r>
            <w:r>
              <w:rPr>
                <w:rFonts w:hint="default" w:ascii="Times New Roman" w:hAnsi="Times New Roman" w:eastAsia="宋体" w:cs="Times New Roman"/>
                <w:color w:val="auto"/>
                <w:sz w:val="24"/>
                <w:szCs w:val="24"/>
                <w:highlight w:val="none"/>
              </w:rPr>
              <w:t>，属于</w:t>
            </w:r>
            <w:r>
              <w:rPr>
                <w:rFonts w:hint="default" w:ascii="Times New Roman" w:hAnsi="Times New Roman" w:eastAsia="宋体" w:cs="Times New Roman"/>
                <w:color w:val="auto"/>
                <w:sz w:val="24"/>
                <w:szCs w:val="24"/>
                <w:highlight w:val="none"/>
                <w:lang w:val="en-US" w:eastAsia="zh-CN"/>
              </w:rPr>
              <w:t>江西省宜春市高安市重点管控单元2</w:t>
            </w:r>
            <w:r>
              <w:rPr>
                <w:rFonts w:hint="default" w:ascii="Times New Roman" w:hAnsi="Times New Roman" w:eastAsia="宋体" w:cs="Times New Roman"/>
                <w:color w:val="auto"/>
                <w:sz w:val="24"/>
                <w:szCs w:val="24"/>
                <w:highlight w:val="none"/>
              </w:rPr>
              <w:t>（环境管控单元编码：</w:t>
            </w:r>
            <w:r>
              <w:rPr>
                <w:rFonts w:hint="default" w:ascii="Times New Roman" w:hAnsi="Times New Roman" w:eastAsia="宋体" w:cs="Times New Roman"/>
                <w:color w:val="auto"/>
                <w:sz w:val="24"/>
                <w:szCs w:val="24"/>
                <w:highlight w:val="none"/>
                <w:lang w:val="en-US" w:eastAsia="zh-CN"/>
              </w:rPr>
              <w:t>ZH36098320002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0"/>
                <w:sz w:val="24"/>
                <w:szCs w:val="24"/>
                <w:highlight w:val="none"/>
                <w:shd w:val="clear" w:color="auto" w:fill="FFFFFF"/>
                <w:lang w:eastAsia="zh-CN"/>
              </w:rPr>
              <w:t>。</w:t>
            </w:r>
          </w:p>
          <w:p w14:paraId="518660F5">
            <w:pPr>
              <w:numPr>
                <w:ilvl w:val="0"/>
                <w:numId w:val="5"/>
              </w:numPr>
              <w:adjustRightInd w:val="0"/>
              <w:snapToGrid w:val="0"/>
              <w:ind w:left="0" w:leftChars="0" w:firstLine="0"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项目与宜春市生态环境总体准入清单相符性</w:t>
            </w:r>
          </w:p>
          <w:tbl>
            <w:tblPr>
              <w:tblStyle w:val="33"/>
              <w:tblW w:w="4997" w:type="pct"/>
              <w:jc w:val="center"/>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Layout w:type="fixed"/>
              <w:tblCellMar>
                <w:top w:w="15" w:type="dxa"/>
                <w:left w:w="15" w:type="dxa"/>
                <w:bottom w:w="15" w:type="dxa"/>
                <w:right w:w="15" w:type="dxa"/>
              </w:tblCellMar>
            </w:tblPr>
            <w:tblGrid>
              <w:gridCol w:w="582"/>
              <w:gridCol w:w="1050"/>
              <w:gridCol w:w="480"/>
              <w:gridCol w:w="3811"/>
              <w:gridCol w:w="736"/>
              <w:gridCol w:w="242"/>
            </w:tblGrid>
            <w:tr w14:paraId="67ACCF6F">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op w:val="single" w:color="000000" w:sz="12" w:space="0"/>
                    <w:tl2br w:val="nil"/>
                    <w:tr2bl w:val="nil"/>
                  </w:tcBorders>
                  <w:noWrap/>
                  <w:tcMar>
                    <w:bottom w:w="0" w:type="dxa"/>
                  </w:tcMar>
                  <w:vAlign w:val="center"/>
                </w:tcPr>
                <w:p w14:paraId="5FE1DC39">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维度</w:t>
                  </w:r>
                </w:p>
              </w:tc>
              <w:tc>
                <w:tcPr>
                  <w:tcW w:w="760" w:type="pct"/>
                  <w:tcBorders>
                    <w:top w:val="single" w:color="000000" w:sz="12" w:space="0"/>
                    <w:tl2br w:val="nil"/>
                    <w:tr2bl w:val="nil"/>
                  </w:tcBorders>
                  <w:noWrap w:val="0"/>
                  <w:tcMar>
                    <w:bottom w:w="0" w:type="dxa"/>
                  </w:tcMar>
                  <w:vAlign w:val="center"/>
                </w:tcPr>
                <w:p w14:paraId="057A6D6B">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清单编制要求</w:t>
                  </w:r>
                </w:p>
              </w:tc>
              <w:tc>
                <w:tcPr>
                  <w:tcW w:w="347" w:type="pct"/>
                  <w:tcBorders>
                    <w:top w:val="single" w:color="000000" w:sz="12" w:space="0"/>
                    <w:tl2br w:val="nil"/>
                    <w:tr2bl w:val="nil"/>
                  </w:tcBorders>
                  <w:noWrap w:val="0"/>
                  <w:tcMar>
                    <w:bottom w:w="0" w:type="dxa"/>
                  </w:tcMar>
                  <w:vAlign w:val="center"/>
                </w:tcPr>
                <w:p w14:paraId="6DF1A751">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序号</w:t>
                  </w:r>
                </w:p>
              </w:tc>
              <w:tc>
                <w:tcPr>
                  <w:tcW w:w="2761" w:type="pct"/>
                  <w:tcBorders>
                    <w:top w:val="single" w:color="000000" w:sz="12" w:space="0"/>
                    <w:tl2br w:val="nil"/>
                    <w:tr2bl w:val="nil"/>
                  </w:tcBorders>
                  <w:noWrap w:val="0"/>
                  <w:tcMar>
                    <w:bottom w:w="0" w:type="dxa"/>
                  </w:tcMar>
                  <w:vAlign w:val="center"/>
                </w:tcPr>
                <w:p w14:paraId="46E24FF3">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准入要求</w:t>
                  </w:r>
                </w:p>
              </w:tc>
              <w:tc>
                <w:tcPr>
                  <w:tcW w:w="533" w:type="pct"/>
                  <w:tcBorders>
                    <w:top w:val="single" w:color="000000" w:sz="12" w:space="0"/>
                    <w:tl2br w:val="nil"/>
                    <w:tr2bl w:val="nil"/>
                  </w:tcBorders>
                  <w:noWrap w:val="0"/>
                  <w:tcMar>
                    <w:bottom w:w="0" w:type="dxa"/>
                  </w:tcMar>
                  <w:vAlign w:val="center"/>
                </w:tcPr>
                <w:p w14:paraId="79CC8E16">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本项目</w:t>
                  </w:r>
                </w:p>
              </w:tc>
              <w:tc>
                <w:tcPr>
                  <w:tcW w:w="175" w:type="pct"/>
                  <w:tcBorders>
                    <w:top w:val="single" w:color="000000" w:sz="12" w:space="0"/>
                    <w:tl2br w:val="nil"/>
                    <w:tr2bl w:val="nil"/>
                  </w:tcBorders>
                  <w:noWrap w:val="0"/>
                  <w:tcMar>
                    <w:bottom w:w="0" w:type="dxa"/>
                  </w:tcMar>
                  <w:vAlign w:val="center"/>
                </w:tcPr>
                <w:p w14:paraId="0190BA6D">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eastAsia="zh-CN"/>
                    </w:rPr>
                  </w:pPr>
                  <w:r>
                    <w:rPr>
                      <w:rFonts w:hint="default" w:ascii="Times New Roman" w:hAnsi="Times New Roman" w:eastAsia="宋体" w:cs="Times New Roman"/>
                      <w:b/>
                      <w:bCs/>
                      <w:color w:val="auto"/>
                      <w:kern w:val="0"/>
                      <w:sz w:val="21"/>
                      <w:szCs w:val="21"/>
                      <w:highlight w:val="none"/>
                      <w:shd w:val="clear" w:color="auto" w:fill="FFFFFF"/>
                      <w:lang w:eastAsia="zh-CN"/>
                    </w:rPr>
                    <w:t>相符性分析</w:t>
                  </w:r>
                </w:p>
              </w:tc>
            </w:tr>
            <w:tr w14:paraId="009E6853">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52594A5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空间布局约束</w:t>
                  </w:r>
                </w:p>
              </w:tc>
              <w:tc>
                <w:tcPr>
                  <w:tcW w:w="760" w:type="pct"/>
                  <w:tcBorders>
                    <w:tl2br w:val="nil"/>
                    <w:tr2bl w:val="nil"/>
                  </w:tcBorders>
                  <w:noWrap w:val="0"/>
                  <w:tcMar>
                    <w:bottom w:w="0" w:type="dxa"/>
                  </w:tcMar>
                  <w:vAlign w:val="center"/>
                </w:tcPr>
                <w:p w14:paraId="642A817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禁止开发建设活动的要求</w:t>
                  </w:r>
                </w:p>
              </w:tc>
              <w:tc>
                <w:tcPr>
                  <w:tcW w:w="347" w:type="pct"/>
                  <w:tcBorders>
                    <w:tl2br w:val="nil"/>
                    <w:tr2bl w:val="nil"/>
                  </w:tcBorders>
                  <w:noWrap w:val="0"/>
                  <w:tcMar>
                    <w:bottom w:w="0" w:type="dxa"/>
                  </w:tcMar>
                  <w:vAlign w:val="center"/>
                </w:tcPr>
                <w:p w14:paraId="0B860F5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w:t>
                  </w:r>
                </w:p>
              </w:tc>
              <w:tc>
                <w:tcPr>
                  <w:tcW w:w="2761" w:type="pct"/>
                  <w:tcBorders>
                    <w:tl2br w:val="nil"/>
                    <w:tr2bl w:val="nil"/>
                  </w:tcBorders>
                  <w:noWrap w:val="0"/>
                  <w:tcMar>
                    <w:bottom w:w="0" w:type="dxa"/>
                  </w:tcMar>
                  <w:vAlign w:val="center"/>
                </w:tcPr>
                <w:p w14:paraId="3D962A96">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禁止新建《产业结构调整指导目录（2024年本）》限制类和淘汰类项目，现有产业改、扩建不得使用《产业结构调整指导目录（2024年本）》规定的淘汰类规模和生产工艺</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6B758BEB">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w:t>
                  </w:r>
                  <w:r>
                    <w:rPr>
                      <w:rFonts w:hint="default" w:ascii="Times New Roman" w:hAnsi="Times New Roman" w:eastAsia="宋体" w:cs="Times New Roman"/>
                      <w:color w:val="auto"/>
                      <w:kern w:val="0"/>
                      <w:sz w:val="21"/>
                      <w:szCs w:val="21"/>
                      <w:highlight w:val="none"/>
                      <w:shd w:val="clear" w:color="auto" w:fill="FFFFFF"/>
                      <w:lang w:val="en-US" w:eastAsia="zh-CN"/>
                    </w:rPr>
                    <w:t>视</w:t>
                  </w:r>
                  <w:r>
                    <w:rPr>
                      <w:rFonts w:hint="default" w:ascii="Times New Roman" w:hAnsi="Times New Roman" w:eastAsia="宋体" w:cs="Times New Roman"/>
                      <w:color w:val="auto"/>
                      <w:kern w:val="0"/>
                      <w:sz w:val="21"/>
                      <w:szCs w:val="21"/>
                      <w:highlight w:val="none"/>
                      <w:shd w:val="clear" w:color="auto" w:fill="FFFFFF"/>
                    </w:rPr>
                    <w:t>为</w:t>
                  </w:r>
                  <w:r>
                    <w:rPr>
                      <w:rFonts w:hint="default" w:ascii="Times New Roman" w:hAnsi="Times New Roman" w:eastAsia="宋体" w:cs="Times New Roman"/>
                      <w:color w:val="auto"/>
                      <w:kern w:val="0"/>
                      <w:sz w:val="21"/>
                      <w:szCs w:val="21"/>
                      <w:highlight w:val="none"/>
                      <w:shd w:val="clear" w:color="auto" w:fill="FFFFFF"/>
                      <w:lang w:val="en-US" w:eastAsia="zh-CN"/>
                    </w:rPr>
                    <w:t>允许</w:t>
                  </w:r>
                  <w:r>
                    <w:rPr>
                      <w:rFonts w:hint="default" w:ascii="Times New Roman" w:hAnsi="Times New Roman" w:eastAsia="宋体" w:cs="Times New Roman"/>
                      <w:color w:val="auto"/>
                      <w:kern w:val="0"/>
                      <w:sz w:val="21"/>
                      <w:szCs w:val="21"/>
                      <w:highlight w:val="none"/>
                      <w:shd w:val="clear" w:color="auto" w:fill="FFFFFF"/>
                    </w:rPr>
                    <w:t>类项目</w:t>
                  </w:r>
                </w:p>
              </w:tc>
              <w:tc>
                <w:tcPr>
                  <w:tcW w:w="175" w:type="pct"/>
                  <w:tcBorders>
                    <w:tl2br w:val="nil"/>
                    <w:tr2bl w:val="nil"/>
                  </w:tcBorders>
                  <w:noWrap w:val="0"/>
                  <w:tcMar>
                    <w:bottom w:w="0" w:type="dxa"/>
                  </w:tcMar>
                  <w:vAlign w:val="center"/>
                </w:tcPr>
                <w:p w14:paraId="3A1D93B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212FDB3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3971E2B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restart"/>
                  <w:tcBorders>
                    <w:tl2br w:val="nil"/>
                    <w:tr2bl w:val="nil"/>
                  </w:tcBorders>
                  <w:noWrap w:val="0"/>
                  <w:tcMar>
                    <w:bottom w:w="0" w:type="dxa"/>
                  </w:tcMar>
                  <w:vAlign w:val="center"/>
                </w:tcPr>
                <w:p w14:paraId="1A6391C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限制开发建设活动的要求</w:t>
                  </w:r>
                </w:p>
              </w:tc>
              <w:tc>
                <w:tcPr>
                  <w:tcW w:w="347" w:type="pct"/>
                  <w:tcBorders>
                    <w:tl2br w:val="nil"/>
                    <w:tr2bl w:val="nil"/>
                  </w:tcBorders>
                  <w:noWrap w:val="0"/>
                  <w:tcMar>
                    <w:bottom w:w="0" w:type="dxa"/>
                  </w:tcMar>
                  <w:vAlign w:val="center"/>
                </w:tcPr>
                <w:p w14:paraId="50EBA3B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2</w:t>
                  </w:r>
                </w:p>
              </w:tc>
              <w:tc>
                <w:tcPr>
                  <w:tcW w:w="2761" w:type="pct"/>
                  <w:tcBorders>
                    <w:tl2br w:val="nil"/>
                    <w:tr2bl w:val="nil"/>
                  </w:tcBorders>
                  <w:noWrap w:val="0"/>
                  <w:tcMar>
                    <w:bottom w:w="0" w:type="dxa"/>
                  </w:tcMar>
                  <w:vAlign w:val="center"/>
                </w:tcPr>
                <w:p w14:paraId="78812F1D">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w:t>
                  </w:r>
                  <w:r>
                    <w:rPr>
                      <w:rFonts w:hint="default" w:ascii="Times New Roman" w:hAnsi="Times New Roman" w:eastAsia="宋体" w:cs="Times New Roman"/>
                      <w:color w:val="auto"/>
                      <w:kern w:val="0"/>
                      <w:sz w:val="21"/>
                      <w:szCs w:val="21"/>
                      <w:highlight w:val="none"/>
                      <w:shd w:val="clear" w:color="auto" w:fill="FFFFFF"/>
                      <w:lang w:eastAsia="zh-CN"/>
                    </w:rPr>
                    <w:t>，严禁在距离水源地以及流域面积大于1000平方公里的河流</w:t>
                  </w:r>
                  <w:r>
                    <w:rPr>
                      <w:rFonts w:hint="default" w:ascii="Times New Roman" w:hAnsi="Times New Roman" w:eastAsia="宋体" w:cs="Times New Roman"/>
                      <w:color w:val="auto"/>
                      <w:kern w:val="0"/>
                      <w:sz w:val="21"/>
                      <w:szCs w:val="21"/>
                      <w:highlight w:val="none"/>
                      <w:shd w:val="clear" w:color="auto" w:fill="FFFFFF"/>
                      <w:lang w:val="en-US" w:eastAsia="zh-CN"/>
                    </w:rPr>
                    <w:t>和禾水、</w:t>
                  </w:r>
                  <w:r>
                    <w:rPr>
                      <w:rFonts w:hint="default" w:ascii="Times New Roman" w:hAnsi="Times New Roman" w:eastAsia="宋体" w:cs="Times New Roman"/>
                      <w:color w:val="auto"/>
                      <w:kern w:val="0"/>
                      <w:sz w:val="21"/>
                      <w:szCs w:val="21"/>
                      <w:highlight w:val="none"/>
                      <w:shd w:val="clear" w:color="auto" w:fill="FFFFFF"/>
                      <w:lang w:eastAsia="zh-CN"/>
                    </w:rPr>
                    <w:t>渌水岸线1公里范围内新（改、扩）建尾矿库。</w:t>
                  </w:r>
                </w:p>
              </w:tc>
              <w:tc>
                <w:tcPr>
                  <w:tcW w:w="533" w:type="pct"/>
                  <w:tcBorders>
                    <w:tl2br w:val="nil"/>
                    <w:tr2bl w:val="nil"/>
                  </w:tcBorders>
                  <w:noWrap w:val="0"/>
                  <w:tcMar>
                    <w:bottom w:w="0" w:type="dxa"/>
                  </w:tcMar>
                  <w:vAlign w:val="center"/>
                </w:tcPr>
                <w:p w14:paraId="3E151448">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w:t>
                  </w:r>
                  <w:r>
                    <w:rPr>
                      <w:rFonts w:hint="default" w:ascii="Times New Roman" w:hAnsi="Times New Roman" w:eastAsia="宋体" w:cs="Times New Roman"/>
                      <w:color w:val="auto"/>
                      <w:kern w:val="0"/>
                      <w:sz w:val="21"/>
                      <w:szCs w:val="21"/>
                      <w:highlight w:val="none"/>
                      <w:shd w:val="clear" w:color="auto" w:fill="FFFFFF"/>
                    </w:rPr>
                    <w:t>不属于</w:t>
                  </w:r>
                  <w:r>
                    <w:rPr>
                      <w:rFonts w:hint="default" w:ascii="Times New Roman" w:hAnsi="Times New Roman" w:eastAsia="宋体" w:cs="Times New Roman"/>
                      <w:color w:val="auto"/>
                      <w:kern w:val="0"/>
                      <w:sz w:val="21"/>
                      <w:szCs w:val="21"/>
                      <w:highlight w:val="none"/>
                      <w:shd w:val="clear" w:color="auto" w:fill="FFFFFF"/>
                      <w:lang w:val="en-US" w:eastAsia="zh-CN"/>
                    </w:rPr>
                    <w:t>化工园区和化工项目，不属于冶炼渣库和磷石膏库</w:t>
                  </w:r>
                  <w:r>
                    <w:rPr>
                      <w:rFonts w:hint="default" w:ascii="Times New Roman" w:hAnsi="Times New Roman" w:eastAsia="宋体" w:cs="Times New Roman"/>
                      <w:color w:val="auto"/>
                      <w:kern w:val="0"/>
                      <w:sz w:val="21"/>
                      <w:szCs w:val="21"/>
                      <w:highlight w:val="none"/>
                      <w:shd w:val="clear" w:color="auto" w:fill="FFFFFF"/>
                    </w:rPr>
                    <w:t>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7624E36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3C7D895C">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PrEx>
              <w:trPr>
                <w:trHeight w:val="380" w:hRule="atLeast"/>
                <w:jc w:val="center"/>
              </w:trPr>
              <w:tc>
                <w:tcPr>
                  <w:tcW w:w="421" w:type="pct"/>
                  <w:vMerge w:val="continue"/>
                  <w:tcBorders>
                    <w:tl2br w:val="nil"/>
                    <w:tr2bl w:val="nil"/>
                  </w:tcBorders>
                  <w:noWrap/>
                  <w:tcMar>
                    <w:bottom w:w="0" w:type="dxa"/>
                  </w:tcMar>
                  <w:vAlign w:val="center"/>
                </w:tcPr>
                <w:p w14:paraId="0730CEB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511F545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7B58C07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3</w:t>
                  </w:r>
                </w:p>
              </w:tc>
              <w:tc>
                <w:tcPr>
                  <w:tcW w:w="2761" w:type="pct"/>
                  <w:tcBorders>
                    <w:tl2br w:val="nil"/>
                    <w:tr2bl w:val="nil"/>
                  </w:tcBorders>
                  <w:noWrap w:val="0"/>
                  <w:tcMar>
                    <w:bottom w:w="0" w:type="dxa"/>
                  </w:tcMar>
                  <w:vAlign w:val="center"/>
                </w:tcPr>
                <w:p w14:paraId="01948B45">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不得在城镇居民聚集区域、规划区，主导风上风向，以城镇中心为界线，向外延伸5公里，新建化工（单纯混合、复配除外）、农药（原药生产）、钢铁、焦化、水泥（熟料）、有色金属冶炼等大气污染型项目。</w:t>
                  </w:r>
                </w:p>
              </w:tc>
              <w:tc>
                <w:tcPr>
                  <w:tcW w:w="533" w:type="pct"/>
                  <w:tcBorders>
                    <w:tl2br w:val="nil"/>
                    <w:tr2bl w:val="nil"/>
                  </w:tcBorders>
                  <w:noWrap w:val="0"/>
                  <w:tcMar>
                    <w:bottom w:w="0" w:type="dxa"/>
                  </w:tcMar>
                  <w:vAlign w:val="center"/>
                </w:tcPr>
                <w:p w14:paraId="4B1F71CF">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项目不属于新建化工（单纯混合、复配除外）、农药（原药生产）、钢铁、焦化、水泥（熟料）、有色金属冶炼等大气污染型项目。</w:t>
                  </w:r>
                </w:p>
              </w:tc>
              <w:tc>
                <w:tcPr>
                  <w:tcW w:w="175" w:type="pct"/>
                  <w:tcBorders>
                    <w:tl2br w:val="nil"/>
                    <w:tr2bl w:val="nil"/>
                  </w:tcBorders>
                  <w:noWrap w:val="0"/>
                  <w:tcMar>
                    <w:bottom w:w="0" w:type="dxa"/>
                  </w:tcMar>
                  <w:vAlign w:val="center"/>
                </w:tcPr>
                <w:p w14:paraId="4C380A1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164D772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588E044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12504BC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796BB46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4</w:t>
                  </w:r>
                </w:p>
              </w:tc>
              <w:tc>
                <w:tcPr>
                  <w:tcW w:w="2761" w:type="pct"/>
                  <w:tcBorders>
                    <w:tl2br w:val="nil"/>
                    <w:tr2bl w:val="nil"/>
                  </w:tcBorders>
                  <w:noWrap w:val="0"/>
                  <w:tcMar>
                    <w:bottom w:w="0" w:type="dxa"/>
                  </w:tcMar>
                  <w:vAlign w:val="center"/>
                </w:tcPr>
                <w:p w14:paraId="692D78F4">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生态保护红线内，自然保护地核心保护区原则上禁止人为活动，其他区域严格禁止开发性、生产性建设活动。</w:t>
                  </w:r>
                </w:p>
              </w:tc>
              <w:tc>
                <w:tcPr>
                  <w:tcW w:w="533" w:type="pct"/>
                  <w:tcBorders>
                    <w:tl2br w:val="nil"/>
                    <w:tr2bl w:val="nil"/>
                  </w:tcBorders>
                  <w:noWrap w:val="0"/>
                  <w:tcMar>
                    <w:bottom w:w="0" w:type="dxa"/>
                  </w:tcMar>
                  <w:vAlign w:val="center"/>
                </w:tcPr>
                <w:p w14:paraId="62C05131">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项目不在生态保护红线内</w:t>
                  </w:r>
                </w:p>
              </w:tc>
              <w:tc>
                <w:tcPr>
                  <w:tcW w:w="175" w:type="pct"/>
                  <w:tcBorders>
                    <w:tl2br w:val="nil"/>
                    <w:tr2bl w:val="nil"/>
                  </w:tcBorders>
                  <w:noWrap w:val="0"/>
                  <w:tcMar>
                    <w:bottom w:w="0" w:type="dxa"/>
                  </w:tcMar>
                  <w:vAlign w:val="center"/>
                </w:tcPr>
                <w:p w14:paraId="3AADCC5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0EB08D84">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1301" w:hRule="atLeast"/>
                <w:jc w:val="center"/>
              </w:trPr>
              <w:tc>
                <w:tcPr>
                  <w:tcW w:w="421" w:type="pct"/>
                  <w:vMerge w:val="continue"/>
                  <w:tcBorders>
                    <w:tl2br w:val="nil"/>
                    <w:tr2bl w:val="nil"/>
                  </w:tcBorders>
                  <w:noWrap/>
                  <w:tcMar>
                    <w:bottom w:w="0" w:type="dxa"/>
                  </w:tcMar>
                  <w:vAlign w:val="center"/>
                </w:tcPr>
                <w:p w14:paraId="19C9317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75E1D25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218E074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5</w:t>
                  </w:r>
                </w:p>
              </w:tc>
              <w:tc>
                <w:tcPr>
                  <w:tcW w:w="2761" w:type="pct"/>
                  <w:tcBorders>
                    <w:tl2br w:val="nil"/>
                    <w:tr2bl w:val="nil"/>
                  </w:tcBorders>
                  <w:noWrap w:val="0"/>
                  <w:tcMar>
                    <w:bottom w:w="0" w:type="dxa"/>
                  </w:tcMar>
                  <w:vAlign w:val="center"/>
                </w:tcPr>
                <w:p w14:paraId="13315909">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加强重金属污染源头防控，减少使用高铊矿石原料。废水、废气排放的涉铊企业要设置除铊治理设施，需相应达到排放标准要求，对于生产废水零排放的项目，企业废水总排口中铊不得检出。</w:t>
                  </w:r>
                </w:p>
              </w:tc>
              <w:tc>
                <w:tcPr>
                  <w:tcW w:w="533" w:type="pct"/>
                  <w:tcBorders>
                    <w:tl2br w:val="nil"/>
                    <w:tr2bl w:val="nil"/>
                  </w:tcBorders>
                  <w:noWrap w:val="0"/>
                  <w:tcMar>
                    <w:bottom w:w="0" w:type="dxa"/>
                  </w:tcMar>
                  <w:vAlign w:val="center"/>
                </w:tcPr>
                <w:p w14:paraId="0ABCF1DC">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项目不使用高铊矿石原料</w:t>
                  </w:r>
                </w:p>
              </w:tc>
              <w:tc>
                <w:tcPr>
                  <w:tcW w:w="175" w:type="pct"/>
                  <w:tcBorders>
                    <w:tl2br w:val="nil"/>
                    <w:tr2bl w:val="nil"/>
                  </w:tcBorders>
                  <w:noWrap w:val="0"/>
                  <w:tcMar>
                    <w:bottom w:w="0" w:type="dxa"/>
                  </w:tcMar>
                  <w:vAlign w:val="center"/>
                </w:tcPr>
                <w:p w14:paraId="0AD06FD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A189EB0">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03226D2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0306A2C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不符合空间布局要求活动的退出要求</w:t>
                  </w:r>
                </w:p>
              </w:tc>
              <w:tc>
                <w:tcPr>
                  <w:tcW w:w="347" w:type="pct"/>
                  <w:tcBorders>
                    <w:tl2br w:val="nil"/>
                    <w:tr2bl w:val="nil"/>
                  </w:tcBorders>
                  <w:noWrap w:val="0"/>
                  <w:tcMar>
                    <w:bottom w:w="0" w:type="dxa"/>
                  </w:tcMar>
                  <w:vAlign w:val="center"/>
                </w:tcPr>
                <w:p w14:paraId="55D264B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6</w:t>
                  </w:r>
                </w:p>
              </w:tc>
              <w:tc>
                <w:tcPr>
                  <w:tcW w:w="2761" w:type="pct"/>
                  <w:tcBorders>
                    <w:tl2br w:val="nil"/>
                    <w:tr2bl w:val="nil"/>
                  </w:tcBorders>
                  <w:noWrap w:val="0"/>
                  <w:tcMar>
                    <w:bottom w:w="0" w:type="dxa"/>
                  </w:tcMar>
                  <w:vAlign w:val="center"/>
                </w:tcPr>
                <w:p w14:paraId="6F0BC446">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城市建成区现有重污染企业（钢铁、水泥、浮化玻璃等）限期退出或改造；依法依规清除距离赣江岸线1公里范围内未入园的化工企业，依法关闭“小化工”企业，全面加强化工企业环境监管</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099B80A0">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本项目不属于钢铁、水泥、浮化玻璃等</w:t>
                  </w:r>
                  <w:r>
                    <w:rPr>
                      <w:rFonts w:hint="default" w:ascii="Times New Roman" w:hAnsi="Times New Roman" w:eastAsia="宋体" w:cs="Times New Roman"/>
                      <w:color w:val="auto"/>
                      <w:kern w:val="0"/>
                      <w:sz w:val="21"/>
                      <w:szCs w:val="21"/>
                      <w:highlight w:val="none"/>
                      <w:shd w:val="clear" w:color="auto" w:fill="FFFFFF"/>
                      <w:lang w:val="en-US" w:eastAsia="zh-CN"/>
                    </w:rPr>
                    <w:t>行业</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413159A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A0BFA9E">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PrEx>
              <w:trPr>
                <w:trHeight w:val="380" w:hRule="atLeast"/>
                <w:jc w:val="center"/>
              </w:trPr>
              <w:tc>
                <w:tcPr>
                  <w:tcW w:w="421" w:type="pct"/>
                  <w:vMerge w:val="restart"/>
                  <w:tcBorders>
                    <w:tl2br w:val="nil"/>
                    <w:tr2bl w:val="nil"/>
                  </w:tcBorders>
                  <w:noWrap/>
                  <w:tcMar>
                    <w:bottom w:w="0" w:type="dxa"/>
                  </w:tcMar>
                  <w:vAlign w:val="center"/>
                </w:tcPr>
                <w:p w14:paraId="164348F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污染物排放管控</w:t>
                  </w:r>
                </w:p>
              </w:tc>
              <w:tc>
                <w:tcPr>
                  <w:tcW w:w="760" w:type="pct"/>
                  <w:tcBorders>
                    <w:tl2br w:val="nil"/>
                    <w:tr2bl w:val="nil"/>
                  </w:tcBorders>
                  <w:noWrap w:val="0"/>
                  <w:tcMar>
                    <w:bottom w:w="0" w:type="dxa"/>
                  </w:tcMar>
                  <w:vAlign w:val="center"/>
                </w:tcPr>
                <w:p w14:paraId="4A75991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允许排放量要求</w:t>
                  </w:r>
                </w:p>
              </w:tc>
              <w:tc>
                <w:tcPr>
                  <w:tcW w:w="347" w:type="pct"/>
                  <w:tcBorders>
                    <w:tl2br w:val="nil"/>
                    <w:tr2bl w:val="nil"/>
                  </w:tcBorders>
                  <w:noWrap w:val="0"/>
                  <w:tcMar>
                    <w:bottom w:w="0" w:type="dxa"/>
                  </w:tcMar>
                  <w:vAlign w:val="center"/>
                </w:tcPr>
                <w:p w14:paraId="413C2D1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7</w:t>
                  </w:r>
                </w:p>
              </w:tc>
              <w:tc>
                <w:tcPr>
                  <w:tcW w:w="2761" w:type="pct"/>
                  <w:tcBorders>
                    <w:tl2br w:val="nil"/>
                    <w:tr2bl w:val="nil"/>
                  </w:tcBorders>
                  <w:noWrap w:val="0"/>
                  <w:tcMar>
                    <w:bottom w:w="0" w:type="dxa"/>
                  </w:tcMar>
                  <w:vAlign w:val="center"/>
                </w:tcPr>
                <w:p w14:paraId="25488D1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到2025年，全市氮氧化物、挥发性有机物、化学需氧量、氨氮重点工程减排量分别达到2665吨、1920吨、10088吨、653吨。</w:t>
                  </w:r>
                </w:p>
                <w:p w14:paraId="46EE8FC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强化涉铊项目环境监管，铊污染物水环境承载能力不足的地区限制引入碳酸锂等涉铊项目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924B6BE">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rPr>
                    <w:t>本项目执行总量控制指标要求</w:t>
                  </w:r>
                  <w:r>
                    <w:rPr>
                      <w:rFonts w:hint="eastAsia" w:cs="Times New Roman"/>
                      <w:color w:val="auto"/>
                      <w:kern w:val="0"/>
                      <w:sz w:val="21"/>
                      <w:szCs w:val="21"/>
                      <w:highlight w:val="none"/>
                      <w:shd w:val="clear" w:color="auto" w:fill="FFFFFF"/>
                      <w:lang w:eastAsia="zh-CN"/>
                    </w:rPr>
                    <w:t>，</w:t>
                  </w:r>
                  <w:r>
                    <w:rPr>
                      <w:rFonts w:hint="default" w:ascii="Times New Roman" w:hAnsi="Times New Roman" w:eastAsia="宋体" w:cs="Times New Roman"/>
                      <w:color w:val="auto"/>
                      <w:kern w:val="0"/>
                      <w:sz w:val="21"/>
                      <w:szCs w:val="21"/>
                      <w:highlight w:val="none"/>
                      <w:shd w:val="clear" w:color="auto" w:fill="FFFFFF"/>
                      <w:lang w:val="en-US" w:eastAsia="zh-CN"/>
                    </w:rPr>
                    <w:t>且项目不属于涉铊项目。</w:t>
                  </w:r>
                </w:p>
              </w:tc>
              <w:tc>
                <w:tcPr>
                  <w:tcW w:w="175" w:type="pct"/>
                  <w:tcBorders>
                    <w:tl2br w:val="nil"/>
                    <w:tr2bl w:val="nil"/>
                  </w:tcBorders>
                  <w:noWrap w:val="0"/>
                  <w:tcMar>
                    <w:bottom w:w="0" w:type="dxa"/>
                  </w:tcMar>
                  <w:vAlign w:val="center"/>
                </w:tcPr>
                <w:p w14:paraId="6EEA64B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187612A">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57C7A42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2AE578B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现有源提标升级改造</w:t>
                  </w:r>
                </w:p>
              </w:tc>
              <w:tc>
                <w:tcPr>
                  <w:tcW w:w="347" w:type="pct"/>
                  <w:tcBorders>
                    <w:tl2br w:val="nil"/>
                    <w:tr2bl w:val="nil"/>
                  </w:tcBorders>
                  <w:noWrap w:val="0"/>
                  <w:tcMar>
                    <w:bottom w:w="0" w:type="dxa"/>
                  </w:tcMar>
                  <w:vAlign w:val="center"/>
                </w:tcPr>
                <w:p w14:paraId="6BDFCC5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8</w:t>
                  </w:r>
                </w:p>
              </w:tc>
              <w:tc>
                <w:tcPr>
                  <w:tcW w:w="2761" w:type="pct"/>
                  <w:tcBorders>
                    <w:tl2br w:val="nil"/>
                    <w:tr2bl w:val="nil"/>
                  </w:tcBorders>
                  <w:noWrap w:val="0"/>
                  <w:tcMar>
                    <w:bottom w:w="0" w:type="dxa"/>
                  </w:tcMar>
                  <w:vAlign w:val="center"/>
                </w:tcPr>
                <w:p w14:paraId="171D2D9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533" w:type="pct"/>
                  <w:tcBorders>
                    <w:tl2br w:val="nil"/>
                    <w:tr2bl w:val="nil"/>
                  </w:tcBorders>
                  <w:noWrap w:val="0"/>
                  <w:tcMar>
                    <w:bottom w:w="0" w:type="dxa"/>
                  </w:tcMar>
                  <w:vAlign w:val="center"/>
                </w:tcPr>
                <w:p w14:paraId="563C7FA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3D57C70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03936C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l2br w:val="nil"/>
                    <w:tr2bl w:val="nil"/>
                  </w:tcBorders>
                  <w:noWrap/>
                  <w:tcMar>
                    <w:bottom w:w="0" w:type="dxa"/>
                  </w:tcMar>
                  <w:vAlign w:val="center"/>
                </w:tcPr>
                <w:p w14:paraId="6028E5A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环境风险防控</w:t>
                  </w:r>
                </w:p>
              </w:tc>
              <w:tc>
                <w:tcPr>
                  <w:tcW w:w="760" w:type="pct"/>
                  <w:tcBorders>
                    <w:tl2br w:val="nil"/>
                    <w:tr2bl w:val="nil"/>
                  </w:tcBorders>
                  <w:noWrap w:val="0"/>
                  <w:tcMar>
                    <w:bottom w:w="0" w:type="dxa"/>
                  </w:tcMar>
                  <w:vAlign w:val="center"/>
                </w:tcPr>
                <w:p w14:paraId="6648DFA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联防联控要求</w:t>
                  </w:r>
                </w:p>
              </w:tc>
              <w:tc>
                <w:tcPr>
                  <w:tcW w:w="347" w:type="pct"/>
                  <w:tcBorders>
                    <w:tl2br w:val="nil"/>
                    <w:tr2bl w:val="nil"/>
                  </w:tcBorders>
                  <w:noWrap w:val="0"/>
                  <w:tcMar>
                    <w:bottom w:w="0" w:type="dxa"/>
                  </w:tcMar>
                  <w:vAlign w:val="center"/>
                </w:tcPr>
                <w:p w14:paraId="106A801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9</w:t>
                  </w:r>
                </w:p>
              </w:tc>
              <w:tc>
                <w:tcPr>
                  <w:tcW w:w="2761" w:type="pct"/>
                  <w:tcBorders>
                    <w:tl2br w:val="nil"/>
                    <w:tr2bl w:val="nil"/>
                  </w:tcBorders>
                  <w:noWrap w:val="0"/>
                  <w:tcMar>
                    <w:bottom w:w="0" w:type="dxa"/>
                  </w:tcMar>
                  <w:vAlign w:val="center"/>
                </w:tcPr>
                <w:p w14:paraId="5A4303EA">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建立企业、园区、地方政府之间环境风险联防联控体系和联合应急体系；增强与萍乡、新余等地的联系，完善流域合作，推动建立跨区域的袁河流域水污染防治联动协作机制</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74221D1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4E77BEC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28969B75">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2E28233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资源利用效率要求</w:t>
                  </w:r>
                </w:p>
              </w:tc>
              <w:tc>
                <w:tcPr>
                  <w:tcW w:w="760" w:type="pct"/>
                  <w:tcBorders>
                    <w:tl2br w:val="nil"/>
                    <w:tr2bl w:val="nil"/>
                  </w:tcBorders>
                  <w:noWrap w:val="0"/>
                  <w:tcMar>
                    <w:bottom w:w="0" w:type="dxa"/>
                  </w:tcMar>
                  <w:vAlign w:val="center"/>
                </w:tcPr>
                <w:p w14:paraId="3C4C29C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水资源利用总量要求</w:t>
                  </w:r>
                </w:p>
              </w:tc>
              <w:tc>
                <w:tcPr>
                  <w:tcW w:w="347" w:type="pct"/>
                  <w:tcBorders>
                    <w:tl2br w:val="nil"/>
                    <w:tr2bl w:val="nil"/>
                  </w:tcBorders>
                  <w:noWrap w:val="0"/>
                  <w:tcMar>
                    <w:bottom w:w="0" w:type="dxa"/>
                  </w:tcMar>
                  <w:vAlign w:val="center"/>
                </w:tcPr>
                <w:p w14:paraId="35EDA63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10</w:t>
                  </w:r>
                </w:p>
              </w:tc>
              <w:tc>
                <w:tcPr>
                  <w:tcW w:w="2761" w:type="pct"/>
                  <w:tcBorders>
                    <w:tl2br w:val="nil"/>
                    <w:tr2bl w:val="nil"/>
                  </w:tcBorders>
                  <w:noWrap w:val="0"/>
                  <w:tcMar>
                    <w:bottom w:w="0" w:type="dxa"/>
                  </w:tcMar>
                  <w:vAlign w:val="center"/>
                </w:tcPr>
                <w:p w14:paraId="0C996192">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到2025年全市水资源利用量控制在36.87亿立方米，万元国内生产总值用水量比2020年下降23%，万元工业增加值用水量比2020年下降16%</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0418651">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本项目水资源消耗量不大</w:t>
                  </w:r>
                </w:p>
              </w:tc>
              <w:tc>
                <w:tcPr>
                  <w:tcW w:w="175" w:type="pct"/>
                  <w:tcBorders>
                    <w:tl2br w:val="nil"/>
                    <w:tr2bl w:val="nil"/>
                  </w:tcBorders>
                  <w:noWrap w:val="0"/>
                  <w:tcMar>
                    <w:bottom w:w="0" w:type="dxa"/>
                  </w:tcMar>
                  <w:vAlign w:val="center"/>
                </w:tcPr>
                <w:p w14:paraId="161CACE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5EBF52C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PrEx>
              <w:trPr>
                <w:trHeight w:val="380" w:hRule="atLeast"/>
                <w:jc w:val="center"/>
              </w:trPr>
              <w:tc>
                <w:tcPr>
                  <w:tcW w:w="421" w:type="pct"/>
                  <w:vMerge w:val="continue"/>
                  <w:tcBorders>
                    <w:tl2br w:val="nil"/>
                    <w:tr2bl w:val="nil"/>
                  </w:tcBorders>
                  <w:noWrap/>
                  <w:tcMar>
                    <w:bottom w:w="0" w:type="dxa"/>
                  </w:tcMar>
                  <w:vAlign w:val="center"/>
                </w:tcPr>
                <w:p w14:paraId="1166482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55757AC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地下水开采要求</w:t>
                  </w:r>
                </w:p>
              </w:tc>
              <w:tc>
                <w:tcPr>
                  <w:tcW w:w="347" w:type="pct"/>
                  <w:tcBorders>
                    <w:tl2br w:val="nil"/>
                    <w:tr2bl w:val="nil"/>
                  </w:tcBorders>
                  <w:noWrap w:val="0"/>
                  <w:tcMar>
                    <w:bottom w:w="0" w:type="dxa"/>
                  </w:tcMar>
                  <w:vAlign w:val="center"/>
                </w:tcPr>
                <w:p w14:paraId="3A4AAB3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11</w:t>
                  </w:r>
                </w:p>
              </w:tc>
              <w:tc>
                <w:tcPr>
                  <w:tcW w:w="2761" w:type="pct"/>
                  <w:tcBorders>
                    <w:tl2br w:val="nil"/>
                    <w:tr2bl w:val="nil"/>
                  </w:tcBorders>
                  <w:noWrap w:val="0"/>
                  <w:tcMar>
                    <w:bottom w:w="0" w:type="dxa"/>
                  </w:tcMar>
                  <w:vAlign w:val="center"/>
                </w:tcPr>
                <w:p w14:paraId="4A062670">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禁止在塌陷区、地质灾害危险区域开采地下水</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2D12AE87">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项目不</w:t>
                  </w:r>
                  <w:r>
                    <w:rPr>
                      <w:rFonts w:hint="default" w:ascii="Times New Roman" w:hAnsi="Times New Roman" w:eastAsia="宋体" w:cs="Times New Roman"/>
                      <w:color w:val="auto"/>
                      <w:sz w:val="21"/>
                      <w:szCs w:val="21"/>
                      <w:highlight w:val="none"/>
                      <w:lang w:val="en-US" w:eastAsia="zh-CN"/>
                    </w:rPr>
                    <w:t>开采地下水</w:t>
                  </w:r>
                </w:p>
              </w:tc>
              <w:tc>
                <w:tcPr>
                  <w:tcW w:w="175" w:type="pct"/>
                  <w:tcBorders>
                    <w:tl2br w:val="nil"/>
                    <w:tr2bl w:val="nil"/>
                  </w:tcBorders>
                  <w:noWrap w:val="0"/>
                  <w:tcMar>
                    <w:bottom w:w="0" w:type="dxa"/>
                  </w:tcMar>
                  <w:vAlign w:val="center"/>
                </w:tcPr>
                <w:p w14:paraId="571F688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7A4AA6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407177E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687AB360">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能源利用总量及效率要求</w:t>
                  </w:r>
                </w:p>
              </w:tc>
              <w:tc>
                <w:tcPr>
                  <w:tcW w:w="347" w:type="pct"/>
                  <w:tcBorders>
                    <w:tl2br w:val="nil"/>
                    <w:tr2bl w:val="nil"/>
                  </w:tcBorders>
                  <w:noWrap w:val="0"/>
                  <w:tcMar>
                    <w:bottom w:w="0" w:type="dxa"/>
                  </w:tcMar>
                  <w:vAlign w:val="center"/>
                </w:tcPr>
                <w:p w14:paraId="1D73797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12</w:t>
                  </w:r>
                </w:p>
              </w:tc>
              <w:tc>
                <w:tcPr>
                  <w:tcW w:w="2761" w:type="pct"/>
                  <w:tcBorders>
                    <w:tl2br w:val="nil"/>
                    <w:tr2bl w:val="nil"/>
                  </w:tcBorders>
                  <w:noWrap w:val="0"/>
                  <w:tcMar>
                    <w:bottom w:w="0" w:type="dxa"/>
                  </w:tcMar>
                  <w:vAlign w:val="center"/>
                </w:tcPr>
                <w:p w14:paraId="72F37B88">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到2025年，全市单位生产总值能源消耗比2020年下降15.5%，力争达到16%，能源消费总量得到合理控制。</w:t>
                  </w:r>
                </w:p>
              </w:tc>
              <w:tc>
                <w:tcPr>
                  <w:tcW w:w="533" w:type="pct"/>
                  <w:tcBorders>
                    <w:tl2br w:val="nil"/>
                    <w:tr2bl w:val="nil"/>
                  </w:tcBorders>
                  <w:noWrap w:val="0"/>
                  <w:tcMar>
                    <w:bottom w:w="0" w:type="dxa"/>
                  </w:tcMar>
                  <w:vAlign w:val="center"/>
                </w:tcPr>
                <w:p w14:paraId="1277397B">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16B965D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D5E9B6E">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bottom w:val="single" w:color="auto" w:sz="12" w:space="0"/>
                    <w:tl2br w:val="nil"/>
                    <w:tr2bl w:val="nil"/>
                  </w:tcBorders>
                  <w:noWrap/>
                  <w:tcMar>
                    <w:bottom w:w="0" w:type="dxa"/>
                  </w:tcMar>
                  <w:vAlign w:val="center"/>
                </w:tcPr>
                <w:p w14:paraId="7EE9A2F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bottom w:val="single" w:color="auto" w:sz="12" w:space="0"/>
                    <w:tl2br w:val="nil"/>
                    <w:tr2bl w:val="nil"/>
                  </w:tcBorders>
                  <w:noWrap w:val="0"/>
                  <w:tcMar>
                    <w:bottom w:w="0" w:type="dxa"/>
                  </w:tcMar>
                  <w:vAlign w:val="center"/>
                </w:tcPr>
                <w:p w14:paraId="7061726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禁燃区要求</w:t>
                  </w:r>
                </w:p>
              </w:tc>
              <w:tc>
                <w:tcPr>
                  <w:tcW w:w="347" w:type="pct"/>
                  <w:tcBorders>
                    <w:bottom w:val="single" w:color="auto" w:sz="12" w:space="0"/>
                    <w:tl2br w:val="nil"/>
                    <w:tr2bl w:val="nil"/>
                  </w:tcBorders>
                  <w:noWrap w:val="0"/>
                  <w:tcMar>
                    <w:bottom w:w="0" w:type="dxa"/>
                  </w:tcMar>
                  <w:vAlign w:val="center"/>
                </w:tcPr>
                <w:p w14:paraId="03A8A20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13</w:t>
                  </w:r>
                </w:p>
              </w:tc>
              <w:tc>
                <w:tcPr>
                  <w:tcW w:w="2761" w:type="pct"/>
                  <w:tcBorders>
                    <w:bottom w:val="single" w:color="auto" w:sz="12" w:space="0"/>
                    <w:tl2br w:val="nil"/>
                    <w:tr2bl w:val="nil"/>
                  </w:tcBorders>
                  <w:noWrap w:val="0"/>
                  <w:tcMar>
                    <w:bottom w:w="0" w:type="dxa"/>
                  </w:tcMar>
                  <w:vAlign w:val="center"/>
                </w:tcPr>
                <w:p w14:paraId="03AF5CCF">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禁止新建、扩建燃用高污染燃料的项目和设施，已建成的应逐步或依法限期改用天然气、电或者其他清洁能源</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bottom w:val="single" w:color="auto" w:sz="12" w:space="0"/>
                    <w:tl2br w:val="nil"/>
                    <w:tr2bl w:val="nil"/>
                  </w:tcBorders>
                  <w:noWrap w:val="0"/>
                  <w:tcMar>
                    <w:bottom w:w="0" w:type="dxa"/>
                  </w:tcMar>
                  <w:vAlign w:val="center"/>
                </w:tcPr>
                <w:p w14:paraId="2CDD9043">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本项目不在禁燃区</w:t>
                  </w:r>
                </w:p>
              </w:tc>
              <w:tc>
                <w:tcPr>
                  <w:tcW w:w="175" w:type="pct"/>
                  <w:tcBorders>
                    <w:bottom w:val="single" w:color="auto" w:sz="12" w:space="0"/>
                    <w:tl2br w:val="nil"/>
                    <w:tr2bl w:val="nil"/>
                  </w:tcBorders>
                  <w:noWrap w:val="0"/>
                  <w:tcMar>
                    <w:bottom w:w="0" w:type="dxa"/>
                  </w:tcMar>
                  <w:vAlign w:val="center"/>
                </w:tcPr>
                <w:p w14:paraId="3942F81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bl>
          <w:p w14:paraId="31B0D773">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spacing w:before="157" w:beforeLines="5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本项目与江西省宜春市高安市重点管控单元2要求相符性分析</w:t>
            </w:r>
          </w:p>
          <w:tbl>
            <w:tblPr>
              <w:tblStyle w:val="33"/>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6"/>
              <w:gridCol w:w="359"/>
              <w:gridCol w:w="3212"/>
              <w:gridCol w:w="2209"/>
              <w:gridCol w:w="395"/>
            </w:tblGrid>
            <w:tr w14:paraId="2A7C2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62339AB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管控单元名称</w:t>
                  </w:r>
                </w:p>
              </w:tc>
              <w:tc>
                <w:tcPr>
                  <w:tcW w:w="2587" w:type="pct"/>
                  <w:gridSpan w:val="2"/>
                  <w:tcBorders>
                    <w:tl2br w:val="nil"/>
                    <w:tr2bl w:val="nil"/>
                  </w:tcBorders>
                  <w:noWrap w:val="0"/>
                  <w:vAlign w:val="center"/>
                </w:tcPr>
                <w:p w14:paraId="2F3C946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江西省宜春市高安市重点管控单元2</w:t>
                  </w:r>
                </w:p>
              </w:tc>
              <w:tc>
                <w:tcPr>
                  <w:tcW w:w="1600" w:type="pct"/>
                  <w:vMerge w:val="restart"/>
                  <w:tcBorders>
                    <w:tl2br w:val="nil"/>
                    <w:tr2bl w:val="nil"/>
                  </w:tcBorders>
                  <w:noWrap w:val="0"/>
                  <w:vAlign w:val="center"/>
                </w:tcPr>
                <w:p w14:paraId="43880B3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本项目情况</w:t>
                  </w:r>
                </w:p>
              </w:tc>
              <w:tc>
                <w:tcPr>
                  <w:tcW w:w="286" w:type="pct"/>
                  <w:vMerge w:val="restart"/>
                  <w:tcBorders>
                    <w:tl2br w:val="nil"/>
                    <w:tr2bl w:val="nil"/>
                  </w:tcBorders>
                  <w:noWrap w:val="0"/>
                  <w:vAlign w:val="center"/>
                </w:tcPr>
                <w:p w14:paraId="23B7974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相符性</w:t>
                  </w:r>
                </w:p>
              </w:tc>
            </w:tr>
            <w:tr w14:paraId="1A16F3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5BB0C53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管控单元编码</w:t>
                  </w:r>
                </w:p>
              </w:tc>
              <w:tc>
                <w:tcPr>
                  <w:tcW w:w="2587" w:type="pct"/>
                  <w:gridSpan w:val="2"/>
                  <w:tcBorders>
                    <w:tl2br w:val="nil"/>
                    <w:tr2bl w:val="nil"/>
                  </w:tcBorders>
                  <w:noWrap w:val="0"/>
                  <w:vAlign w:val="center"/>
                </w:tcPr>
                <w:p w14:paraId="6A0E7B2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ZH36098320002</w:t>
                  </w:r>
                </w:p>
              </w:tc>
              <w:tc>
                <w:tcPr>
                  <w:tcW w:w="1600" w:type="pct"/>
                  <w:vMerge w:val="continue"/>
                  <w:tcBorders>
                    <w:tl2br w:val="nil"/>
                    <w:tr2bl w:val="nil"/>
                  </w:tcBorders>
                  <w:noWrap w:val="0"/>
                  <w:vAlign w:val="center"/>
                </w:tcPr>
                <w:p w14:paraId="292430D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286" w:type="pct"/>
                  <w:vMerge w:val="continue"/>
                  <w:tcBorders>
                    <w:tl2br w:val="nil"/>
                    <w:tr2bl w:val="nil"/>
                  </w:tcBorders>
                  <w:noWrap w:val="0"/>
                  <w:vAlign w:val="center"/>
                </w:tcPr>
                <w:p w14:paraId="4D0CE74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r>
            <w:tr w14:paraId="6149A6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563159B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环境管控单元</w:t>
                  </w:r>
                  <w:r>
                    <w:rPr>
                      <w:rFonts w:hint="default" w:ascii="Times New Roman" w:hAnsi="Times New Roman" w:eastAsia="宋体" w:cs="Times New Roman"/>
                      <w:b/>
                      <w:bCs/>
                      <w:color w:val="auto"/>
                      <w:sz w:val="21"/>
                      <w:szCs w:val="21"/>
                      <w:highlight w:val="none"/>
                    </w:rPr>
                    <w:t>范围</w:t>
                  </w:r>
                </w:p>
              </w:tc>
              <w:tc>
                <w:tcPr>
                  <w:tcW w:w="2587" w:type="pct"/>
                  <w:gridSpan w:val="2"/>
                  <w:tcBorders>
                    <w:tl2br w:val="nil"/>
                    <w:tr2bl w:val="nil"/>
                  </w:tcBorders>
                  <w:noWrap w:val="0"/>
                  <w:vAlign w:val="center"/>
                </w:tcPr>
                <w:p w14:paraId="45C067C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高安市工业园区（新世纪产业园、建筑陶瓷产业园、建材环保产业园）</w:t>
                  </w:r>
                </w:p>
              </w:tc>
              <w:tc>
                <w:tcPr>
                  <w:tcW w:w="1600" w:type="pct"/>
                  <w:tcBorders>
                    <w:tl2br w:val="nil"/>
                    <w:tr2bl w:val="nil"/>
                  </w:tcBorders>
                  <w:noWrap w:val="0"/>
                  <w:vAlign w:val="center"/>
                </w:tcPr>
                <w:p w14:paraId="3D63016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新世纪产业园</w:t>
                  </w:r>
                </w:p>
              </w:tc>
              <w:tc>
                <w:tcPr>
                  <w:tcW w:w="286" w:type="pct"/>
                  <w:tcBorders>
                    <w:tl2br w:val="nil"/>
                    <w:tr2bl w:val="nil"/>
                  </w:tcBorders>
                  <w:noWrap w:val="0"/>
                  <w:vAlign w:val="center"/>
                </w:tcPr>
                <w:p w14:paraId="4BEE0DC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71AEA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868492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260" w:type="pct"/>
                  <w:tcBorders>
                    <w:tl2br w:val="nil"/>
                    <w:tr2bl w:val="nil"/>
                  </w:tcBorders>
                  <w:noWrap w:val="0"/>
                  <w:vAlign w:val="center"/>
                </w:tcPr>
                <w:p w14:paraId="3D55B14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7" w:type="pct"/>
                  <w:tcBorders>
                    <w:tl2br w:val="nil"/>
                    <w:tr2bl w:val="nil"/>
                  </w:tcBorders>
                  <w:noWrap w:val="0"/>
                  <w:vAlign w:val="center"/>
                </w:tcPr>
                <w:p w14:paraId="44FD8F0F">
                  <w:pPr>
                    <w:keepNext w:val="0"/>
                    <w:keepLines w:val="0"/>
                    <w:pageBreakBefore w:val="0"/>
                    <w:widowControl/>
                    <w:kinsoku/>
                    <w:wordWrap/>
                    <w:overflowPunct/>
                    <w:topLinePunct w:val="0"/>
                    <w:autoSpaceDE/>
                    <w:autoSpaceDN/>
                    <w:bidi w:val="0"/>
                    <w:adjustRightInd/>
                    <w:snapToGrid/>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禁止新建不符合产业定位或碳排放要求的“两高”项目。</w:t>
                  </w:r>
                </w:p>
              </w:tc>
              <w:tc>
                <w:tcPr>
                  <w:tcW w:w="1600" w:type="pct"/>
                  <w:tcBorders>
                    <w:tl2br w:val="nil"/>
                    <w:tr2bl w:val="nil"/>
                  </w:tcBorders>
                  <w:noWrap w:val="0"/>
                  <w:vAlign w:val="center"/>
                </w:tcPr>
                <w:p w14:paraId="39C4159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不符合产业定位或碳排放要求的“两高”项目。</w:t>
                  </w:r>
                </w:p>
              </w:tc>
              <w:tc>
                <w:tcPr>
                  <w:tcW w:w="286" w:type="pct"/>
                  <w:tcBorders>
                    <w:tl2br w:val="nil"/>
                    <w:tr2bl w:val="nil"/>
                  </w:tcBorders>
                  <w:noWrap w:val="0"/>
                  <w:vAlign w:val="center"/>
                </w:tcPr>
                <w:p w14:paraId="362B6C0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FDF5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377687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7848C65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2327" w:type="pct"/>
                  <w:tcBorders>
                    <w:tl2br w:val="nil"/>
                    <w:tr2bl w:val="nil"/>
                  </w:tcBorders>
                  <w:noWrap w:val="0"/>
                  <w:vAlign w:val="center"/>
                </w:tcPr>
                <w:p w14:paraId="476C1AD5">
                  <w:pPr>
                    <w:keepNext w:val="0"/>
                    <w:keepLines w:val="0"/>
                    <w:pageBreakBefore w:val="0"/>
                    <w:widowControl/>
                    <w:kinsoku/>
                    <w:wordWrap/>
                    <w:overflowPunct/>
                    <w:topLinePunct w:val="0"/>
                    <w:autoSpaceDE/>
                    <w:autoSpaceDN/>
                    <w:bidi w:val="0"/>
                    <w:adjustRightInd/>
                    <w:snapToGrid/>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入园项目应符合《产业结构调整指导目录（2024年本）》《长江经济带发展负面清单指南（试行，2022版）的通知》（长江办〔2022〕7号）等国家和地方产业政策和园区布局规划等要求。</w:t>
                  </w:r>
                </w:p>
              </w:tc>
              <w:tc>
                <w:tcPr>
                  <w:tcW w:w="1600" w:type="pct"/>
                  <w:tcBorders>
                    <w:tl2br w:val="nil"/>
                    <w:tr2bl w:val="nil"/>
                  </w:tcBorders>
                  <w:noWrap w:val="0"/>
                  <w:vAlign w:val="center"/>
                </w:tcPr>
                <w:p w14:paraId="3AA18EE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符合《产业结构调整指导目录（2024年本）》《长江经济带发展负面清单指南（试行，2022版）的通知》（长江办〔2022〕7号）等国家和地方产业政策和园区布局规划等要求</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vAlign w:val="center"/>
                </w:tcPr>
                <w:p w14:paraId="40577E8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相符</w:t>
                  </w:r>
                </w:p>
              </w:tc>
            </w:tr>
            <w:tr w14:paraId="7ECE1C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6CA678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7A96F3B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2327" w:type="pct"/>
                  <w:tcBorders>
                    <w:tl2br w:val="nil"/>
                    <w:tr2bl w:val="nil"/>
                  </w:tcBorders>
                  <w:noWrap w:val="0"/>
                  <w:vAlign w:val="center"/>
                </w:tcPr>
                <w:p w14:paraId="17F1D1B2">
                  <w:pPr>
                    <w:keepNext w:val="0"/>
                    <w:keepLines w:val="0"/>
                    <w:pageBreakBefore w:val="0"/>
                    <w:widowControl/>
                    <w:kinsoku/>
                    <w:wordWrap/>
                    <w:overflowPunct/>
                    <w:topLinePunct w:val="0"/>
                    <w:autoSpaceDE/>
                    <w:autoSpaceDN/>
                    <w:bidi w:val="0"/>
                    <w:adjustRightInd/>
                    <w:snapToGrid/>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逐步迁出（调整）不符合园区规划的陶瓷、化工、皮革等污染严重产业，依法取缔超标严重且治理无望的企业。</w:t>
                  </w:r>
                </w:p>
              </w:tc>
              <w:tc>
                <w:tcPr>
                  <w:tcW w:w="1600" w:type="pct"/>
                  <w:tcBorders>
                    <w:tl2br w:val="nil"/>
                    <w:tr2bl w:val="nil"/>
                  </w:tcBorders>
                  <w:noWrap w:val="0"/>
                  <w:vAlign w:val="center"/>
                </w:tcPr>
                <w:p w14:paraId="3DC27F0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陶瓷、化工、皮革等污染严重产业。</w:t>
                  </w:r>
                </w:p>
              </w:tc>
              <w:tc>
                <w:tcPr>
                  <w:tcW w:w="286" w:type="pct"/>
                  <w:tcBorders>
                    <w:tl2br w:val="nil"/>
                    <w:tr2bl w:val="nil"/>
                  </w:tcBorders>
                  <w:noWrap w:val="0"/>
                  <w:vAlign w:val="center"/>
                </w:tcPr>
                <w:p w14:paraId="407E01A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p>
              </w:tc>
            </w:tr>
            <w:tr w14:paraId="0BB42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828DD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3FA5F02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2327" w:type="pct"/>
                  <w:tcBorders>
                    <w:tl2br w:val="nil"/>
                    <w:tr2bl w:val="nil"/>
                  </w:tcBorders>
                  <w:noWrap w:val="0"/>
                  <w:vAlign w:val="center"/>
                </w:tcPr>
                <w:p w14:paraId="30D31DA9">
                  <w:pPr>
                    <w:keepNext w:val="0"/>
                    <w:keepLines w:val="0"/>
                    <w:pageBreakBefore w:val="0"/>
                    <w:widowControl/>
                    <w:kinsoku/>
                    <w:wordWrap/>
                    <w:overflowPunct/>
                    <w:topLinePunct w:val="0"/>
                    <w:autoSpaceDE/>
                    <w:autoSpaceDN/>
                    <w:bidi w:val="0"/>
                    <w:adjustRightInd/>
                    <w:snapToGrid/>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严控碳酸锂产能，不再引进单一的锂云母生产碳酸锂项目。</w:t>
                  </w:r>
                </w:p>
              </w:tc>
              <w:tc>
                <w:tcPr>
                  <w:tcW w:w="1600" w:type="pct"/>
                  <w:tcBorders>
                    <w:tl2br w:val="nil"/>
                    <w:tr2bl w:val="nil"/>
                  </w:tcBorders>
                  <w:noWrap w:val="0"/>
                  <w:vAlign w:val="center"/>
                </w:tcPr>
                <w:p w14:paraId="79B3F06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4F0F52E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4E2A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2DFD1C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4F01A03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2327" w:type="pct"/>
                  <w:tcBorders>
                    <w:tl2br w:val="nil"/>
                    <w:tr2bl w:val="nil"/>
                  </w:tcBorders>
                  <w:noWrap w:val="0"/>
                  <w:vAlign w:val="center"/>
                </w:tcPr>
                <w:p w14:paraId="05502BF8">
                  <w:pPr>
                    <w:keepNext w:val="0"/>
                    <w:keepLines w:val="0"/>
                    <w:pageBreakBefore w:val="0"/>
                    <w:widowControl/>
                    <w:kinsoku/>
                    <w:wordWrap/>
                    <w:overflowPunct/>
                    <w:topLinePunct w:val="0"/>
                    <w:autoSpaceDE/>
                    <w:autoSpaceDN/>
                    <w:bidi w:val="0"/>
                    <w:adjustRightInd/>
                    <w:snapToGrid/>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新建碳酸锂项目规模不得小于5000吨/年，碳酸锂及中间产品项目生产按照化工项目管理要求。</w:t>
                  </w:r>
                </w:p>
              </w:tc>
              <w:tc>
                <w:tcPr>
                  <w:tcW w:w="1600" w:type="pct"/>
                  <w:tcBorders>
                    <w:tl2br w:val="nil"/>
                    <w:tr2bl w:val="nil"/>
                  </w:tcBorders>
                  <w:noWrap w:val="0"/>
                  <w:vAlign w:val="center"/>
                </w:tcPr>
                <w:p w14:paraId="1DE5FDA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4395CE0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6883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057E270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污染物排放管控</w:t>
                  </w:r>
                </w:p>
              </w:tc>
              <w:tc>
                <w:tcPr>
                  <w:tcW w:w="260" w:type="pct"/>
                  <w:tcBorders>
                    <w:tl2br w:val="nil"/>
                    <w:tr2bl w:val="nil"/>
                  </w:tcBorders>
                  <w:noWrap w:val="0"/>
                  <w:vAlign w:val="center"/>
                </w:tcPr>
                <w:p w14:paraId="3877603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7" w:type="pct"/>
                  <w:tcBorders>
                    <w:tl2br w:val="nil"/>
                    <w:tr2bl w:val="nil"/>
                  </w:tcBorders>
                  <w:noWrap w:val="0"/>
                  <w:vAlign w:val="center"/>
                </w:tcPr>
                <w:p w14:paraId="4ACA814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2025年，氮氧化物、挥发性有机物、化学需氧量和氨氮重点工程排放量减少分别为550吨、300吨、1418.5吨和87.5吨。</w:t>
                  </w:r>
                </w:p>
              </w:tc>
              <w:tc>
                <w:tcPr>
                  <w:tcW w:w="1600" w:type="pct"/>
                  <w:tcBorders>
                    <w:tl2br w:val="nil"/>
                    <w:tr2bl w:val="nil"/>
                  </w:tcBorders>
                  <w:noWrap w:val="0"/>
                  <w:tcMar>
                    <w:left w:w="57" w:type="dxa"/>
                    <w:right w:w="57" w:type="dxa"/>
                  </w:tcMar>
                  <w:vAlign w:val="center"/>
                </w:tcPr>
                <w:p w14:paraId="5DBF57F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本项目执行总量控制指标要求</w:t>
                  </w:r>
                </w:p>
              </w:tc>
              <w:tc>
                <w:tcPr>
                  <w:tcW w:w="286" w:type="pct"/>
                  <w:tcBorders>
                    <w:tl2br w:val="nil"/>
                    <w:tr2bl w:val="nil"/>
                  </w:tcBorders>
                  <w:noWrap w:val="0"/>
                  <w:tcMar>
                    <w:left w:w="57" w:type="dxa"/>
                    <w:right w:w="57" w:type="dxa"/>
                  </w:tcMar>
                  <w:vAlign w:val="center"/>
                </w:tcPr>
                <w:p w14:paraId="7137C74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6FD23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15CBFEC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51E7085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7" w:type="pct"/>
                  <w:tcBorders>
                    <w:tl2br w:val="nil"/>
                    <w:tr2bl w:val="nil"/>
                  </w:tcBorders>
                  <w:noWrap w:val="0"/>
                  <w:vAlign w:val="center"/>
                </w:tcPr>
                <w:p w14:paraId="23BFA39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鼓励全市陶瓷行业减量替代，替代比例应不低于1.1：1。</w:t>
                  </w:r>
                </w:p>
              </w:tc>
              <w:tc>
                <w:tcPr>
                  <w:tcW w:w="1600" w:type="pct"/>
                  <w:tcBorders>
                    <w:tl2br w:val="nil"/>
                    <w:tr2bl w:val="nil"/>
                  </w:tcBorders>
                  <w:noWrap w:val="0"/>
                  <w:tcMar>
                    <w:left w:w="57" w:type="dxa"/>
                    <w:right w:w="57" w:type="dxa"/>
                  </w:tcMar>
                  <w:vAlign w:val="center"/>
                </w:tcPr>
                <w:p w14:paraId="75F50A9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项目不涉及</w:t>
                  </w:r>
                </w:p>
              </w:tc>
              <w:tc>
                <w:tcPr>
                  <w:tcW w:w="286" w:type="pct"/>
                  <w:tcBorders>
                    <w:tl2br w:val="nil"/>
                    <w:tr2bl w:val="nil"/>
                  </w:tcBorders>
                  <w:noWrap w:val="0"/>
                  <w:tcMar>
                    <w:left w:w="57" w:type="dxa"/>
                    <w:right w:w="57" w:type="dxa"/>
                  </w:tcMar>
                  <w:vAlign w:val="center"/>
                </w:tcPr>
                <w:p w14:paraId="442A0ED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242FC0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83F505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0748C8B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7" w:type="pct"/>
                  <w:tcBorders>
                    <w:tl2br w:val="nil"/>
                    <w:tr2bl w:val="nil"/>
                  </w:tcBorders>
                  <w:noWrap w:val="0"/>
                  <w:vAlign w:val="center"/>
                </w:tcPr>
                <w:p w14:paraId="5F8A6B7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污染物排放应达到相应排放标准。</w:t>
                  </w:r>
                </w:p>
              </w:tc>
              <w:tc>
                <w:tcPr>
                  <w:tcW w:w="1600" w:type="pct"/>
                  <w:tcBorders>
                    <w:tl2br w:val="nil"/>
                    <w:tr2bl w:val="nil"/>
                  </w:tcBorders>
                  <w:noWrap w:val="0"/>
                  <w:tcMar>
                    <w:left w:w="57" w:type="dxa"/>
                    <w:right w:w="57" w:type="dxa"/>
                  </w:tcMar>
                  <w:vAlign w:val="center"/>
                </w:tcPr>
                <w:p w14:paraId="264F01E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污染物排放可达到相应排放标准</w:t>
                  </w:r>
                </w:p>
              </w:tc>
              <w:tc>
                <w:tcPr>
                  <w:tcW w:w="286" w:type="pct"/>
                  <w:tcBorders>
                    <w:tl2br w:val="nil"/>
                    <w:tr2bl w:val="nil"/>
                  </w:tcBorders>
                  <w:noWrap w:val="0"/>
                  <w:tcMar>
                    <w:left w:w="57" w:type="dxa"/>
                    <w:right w:w="57" w:type="dxa"/>
                  </w:tcMar>
                  <w:vAlign w:val="center"/>
                </w:tcPr>
                <w:p w14:paraId="21D678E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37F408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C12E97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0BB2FDE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7" w:type="pct"/>
                  <w:tcBorders>
                    <w:tl2br w:val="nil"/>
                    <w:tr2bl w:val="nil"/>
                  </w:tcBorders>
                  <w:noWrap w:val="0"/>
                  <w:vAlign w:val="center"/>
                </w:tcPr>
                <w:p w14:paraId="014C00A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污染物排放绩效水平应达到良好水平。</w:t>
                  </w:r>
                </w:p>
              </w:tc>
              <w:tc>
                <w:tcPr>
                  <w:tcW w:w="1600" w:type="pct"/>
                  <w:tcBorders>
                    <w:tl2br w:val="nil"/>
                    <w:tr2bl w:val="nil"/>
                  </w:tcBorders>
                  <w:noWrap w:val="0"/>
                  <w:tcMar>
                    <w:left w:w="57" w:type="dxa"/>
                    <w:right w:w="57" w:type="dxa"/>
                  </w:tcMar>
                  <w:vAlign w:val="center"/>
                </w:tcPr>
                <w:p w14:paraId="4F1B15E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污染物排放绩效水平可达到良好水平</w:t>
                  </w:r>
                </w:p>
              </w:tc>
              <w:tc>
                <w:tcPr>
                  <w:tcW w:w="286" w:type="pct"/>
                  <w:tcBorders>
                    <w:tl2br w:val="nil"/>
                    <w:tr2bl w:val="nil"/>
                  </w:tcBorders>
                  <w:noWrap w:val="0"/>
                  <w:tcMar>
                    <w:left w:w="57" w:type="dxa"/>
                    <w:right w:w="57" w:type="dxa"/>
                  </w:tcMar>
                  <w:vAlign w:val="center"/>
                </w:tcPr>
                <w:p w14:paraId="216F8FF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19548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4D1A5C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环境风险防控</w:t>
                  </w:r>
                </w:p>
              </w:tc>
              <w:tc>
                <w:tcPr>
                  <w:tcW w:w="260" w:type="pct"/>
                  <w:tcBorders>
                    <w:tl2br w:val="nil"/>
                    <w:tr2bl w:val="nil"/>
                  </w:tcBorders>
                  <w:noWrap w:val="0"/>
                  <w:vAlign w:val="center"/>
                </w:tcPr>
                <w:p w14:paraId="5A4FDE5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7" w:type="pct"/>
                  <w:tcBorders>
                    <w:tl2br w:val="nil"/>
                    <w:tr2bl w:val="nil"/>
                  </w:tcBorders>
                  <w:noWrap w:val="0"/>
                  <w:vAlign w:val="center"/>
                </w:tcPr>
                <w:p w14:paraId="18DCCC8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住宅、学校、养老机构应在毗邻地块土壤污染风险管控和修复完成后再投入使用。</w:t>
                  </w:r>
                </w:p>
              </w:tc>
              <w:tc>
                <w:tcPr>
                  <w:tcW w:w="1600" w:type="pct"/>
                  <w:tcBorders>
                    <w:tl2br w:val="nil"/>
                    <w:tr2bl w:val="nil"/>
                  </w:tcBorders>
                  <w:noWrap w:val="0"/>
                  <w:tcMar>
                    <w:left w:w="57" w:type="dxa"/>
                    <w:right w:w="57" w:type="dxa"/>
                  </w:tcMar>
                  <w:vAlign w:val="center"/>
                </w:tcPr>
                <w:p w14:paraId="2A4252A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4D3609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33E0F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7E0EFC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22995DF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7" w:type="pct"/>
                  <w:tcBorders>
                    <w:tl2br w:val="nil"/>
                    <w:tr2bl w:val="nil"/>
                  </w:tcBorders>
                  <w:noWrap w:val="0"/>
                  <w:vAlign w:val="center"/>
                </w:tcPr>
                <w:p w14:paraId="74C2DC9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紧邻居住、科教、医院等环境敏感点的工业用地，禁止新建环境风险等级高的建设项目。</w:t>
                  </w:r>
                </w:p>
              </w:tc>
              <w:tc>
                <w:tcPr>
                  <w:tcW w:w="1600" w:type="pct"/>
                  <w:tcBorders>
                    <w:tl2br w:val="nil"/>
                    <w:tr2bl w:val="nil"/>
                  </w:tcBorders>
                  <w:noWrap w:val="0"/>
                  <w:tcMar>
                    <w:left w:w="57" w:type="dxa"/>
                    <w:right w:w="57" w:type="dxa"/>
                  </w:tcMar>
                  <w:vAlign w:val="center"/>
                </w:tcPr>
                <w:p w14:paraId="235F18B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环境风险等级高的建设项目</w:t>
                  </w:r>
                </w:p>
              </w:tc>
              <w:tc>
                <w:tcPr>
                  <w:tcW w:w="286" w:type="pct"/>
                  <w:tcBorders>
                    <w:tl2br w:val="nil"/>
                    <w:tr2bl w:val="nil"/>
                  </w:tcBorders>
                  <w:noWrap w:val="0"/>
                  <w:tcMar>
                    <w:left w:w="57" w:type="dxa"/>
                    <w:right w:w="57" w:type="dxa"/>
                  </w:tcMar>
                  <w:vAlign w:val="center"/>
                </w:tcPr>
                <w:p w14:paraId="7238055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C1DE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7574387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5F1D98C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7" w:type="pct"/>
                  <w:tcBorders>
                    <w:tl2br w:val="nil"/>
                    <w:tr2bl w:val="nil"/>
                  </w:tcBorders>
                  <w:noWrap w:val="0"/>
                  <w:vAlign w:val="center"/>
                </w:tcPr>
                <w:p w14:paraId="36C4153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1600" w:type="pct"/>
                  <w:tcBorders>
                    <w:tl2br w:val="nil"/>
                    <w:tr2bl w:val="nil"/>
                  </w:tcBorders>
                  <w:noWrap w:val="0"/>
                  <w:tcMar>
                    <w:left w:w="57" w:type="dxa"/>
                    <w:right w:w="57" w:type="dxa"/>
                  </w:tcMar>
                  <w:vAlign w:val="center"/>
                </w:tcPr>
                <w:p w14:paraId="7F46FF3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企业拟</w:t>
                  </w: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286" w:type="pct"/>
                  <w:tcBorders>
                    <w:tl2br w:val="nil"/>
                    <w:tr2bl w:val="nil"/>
                  </w:tcBorders>
                  <w:noWrap w:val="0"/>
                  <w:tcMar>
                    <w:left w:w="57" w:type="dxa"/>
                    <w:right w:w="57" w:type="dxa"/>
                  </w:tcMar>
                  <w:vAlign w:val="center"/>
                </w:tcPr>
                <w:p w14:paraId="74BFC07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B284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54E5A16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2758536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7" w:type="pct"/>
                  <w:tcBorders>
                    <w:tl2br w:val="nil"/>
                    <w:tr2bl w:val="nil"/>
                  </w:tcBorders>
                  <w:noWrap w:val="0"/>
                  <w:vAlign w:val="center"/>
                </w:tcPr>
                <w:p w14:paraId="61BDAC2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落实工业企业环境风险防范主体责任，以涉危险废物、涉重金属排放企业为重点，合理布设生产设施，强化事故排水收集截留设施、输送设施建设，合理设置消防处置用事故水池和初期雨水收集池。</w:t>
                  </w:r>
                </w:p>
              </w:tc>
              <w:tc>
                <w:tcPr>
                  <w:tcW w:w="1600" w:type="pct"/>
                  <w:tcBorders>
                    <w:tl2br w:val="nil"/>
                    <w:tr2bl w:val="nil"/>
                  </w:tcBorders>
                  <w:noWrap w:val="0"/>
                  <w:tcMar>
                    <w:left w:w="57" w:type="dxa"/>
                    <w:right w:w="57" w:type="dxa"/>
                  </w:tcMar>
                  <w:vAlign w:val="center"/>
                </w:tcPr>
                <w:p w14:paraId="6DBB00D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合理布设生产设施，强化事故排水收集截留设施、输送设施建设。</w:t>
                  </w:r>
                </w:p>
              </w:tc>
              <w:tc>
                <w:tcPr>
                  <w:tcW w:w="286" w:type="pct"/>
                  <w:tcBorders>
                    <w:tl2br w:val="nil"/>
                    <w:tr2bl w:val="nil"/>
                  </w:tcBorders>
                  <w:noWrap w:val="0"/>
                  <w:tcMar>
                    <w:left w:w="57" w:type="dxa"/>
                    <w:right w:w="57" w:type="dxa"/>
                  </w:tcMar>
                  <w:vAlign w:val="center"/>
                </w:tcPr>
                <w:p w14:paraId="5E8A545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628A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B9A846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1DE5B36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2327" w:type="pct"/>
                  <w:tcBorders>
                    <w:tl2br w:val="nil"/>
                    <w:tr2bl w:val="nil"/>
                  </w:tcBorders>
                  <w:noWrap w:val="0"/>
                  <w:vAlign w:val="center"/>
                </w:tcPr>
                <w:p w14:paraId="5BDB4A3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废水、废气排放的涉铊企业要设置除铊治理设施，需相应达到排放标准要求，对于生产废水零排放的项目，企业废水总排口中铊不得检出。</w:t>
                  </w:r>
                </w:p>
              </w:tc>
              <w:tc>
                <w:tcPr>
                  <w:tcW w:w="1600" w:type="pct"/>
                  <w:tcBorders>
                    <w:tl2br w:val="nil"/>
                    <w:tr2bl w:val="nil"/>
                  </w:tcBorders>
                  <w:noWrap w:val="0"/>
                  <w:tcMar>
                    <w:left w:w="57" w:type="dxa"/>
                    <w:right w:w="57" w:type="dxa"/>
                  </w:tcMar>
                  <w:vAlign w:val="center"/>
                </w:tcPr>
                <w:p w14:paraId="2C50D46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项目不涉铊</w:t>
                  </w:r>
                </w:p>
              </w:tc>
              <w:tc>
                <w:tcPr>
                  <w:tcW w:w="286" w:type="pct"/>
                  <w:tcBorders>
                    <w:tl2br w:val="nil"/>
                    <w:tr2bl w:val="nil"/>
                  </w:tcBorders>
                  <w:noWrap w:val="0"/>
                  <w:tcMar>
                    <w:left w:w="57" w:type="dxa"/>
                    <w:right w:w="57" w:type="dxa"/>
                  </w:tcMar>
                  <w:vAlign w:val="center"/>
                </w:tcPr>
                <w:p w14:paraId="29D6376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66C6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51574C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4C3FE23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2327" w:type="pct"/>
                  <w:tcBorders>
                    <w:tl2br w:val="nil"/>
                    <w:tr2bl w:val="nil"/>
                  </w:tcBorders>
                  <w:noWrap w:val="0"/>
                  <w:vAlign w:val="center"/>
                </w:tcPr>
                <w:p w14:paraId="5EE1A4D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碳酸锂及中间产品生产不得以危险废物、五类重金属、高氟等工业固废作为原料，严禁非法随意添加环评批复外的原辅材料。</w:t>
                  </w:r>
                </w:p>
              </w:tc>
              <w:tc>
                <w:tcPr>
                  <w:tcW w:w="1600" w:type="pct"/>
                  <w:tcBorders>
                    <w:tl2br w:val="nil"/>
                    <w:tr2bl w:val="nil"/>
                  </w:tcBorders>
                  <w:noWrap w:val="0"/>
                  <w:tcMar>
                    <w:left w:w="57" w:type="dxa"/>
                    <w:right w:w="57" w:type="dxa"/>
                  </w:tcMar>
                  <w:vAlign w:val="center"/>
                </w:tcPr>
                <w:p w14:paraId="26A11B1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tcMar>
                    <w:left w:w="57" w:type="dxa"/>
                    <w:right w:w="57" w:type="dxa"/>
                  </w:tcMar>
                  <w:vAlign w:val="center"/>
                </w:tcPr>
                <w:p w14:paraId="7437634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736D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07D24B5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资源利用效率</w:t>
                  </w:r>
                </w:p>
              </w:tc>
              <w:tc>
                <w:tcPr>
                  <w:tcW w:w="260" w:type="pct"/>
                  <w:tcBorders>
                    <w:tl2br w:val="nil"/>
                    <w:tr2bl w:val="nil"/>
                  </w:tcBorders>
                  <w:noWrap w:val="0"/>
                  <w:vAlign w:val="center"/>
                </w:tcPr>
                <w:p w14:paraId="6D67BD9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7" w:type="pct"/>
                  <w:tcBorders>
                    <w:tl2br w:val="nil"/>
                    <w:tr2bl w:val="nil"/>
                  </w:tcBorders>
                  <w:noWrap w:val="0"/>
                  <w:vAlign w:val="center"/>
                </w:tcPr>
                <w:p w14:paraId="6B1103F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到2025年，规模以上工业用水重复利用率稳定在93.3%以上，力争达到94%。</w:t>
                  </w:r>
                </w:p>
              </w:tc>
              <w:tc>
                <w:tcPr>
                  <w:tcW w:w="1600" w:type="pct"/>
                  <w:tcBorders>
                    <w:tl2br w:val="nil"/>
                    <w:tr2bl w:val="nil"/>
                  </w:tcBorders>
                  <w:noWrap w:val="0"/>
                  <w:tcMar>
                    <w:left w:w="57" w:type="dxa"/>
                    <w:right w:w="57" w:type="dxa"/>
                  </w:tcMar>
                  <w:vAlign w:val="center"/>
                </w:tcPr>
                <w:p w14:paraId="479BE62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p>
              </w:tc>
              <w:tc>
                <w:tcPr>
                  <w:tcW w:w="286" w:type="pct"/>
                  <w:tcBorders>
                    <w:tl2br w:val="nil"/>
                    <w:tr2bl w:val="nil"/>
                  </w:tcBorders>
                  <w:noWrap w:val="0"/>
                  <w:tcMar>
                    <w:left w:w="57" w:type="dxa"/>
                    <w:right w:w="57" w:type="dxa"/>
                  </w:tcMar>
                  <w:vAlign w:val="center"/>
                </w:tcPr>
                <w:p w14:paraId="63C9A61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19A37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A11A4E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3C059FD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7" w:type="pct"/>
                  <w:tcBorders>
                    <w:tl2br w:val="nil"/>
                    <w:tr2bl w:val="nil"/>
                  </w:tcBorders>
                  <w:noWrap w:val="0"/>
                  <w:vAlign w:val="center"/>
                </w:tcPr>
                <w:p w14:paraId="24BB591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到2025年，万元工业增加值用水量较2020年下降16%；万元国内生产总值用水量较2020年下降23%。</w:t>
                  </w:r>
                </w:p>
              </w:tc>
              <w:tc>
                <w:tcPr>
                  <w:tcW w:w="1600" w:type="pct"/>
                  <w:tcBorders>
                    <w:tl2br w:val="nil"/>
                    <w:tr2bl w:val="nil"/>
                  </w:tcBorders>
                  <w:noWrap w:val="0"/>
                  <w:tcMar>
                    <w:left w:w="57" w:type="dxa"/>
                    <w:right w:w="57" w:type="dxa"/>
                  </w:tcMar>
                  <w:vAlign w:val="center"/>
                </w:tcPr>
                <w:p w14:paraId="650CD1B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p>
              </w:tc>
              <w:tc>
                <w:tcPr>
                  <w:tcW w:w="286" w:type="pct"/>
                  <w:tcBorders>
                    <w:tl2br w:val="nil"/>
                    <w:tr2bl w:val="nil"/>
                  </w:tcBorders>
                  <w:noWrap w:val="0"/>
                  <w:tcMar>
                    <w:left w:w="57" w:type="dxa"/>
                    <w:right w:w="57" w:type="dxa"/>
                  </w:tcMar>
                  <w:vAlign w:val="center"/>
                </w:tcPr>
                <w:p w14:paraId="111EFD3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4B5C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330A04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5B707DC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7" w:type="pct"/>
                  <w:tcBorders>
                    <w:tl2br w:val="nil"/>
                    <w:tr2bl w:val="nil"/>
                  </w:tcBorders>
                  <w:noWrap w:val="0"/>
                  <w:vAlign w:val="center"/>
                </w:tcPr>
                <w:p w14:paraId="6CA321F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“十四五”能耗强度降低17.5%。</w:t>
                  </w:r>
                </w:p>
              </w:tc>
              <w:tc>
                <w:tcPr>
                  <w:tcW w:w="1600" w:type="pct"/>
                  <w:tcBorders>
                    <w:tl2br w:val="nil"/>
                    <w:tr2bl w:val="nil"/>
                  </w:tcBorders>
                  <w:noWrap w:val="0"/>
                  <w:tcMar>
                    <w:left w:w="57" w:type="dxa"/>
                    <w:right w:w="57" w:type="dxa"/>
                  </w:tcMar>
                  <w:vAlign w:val="center"/>
                </w:tcPr>
                <w:p w14:paraId="0511227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53A42E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BC34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4E68A4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5DA3CDF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7" w:type="pct"/>
                  <w:tcBorders>
                    <w:tl2br w:val="nil"/>
                    <w:tr2bl w:val="nil"/>
                  </w:tcBorders>
                  <w:noWrap w:val="0"/>
                  <w:vAlign w:val="center"/>
                </w:tcPr>
                <w:p w14:paraId="5C19512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禁止新增工业用水取用地下水，经依法批准开采的矿泉水、地热水除外。</w:t>
                  </w:r>
                </w:p>
              </w:tc>
              <w:tc>
                <w:tcPr>
                  <w:tcW w:w="1600" w:type="pct"/>
                  <w:tcBorders>
                    <w:tl2br w:val="nil"/>
                    <w:tr2bl w:val="nil"/>
                  </w:tcBorders>
                  <w:noWrap w:val="0"/>
                  <w:tcMar>
                    <w:left w:w="57" w:type="dxa"/>
                    <w:right w:w="57" w:type="dxa"/>
                  </w:tcMar>
                  <w:vAlign w:val="center"/>
                </w:tcPr>
                <w:p w14:paraId="3EF7979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项目不取用地下水</w:t>
                  </w:r>
                </w:p>
              </w:tc>
              <w:tc>
                <w:tcPr>
                  <w:tcW w:w="286" w:type="pct"/>
                  <w:tcBorders>
                    <w:tl2br w:val="nil"/>
                    <w:tr2bl w:val="nil"/>
                  </w:tcBorders>
                  <w:noWrap w:val="0"/>
                  <w:tcMar>
                    <w:left w:w="57" w:type="dxa"/>
                    <w:right w:w="57" w:type="dxa"/>
                  </w:tcMar>
                  <w:vAlign w:val="center"/>
                </w:tcPr>
                <w:p w14:paraId="0159EF7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bl>
          <w:p w14:paraId="1085AC95">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lang w:val="en" w:eastAsia="zh-CN" w:bidi="ar-SA"/>
              </w:rPr>
            </w:pPr>
            <w:r>
              <w:rPr>
                <w:rFonts w:hint="default" w:ascii="Times New Roman" w:hAnsi="Times New Roman" w:eastAsia="宋体" w:cs="Times New Roman"/>
                <w:color w:val="auto"/>
                <w:sz w:val="24"/>
                <w:szCs w:val="24"/>
                <w:highlight w:val="none"/>
              </w:rPr>
              <w:t>综上所述，项目符合当地“三线一单”要求。</w:t>
            </w:r>
          </w:p>
          <w:p w14:paraId="32772259">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color w:val="auto"/>
                <w:sz w:val="24"/>
                <w:szCs w:val="24"/>
                <w:highlight w:val="none"/>
                <w:lang w:val="en-US" w:eastAsia="zh-CN"/>
              </w:rPr>
              <w:t>5、项目与《高安市人民政府关于印发高安市“十四五”生态环境保护规划的通知》符合性分析</w:t>
            </w:r>
          </w:p>
          <w:p w14:paraId="2799DBAD">
            <w:pPr>
              <w:numPr>
                <w:ilvl w:val="0"/>
                <w:numId w:val="5"/>
              </w:numPr>
              <w:adjustRightInd w:val="0"/>
              <w:snapToGrid w:val="0"/>
              <w:ind w:left="0" w:leftChars="0" w:firstLine="0" w:firstLineChars="0"/>
              <w:jc w:val="right"/>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项目与高安市人民政府关于印发高安市</w:t>
            </w:r>
            <w:r>
              <w:rPr>
                <w:rFonts w:hint="eastAsia" w:ascii="宋体" w:hAnsi="宋体" w:eastAsia="宋体" w:cs="宋体"/>
                <w:b/>
                <w:bCs/>
                <w:color w:val="auto"/>
                <w:highlight w:val="none"/>
                <w:lang w:val="en-US" w:eastAsia="zh-CN"/>
              </w:rPr>
              <w:t>“十四五”生</w:t>
            </w:r>
            <w:r>
              <w:rPr>
                <w:rFonts w:hint="default" w:ascii="Times New Roman" w:hAnsi="Times New Roman" w:eastAsia="宋体" w:cs="Times New Roman"/>
                <w:b/>
                <w:bCs/>
                <w:color w:val="auto"/>
                <w:highlight w:val="none"/>
                <w:lang w:val="en-US" w:eastAsia="zh-CN"/>
              </w:rPr>
              <w:t>态环境保护</w:t>
            </w:r>
          </w:p>
          <w:p w14:paraId="7028C6F5">
            <w:pPr>
              <w:numPr>
                <w:ilvl w:val="0"/>
                <w:numId w:val="0"/>
              </w:numPr>
              <w:tabs>
                <w:tab w:val="left" w:pos="0"/>
              </w:tabs>
              <w:adjustRightInd w:val="0"/>
              <w:snapToGrid w:val="0"/>
              <w:ind w:left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规划的通知符合性分析</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858"/>
              <w:gridCol w:w="1882"/>
              <w:gridCol w:w="461"/>
            </w:tblGrid>
            <w:tr w14:paraId="36542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tcBorders>
                    <w:tl2br w:val="nil"/>
                    <w:tr2bl w:val="nil"/>
                  </w:tcBorders>
                  <w:noWrap w:val="0"/>
                  <w:vAlign w:val="center"/>
                </w:tcPr>
                <w:p w14:paraId="077D4D6D">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相关政策</w:t>
                  </w:r>
                </w:p>
              </w:tc>
              <w:tc>
                <w:tcPr>
                  <w:tcW w:w="2794" w:type="pct"/>
                  <w:tcBorders>
                    <w:tl2br w:val="nil"/>
                    <w:tr2bl w:val="nil"/>
                  </w:tcBorders>
                  <w:noWrap w:val="0"/>
                  <w:vAlign w:val="center"/>
                </w:tcPr>
                <w:p w14:paraId="30277439">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政策内容</w:t>
                  </w:r>
                </w:p>
              </w:tc>
              <w:tc>
                <w:tcPr>
                  <w:tcW w:w="1363" w:type="pct"/>
                  <w:tcBorders>
                    <w:tl2br w:val="nil"/>
                    <w:tr2bl w:val="nil"/>
                  </w:tcBorders>
                  <w:noWrap w:val="0"/>
                  <w:vAlign w:val="center"/>
                </w:tcPr>
                <w:p w14:paraId="70F54120">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符合</w:t>
                  </w:r>
                  <w:r>
                    <w:rPr>
                      <w:rFonts w:hint="default" w:ascii="Times New Roman" w:hAnsi="Times New Roman" w:eastAsia="宋体" w:cs="Times New Roman"/>
                      <w:b/>
                      <w:bCs/>
                      <w:color w:val="auto"/>
                      <w:sz w:val="21"/>
                      <w:szCs w:val="21"/>
                      <w:highlight w:val="none"/>
                      <w:lang w:val="en-US" w:eastAsia="zh-CN"/>
                    </w:rPr>
                    <w:t>性分析</w:t>
                  </w:r>
                </w:p>
              </w:tc>
              <w:tc>
                <w:tcPr>
                  <w:tcW w:w="334" w:type="pct"/>
                  <w:tcBorders>
                    <w:tl2br w:val="nil"/>
                    <w:tr2bl w:val="nil"/>
                  </w:tcBorders>
                  <w:noWrap w:val="0"/>
                  <w:vAlign w:val="center"/>
                </w:tcPr>
                <w:p w14:paraId="0A12DFDB">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105" w:leftChars="-50" w:right="-105" w:rightChars="-5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是否符合</w:t>
                  </w:r>
                </w:p>
              </w:tc>
            </w:tr>
            <w:tr w14:paraId="42BFE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restart"/>
                  <w:tcBorders>
                    <w:tl2br w:val="nil"/>
                    <w:tr2bl w:val="nil"/>
                  </w:tcBorders>
                  <w:noWrap w:val="0"/>
                  <w:vAlign w:val="center"/>
                </w:tcPr>
                <w:p w14:paraId="4C99952E">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高安市人民政府关于印发高安市“十四五”生态环境保护规划的通知</w:t>
                  </w:r>
                </w:p>
              </w:tc>
              <w:tc>
                <w:tcPr>
                  <w:tcW w:w="2794" w:type="pct"/>
                  <w:tcBorders>
                    <w:tl2br w:val="nil"/>
                    <w:tr2bl w:val="nil"/>
                  </w:tcBorders>
                  <w:noWrap w:val="0"/>
                  <w:vAlign w:val="center"/>
                </w:tcPr>
                <w:p w14:paraId="00C0D008">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1363" w:type="pct"/>
                  <w:tcBorders>
                    <w:tl2br w:val="nil"/>
                    <w:tr2bl w:val="nil"/>
                  </w:tcBorders>
                  <w:noWrap w:val="0"/>
                  <w:vAlign w:val="center"/>
                </w:tcPr>
                <w:p w14:paraId="6DE4907C">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本项目不属于</w:t>
                  </w:r>
                  <w:r>
                    <w:rPr>
                      <w:rFonts w:hint="default" w:ascii="Times New Roman" w:hAnsi="Times New Roman" w:eastAsia="宋体" w:cs="Times New Roman"/>
                      <w:color w:val="auto"/>
                      <w:highlight w:val="none"/>
                    </w:rPr>
                    <w:t>化工、有色金属冶炼、水泥、陶瓷、家具等重点行业</w:t>
                  </w:r>
                  <w:r>
                    <w:rPr>
                      <w:rFonts w:hint="default" w:ascii="Times New Roman" w:hAnsi="Times New Roman" w:eastAsia="宋体" w:cs="Times New Roman"/>
                      <w:color w:val="auto"/>
                      <w:highlight w:val="none"/>
                      <w:lang w:eastAsia="zh-CN"/>
                    </w:rPr>
                    <w:t>。</w:t>
                  </w:r>
                </w:p>
              </w:tc>
              <w:tc>
                <w:tcPr>
                  <w:tcW w:w="334" w:type="pct"/>
                  <w:tcBorders>
                    <w:tl2br w:val="nil"/>
                    <w:tr2bl w:val="nil"/>
                  </w:tcBorders>
                  <w:noWrap w:val="0"/>
                  <w:vAlign w:val="center"/>
                </w:tcPr>
                <w:p w14:paraId="1E69B2A4">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3EC92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1447E9E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4734C97E">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加强挥发性有机污染物治理。以表面涂装、包装印刷、塑料制品等行业为重点治理行业，以5月</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10月为重点控制时段，严格重点行业挥发性有机物全过程管控，强化汽修行业挥发性有机物综合治理。加强挥发性有机物污染防治的宣传教育，大力推进绿色原料替代，全面推进使用低挥发性有机物含量涂料、油墨、胶粘剂和清洗剂。开展工业园区、企业集群排查和综合整治，推广建设涉挥发性有机物“绿岛”项目。</w:t>
                  </w:r>
                </w:p>
              </w:tc>
              <w:tc>
                <w:tcPr>
                  <w:tcW w:w="1363" w:type="pct"/>
                  <w:tcBorders>
                    <w:tl2br w:val="nil"/>
                    <w:tr2bl w:val="nil"/>
                  </w:tcBorders>
                  <w:noWrap w:val="0"/>
                  <w:vAlign w:val="center"/>
                </w:tcPr>
                <w:p w14:paraId="47935AB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left"/>
                    <w:textAlignment w:val="auto"/>
                    <w:outlineLvl w:val="9"/>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项目产生的喷漆废气通过集气罩收集+多级过滤+两级活性炭吸附装置</w:t>
                  </w:r>
                  <w:r>
                    <w:rPr>
                      <w:rFonts w:hint="default" w:ascii="Times New Roman" w:hAnsi="Times New Roman" w:eastAsia="宋体" w:cs="Times New Roman"/>
                      <w:color w:val="auto"/>
                      <w:sz w:val="21"/>
                      <w:szCs w:val="21"/>
                      <w:highlight w:val="none"/>
                      <w:lang w:val="en-US" w:eastAsia="zh-CN"/>
                    </w:rPr>
                    <w:t>+车间一根15m高排气筒（DA002）排放；食堂油烟通过油烟净化器处理</w:t>
                  </w:r>
                </w:p>
              </w:tc>
              <w:tc>
                <w:tcPr>
                  <w:tcW w:w="334" w:type="pct"/>
                  <w:tcBorders>
                    <w:tl2br w:val="nil"/>
                    <w:tr2bl w:val="nil"/>
                  </w:tcBorders>
                  <w:noWrap w:val="0"/>
                  <w:vAlign w:val="center"/>
                </w:tcPr>
                <w:p w14:paraId="7DB9760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1E0D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09E4B1BF">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7A1EB93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left"/>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强化城市环境噪声监控与管制。严格落实中心城区声环境功能区划分方案，强化声环境功能区管理，根据城市规模和用地变化情况，适时调整声环境功能区区划，充分考虑道路建设、房地产开发中的声环境功能区管理目标。加大对交通噪声、施工噪声、工业噪声、生活噪声污染监管控制，推广低噪工艺和设备，明确环境噪声污染防治及其监督管理要求。加强宣传力度，鼓励公众参与和群众自治，减少噪声扰民，打造宁静社区及办公、休闲场所。</w:t>
                  </w:r>
                </w:p>
              </w:tc>
              <w:tc>
                <w:tcPr>
                  <w:tcW w:w="1363" w:type="pct"/>
                  <w:tcBorders>
                    <w:tl2br w:val="nil"/>
                    <w:tr2bl w:val="nil"/>
                  </w:tcBorders>
                  <w:noWrap w:val="0"/>
                  <w:vAlign w:val="center"/>
                </w:tcPr>
                <w:p w14:paraId="40A5B7F9">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项目位于新世纪产业园，通过隔声、减振等措施处理。</w:t>
                  </w:r>
                </w:p>
              </w:tc>
              <w:tc>
                <w:tcPr>
                  <w:tcW w:w="334" w:type="pct"/>
                  <w:tcBorders>
                    <w:tl2br w:val="nil"/>
                    <w:tr2bl w:val="nil"/>
                  </w:tcBorders>
                  <w:noWrap w:val="0"/>
                  <w:vAlign w:val="center"/>
                </w:tcPr>
                <w:p w14:paraId="3A4F7ABD">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A29A9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5A5FD1F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50AA743F">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1363" w:type="pct"/>
                  <w:tcBorders>
                    <w:tl2br w:val="nil"/>
                    <w:tr2bl w:val="nil"/>
                  </w:tcBorders>
                  <w:noWrap w:val="0"/>
                  <w:vAlign w:val="center"/>
                </w:tcPr>
                <w:p w14:paraId="2FCEDF43">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项目新增生产污水</w:t>
                  </w:r>
                  <w:r>
                    <w:rPr>
                      <w:rFonts w:hint="default" w:ascii="Times New Roman" w:hAnsi="Times New Roman" w:eastAsia="宋体" w:cs="Times New Roman"/>
                      <w:color w:val="auto"/>
                      <w:sz w:val="21"/>
                      <w:szCs w:val="21"/>
                      <w:highlight w:val="none"/>
                      <w:lang w:val="en-US" w:eastAsia="zh-CN"/>
                    </w:rPr>
                    <w:t>经</w:t>
                  </w:r>
                  <w:r>
                    <w:rPr>
                      <w:rFonts w:hint="eastAsia" w:cs="Times New Roman"/>
                      <w:color w:val="auto"/>
                      <w:sz w:val="21"/>
                      <w:szCs w:val="21"/>
                      <w:highlight w:val="none"/>
                      <w:lang w:val="en-US" w:eastAsia="zh-CN"/>
                    </w:rPr>
                    <w:t>化粪池</w:t>
                  </w:r>
                  <w:r>
                    <w:rPr>
                      <w:rFonts w:hint="default" w:ascii="Times New Roman" w:hAnsi="Times New Roman" w:eastAsia="宋体" w:cs="Times New Roman"/>
                      <w:color w:val="auto"/>
                      <w:sz w:val="21"/>
                      <w:szCs w:val="21"/>
                      <w:highlight w:val="none"/>
                      <w:lang w:val="en-US" w:eastAsia="zh-CN"/>
                    </w:rPr>
                    <w:t>处理后</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现有项目生产废水</w:t>
                  </w:r>
                  <w:r>
                    <w:rPr>
                      <w:rFonts w:hint="eastAsia" w:cs="Times New Roman"/>
                      <w:color w:val="auto"/>
                      <w:sz w:val="21"/>
                      <w:szCs w:val="21"/>
                      <w:highlight w:val="none"/>
                      <w:lang w:val="en-US" w:eastAsia="zh-CN"/>
                    </w:rPr>
                    <w:t>经</w:t>
                  </w:r>
                  <w:r>
                    <w:rPr>
                      <w:rFonts w:hint="default" w:ascii="Times New Roman" w:hAnsi="Times New Roman" w:eastAsia="宋体" w:cs="Times New Roman"/>
                      <w:color w:val="auto"/>
                      <w:sz w:val="21"/>
                      <w:szCs w:val="21"/>
                      <w:highlight w:val="none"/>
                      <w:lang w:val="en-US" w:eastAsia="zh-CN"/>
                    </w:rPr>
                    <w:t>污水处理</w:t>
                  </w:r>
                  <w:r>
                    <w:rPr>
                      <w:rFonts w:hint="eastAsia" w:cs="Times New Roman"/>
                      <w:color w:val="auto"/>
                      <w:sz w:val="21"/>
                      <w:szCs w:val="21"/>
                      <w:highlight w:val="none"/>
                      <w:lang w:val="en-US" w:eastAsia="zh-CN"/>
                    </w:rPr>
                    <w:t>设施</w:t>
                  </w:r>
                  <w:r>
                    <w:rPr>
                      <w:rFonts w:hint="default" w:ascii="Times New Roman" w:hAnsi="Times New Roman" w:eastAsia="宋体" w:cs="Times New Roman"/>
                      <w:color w:val="auto"/>
                      <w:sz w:val="21"/>
                      <w:szCs w:val="21"/>
                      <w:highlight w:val="none"/>
                      <w:lang w:val="en-US" w:eastAsia="zh-CN"/>
                    </w:rPr>
                    <w:t>处理达《污水综合排放标准》(GB8978-1996）表4中三级标准以及高安市工业园污水处理厂接管标准后排入高安市工业园污水</w:t>
                  </w:r>
                  <w:r>
                    <w:rPr>
                      <w:rFonts w:hint="eastAsia" w:cs="Times New Roman"/>
                      <w:color w:val="auto"/>
                      <w:sz w:val="21"/>
                      <w:szCs w:val="21"/>
                      <w:highlight w:val="none"/>
                      <w:lang w:val="en-US" w:eastAsia="zh-CN"/>
                    </w:rPr>
                    <w:t>处理</w:t>
                  </w:r>
                  <w:r>
                    <w:rPr>
                      <w:rFonts w:hint="default" w:ascii="Times New Roman" w:hAnsi="Times New Roman" w:eastAsia="宋体" w:cs="Times New Roman"/>
                      <w:color w:val="auto"/>
                      <w:sz w:val="21"/>
                      <w:szCs w:val="21"/>
                      <w:highlight w:val="none"/>
                      <w:lang w:val="en-US" w:eastAsia="zh-CN"/>
                    </w:rPr>
                    <w:t>厂，处理达《城镇污水处理厂污染物排放标准》（GB18918-2002）一级A标准后排放</w:t>
                  </w:r>
                  <w:r>
                    <w:rPr>
                      <w:rFonts w:hint="eastAsia" w:cs="Times New Roman"/>
                      <w:color w:val="auto"/>
                      <w:sz w:val="21"/>
                      <w:szCs w:val="21"/>
                      <w:highlight w:val="none"/>
                      <w:lang w:val="en-US" w:eastAsia="zh-CN"/>
                    </w:rPr>
                    <w:t>。</w:t>
                  </w:r>
                </w:p>
              </w:tc>
              <w:tc>
                <w:tcPr>
                  <w:tcW w:w="334" w:type="pct"/>
                  <w:tcBorders>
                    <w:tl2br w:val="nil"/>
                    <w:tr2bl w:val="nil"/>
                  </w:tcBorders>
                  <w:noWrap w:val="0"/>
                  <w:vAlign w:val="center"/>
                </w:tcPr>
                <w:p w14:paraId="3C409FE8">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C767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4709CA9D">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27CF61AB">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完善固体废物监管体制机制。强化制度体系、技术体系、市场体系和监管体系支撑保障作用，构建集污水、垃圾、固废、危废、医废处理处置设施和监测监管能力于一体的环境基础设施体系，形成由城市向建制镇和乡村延伸覆盖的环境基础设施网络。推动绿色回收体系建设，完善再生资源回收利用网络，因地制宜开展废旧金属、废旧电子、报废汽车、废旧玻璃、废旧动力电池等循环再利用。</w:t>
                  </w:r>
                </w:p>
              </w:tc>
              <w:tc>
                <w:tcPr>
                  <w:tcW w:w="1363" w:type="pct"/>
                  <w:tcBorders>
                    <w:tl2br w:val="nil"/>
                    <w:tr2bl w:val="nil"/>
                  </w:tcBorders>
                  <w:noWrap w:val="0"/>
                  <w:vAlign w:val="center"/>
                </w:tcPr>
                <w:p w14:paraId="6FF678C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本项目固体废物参照</w:t>
                  </w:r>
                  <w:r>
                    <w:rPr>
                      <w:rFonts w:hint="eastAsia" w:ascii="宋体" w:hAnsi="宋体" w:eastAsia="宋体" w:cs="宋体"/>
                      <w:color w:val="auto"/>
                      <w:sz w:val="21"/>
                      <w:szCs w:val="21"/>
                      <w:highlight w:val="none"/>
                      <w:lang w:val="en-US" w:eastAsia="zh-CN"/>
                    </w:rPr>
                    <w:t>“资源化、无害化、减量化”的</w:t>
                  </w:r>
                  <w:r>
                    <w:rPr>
                      <w:rFonts w:hint="default" w:ascii="Times New Roman" w:hAnsi="Times New Roman" w:eastAsia="宋体" w:cs="Times New Roman"/>
                      <w:color w:val="auto"/>
                      <w:sz w:val="21"/>
                      <w:szCs w:val="21"/>
                      <w:highlight w:val="none"/>
                      <w:lang w:val="en-US" w:eastAsia="zh-CN"/>
                    </w:rPr>
                    <w:t>原则进行管理与处理。</w:t>
                  </w:r>
                </w:p>
              </w:tc>
              <w:tc>
                <w:tcPr>
                  <w:tcW w:w="334" w:type="pct"/>
                  <w:tcBorders>
                    <w:tl2br w:val="nil"/>
                    <w:tr2bl w:val="nil"/>
                  </w:tcBorders>
                  <w:noWrap w:val="0"/>
                  <w:vAlign w:val="center"/>
                </w:tcPr>
                <w:p w14:paraId="18A4AD1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43CDB4B0">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6、与《2020年挥发性有机物治理攻坚方案》符合性分析</w:t>
            </w:r>
          </w:p>
          <w:p w14:paraId="0404F85A">
            <w:pPr>
              <w:spacing w:line="240" w:lineRule="auto"/>
              <w:jc w:val="center"/>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1"/>
                <w:szCs w:val="21"/>
                <w:highlight w:val="none"/>
                <w:lang w:val="en-US" w:eastAsia="zh-CN"/>
              </w:rPr>
              <w:t xml:space="preserve">表1-8  </w:t>
            </w:r>
            <w:r>
              <w:rPr>
                <w:rFonts w:hint="default" w:ascii="Times New Roman" w:hAnsi="Times New Roman" w:eastAsia="宋体" w:cs="Times New Roman"/>
                <w:b/>
                <w:bCs/>
                <w:color w:val="auto"/>
                <w:kern w:val="2"/>
                <w:sz w:val="21"/>
                <w:szCs w:val="16"/>
                <w:highlight w:val="none"/>
                <w:lang w:val="en-US" w:eastAsia="zh-CN" w:bidi="ar-SA"/>
              </w:rPr>
              <w:t>与</w:t>
            </w:r>
            <w:r>
              <w:rPr>
                <w:rFonts w:hint="default" w:ascii="Times New Roman" w:hAnsi="Times New Roman" w:eastAsia="宋体" w:cs="Times New Roman"/>
                <w:b/>
                <w:bCs/>
                <w:color w:val="auto"/>
                <w:highlight w:val="none"/>
              </w:rPr>
              <w:t>《2020年挥发性有机物治理攻坚方案》符合性分析</w:t>
            </w:r>
          </w:p>
          <w:tbl>
            <w:tblPr>
              <w:tblStyle w:val="34"/>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49"/>
              <w:gridCol w:w="1272"/>
              <w:gridCol w:w="883"/>
            </w:tblGrid>
            <w:tr w14:paraId="007ED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39" w:type="pct"/>
                  <w:tcBorders>
                    <w:tl2br w:val="nil"/>
                    <w:tr2bl w:val="nil"/>
                  </w:tcBorders>
                  <w:noWrap w:val="0"/>
                  <w:vAlign w:val="center"/>
                </w:tcPr>
                <w:p w14:paraId="2D6785FC">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内容</w:t>
                  </w:r>
                </w:p>
              </w:tc>
              <w:tc>
                <w:tcPr>
                  <w:tcW w:w="921" w:type="pct"/>
                  <w:tcBorders>
                    <w:tl2br w:val="nil"/>
                    <w:tr2bl w:val="nil"/>
                  </w:tcBorders>
                  <w:noWrap w:val="0"/>
                  <w:vAlign w:val="center"/>
                </w:tcPr>
                <w:p w14:paraId="12AB2A82">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本项目建设情况</w:t>
                  </w:r>
                </w:p>
              </w:tc>
              <w:tc>
                <w:tcPr>
                  <w:tcW w:w="639" w:type="pct"/>
                  <w:tcBorders>
                    <w:tl2br w:val="nil"/>
                    <w:tr2bl w:val="nil"/>
                  </w:tcBorders>
                  <w:noWrap w:val="0"/>
                  <w:vAlign w:val="center"/>
                </w:tcPr>
                <w:p w14:paraId="652BCD20">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符合性</w:t>
                  </w:r>
                </w:p>
              </w:tc>
            </w:tr>
            <w:tr w14:paraId="27341D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2D9E2840">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加强含VOC</w:t>
                  </w:r>
                  <w:r>
                    <w:rPr>
                      <w:rFonts w:hint="default" w:ascii="Times New Roman" w:hAnsi="Times New Roman" w:eastAsia="宋体" w:cs="Times New Roman"/>
                      <w:color w:val="auto"/>
                      <w:sz w:val="21"/>
                      <w:szCs w:val="24"/>
                      <w:highlight w:val="none"/>
                      <w:vertAlign w:val="subscript"/>
                    </w:rPr>
                    <w:t>S</w:t>
                  </w:r>
                  <w:r>
                    <w:rPr>
                      <w:rFonts w:hint="default" w:ascii="Times New Roman" w:hAnsi="Times New Roman" w:eastAsia="宋体" w:cs="Times New Roman"/>
                      <w:color w:val="auto"/>
                      <w:sz w:val="21"/>
                      <w:szCs w:val="24"/>
                      <w:highlight w:val="none"/>
                    </w:rPr>
                    <w:t>物料全方位、全链条、全环节密闭管理。储存环节应采用密闭容器、包装袋，高效密封储罐，封闭式储库、料仓等。装卸、转移和输送环节应采用密闭管道或密闭容器、罐车等。</w:t>
                  </w:r>
                </w:p>
              </w:tc>
              <w:tc>
                <w:tcPr>
                  <w:tcW w:w="921" w:type="pct"/>
                  <w:tcBorders>
                    <w:tl2br w:val="nil"/>
                    <w:tr2bl w:val="nil"/>
                  </w:tcBorders>
                  <w:noWrap w:val="0"/>
                  <w:vAlign w:val="center"/>
                </w:tcPr>
                <w:p w14:paraId="2B5EFADB">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项目</w:t>
                  </w:r>
                  <w:r>
                    <w:rPr>
                      <w:rFonts w:hint="default" w:ascii="Times New Roman" w:hAnsi="Times New Roman" w:eastAsia="宋体" w:cs="Times New Roman"/>
                      <w:color w:val="auto"/>
                      <w:sz w:val="21"/>
                      <w:szCs w:val="24"/>
                      <w:highlight w:val="none"/>
                      <w:lang w:val="en-US" w:eastAsia="zh-CN"/>
                    </w:rPr>
                    <w:t>使用</w:t>
                  </w:r>
                  <w:r>
                    <w:rPr>
                      <w:rFonts w:hint="eastAsia" w:cs="Times New Roman"/>
                      <w:color w:val="auto"/>
                      <w:sz w:val="21"/>
                      <w:szCs w:val="24"/>
                      <w:highlight w:val="none"/>
                      <w:lang w:val="en-US" w:eastAsia="zh-CN"/>
                    </w:rPr>
                    <w:t>油性油漆</w:t>
                  </w:r>
                  <w:r>
                    <w:rPr>
                      <w:rFonts w:hint="default" w:ascii="Times New Roman" w:hAnsi="Times New Roman" w:eastAsia="宋体" w:cs="Times New Roman"/>
                      <w:color w:val="auto"/>
                      <w:sz w:val="21"/>
                      <w:szCs w:val="24"/>
                      <w:highlight w:val="none"/>
                      <w:lang w:val="en-US" w:eastAsia="zh-CN"/>
                    </w:rPr>
                    <w:t>，</w:t>
                  </w:r>
                  <w:r>
                    <w:rPr>
                      <w:rFonts w:hint="eastAsia" w:cs="Times New Roman"/>
                      <w:color w:val="auto"/>
                      <w:sz w:val="21"/>
                      <w:szCs w:val="24"/>
                      <w:highlight w:val="none"/>
                      <w:lang w:val="en-US" w:eastAsia="zh-CN"/>
                    </w:rPr>
                    <w:t>油漆为</w:t>
                  </w:r>
                  <w:r>
                    <w:rPr>
                      <w:rFonts w:hint="default" w:ascii="Times New Roman" w:hAnsi="Times New Roman" w:eastAsia="宋体" w:cs="Times New Roman"/>
                      <w:color w:val="auto"/>
                      <w:sz w:val="21"/>
                      <w:szCs w:val="24"/>
                      <w:highlight w:val="none"/>
                      <w:lang w:val="en-US" w:eastAsia="zh-CN"/>
                    </w:rPr>
                    <w:t>密封罐装</w:t>
                  </w:r>
                  <w:r>
                    <w:rPr>
                      <w:rFonts w:hint="default" w:ascii="Times New Roman" w:hAnsi="Times New Roman" w:eastAsia="宋体" w:cs="Times New Roman"/>
                      <w:color w:val="auto"/>
                      <w:sz w:val="21"/>
                      <w:szCs w:val="24"/>
                      <w:highlight w:val="none"/>
                    </w:rPr>
                    <w:t>。</w:t>
                  </w:r>
                </w:p>
              </w:tc>
              <w:tc>
                <w:tcPr>
                  <w:tcW w:w="639" w:type="pct"/>
                  <w:tcBorders>
                    <w:tl2br w:val="nil"/>
                    <w:tr2bl w:val="nil"/>
                  </w:tcBorders>
                  <w:noWrap w:val="0"/>
                  <w:vAlign w:val="center"/>
                </w:tcPr>
                <w:p w14:paraId="1EA09A65">
                  <w:pPr>
                    <w:spacing w:beforeLines="0" w:afterLine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lang w:val="en-US" w:eastAsia="zh-CN"/>
                    </w:rPr>
                    <w:t>符合</w:t>
                  </w:r>
                </w:p>
              </w:tc>
            </w:tr>
            <w:tr w14:paraId="54525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55D9FD51">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采用活性炭吸附技术的，应选择碘值不低于800毫克/克的活性炭，并按设计要求足量添加、及时更换。</w:t>
                  </w:r>
                </w:p>
              </w:tc>
              <w:tc>
                <w:tcPr>
                  <w:tcW w:w="921" w:type="pct"/>
                  <w:tcBorders>
                    <w:tl2br w:val="nil"/>
                    <w:tr2bl w:val="nil"/>
                  </w:tcBorders>
                  <w:noWrap w:val="0"/>
                  <w:vAlign w:val="center"/>
                </w:tcPr>
                <w:p w14:paraId="6D432450">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项目废气排放可达相关标准</w:t>
                  </w:r>
                </w:p>
              </w:tc>
              <w:tc>
                <w:tcPr>
                  <w:tcW w:w="639" w:type="pct"/>
                  <w:tcBorders>
                    <w:tl2br w:val="nil"/>
                    <w:tr2bl w:val="nil"/>
                  </w:tcBorders>
                  <w:noWrap w:val="0"/>
                  <w:vAlign w:val="center"/>
                </w:tcPr>
                <w:p w14:paraId="692F5F93">
                  <w:pPr>
                    <w:spacing w:beforeLines="0" w:afterLine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符合</w:t>
                  </w:r>
                </w:p>
              </w:tc>
            </w:tr>
          </w:tbl>
          <w:p w14:paraId="130D05EA">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7、与《挥发性有机物无组织排放控制标准》（GB37822-2019）的相符性分析</w:t>
            </w:r>
          </w:p>
          <w:p w14:paraId="6E7755E8">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相符性分析内容一览表</w:t>
            </w:r>
          </w:p>
          <w:tbl>
            <w:tblPr>
              <w:tblStyle w:val="33"/>
              <w:tblW w:w="69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7"/>
              <w:gridCol w:w="4110"/>
              <w:gridCol w:w="1669"/>
              <w:gridCol w:w="690"/>
            </w:tblGrid>
            <w:tr w14:paraId="012351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0" w:type="pct"/>
                  <w:tcBorders>
                    <w:tl2br w:val="nil"/>
                    <w:tr2bl w:val="nil"/>
                  </w:tcBorders>
                  <w:noWrap w:val="0"/>
                  <w:vAlign w:val="center"/>
                </w:tcPr>
                <w:p w14:paraId="7CB32C07">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2941" w:type="pct"/>
                  <w:tcBorders>
                    <w:tl2br w:val="nil"/>
                    <w:tr2bl w:val="nil"/>
                  </w:tcBorders>
                  <w:noWrap w:val="0"/>
                  <w:vAlign w:val="center"/>
                </w:tcPr>
                <w:p w14:paraId="1648CBC1">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bCs/>
                      <w:color w:val="auto"/>
                      <w:position w:val="-12"/>
                      <w:szCs w:val="21"/>
                      <w:highlight w:val="none"/>
                    </w:rPr>
                    <w:t>《挥发性有机物无组织排放控制标准》（GB37822-2019）</w:t>
                  </w:r>
                </w:p>
              </w:tc>
              <w:tc>
                <w:tcPr>
                  <w:tcW w:w="1194" w:type="pct"/>
                  <w:tcBorders>
                    <w:tl2br w:val="nil"/>
                    <w:tr2bl w:val="nil"/>
                  </w:tcBorders>
                  <w:noWrap w:val="0"/>
                  <w:vAlign w:val="center"/>
                </w:tcPr>
                <w:p w14:paraId="09E35498">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本项目</w:t>
                  </w:r>
                </w:p>
              </w:tc>
              <w:tc>
                <w:tcPr>
                  <w:tcW w:w="493" w:type="pct"/>
                  <w:tcBorders>
                    <w:tl2br w:val="nil"/>
                    <w:tr2bl w:val="nil"/>
                  </w:tcBorders>
                  <w:noWrap w:val="0"/>
                  <w:vAlign w:val="center"/>
                </w:tcPr>
                <w:p w14:paraId="665E6679">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符合性</w:t>
                  </w:r>
                </w:p>
              </w:tc>
            </w:tr>
            <w:tr w14:paraId="6377B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0" w:type="pct"/>
                  <w:tcBorders>
                    <w:tl2br w:val="nil"/>
                    <w:tr2bl w:val="nil"/>
                  </w:tcBorders>
                  <w:noWrap w:val="0"/>
                  <w:vAlign w:val="center"/>
                </w:tcPr>
                <w:p w14:paraId="48B2B8F7">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1</w:t>
                  </w:r>
                </w:p>
              </w:tc>
              <w:tc>
                <w:tcPr>
                  <w:tcW w:w="2941" w:type="pct"/>
                  <w:tcBorders>
                    <w:tl2br w:val="nil"/>
                    <w:tr2bl w:val="nil"/>
                  </w:tcBorders>
                  <w:noWrap w:val="0"/>
                  <w:vAlign w:val="center"/>
                </w:tcPr>
                <w:p w14:paraId="76ECC307">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VOCs质量占比大于等于10%的含VOCs产品，其使用过程应采用密闭设备或在密闭空间内操作，废气应排至VOCs废气收集处理系统；无法密闭的，应采取局部气体收集措施，废气应排至VOCs废气收集处理系统。含VOCs产品的使用过程包括但不限于以下作业：a）调配（混合、搅拌等）；b）涂装（喷涂、浸涂、淋涂、轮涂、刷涂、涂布等）；c）印刷（平版、凸版、凹版、孔版等）；d）粘结（涂胶、热压、复合、贴合等）；e）印染（染色、印花、定型等）；f）干燥（烘干、风干、晾干等）；g）清洗（浸洗、喷洗、淋洗、冲洗、擦洗等）。</w:t>
                  </w:r>
                </w:p>
              </w:tc>
              <w:tc>
                <w:tcPr>
                  <w:tcW w:w="1194" w:type="pct"/>
                  <w:tcBorders>
                    <w:tl2br w:val="nil"/>
                    <w:tr2bl w:val="nil"/>
                  </w:tcBorders>
                  <w:noWrap w:val="0"/>
                  <w:vAlign w:val="center"/>
                </w:tcPr>
                <w:p w14:paraId="16E7004C">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喷漆废气</w:t>
                  </w:r>
                  <w:r>
                    <w:rPr>
                      <w:rFonts w:hint="default" w:ascii="Times New Roman" w:hAnsi="Times New Roman" w:eastAsia="宋体" w:cs="Times New Roman"/>
                      <w:color w:val="auto"/>
                      <w:szCs w:val="21"/>
                      <w:highlight w:val="none"/>
                      <w:lang w:val="en-US" w:eastAsia="zh-CN"/>
                    </w:rPr>
                    <w:t>通过</w:t>
                  </w:r>
                  <w:r>
                    <w:rPr>
                      <w:rFonts w:hint="eastAsia" w:cs="Times New Roman"/>
                      <w:color w:val="auto"/>
                      <w:szCs w:val="21"/>
                      <w:highlight w:val="none"/>
                      <w:lang w:val="en-US" w:eastAsia="zh-CN"/>
                    </w:rPr>
                    <w:t>集气罩收集+多级过滤+两级活性炭吸附装置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493" w:type="pct"/>
                  <w:tcBorders>
                    <w:tl2br w:val="nil"/>
                    <w:tr2bl w:val="nil"/>
                  </w:tcBorders>
                  <w:noWrap w:val="0"/>
                  <w:vAlign w:val="center"/>
                </w:tcPr>
                <w:p w14:paraId="023A7D23">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r w14:paraId="56C67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0" w:type="pct"/>
                  <w:tcBorders>
                    <w:tl2br w:val="nil"/>
                    <w:tr2bl w:val="nil"/>
                  </w:tcBorders>
                  <w:noWrap w:val="0"/>
                  <w:vAlign w:val="center"/>
                </w:tcPr>
                <w:p w14:paraId="1AE8488A">
                  <w:pPr>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2941" w:type="pct"/>
                  <w:tcBorders>
                    <w:tl2br w:val="nil"/>
                    <w:tr2bl w:val="nil"/>
                  </w:tcBorders>
                  <w:noWrap w:val="0"/>
                  <w:vAlign w:val="center"/>
                </w:tcPr>
                <w:p w14:paraId="3F9CC130">
                  <w:pPr>
                    <w:pStyle w:val="134"/>
                    <w:numPr>
                      <w:ilvl w:val="2"/>
                      <w:numId w:val="0"/>
                    </w:num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w:t>
                  </w:r>
                </w:p>
              </w:tc>
              <w:tc>
                <w:tcPr>
                  <w:tcW w:w="1194" w:type="pct"/>
                  <w:tcBorders>
                    <w:tl2br w:val="nil"/>
                    <w:tr2bl w:val="nil"/>
                  </w:tcBorders>
                  <w:noWrap w:val="0"/>
                  <w:vAlign w:val="center"/>
                </w:tcPr>
                <w:p w14:paraId="6762302E">
                  <w:pPr>
                    <w:jc w:val="left"/>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项目产生的喷漆废气通过集气罩收集+多级过滤+两级活性炭吸附装置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493" w:type="pct"/>
                  <w:tcBorders>
                    <w:tl2br w:val="nil"/>
                    <w:tr2bl w:val="nil"/>
                  </w:tcBorders>
                  <w:noWrap w:val="0"/>
                  <w:vAlign w:val="center"/>
                </w:tcPr>
                <w:p w14:paraId="6840E394">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bl>
          <w:p w14:paraId="1DE1A4D9">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8、与《重点行业挥发性有机物综合治理方案》（环大气</w:t>
            </w:r>
            <w:r>
              <w:rPr>
                <w:rFonts w:hint="eastAsia" w:ascii="宋体" w:hAnsi="宋体" w:eastAsia="宋体" w:cs="宋体"/>
                <w:b/>
                <w:color w:val="auto"/>
                <w:sz w:val="24"/>
                <w:szCs w:val="24"/>
                <w:highlight w:val="none"/>
                <w:lang w:val="en-US" w:eastAsia="zh-CN"/>
              </w:rPr>
              <w:t>〔</w:t>
            </w:r>
            <w:r>
              <w:rPr>
                <w:rFonts w:hint="default" w:ascii="Times New Roman" w:hAnsi="Times New Roman" w:eastAsia="宋体" w:cs="Times New Roman"/>
                <w:b/>
                <w:color w:val="auto"/>
                <w:sz w:val="24"/>
                <w:szCs w:val="24"/>
                <w:highlight w:val="none"/>
                <w:lang w:val="en-US" w:eastAsia="zh-CN"/>
              </w:rPr>
              <w:t>2019</w:t>
            </w:r>
            <w:r>
              <w:rPr>
                <w:rFonts w:hint="eastAsia" w:ascii="宋体" w:hAnsi="宋体" w:eastAsia="宋体" w:cs="宋体"/>
                <w:b/>
                <w:color w:val="auto"/>
                <w:sz w:val="24"/>
                <w:szCs w:val="24"/>
                <w:highlight w:val="none"/>
                <w:lang w:val="en-US" w:eastAsia="zh-CN"/>
              </w:rPr>
              <w:t>〕</w:t>
            </w:r>
            <w:r>
              <w:rPr>
                <w:rFonts w:hint="default" w:ascii="Times New Roman" w:hAnsi="Times New Roman" w:eastAsia="宋体" w:cs="Times New Roman"/>
                <w:b/>
                <w:color w:val="auto"/>
                <w:sz w:val="24"/>
                <w:szCs w:val="24"/>
                <w:highlight w:val="none"/>
                <w:lang w:val="en-US" w:eastAsia="zh-CN"/>
              </w:rPr>
              <w:t>53号）、《江西省重点行业挥发性有机物综合治理方案》的符合性分析</w:t>
            </w:r>
          </w:p>
          <w:p w14:paraId="0C2B5ECA">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对挥发性有机物的治理要求及本项目情况</w:t>
            </w:r>
          </w:p>
          <w:tbl>
            <w:tblPr>
              <w:tblStyle w:val="33"/>
              <w:tblW w:w="703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2530"/>
              <w:gridCol w:w="1708"/>
              <w:gridCol w:w="518"/>
            </w:tblGrid>
            <w:tr w14:paraId="73C8E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pct"/>
                  <w:noWrap w:val="0"/>
                  <w:vAlign w:val="center"/>
                </w:tcPr>
                <w:p w14:paraId="69BDFB4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环大气</w:t>
                  </w:r>
                  <w:r>
                    <w:rPr>
                      <w:rFonts w:hint="eastAsia" w:ascii="宋体" w:hAnsi="宋体" w:eastAsia="宋体" w:cs="宋体"/>
                      <w:b/>
                      <w:bCs/>
                      <w:snapToGrid w:val="0"/>
                      <w:color w:val="auto"/>
                      <w:szCs w:val="21"/>
                      <w:highlight w:val="none"/>
                    </w:rPr>
                    <w:t>〔</w:t>
                  </w:r>
                  <w:r>
                    <w:rPr>
                      <w:rFonts w:hint="default" w:ascii="Times New Roman" w:hAnsi="Times New Roman" w:eastAsia="宋体" w:cs="Times New Roman"/>
                      <w:b/>
                      <w:bCs/>
                      <w:snapToGrid w:val="0"/>
                      <w:color w:val="auto"/>
                      <w:szCs w:val="21"/>
                      <w:highlight w:val="none"/>
                    </w:rPr>
                    <w:t>2019</w:t>
                  </w:r>
                  <w:r>
                    <w:rPr>
                      <w:rFonts w:hint="eastAsia" w:ascii="宋体" w:hAnsi="宋体" w:eastAsia="宋体" w:cs="宋体"/>
                      <w:b/>
                      <w:bCs/>
                      <w:snapToGrid w:val="0"/>
                      <w:color w:val="auto"/>
                      <w:szCs w:val="21"/>
                      <w:highlight w:val="none"/>
                    </w:rPr>
                    <w:t>〕</w:t>
                  </w:r>
                  <w:r>
                    <w:rPr>
                      <w:rFonts w:hint="default" w:ascii="Times New Roman" w:hAnsi="Times New Roman" w:eastAsia="宋体" w:cs="Times New Roman"/>
                      <w:b/>
                      <w:bCs/>
                      <w:snapToGrid w:val="0"/>
                      <w:color w:val="auto"/>
                      <w:szCs w:val="21"/>
                      <w:highlight w:val="none"/>
                    </w:rPr>
                    <w:t>53号</w:t>
                  </w:r>
                </w:p>
              </w:tc>
              <w:tc>
                <w:tcPr>
                  <w:tcW w:w="1798" w:type="pct"/>
                  <w:noWrap w:val="0"/>
                  <w:vAlign w:val="center"/>
                </w:tcPr>
                <w:p w14:paraId="40D26D86">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lang w:val="en-US" w:eastAsia="zh-CN"/>
                    </w:rPr>
                    <w:t>江西省重点行业挥发性有机物综合治理方案</w:t>
                  </w:r>
                </w:p>
              </w:tc>
              <w:tc>
                <w:tcPr>
                  <w:tcW w:w="1214" w:type="pct"/>
                  <w:noWrap w:val="0"/>
                  <w:vAlign w:val="center"/>
                </w:tcPr>
                <w:p w14:paraId="51F2A7D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c>
                <w:tcPr>
                  <w:tcW w:w="368" w:type="pct"/>
                  <w:noWrap w:val="0"/>
                  <w:vAlign w:val="center"/>
                </w:tcPr>
                <w:p w14:paraId="164202E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lang w:val="en-US" w:eastAsia="zh-CN"/>
                    </w:rPr>
                  </w:pPr>
                  <w:r>
                    <w:rPr>
                      <w:rFonts w:hint="default" w:ascii="Times New Roman" w:hAnsi="Times New Roman" w:eastAsia="宋体" w:cs="Times New Roman"/>
                      <w:b/>
                      <w:bCs/>
                      <w:snapToGrid w:val="0"/>
                      <w:color w:val="auto"/>
                      <w:szCs w:val="21"/>
                      <w:highlight w:val="none"/>
                      <w:lang w:val="en-US" w:eastAsia="zh-CN"/>
                    </w:rPr>
                    <w:t>相符性</w:t>
                  </w:r>
                </w:p>
              </w:tc>
            </w:tr>
            <w:tr w14:paraId="0E7D0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pct"/>
                  <w:noWrap w:val="0"/>
                  <w:vAlign w:val="center"/>
                </w:tcPr>
                <w:p w14:paraId="70D5F146">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798" w:type="pct"/>
                  <w:noWrap w:val="0"/>
                  <w:vAlign w:val="center"/>
                </w:tcPr>
                <w:p w14:paraId="48615A45">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214" w:type="pct"/>
                  <w:noWrap w:val="0"/>
                  <w:vAlign w:val="center"/>
                </w:tcPr>
                <w:p w14:paraId="593B3092">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eastAsia" w:cs="Times New Roman"/>
                      <w:color w:val="0000FF"/>
                      <w:szCs w:val="21"/>
                      <w:highlight w:val="none"/>
                      <w:lang w:val="en-US" w:eastAsia="zh-CN"/>
                    </w:rPr>
                    <w:t>项目产生的喷漆废气通过集气罩收集+多级过滤+两级活性炭吸附装置</w:t>
                  </w:r>
                  <w:r>
                    <w:rPr>
                      <w:rFonts w:hint="default" w:ascii="Times New Roman" w:hAnsi="Times New Roman" w:eastAsia="宋体" w:cs="Times New Roman"/>
                      <w:color w:val="0000FF"/>
                      <w:szCs w:val="21"/>
                      <w:highlight w:val="none"/>
                      <w:lang w:val="en-US" w:eastAsia="zh-CN"/>
                    </w:rPr>
                    <w:t>+车间一根15m高排气筒（DA002）排放</w:t>
                  </w:r>
                </w:p>
              </w:tc>
              <w:tc>
                <w:tcPr>
                  <w:tcW w:w="368" w:type="pct"/>
                  <w:noWrap w:val="0"/>
                  <w:vAlign w:val="center"/>
                </w:tcPr>
                <w:p w14:paraId="4D4C0D3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符合</w:t>
                  </w:r>
                </w:p>
              </w:tc>
            </w:tr>
            <w:tr w14:paraId="67FCB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pct"/>
                  <w:noWrap w:val="0"/>
                  <w:vAlign w:val="center"/>
                </w:tcPr>
                <w:p w14:paraId="70BF6082">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1798" w:type="pct"/>
                  <w:noWrap w:val="0"/>
                  <w:vAlign w:val="center"/>
                </w:tcPr>
                <w:p w14:paraId="73C22B0D">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r>
                    <w:rPr>
                      <w:rFonts w:hint="default" w:ascii="Times New Roman" w:hAnsi="Times New Roman" w:eastAsia="宋体" w:cs="Times New Roman"/>
                      <w:snapToGrid w:val="0"/>
                      <w:color w:val="auto"/>
                      <w:szCs w:val="21"/>
                      <w:highlight w:val="none"/>
                      <w:lang w:val="en-US" w:eastAsia="zh-CN"/>
                    </w:rPr>
                    <w:t>到2020年底前，涉及VOCs排放企业在保证安全、正常生产的前提下，收集设备覆盖率达100%，以物料衡算等方法计VOCs收集率不低于75%</w:t>
                  </w:r>
                  <w:r>
                    <w:rPr>
                      <w:rFonts w:hint="default" w:ascii="Times New Roman" w:hAnsi="Times New Roman" w:eastAsia="宋体" w:cs="Times New Roman"/>
                      <w:snapToGrid w:val="0"/>
                      <w:color w:val="auto"/>
                      <w:szCs w:val="21"/>
                      <w:highlight w:val="none"/>
                      <w:lang w:eastAsia="zh-CN"/>
                    </w:rPr>
                    <w:t>。</w:t>
                  </w:r>
                </w:p>
              </w:tc>
              <w:tc>
                <w:tcPr>
                  <w:tcW w:w="1214" w:type="pct"/>
                  <w:noWrap w:val="0"/>
                  <w:vAlign w:val="center"/>
                </w:tcPr>
                <w:p w14:paraId="062CCD48">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rPr>
                    <w:t>本项目遵循</w:t>
                  </w:r>
                  <w:r>
                    <w:rPr>
                      <w:rFonts w:hint="eastAsia" w:ascii="宋体" w:hAnsi="宋体" w:eastAsia="宋体" w:cs="宋体"/>
                      <w:snapToGrid w:val="0"/>
                      <w:color w:val="auto"/>
                      <w:szCs w:val="21"/>
                      <w:highlight w:val="none"/>
                    </w:rPr>
                    <w:t>“应收尽收、分质收集”的原则</w:t>
                  </w:r>
                  <w:r>
                    <w:rPr>
                      <w:rFonts w:hint="eastAsia" w:ascii="宋体" w:hAnsi="宋体" w:eastAsia="宋体" w:cs="宋体"/>
                      <w:snapToGrid w:val="0"/>
                      <w:color w:val="auto"/>
                      <w:szCs w:val="21"/>
                      <w:highlight w:val="none"/>
                      <w:lang w:val="en-US" w:eastAsia="zh-CN"/>
                    </w:rPr>
                    <w:t>。</w:t>
                  </w:r>
                  <w:r>
                    <w:rPr>
                      <w:rFonts w:hint="eastAsia" w:ascii="Times New Roman" w:hAnsi="Times New Roman" w:cs="Times New Roman"/>
                      <w:color w:val="0000FF"/>
                      <w:sz w:val="21"/>
                      <w:szCs w:val="21"/>
                    </w:rPr>
                    <w:t>项目使用密闭喷漆房作业，通过采取设备与场所密闭、工艺改进、废气有效收集等措施，削减VOCs无组织排放，VOCs收集率不低于75%。项目为</w:t>
                  </w:r>
                  <w:r>
                    <w:rPr>
                      <w:rFonts w:hint="eastAsia" w:ascii="Times New Roman" w:hAnsi="Times New Roman" w:cs="Times New Roman"/>
                      <w:color w:val="0000FF"/>
                      <w:sz w:val="21"/>
                      <w:szCs w:val="21"/>
                      <w:highlight w:val="yellow"/>
                    </w:rPr>
                    <w:t>表面</w:t>
                  </w:r>
                  <w:r>
                    <w:rPr>
                      <w:rFonts w:hint="eastAsia" w:cs="Times New Roman"/>
                      <w:color w:val="0000FF"/>
                      <w:sz w:val="21"/>
                      <w:szCs w:val="21"/>
                      <w:highlight w:val="yellow"/>
                      <w:lang w:val="en-US" w:eastAsia="zh-CN"/>
                    </w:rPr>
                    <w:t>喷涂</w:t>
                  </w:r>
                  <w:r>
                    <w:rPr>
                      <w:rFonts w:hint="eastAsia" w:ascii="Times New Roman" w:hAnsi="Times New Roman" w:cs="Times New Roman"/>
                      <w:color w:val="0000FF"/>
                      <w:sz w:val="21"/>
                      <w:szCs w:val="21"/>
                    </w:rPr>
                    <w:t>，重点推进使用紧凑式涂装工艺，涂料、稀释剂等原辅料密闭储存调配、使用、回收等过程采用密闭设备或在密闭空间内操作，采用密闭管道或密闭容器等输送。项目不采用敞开式喷涂及晾干作业。项目集中调配，喷涂和干燥等VOCs排放工序配备有效的废气收集系统。</w:t>
                  </w:r>
                </w:p>
              </w:tc>
              <w:tc>
                <w:tcPr>
                  <w:tcW w:w="368" w:type="pct"/>
                  <w:noWrap w:val="0"/>
                  <w:vAlign w:val="center"/>
                </w:tcPr>
                <w:p w14:paraId="54E8FF4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r w14:paraId="7D4AB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pct"/>
                  <w:noWrap w:val="0"/>
                  <w:vAlign w:val="center"/>
                </w:tcPr>
                <w:p w14:paraId="15AB1A9C">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采用一次性活性炭吸附技术的，应定期更换活性炭，废旧活性炭应再生或处理处置。有条件的工业园区和产业集群等，推广集中喷涂、溶剂集中回收、活性炭集中再生等，加强资源共享，提高VOCs治理效率。规范工程设计。采用吸附处理工艺的，应满足《吸附法工业有机废气治理工程技术规范》要求。</w:t>
                  </w:r>
                </w:p>
              </w:tc>
              <w:tc>
                <w:tcPr>
                  <w:tcW w:w="1798" w:type="pct"/>
                  <w:noWrap w:val="0"/>
                  <w:vAlign w:val="center"/>
                </w:tcPr>
                <w:p w14:paraId="4348DD04">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采用吸附处理工艺的，应满足《吸附法工业有机废气治理工程技术规范》（HJ 2026）要求；采用催化燃烧工艺应满足《催化燃烧法工业有机废气治理工程技术规范》（HJ 2027）要求；采用蓄热燃烧工艺应满足《工业有机废气蓄热热力燃烧装置》（报批稿）和《工业有机废气蓄热催化燃烧装置》（报批稿）等装置设计、运行要求。采用一次性活性炭吸附技术的，要定期更换活性炭，废旧活性炭应再生或处理处置。</w:t>
                  </w:r>
                </w:p>
              </w:tc>
              <w:tc>
                <w:tcPr>
                  <w:tcW w:w="1214" w:type="pct"/>
                  <w:noWrap w:val="0"/>
                  <w:vAlign w:val="center"/>
                </w:tcPr>
                <w:p w14:paraId="0D0010D9">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lang w:eastAsia="zh-CN"/>
                    </w:rPr>
                  </w:pPr>
                  <w:r>
                    <w:rPr>
                      <w:rFonts w:hint="eastAsia" w:cs="Times New Roman"/>
                      <w:color w:val="auto"/>
                      <w:szCs w:val="21"/>
                      <w:highlight w:val="none"/>
                      <w:lang w:val="en-US" w:eastAsia="zh-CN"/>
                    </w:rPr>
                    <w:t>项目产生的喷漆废气通过集气罩收集+多级过滤+两级活性炭吸附装置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368" w:type="pct"/>
                  <w:noWrap w:val="0"/>
                  <w:vAlign w:val="center"/>
                </w:tcPr>
                <w:p w14:paraId="5846E48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bl>
          <w:p w14:paraId="5C5076D7">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snapToGrid w:val="0"/>
                <w:color w:val="auto"/>
                <w:sz w:val="24"/>
                <w:szCs w:val="24"/>
                <w:highlight w:val="none"/>
              </w:rPr>
              <w:t>综上，项目生产可满足《重点行业挥发性有机物综合治理方案》（环大气</w:t>
            </w:r>
            <w:r>
              <w:rPr>
                <w:rFonts w:hint="eastAsia" w:ascii="宋体" w:hAnsi="宋体" w:eastAsia="宋体" w:cs="宋体"/>
                <w:snapToGrid w:val="0"/>
                <w:color w:val="auto"/>
                <w:sz w:val="24"/>
                <w:szCs w:val="24"/>
                <w:highlight w:val="none"/>
              </w:rPr>
              <w:t>〔</w:t>
            </w:r>
            <w:r>
              <w:rPr>
                <w:rFonts w:hint="default" w:ascii="Times New Roman" w:hAnsi="Times New Roman" w:eastAsia="宋体" w:cs="Times New Roman"/>
                <w:snapToGrid w:val="0"/>
                <w:color w:val="auto"/>
                <w:sz w:val="24"/>
                <w:szCs w:val="24"/>
                <w:highlight w:val="none"/>
              </w:rPr>
              <w:t>2019</w:t>
            </w:r>
            <w:r>
              <w:rPr>
                <w:rFonts w:hint="eastAsia" w:ascii="宋体" w:hAnsi="宋体" w:eastAsia="宋体" w:cs="宋体"/>
                <w:snapToGrid w:val="0"/>
                <w:color w:val="auto"/>
                <w:sz w:val="24"/>
                <w:szCs w:val="24"/>
                <w:highlight w:val="none"/>
              </w:rPr>
              <w:t>〕</w:t>
            </w:r>
            <w:r>
              <w:rPr>
                <w:rFonts w:hint="default" w:ascii="Times New Roman" w:hAnsi="Times New Roman" w:eastAsia="宋体" w:cs="Times New Roman"/>
                <w:snapToGrid w:val="0"/>
                <w:color w:val="auto"/>
                <w:sz w:val="24"/>
                <w:szCs w:val="24"/>
                <w:highlight w:val="none"/>
              </w:rPr>
              <w:t>53号）</w:t>
            </w:r>
            <w:r>
              <w:rPr>
                <w:rFonts w:hint="default" w:ascii="Times New Roman" w:hAnsi="Times New Roman" w:eastAsia="宋体" w:cs="Times New Roman"/>
                <w:snapToGrid w:val="0"/>
                <w:color w:val="auto"/>
                <w:sz w:val="24"/>
                <w:szCs w:val="24"/>
                <w:highlight w:val="none"/>
                <w:lang w:eastAsia="zh-CN"/>
              </w:rPr>
              <w:t>、</w:t>
            </w:r>
            <w:r>
              <w:rPr>
                <w:rFonts w:hint="default" w:ascii="Times New Roman" w:hAnsi="Times New Roman" w:eastAsia="宋体" w:cs="Times New Roman"/>
                <w:snapToGrid w:val="0"/>
                <w:color w:val="auto"/>
                <w:sz w:val="24"/>
                <w:szCs w:val="24"/>
                <w:highlight w:val="none"/>
                <w:lang w:val="en-US" w:eastAsia="zh-CN"/>
              </w:rPr>
              <w:t>《江西省重点行业挥发性有机物综合治理方案》</w:t>
            </w:r>
            <w:r>
              <w:rPr>
                <w:rFonts w:hint="default" w:ascii="Times New Roman" w:hAnsi="Times New Roman" w:eastAsia="宋体" w:cs="Times New Roman"/>
                <w:snapToGrid w:val="0"/>
                <w:color w:val="auto"/>
                <w:sz w:val="24"/>
                <w:szCs w:val="24"/>
                <w:highlight w:val="none"/>
              </w:rPr>
              <w:t>中的相关要求。</w:t>
            </w:r>
          </w:p>
          <w:p w14:paraId="741306B5">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9、与《挥发性有机物(VOC</w:t>
            </w:r>
            <w:r>
              <w:rPr>
                <w:rFonts w:hint="default" w:ascii="Times New Roman" w:hAnsi="Times New Roman" w:eastAsia="宋体" w:cs="Times New Roman"/>
                <w:b/>
                <w:color w:val="auto"/>
                <w:sz w:val="24"/>
                <w:szCs w:val="24"/>
                <w:highlight w:val="none"/>
                <w:vertAlign w:val="subscript"/>
                <w:lang w:val="en-US" w:eastAsia="zh-CN"/>
              </w:rPr>
              <w:t>S</w:t>
            </w:r>
            <w:r>
              <w:rPr>
                <w:rFonts w:hint="default" w:ascii="Times New Roman" w:hAnsi="Times New Roman" w:eastAsia="宋体" w:cs="Times New Roman"/>
                <w:b/>
                <w:color w:val="auto"/>
                <w:sz w:val="24"/>
                <w:szCs w:val="24"/>
                <w:highlight w:val="none"/>
                <w:lang w:val="en-US" w:eastAsia="zh-CN"/>
              </w:rPr>
              <w:t>)污染防治技术政策》的相符性分析</w:t>
            </w:r>
          </w:p>
          <w:p w14:paraId="20E002B3">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挥发性有机物治理要求表</w:t>
            </w:r>
          </w:p>
          <w:tbl>
            <w:tblPr>
              <w:tblStyle w:val="33"/>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4423"/>
              <w:gridCol w:w="1579"/>
            </w:tblGrid>
            <w:tr w14:paraId="1E061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top"/>
                </w:tcPr>
                <w:p w14:paraId="7E0164C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204" w:type="pct"/>
                  <w:noWrap w:val="0"/>
                  <w:vAlign w:val="top"/>
                </w:tcPr>
                <w:p w14:paraId="3F66402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144" w:type="pct"/>
                  <w:noWrap w:val="0"/>
                  <w:vAlign w:val="top"/>
                </w:tcPr>
                <w:p w14:paraId="4BBE82A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3808AF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499D797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源头和过程控制</w:t>
                  </w:r>
                </w:p>
              </w:tc>
              <w:tc>
                <w:tcPr>
                  <w:tcW w:w="3204" w:type="pct"/>
                  <w:noWrap w:val="0"/>
                  <w:vAlign w:val="center"/>
                </w:tcPr>
                <w:p w14:paraId="051BD582">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使用通过环境标志产品认证的环保型涂料、油墨、胶粘剂和清洗剂；根据涂装工艺的不同，鼓励使用水性涂料、高固份涂料、粉末涂料、紫外光固化（UV）涂料等环保型涂料；推广采用静电喷涂、淋涂、辊涂、浸涂等效率较高的涂装工艺；应尽量避免无VOCs净化、回收措施的露天喷涂作业.在印刷工艺中推广使用水性油墨，印铁制罐行业鼓励使用紫外光固化（UV）油墨，书刊印刷行业鼓励使用预涂膜技术；含VOCs产品的使用过程中，应采取废气收集措施，提高废气收集效率，减少废气的无组织排放与逸散，并对收集后的废气进行回收或处理后达标排放。</w:t>
                  </w:r>
                </w:p>
              </w:tc>
              <w:tc>
                <w:tcPr>
                  <w:tcW w:w="1144" w:type="pct"/>
                  <w:noWrap w:val="0"/>
                  <w:vAlign w:val="center"/>
                </w:tcPr>
                <w:p w14:paraId="16CB47F4">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本项目车间密闭化，采用的原辅材料均为环保材料，且配套建设了VOCs治理设施，从源头减少VOCs排放。本项目符合“源头和过程控制”要求。</w:t>
                  </w:r>
                </w:p>
              </w:tc>
            </w:tr>
            <w:tr w14:paraId="04C4D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2D9254B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末端治理与综合利用</w:t>
                  </w:r>
                </w:p>
              </w:tc>
              <w:tc>
                <w:tcPr>
                  <w:tcW w:w="3204" w:type="pct"/>
                  <w:noWrap w:val="0"/>
                  <w:vAlign w:val="center"/>
                </w:tcPr>
                <w:p w14:paraId="736E446B">
                  <w:pPr>
                    <w:widowControl/>
                    <w:tabs>
                      <w:tab w:val="left" w:pos="0"/>
                    </w:tabs>
                    <w:overflowPunct w:val="0"/>
                    <w:topLinePunct/>
                    <w:autoSpaceDE w:val="0"/>
                    <w:adjustRightInd w:val="0"/>
                    <w:snapToGrid w:val="0"/>
                    <w:textAlignment w:val="baseline"/>
                    <w:rPr>
                      <w:rFonts w:hint="eastAsia"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在工业生产过程中鼓励VOCs的回收利用，并优先鼓励在生产系统内回用。对于含高浓度VOCs的废气，宜优先采用冷凝回收、吸附回收技术进行回收利用，并</w:t>
                  </w:r>
                  <w:r>
                    <w:rPr>
                      <w:rFonts w:hint="default" w:ascii="Times New Roman" w:hAnsi="Times New Roman" w:eastAsia="宋体" w:cs="Times New Roman"/>
                      <w:snapToGrid w:val="0"/>
                      <w:color w:val="auto"/>
                      <w:szCs w:val="21"/>
                      <w:highlight w:val="none"/>
                      <w:lang w:eastAsia="zh-CN"/>
                    </w:rPr>
                    <w:t>辅助</w:t>
                  </w:r>
                  <w:r>
                    <w:rPr>
                      <w:rFonts w:hint="default" w:ascii="Times New Roman" w:hAnsi="Times New Roman" w:eastAsia="宋体" w:cs="Times New Roman"/>
                      <w:snapToGrid w:val="0"/>
                      <w:color w:val="auto"/>
                      <w:szCs w:val="21"/>
                      <w:highlight w:val="none"/>
                    </w:rPr>
                    <w:t>其他治理技术实现达标排放。对于含中等浓度VOCs的废气，可采用吸附技术回收有机溶剂，或采用催化燃烧和热力焚烧技术净化后达标排放。当采用催化燃烧和热力焚烧技术进行净化时，应进行余热回收利用。对于含低浓度VOCs的废气，有回收价值时可采用吸附技术、吸收技术对有机溶剂回收后达标排放；不宜回收时，可采用吸附浓缩燃烧技术、生物技术、吸收技术、等离子体技术或紫外光高级氧化技术等净化后达标排放。含有有机卤素成分VOCs的废气，宜采用非焚烧技术处理。恶臭气体污染源可采用生物技术、等离子体技术、吸附技术、吸收技术、紫外光高级氧化技术或组合技术等进行净化。净化后的恶臭气体除满足达标排放的要求外，还应采取高空排放等措施，避免产生扰民问题。严格控制VOCs处理过程中产生的二次污染，对于催化燃烧和热力焚烧过程中产生的含硫、氮、氯等无机废气，以及吸附、吸收、冷凝、生物等治理过程中所产生的含有机物废水，应处理后达标排放。对于不能再生的过滤材料、吸附剂及催化剂等净化材料，应按照国家固体废物管理的相关规定处理处置</w:t>
                  </w:r>
                  <w:r>
                    <w:rPr>
                      <w:rFonts w:hint="eastAsia" w:cs="Times New Roman"/>
                      <w:snapToGrid w:val="0"/>
                      <w:color w:val="auto"/>
                      <w:szCs w:val="21"/>
                      <w:highlight w:val="none"/>
                      <w:lang w:eastAsia="zh-CN"/>
                    </w:rPr>
                    <w:t>。</w:t>
                  </w:r>
                </w:p>
              </w:tc>
              <w:tc>
                <w:tcPr>
                  <w:tcW w:w="1144" w:type="pct"/>
                  <w:noWrap w:val="0"/>
                  <w:vAlign w:val="center"/>
                </w:tcPr>
                <w:p w14:paraId="7E265A48">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eastAsia" w:cs="Times New Roman"/>
                      <w:color w:val="auto"/>
                      <w:szCs w:val="21"/>
                      <w:highlight w:val="none"/>
                      <w:lang w:val="en-US" w:eastAsia="zh-CN"/>
                    </w:rPr>
                    <w:t>项目产生的喷漆废气通过集气罩收集+多级过滤+两级活性炭吸附装置</w:t>
                  </w:r>
                  <w:r>
                    <w:rPr>
                      <w:rFonts w:hint="default" w:ascii="Times New Roman" w:hAnsi="Times New Roman" w:eastAsia="宋体" w:cs="Times New Roman"/>
                      <w:color w:val="auto"/>
                      <w:szCs w:val="21"/>
                      <w:highlight w:val="none"/>
                      <w:lang w:val="en-US" w:eastAsia="zh-CN"/>
                    </w:rPr>
                    <w:t>+车间一根15m高排气筒（DA002）排放</w:t>
                  </w:r>
                </w:p>
              </w:tc>
            </w:tr>
            <w:tr w14:paraId="058EA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651" w:type="pct"/>
                  <w:noWrap w:val="0"/>
                  <w:vAlign w:val="center"/>
                </w:tcPr>
                <w:p w14:paraId="58DE2B4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鼓励研发的新技术、新材料和新装备</w:t>
                  </w:r>
                </w:p>
              </w:tc>
              <w:tc>
                <w:tcPr>
                  <w:tcW w:w="3204" w:type="pct"/>
                  <w:noWrap w:val="0"/>
                  <w:vAlign w:val="center"/>
                </w:tcPr>
                <w:p w14:paraId="05DB2ECF">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生产过程中能够减少VOCs形成和挥发的清洁生产技术。旋转式分子筛吸附浓缩技术、高效蓄热式催化燃烧技术（RCO）和蓄热式热力燃烧技术（RTO）、氮气循环脱附吸附回收技术、高效水基强化吸收技术，以及其他针对特定有机污染物的生物净化技术和低温等离子体净化技术等。</w:t>
                  </w:r>
                </w:p>
                <w:p w14:paraId="42EE0A49">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高效吸附材料（如特种用途活性炭、高强度活性炭纤维、改性疏水分子筛和硅胶等）、催化材料（如广谱性VOCs氧化催化剂等）、高效生物填料和吸收剂等。挥发性有机物回收及综合利用设备</w:t>
                  </w:r>
                  <w:r>
                    <w:rPr>
                      <w:rFonts w:hint="default" w:ascii="Times New Roman" w:hAnsi="Times New Roman" w:eastAsia="宋体" w:cs="Times New Roman"/>
                      <w:snapToGrid w:val="0"/>
                      <w:color w:val="auto"/>
                      <w:szCs w:val="21"/>
                      <w:highlight w:val="none"/>
                      <w:lang w:eastAsia="zh-CN"/>
                    </w:rPr>
                    <w:t>。</w:t>
                  </w:r>
                </w:p>
              </w:tc>
              <w:tc>
                <w:tcPr>
                  <w:tcW w:w="1144" w:type="pct"/>
                  <w:noWrap w:val="0"/>
                  <w:vAlign w:val="center"/>
                </w:tcPr>
                <w:p w14:paraId="5B3D97EF">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本项目使用废气处理方案可满足治理要求</w:t>
                  </w:r>
                </w:p>
              </w:tc>
            </w:tr>
          </w:tbl>
          <w:p w14:paraId="645E4941">
            <w:pPr>
              <w:pStyle w:val="118"/>
              <w:ind w:left="0" w:leftChars="0" w:firstLine="480" w:firstLineChars="200"/>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综上，项目生产可满足《挥发性有机物(VOC</w:t>
            </w:r>
            <w:r>
              <w:rPr>
                <w:rFonts w:hint="default" w:ascii="Times New Roman" w:hAnsi="Times New Roman" w:eastAsia="宋体" w:cs="Times New Roman"/>
                <w:snapToGrid/>
                <w:color w:val="auto"/>
                <w:sz w:val="24"/>
                <w:szCs w:val="24"/>
                <w:highlight w:val="none"/>
                <w:vertAlign w:val="subscript"/>
              </w:rPr>
              <w:t>S</w:t>
            </w:r>
            <w:r>
              <w:rPr>
                <w:rFonts w:hint="default" w:ascii="Times New Roman" w:hAnsi="Times New Roman" w:eastAsia="宋体" w:cs="Times New Roman"/>
                <w:snapToGrid/>
                <w:color w:val="auto"/>
                <w:sz w:val="24"/>
                <w:szCs w:val="24"/>
                <w:highlight w:val="none"/>
              </w:rPr>
              <w:t>)污染防治技术政策》中的相关要求。</w:t>
            </w:r>
          </w:p>
          <w:p w14:paraId="26052FE4">
            <w:pPr>
              <w:pStyle w:val="14"/>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snapToGrid/>
                <w:color w:val="0000FF"/>
                <w:sz w:val="24"/>
                <w:szCs w:val="24"/>
                <w:highlight w:val="none"/>
                <w:lang w:val="en-US" w:eastAsia="zh-CN"/>
              </w:rPr>
            </w:pPr>
            <w:r>
              <w:rPr>
                <w:rFonts w:hint="default" w:ascii="Times New Roman" w:hAnsi="Times New Roman" w:eastAsia="宋体" w:cs="Times New Roman"/>
                <w:b/>
                <w:bCs/>
                <w:snapToGrid/>
                <w:color w:val="0000FF"/>
                <w:kern w:val="0"/>
                <w:sz w:val="24"/>
                <w:szCs w:val="24"/>
                <w:lang w:val="en-US" w:eastAsia="zh-CN" w:bidi="ar-SA"/>
              </w:rPr>
              <w:t>10、</w:t>
            </w:r>
            <w:r>
              <w:rPr>
                <w:rFonts w:hint="default" w:ascii="Times New Roman" w:hAnsi="Times New Roman" w:eastAsia="宋体" w:cs="Times New Roman"/>
                <w:b/>
                <w:bCs/>
                <w:snapToGrid/>
                <w:color w:val="0000FF"/>
                <w:sz w:val="24"/>
                <w:szCs w:val="24"/>
                <w:highlight w:val="none"/>
                <w:lang w:val="en-US" w:eastAsia="zh-CN"/>
              </w:rPr>
              <w:t>与《江西省大气污染防治条例》（20</w:t>
            </w:r>
            <w:r>
              <w:rPr>
                <w:rFonts w:hint="eastAsia"/>
                <w:b/>
                <w:bCs/>
                <w:color w:val="0000FF"/>
                <w:lang w:val="en-US" w:eastAsia="zh-CN"/>
              </w:rPr>
              <w:t>24修正</w:t>
            </w:r>
            <w:r>
              <w:rPr>
                <w:rFonts w:hint="default" w:ascii="Times New Roman" w:hAnsi="Times New Roman" w:eastAsia="宋体" w:cs="Times New Roman"/>
                <w:b/>
                <w:bCs/>
                <w:snapToGrid/>
                <w:color w:val="0000FF"/>
                <w:sz w:val="24"/>
                <w:szCs w:val="24"/>
                <w:highlight w:val="none"/>
                <w:lang w:val="en-US" w:eastAsia="zh-CN"/>
              </w:rPr>
              <w:t>）相符性分析</w:t>
            </w:r>
          </w:p>
          <w:p w14:paraId="41794A21">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与《江西省大气污染防治条例》相符性分析</w:t>
            </w:r>
          </w:p>
          <w:tbl>
            <w:tblPr>
              <w:tblStyle w:val="33"/>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4321"/>
              <w:gridCol w:w="1892"/>
            </w:tblGrid>
            <w:tr w14:paraId="354BF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noWrap w:val="0"/>
                  <w:vAlign w:val="center"/>
                </w:tcPr>
                <w:p w14:paraId="092E312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130" w:type="pct"/>
                  <w:noWrap w:val="0"/>
                  <w:vAlign w:val="center"/>
                </w:tcPr>
                <w:p w14:paraId="4DC9D7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370" w:type="pct"/>
                  <w:noWrap w:val="0"/>
                  <w:vAlign w:val="center"/>
                </w:tcPr>
                <w:p w14:paraId="4DAC3AE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70783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restart"/>
                  <w:noWrap w:val="0"/>
                  <w:vAlign w:val="center"/>
                </w:tcPr>
                <w:p w14:paraId="3040AFA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工业、燃煤和其他高污染燃料污染防治</w:t>
                  </w:r>
                </w:p>
              </w:tc>
              <w:tc>
                <w:tcPr>
                  <w:tcW w:w="3130" w:type="pct"/>
                  <w:noWrap w:val="0"/>
                  <w:vAlign w:val="center"/>
                </w:tcPr>
                <w:p w14:paraId="2B870A6B">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本省控制新建、扩建钢铁、石油、化工、有色金属、水泥、平板玻璃、建筑陶瓷等行业的高排放、高污染项目。</w:t>
                  </w:r>
                </w:p>
              </w:tc>
              <w:tc>
                <w:tcPr>
                  <w:tcW w:w="1370" w:type="pct"/>
                  <w:noWrap w:val="0"/>
                  <w:vAlign w:val="center"/>
                </w:tcPr>
                <w:p w14:paraId="01C4F542">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不属于钢铁、石油、化工、有色金属、水泥、平板玻璃、建筑陶瓷等行业的高排放、高污染项目</w:t>
                  </w:r>
                  <w:r>
                    <w:rPr>
                      <w:rFonts w:hint="default" w:ascii="Times New Roman" w:hAnsi="Times New Roman" w:eastAsia="宋体" w:cs="Times New Roman"/>
                      <w:snapToGrid w:val="0"/>
                      <w:color w:val="auto"/>
                      <w:szCs w:val="21"/>
                      <w:highlight w:val="none"/>
                    </w:rPr>
                    <w:t>。</w:t>
                  </w:r>
                </w:p>
              </w:tc>
            </w:tr>
            <w:tr w14:paraId="51B107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073979F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4279FE2A">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对钢铁、石油、化工、煤炭、电力、有色金属、水泥、平板玻璃、建筑陶瓷等重点行业依法实施清洁生产审核，采用先进清洁生产技术、工艺和装备。</w:t>
                  </w:r>
                </w:p>
              </w:tc>
              <w:tc>
                <w:tcPr>
                  <w:tcW w:w="1370" w:type="pct"/>
                  <w:noWrap w:val="0"/>
                  <w:vAlign w:val="center"/>
                </w:tcPr>
                <w:p w14:paraId="098D8D5F">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r>
                    <w:rPr>
                      <w:rFonts w:hint="default" w:ascii="Times New Roman" w:hAnsi="Times New Roman" w:eastAsia="宋体" w:cs="Times New Roman"/>
                      <w:snapToGrid w:val="0"/>
                      <w:color w:val="auto"/>
                      <w:szCs w:val="21"/>
                      <w:highlight w:val="none"/>
                    </w:rPr>
                    <w:t>钢铁、石油、化工、煤炭、电力、有色金属、水泥、平板玻璃、建筑陶瓷等重点行业</w:t>
                  </w:r>
                  <w:r>
                    <w:rPr>
                      <w:rFonts w:hint="default" w:ascii="Times New Roman" w:hAnsi="Times New Roman" w:eastAsia="宋体" w:cs="Times New Roman"/>
                      <w:snapToGrid w:val="0"/>
                      <w:color w:val="auto"/>
                      <w:szCs w:val="21"/>
                      <w:highlight w:val="none"/>
                      <w:lang w:eastAsia="zh-CN"/>
                    </w:rPr>
                    <w:t>。</w:t>
                  </w:r>
                </w:p>
              </w:tc>
            </w:tr>
            <w:tr w14:paraId="156F4A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8" w:type="pct"/>
                  <w:vMerge w:val="continue"/>
                  <w:noWrap w:val="0"/>
                  <w:vAlign w:val="center"/>
                </w:tcPr>
                <w:p w14:paraId="0A77768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0DCC89F6">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370" w:type="pct"/>
                  <w:noWrap w:val="0"/>
                  <w:vAlign w:val="center"/>
                </w:tcPr>
                <w:p w14:paraId="0A2CC9A0">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w:t>
                  </w:r>
                  <w:r>
                    <w:rPr>
                      <w:rFonts w:hint="default" w:ascii="Times New Roman" w:hAnsi="Times New Roman" w:eastAsia="宋体" w:cs="Times New Roman"/>
                      <w:snapToGrid w:val="0"/>
                      <w:color w:val="auto"/>
                      <w:szCs w:val="21"/>
                      <w:highlight w:val="none"/>
                    </w:rPr>
                    <w:t>钢铁、石油、化工、有色金属、水泥、平板玻璃、建筑陶瓷等行业中的高排放、高污染项目</w:t>
                  </w:r>
                  <w:r>
                    <w:rPr>
                      <w:rFonts w:hint="default" w:ascii="Times New Roman" w:hAnsi="Times New Roman" w:eastAsia="宋体" w:cs="Times New Roman"/>
                      <w:snapToGrid w:val="0"/>
                      <w:color w:val="auto"/>
                      <w:szCs w:val="21"/>
                      <w:highlight w:val="none"/>
                      <w:lang w:eastAsia="zh-CN"/>
                    </w:rPr>
                    <w:t>。</w:t>
                  </w:r>
                </w:p>
              </w:tc>
            </w:tr>
            <w:tr w14:paraId="450E1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5D24F78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0F4B04E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鼓励大气重污染企业投保环境污染责任保险。</w:t>
                  </w:r>
                </w:p>
              </w:tc>
              <w:tc>
                <w:tcPr>
                  <w:tcW w:w="1370" w:type="pct"/>
                  <w:noWrap w:val="0"/>
                  <w:vAlign w:val="center"/>
                </w:tcPr>
                <w:p w14:paraId="13121D2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w:t>
                  </w:r>
                </w:p>
              </w:tc>
            </w:tr>
            <w:tr w14:paraId="2D7F6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0D38B07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462DDD33">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排污单位应当加强大气污染物排放精细化管理，对不经过排气筒集中排放的大气污染物，采取必要的密闭、集中收集、覆盖、吸附、清扫、洒水等处理措施，控制生产环节以及内部物料的堆存、传输、装卸等环节产生的粉尘和气态污染物的排放。</w:t>
                  </w:r>
                </w:p>
              </w:tc>
              <w:tc>
                <w:tcPr>
                  <w:tcW w:w="1370" w:type="pct"/>
                  <w:noWrap w:val="0"/>
                  <w:vAlign w:val="center"/>
                </w:tcPr>
                <w:p w14:paraId="5A7DA1C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本项目符合</w:t>
                  </w:r>
                </w:p>
              </w:tc>
            </w:tr>
            <w:tr w14:paraId="6FA83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236A9E5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637A9BFC">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生产、进口、销售、使用含挥发性有机物的原材料和产品的，其挥发性有机物含量应当符合质量标准或者要求。</w:t>
                  </w:r>
                </w:p>
              </w:tc>
              <w:tc>
                <w:tcPr>
                  <w:tcW w:w="1370" w:type="pct"/>
                  <w:noWrap w:val="0"/>
                  <w:vAlign w:val="center"/>
                </w:tcPr>
                <w:p w14:paraId="1FB477B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3E9DA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8" w:type="pct"/>
                  <w:vMerge w:val="continue"/>
                  <w:noWrap w:val="0"/>
                  <w:vAlign w:val="center"/>
                </w:tcPr>
                <w:p w14:paraId="3DCBB4F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43FB47B1">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列入高挥发性有机物含量产品目录的产品，应当在其包装或者说明中予以标注。</w:t>
                  </w:r>
                </w:p>
              </w:tc>
              <w:tc>
                <w:tcPr>
                  <w:tcW w:w="1370" w:type="pct"/>
                  <w:noWrap w:val="0"/>
                  <w:vAlign w:val="center"/>
                </w:tcPr>
                <w:p w14:paraId="6041834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4CDF77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761406E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4E204A03">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医院、学校、幼儿园、宾馆、酒店等人群密集场所禁止使用列入高挥发性有机物含量产品目录的产品。</w:t>
                  </w:r>
                </w:p>
              </w:tc>
              <w:tc>
                <w:tcPr>
                  <w:tcW w:w="1370" w:type="pct"/>
                  <w:noWrap w:val="0"/>
                  <w:vAlign w:val="center"/>
                </w:tcPr>
                <w:p w14:paraId="66416C4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7DAD7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0CB1ADE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0319C5AB">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下列产生挥发性有机物废气的活动，应当使用低挥发性有机物含量的原料和工艺，按照规定在密闭空间或者设备中进行，并安装、使用污染防治设施；无法密闭的，应当采取措施减少废气排放：（一）石油炼制与石油化工、煤炭化工等含挥发性有机物原料的生产；（二）燃油、溶剂的储存、运输和销售；（三）涂料、油墨、胶粘剂、农药等以挥发性有机物为原料的生产；（四）涂装、印刷、粘合、工业清洗等含挥发性有机物的产品使用；（五）其他产生挥发性有机物的生产和服务活动。</w:t>
                  </w:r>
                </w:p>
              </w:tc>
              <w:tc>
                <w:tcPr>
                  <w:tcW w:w="1370" w:type="pct"/>
                  <w:noWrap w:val="0"/>
                  <w:vAlign w:val="center"/>
                </w:tcPr>
                <w:p w14:paraId="09445BF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7D2E5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8" w:type="pct"/>
                  <w:vMerge w:val="continue"/>
                  <w:noWrap w:val="0"/>
                  <w:vAlign w:val="center"/>
                </w:tcPr>
                <w:p w14:paraId="34655C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260D4516">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禁止在人口集中地区和其他依法需要特殊保护的区域内从事露天喷漆、喷涂、喷砂、制作玻璃钢以及其他散发有毒有害气体的作业。</w:t>
                  </w:r>
                </w:p>
              </w:tc>
              <w:tc>
                <w:tcPr>
                  <w:tcW w:w="1370" w:type="pct"/>
                  <w:noWrap w:val="0"/>
                  <w:vAlign w:val="center"/>
                </w:tcPr>
                <w:p w14:paraId="7537D9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2D4F2C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8" w:type="pct"/>
                  <w:vMerge w:val="continue"/>
                  <w:noWrap w:val="0"/>
                  <w:vAlign w:val="center"/>
                </w:tcPr>
                <w:p w14:paraId="361AA78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30" w:type="pct"/>
                  <w:noWrap w:val="0"/>
                  <w:vAlign w:val="center"/>
                </w:tcPr>
                <w:p w14:paraId="5356A649">
                  <w:pPr>
                    <w:widowControl/>
                    <w:tabs>
                      <w:tab w:val="left" w:pos="0"/>
                    </w:tabs>
                    <w:overflowPunct w:val="0"/>
                    <w:topLinePunct/>
                    <w:autoSpaceDE w:val="0"/>
                    <w:adjustRightInd w:val="0"/>
                    <w:snapToGrid w:val="0"/>
                    <w:jc w:val="left"/>
                    <w:textAlignment w:val="baseline"/>
                    <w:rPr>
                      <w:rFonts w:hint="default" w:ascii="Times New Roman" w:hAnsi="Times New Roman" w:eastAsia="宋体" w:cs="Times New Roman"/>
                      <w:snapToGrid w:val="0"/>
                      <w:color w:val="auto"/>
                      <w:szCs w:val="21"/>
                      <w:highlight w:val="none"/>
                    </w:rPr>
                  </w:pPr>
                  <w:r>
                    <w:rPr>
                      <w:rFonts w:ascii="Times New Roman" w:hAnsi="Times New Roman" w:eastAsia="宋体" w:cs="Times New Roman"/>
                      <w:i w:val="0"/>
                      <w:iCs w:val="0"/>
                      <w:caps w:val="0"/>
                      <w:snapToGrid w:val="0"/>
                      <w:color w:val="auto"/>
                      <w:spacing w:val="0"/>
                      <w:sz w:val="21"/>
                      <w:szCs w:val="21"/>
                      <w:highlight w:val="none"/>
                      <w:shd w:val="clear"/>
                    </w:rPr>
                    <w:t>向大气排放恶臭污染物的石油、化工、制药、制革、生物发酵、饲料加工等企业以及垃圾处理厂、城区垃圾中转站、污水处理厂，应当按照相关规定，设置合理的防护距离，安装净化装置或者采取其他措施，减少恶臭污染物排放，防止恶臭对周边环境产生不良影响。</w:t>
                  </w:r>
                </w:p>
              </w:tc>
              <w:tc>
                <w:tcPr>
                  <w:tcW w:w="1370" w:type="pct"/>
                  <w:noWrap w:val="0"/>
                  <w:vAlign w:val="center"/>
                </w:tcPr>
                <w:p w14:paraId="4EC84C3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eastAsia" w:cs="Times New Roman"/>
                      <w:snapToGrid w:val="0"/>
                      <w:color w:val="auto"/>
                      <w:szCs w:val="21"/>
                      <w:highlight w:val="none"/>
                      <w:lang w:val="en-US" w:eastAsia="zh-CN"/>
                    </w:rPr>
                    <w:t>本项目不属于</w:t>
                  </w:r>
                </w:p>
              </w:tc>
            </w:tr>
          </w:tbl>
          <w:p w14:paraId="2B3290EA">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综上，项目生产可满足《江西省大气污染防治条例》中的相关要求。</w:t>
            </w:r>
          </w:p>
          <w:p w14:paraId="3142F95A">
            <w:pPr>
              <w:pStyle w:val="152"/>
              <w:ind w:firstLine="482"/>
              <w:rPr>
                <w:rFonts w:hint="default" w:ascii="Times New Roman" w:hAnsi="Times New Roman" w:eastAsia="宋体" w:cs="Times New Roman"/>
                <w:b/>
                <w:color w:val="auto"/>
              </w:rPr>
            </w:pPr>
            <w:r>
              <w:rPr>
                <w:rFonts w:hint="default" w:ascii="Times New Roman" w:hAnsi="Times New Roman" w:eastAsia="宋体" w:cs="Times New Roman"/>
                <w:b/>
                <w:color w:val="auto"/>
                <w:lang w:val="en-US" w:eastAsia="zh-CN"/>
              </w:rPr>
              <w:t>11、</w:t>
            </w:r>
            <w:r>
              <w:rPr>
                <w:rFonts w:hint="default" w:ascii="Times New Roman" w:hAnsi="Times New Roman" w:eastAsia="宋体" w:cs="Times New Roman"/>
                <w:b/>
                <w:color w:val="auto"/>
              </w:rPr>
              <w:t>与《江西省深入打好污染防治攻坚战挥发性有机物治理专项行动实施方案》（赣环委字〔2022〕22 号）文件相符性分析</w:t>
            </w:r>
          </w:p>
          <w:p w14:paraId="7570B64E">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与“江西省深入打好污染防治攻坚战挥发性有机物治理专项行动</w:t>
            </w:r>
          </w:p>
          <w:p w14:paraId="5B731D89">
            <w:pPr>
              <w:keepNext w:val="0"/>
              <w:keepLines w:val="0"/>
              <w:pageBreakBefore w:val="0"/>
              <w:widowControl w:val="0"/>
              <w:numPr>
                <w:ilvl w:val="0"/>
                <w:numId w:val="0"/>
              </w:numPr>
              <w:tabs>
                <w:tab w:val="left" w:pos="0"/>
                <w:tab w:val="left" w:pos="7140"/>
              </w:tabs>
              <w:kinsoku/>
              <w:wordWrap/>
              <w:overflowPunct/>
              <w:topLinePunct w:val="0"/>
              <w:autoSpaceDE/>
              <w:autoSpaceDN/>
              <w:bidi w:val="0"/>
              <w:adjustRightInd w:val="0"/>
              <w:snapToGrid w:val="0"/>
              <w:ind w:leftChars="0" w:right="-233" w:rightChars="-111"/>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实施方案”文件相符性分析</w:t>
            </w:r>
          </w:p>
          <w:tbl>
            <w:tblPr>
              <w:tblStyle w:val="14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528"/>
              <w:gridCol w:w="1499"/>
              <w:gridCol w:w="452"/>
            </w:tblGrid>
            <w:tr w14:paraId="4BCFB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18376233">
                  <w:pPr>
                    <w:pStyle w:val="152"/>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279" w:type="pct"/>
                  <w:vAlign w:val="center"/>
                </w:tcPr>
                <w:p w14:paraId="6B14869F">
                  <w:pPr>
                    <w:pStyle w:val="152"/>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治理要求</w:t>
                  </w:r>
                </w:p>
              </w:tc>
              <w:tc>
                <w:tcPr>
                  <w:tcW w:w="1085" w:type="pct"/>
                  <w:vAlign w:val="center"/>
                </w:tcPr>
                <w:p w14:paraId="0C3F2CC8">
                  <w:pPr>
                    <w:pStyle w:val="152"/>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项目情况</w:t>
                  </w:r>
                </w:p>
              </w:tc>
              <w:tc>
                <w:tcPr>
                  <w:tcW w:w="327" w:type="pct"/>
                  <w:vAlign w:val="center"/>
                </w:tcPr>
                <w:p w14:paraId="3919E4F7">
                  <w:pPr>
                    <w:pStyle w:val="152"/>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符合性</w:t>
                  </w:r>
                </w:p>
              </w:tc>
            </w:tr>
            <w:tr w14:paraId="3E7AC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3615F8CF">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279" w:type="pct"/>
                  <w:vAlign w:val="center"/>
                </w:tcPr>
                <w:p w14:paraId="254B6015">
                  <w:pPr>
                    <w:pStyle w:val="152"/>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大力推进 VOCs 原辅材料源头替代。严格落实国家和地方产品 VOCs 含量限制标准，对溶剂型涂料、油墨、胶粘剂、清洗 剂使用企业制定低 VOCs 含量原辅材料替代计划。到 2025 年，溶剂型工业涂料、油 墨、胶粘剂等使用量下降比例达到国家要求。推动建立多部门联合执法机制，组织开展含 VOCs 原辅材料达标情况联合检查，定期对生产企业、销售场所进行检查 抽查，曝光不合格产品并追溯其生产、销售、进口、使用企业，依法追究责任。</w:t>
                  </w:r>
                </w:p>
              </w:tc>
              <w:tc>
                <w:tcPr>
                  <w:tcW w:w="1085" w:type="pct"/>
                  <w:vAlign w:val="center"/>
                </w:tcPr>
                <w:p w14:paraId="0D151B6A">
                  <w:pPr>
                    <w:pStyle w:val="152"/>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本项目采用符合国家和地方标准的产品</w:t>
                  </w:r>
                  <w:r>
                    <w:rPr>
                      <w:rFonts w:hint="default" w:ascii="Times New Roman" w:hAnsi="Times New Roman" w:eastAsia="宋体" w:cs="Times New Roman"/>
                      <w:color w:val="auto"/>
                      <w:sz w:val="21"/>
                      <w:szCs w:val="21"/>
                      <w:lang w:eastAsia="zh-CN"/>
                    </w:rPr>
                    <w:t>，</w:t>
                  </w:r>
                  <w:r>
                    <w:rPr>
                      <w:rFonts w:hint="eastAsia" w:cs="Times New Roman"/>
                      <w:color w:val="auto"/>
                      <w:sz w:val="21"/>
                      <w:szCs w:val="21"/>
                      <w:lang w:eastAsia="zh-CN"/>
                    </w:rPr>
                    <w:t>项目产生的喷漆废气通过集气罩收集+多级过滤+两级活性炭吸附装置</w:t>
                  </w:r>
                  <w:r>
                    <w:rPr>
                      <w:rFonts w:hint="default" w:ascii="Times New Roman" w:hAnsi="Times New Roman" w:eastAsia="宋体" w:cs="Times New Roman"/>
                      <w:color w:val="auto"/>
                      <w:sz w:val="21"/>
                      <w:szCs w:val="21"/>
                      <w:lang w:eastAsia="zh-CN"/>
                    </w:rPr>
                    <w:t>+车间一根15m高排气筒（DA002）排放</w:t>
                  </w:r>
                  <w:r>
                    <w:rPr>
                      <w:rFonts w:hint="default" w:ascii="Times New Roman" w:hAnsi="Times New Roman" w:eastAsia="宋体" w:cs="Times New Roman"/>
                      <w:color w:val="auto"/>
                      <w:sz w:val="21"/>
                      <w:szCs w:val="21"/>
                    </w:rPr>
                    <w:t>。</w:t>
                  </w:r>
                </w:p>
              </w:tc>
              <w:tc>
                <w:tcPr>
                  <w:tcW w:w="327" w:type="pct"/>
                  <w:vAlign w:val="center"/>
                </w:tcPr>
                <w:p w14:paraId="035F91F5">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4CB6F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080C2377">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279" w:type="pct"/>
                  <w:vAlign w:val="center"/>
                </w:tcPr>
                <w:p w14:paraId="51B2D830">
                  <w:pPr>
                    <w:pStyle w:val="152"/>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全面加强 VOCs 无组织排放控制。加强含 VOCs 物料全方位、全链条、全环节密闭管理，做好 VOCs 物料储存、转移和输送、设备与管线组件泄漏、敞开液面逸散以及工艺过程等无组织排放环节的管理。生产 应优先采用密闭设备、在密闭空间中操作或采用全密闭集气罩收集方式，原则上应保持微负压状态，并根据相关规范合理设置通风量；采用局部集气罩的，距集气罩开口面最远处的VOCs 无组织排放位置控 制风速应不低于 0.3 米/秒。对 VOCs 物料储罐和污水集输、储存、处理设施开展排查，督促企业按要求开展专项治理。</w:t>
                  </w:r>
                </w:p>
              </w:tc>
              <w:tc>
                <w:tcPr>
                  <w:tcW w:w="1085" w:type="pct"/>
                  <w:vAlign w:val="center"/>
                </w:tcPr>
                <w:p w14:paraId="7C2544AB">
                  <w:pPr>
                    <w:pStyle w:val="152"/>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color w:val="auto"/>
                      <w:sz w:val="21"/>
                      <w:szCs w:val="21"/>
                      <w:lang w:val="en-US" w:eastAsia="zh-CN"/>
                    </w:rPr>
                    <w:t>设置集气罩</w:t>
                  </w:r>
                </w:p>
              </w:tc>
              <w:tc>
                <w:tcPr>
                  <w:tcW w:w="327" w:type="pct"/>
                  <w:vAlign w:val="center"/>
                </w:tcPr>
                <w:p w14:paraId="3CD6E33F">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1E0F21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8" w:type="pct"/>
                  <w:vAlign w:val="center"/>
                </w:tcPr>
                <w:p w14:paraId="6283F1B8">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279" w:type="pct"/>
                  <w:vAlign w:val="center"/>
                </w:tcPr>
                <w:p w14:paraId="2CB271F9">
                  <w:pPr>
                    <w:pStyle w:val="152"/>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持续提升治污设施“三率”。组织开展现有 VOCs 废气收集率、治理设施同步运行率 和去除率自查，对达不到要求的 VOCs 收集、治理设施进行更换或升级改造，实现达标排放。对单一采用光氧化、光催化、 低温等离子、一次活性炭吸附、喷淋吸收、 生物法等工艺设施的，要重点加强效果评估。行业排放标准中规定特别排放限值和控制要求的，应按相关规定执行；未制定行业标准的应执行《大气污染物综合排放 标准》和《挥发性有机物无组织排放控制标准》。</w:t>
                  </w:r>
                </w:p>
              </w:tc>
              <w:tc>
                <w:tcPr>
                  <w:tcW w:w="1085" w:type="pct"/>
                  <w:vAlign w:val="center"/>
                </w:tcPr>
                <w:p w14:paraId="122BA628">
                  <w:pPr>
                    <w:pStyle w:val="152"/>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项目产生的喷漆废气通过集气罩收集+多级过滤+两级活性炭吸附装置</w:t>
                  </w:r>
                  <w:r>
                    <w:rPr>
                      <w:rFonts w:hint="default" w:ascii="Times New Roman" w:hAnsi="Times New Roman" w:eastAsia="宋体" w:cs="Times New Roman"/>
                      <w:color w:val="auto"/>
                      <w:sz w:val="21"/>
                      <w:szCs w:val="21"/>
                      <w:lang w:eastAsia="zh-CN"/>
                    </w:rPr>
                    <w:t>+车间一根15m高排气筒（DA002）排放，</w:t>
                  </w:r>
                  <w:r>
                    <w:rPr>
                      <w:rFonts w:hint="default" w:ascii="Times New Roman" w:hAnsi="Times New Roman" w:eastAsia="宋体" w:cs="Times New Roman"/>
                      <w:color w:val="auto"/>
                      <w:sz w:val="21"/>
                      <w:szCs w:val="21"/>
                      <w:lang w:val="en-US" w:eastAsia="zh-CN"/>
                    </w:rPr>
                    <w:t>符合要求。</w:t>
                  </w:r>
                </w:p>
              </w:tc>
              <w:tc>
                <w:tcPr>
                  <w:tcW w:w="327" w:type="pct"/>
                  <w:vAlign w:val="center"/>
                </w:tcPr>
                <w:p w14:paraId="7FD5A91C">
                  <w:pPr>
                    <w:pStyle w:val="152"/>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bl>
          <w:p w14:paraId="04916C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color w:val="auto"/>
                <w:sz w:val="24"/>
                <w:szCs w:val="24"/>
              </w:rPr>
              <w:t>综上，本项目建设符合《江西省深入打好污染防治攻坚战挥发性有机 物治理专项行动实施方案》中VOCs排放控制及相关治污设施要求。</w:t>
            </w:r>
          </w:p>
          <w:p w14:paraId="3FF0C2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2" w:firstLineChars="200"/>
              <w:jc w:val="left"/>
              <w:textAlignment w:val="auto"/>
              <w:outlineLvl w:val="9"/>
              <w:rPr>
                <w:rFonts w:hint="default" w:ascii="Times New Roman" w:hAnsi="Times New Roman" w:eastAsia="宋体" w:cs="Times New Roman"/>
                <w:color w:val="auto"/>
                <w:szCs w:val="24"/>
              </w:rPr>
            </w:pPr>
            <w:r>
              <w:rPr>
                <w:rFonts w:hint="default" w:ascii="Times New Roman" w:hAnsi="Times New Roman" w:eastAsia="宋体" w:cs="Times New Roman"/>
                <w:b/>
                <w:bCs w:val="0"/>
                <w:caps w:val="0"/>
                <w:color w:val="auto"/>
                <w:spacing w:val="0"/>
                <w:w w:val="100"/>
                <w:position w:val="0"/>
                <w:sz w:val="24"/>
                <w:szCs w:val="24"/>
                <w:lang w:val="en-US" w:eastAsia="zh-CN"/>
              </w:rPr>
              <w:t>1</w:t>
            </w:r>
            <w:r>
              <w:rPr>
                <w:rFonts w:hint="default" w:ascii="Times New Roman" w:hAnsi="Times New Roman" w:cs="Times New Roman"/>
                <w:b/>
                <w:bCs w:val="0"/>
                <w:caps w:val="0"/>
                <w:color w:val="auto"/>
                <w:spacing w:val="0"/>
                <w:w w:val="100"/>
                <w:position w:val="0"/>
                <w:sz w:val="24"/>
                <w:szCs w:val="24"/>
                <w:lang w:val="en-US" w:eastAsia="zh-CN"/>
              </w:rPr>
              <w:t>3</w:t>
            </w:r>
            <w:r>
              <w:rPr>
                <w:rFonts w:hint="default" w:ascii="Times New Roman" w:hAnsi="Times New Roman" w:eastAsia="宋体" w:cs="Times New Roman"/>
                <w:b/>
                <w:bCs w:val="0"/>
                <w:caps w:val="0"/>
                <w:color w:val="auto"/>
                <w:spacing w:val="0"/>
                <w:w w:val="100"/>
                <w:position w:val="0"/>
                <w:sz w:val="24"/>
                <w:szCs w:val="24"/>
                <w:lang w:val="en-US" w:eastAsia="zh-CN"/>
              </w:rPr>
              <w:t>、项目与</w:t>
            </w:r>
            <w:r>
              <w:rPr>
                <w:rFonts w:hint="default" w:ascii="Times New Roman" w:hAnsi="Times New Roman" w:eastAsia="宋体" w:cs="Times New Roman"/>
                <w:b/>
                <w:bCs/>
                <w:color w:val="auto"/>
                <w:sz w:val="24"/>
                <w:szCs w:val="24"/>
              </w:rPr>
              <w:t>《长江经济带发展负面清单指南（试行）》（长江办〔2022〕7号）相符性分析</w:t>
            </w:r>
          </w:p>
          <w:p w14:paraId="6D4D6600">
            <w:pPr>
              <w:keepNext w:val="0"/>
              <w:keepLines w:val="0"/>
              <w:pageBreakBefore w:val="0"/>
              <w:widowControl w:val="0"/>
              <w:numPr>
                <w:ilvl w:val="0"/>
                <w:numId w:val="5"/>
              </w:numPr>
              <w:tabs>
                <w:tab w:val="left" w:pos="7140"/>
              </w:tabs>
              <w:kinsoku/>
              <w:wordWrap/>
              <w:overflowPunct/>
              <w:topLinePunct w:val="0"/>
              <w:autoSpaceDE/>
              <w:autoSpaceDN/>
              <w:bidi w:val="0"/>
              <w:adjustRightInd w:val="0"/>
              <w:snapToGrid w:val="0"/>
              <w:ind w:left="0" w:leftChars="0" w:right="-233" w:rightChars="-111" w:firstLine="0" w:firstLineChars="0"/>
              <w:jc w:val="center"/>
              <w:textAlignment w:val="auto"/>
              <w:rPr>
                <w:rFonts w:hint="default" w:ascii="宋体" w:hAnsi="宋体" w:eastAsia="宋体" w:cs="宋体"/>
                <w:b/>
                <w:bCs/>
                <w:color w:val="auto"/>
                <w:highlight w:val="none"/>
                <w:lang w:val="en-US" w:eastAsia="zh-CN"/>
              </w:rPr>
            </w:pPr>
            <w:r>
              <w:rPr>
                <w:rFonts w:hint="default" w:ascii="宋体" w:hAnsi="宋体" w:eastAsia="宋体" w:cs="宋体"/>
                <w:b/>
                <w:bCs/>
                <w:color w:val="auto"/>
                <w:highlight w:val="none"/>
                <w:lang w:val="en-US" w:eastAsia="zh-CN"/>
              </w:rPr>
              <w:t>与《长江经济带发展负面清单指南（试行）》相符性分析</w:t>
            </w:r>
          </w:p>
          <w:tbl>
            <w:tblPr>
              <w:tblStyle w:val="33"/>
              <w:tblW w:w="4992" w:type="pct"/>
              <w:tblInd w:w="0" w:type="dxa"/>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3"/>
              <w:gridCol w:w="4052"/>
              <w:gridCol w:w="1754"/>
              <w:gridCol w:w="655"/>
            </w:tblGrid>
            <w:tr w14:paraId="538FBDD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3" w:hRule="atLeast"/>
              </w:trPr>
              <w:tc>
                <w:tcPr>
                  <w:tcW w:w="314" w:type="pct"/>
                  <w:noWrap w:val="0"/>
                  <w:vAlign w:val="center"/>
                </w:tcPr>
                <w:p w14:paraId="2A36BAFB">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938" w:type="pct"/>
                  <w:noWrap w:val="0"/>
                  <w:vAlign w:val="center"/>
                </w:tcPr>
                <w:p w14:paraId="2EB5C772">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具体要求</w:t>
                  </w:r>
                </w:p>
              </w:tc>
              <w:tc>
                <w:tcPr>
                  <w:tcW w:w="1272" w:type="pct"/>
                  <w:noWrap w:val="0"/>
                  <w:vAlign w:val="center"/>
                </w:tcPr>
                <w:p w14:paraId="2EC3257A">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本项目情况</w:t>
                  </w:r>
                </w:p>
              </w:tc>
              <w:tc>
                <w:tcPr>
                  <w:tcW w:w="475" w:type="pct"/>
                  <w:noWrap w:val="0"/>
                  <w:vAlign w:val="center"/>
                </w:tcPr>
                <w:p w14:paraId="3496CDCD">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w:t>
                  </w:r>
                </w:p>
              </w:tc>
            </w:tr>
            <w:tr w14:paraId="39FC08C9">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54231D2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938" w:type="pct"/>
                  <w:noWrap w:val="0"/>
                  <w:vAlign w:val="center"/>
                </w:tcPr>
                <w:p w14:paraId="0FAF6265">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禁止建设不符合全国和省级港口布局规划以及港口总体规划的码头项目，禁止建设不符合《长江干线过江通道布局规划》的过长江通道项目。</w:t>
                  </w:r>
                </w:p>
              </w:tc>
              <w:tc>
                <w:tcPr>
                  <w:tcW w:w="1272" w:type="pct"/>
                  <w:noWrap w:val="0"/>
                  <w:vAlign w:val="center"/>
                </w:tcPr>
                <w:p w14:paraId="418B0D37">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本项目不属于码头、过长江通道项目。</w:t>
                  </w:r>
                </w:p>
              </w:tc>
              <w:tc>
                <w:tcPr>
                  <w:tcW w:w="475" w:type="pct"/>
                  <w:noWrap w:val="0"/>
                  <w:vAlign w:val="center"/>
                </w:tcPr>
                <w:p w14:paraId="5F643F1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2A77F86A">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0F288AB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938" w:type="pct"/>
                  <w:noWrap w:val="0"/>
                  <w:vAlign w:val="center"/>
                </w:tcPr>
                <w:p w14:paraId="774F89A9">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禁止在自然保护区核心区、缓冲区的岸线和河段范围内投资建设旅游和生产经营项目。禁止在风景名胜区核心景区的岸线和河段范围内投资建设与风景名胜资源保护无关的项目。</w:t>
                  </w:r>
                </w:p>
              </w:tc>
              <w:tc>
                <w:tcPr>
                  <w:tcW w:w="1272" w:type="pct"/>
                  <w:noWrap w:val="0"/>
                  <w:vAlign w:val="center"/>
                </w:tcPr>
                <w:p w14:paraId="4DE5A6F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bCs/>
                      <w:color w:val="auto"/>
                      <w:szCs w:val="21"/>
                    </w:rPr>
                    <w:t>不属于</w:t>
                  </w:r>
                </w:p>
              </w:tc>
              <w:tc>
                <w:tcPr>
                  <w:tcW w:w="475" w:type="pct"/>
                  <w:noWrap w:val="0"/>
                  <w:vAlign w:val="center"/>
                </w:tcPr>
                <w:p w14:paraId="554AE15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4E9192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67" w:hRule="atLeast"/>
              </w:trPr>
              <w:tc>
                <w:tcPr>
                  <w:tcW w:w="314" w:type="pct"/>
                  <w:noWrap w:val="0"/>
                  <w:vAlign w:val="center"/>
                </w:tcPr>
                <w:p w14:paraId="5D49DF8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938" w:type="pct"/>
                  <w:noWrap w:val="0"/>
                  <w:vAlign w:val="center"/>
                </w:tcPr>
                <w:p w14:paraId="13B2240E">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272" w:type="pct"/>
                  <w:noWrap w:val="0"/>
                  <w:vAlign w:val="center"/>
                </w:tcPr>
                <w:p w14:paraId="5227ED34">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本项目选址不在饮用水水源保护区的岸线和河段范围内</w:t>
                  </w:r>
                </w:p>
              </w:tc>
              <w:tc>
                <w:tcPr>
                  <w:tcW w:w="475" w:type="pct"/>
                  <w:noWrap w:val="0"/>
                  <w:vAlign w:val="center"/>
                </w:tcPr>
                <w:p w14:paraId="574C93E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01EA79F5">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4B053C0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938" w:type="pct"/>
                  <w:noWrap w:val="0"/>
                  <w:vAlign w:val="center"/>
                </w:tcPr>
                <w:p w14:paraId="1EE9A52D">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272" w:type="pct"/>
                  <w:noWrap w:val="0"/>
                  <w:vAlign w:val="center"/>
                </w:tcPr>
                <w:p w14:paraId="1CD8782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本项目</w:t>
                  </w:r>
                  <w:r>
                    <w:rPr>
                      <w:rFonts w:hint="default" w:ascii="Times New Roman" w:hAnsi="Times New Roman" w:eastAsia="宋体" w:cs="Times New Roman"/>
                      <w:color w:val="auto"/>
                      <w:szCs w:val="21"/>
                    </w:rPr>
                    <w:t>不涉及</w:t>
                  </w:r>
                </w:p>
              </w:tc>
              <w:tc>
                <w:tcPr>
                  <w:tcW w:w="475" w:type="pct"/>
                  <w:noWrap w:val="0"/>
                  <w:vAlign w:val="center"/>
                </w:tcPr>
                <w:p w14:paraId="716CDB1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B7B93A7">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72659F6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938" w:type="pct"/>
                  <w:noWrap w:val="0"/>
                  <w:vAlign w:val="center"/>
                </w:tcPr>
                <w:p w14:paraId="7C6F1676">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272" w:type="pct"/>
                  <w:noWrap w:val="0"/>
                  <w:vAlign w:val="center"/>
                </w:tcPr>
                <w:p w14:paraId="320BA89D">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本项目选址不在划定的岸线保护区和保留区内</w:t>
                  </w:r>
                </w:p>
              </w:tc>
              <w:tc>
                <w:tcPr>
                  <w:tcW w:w="475" w:type="pct"/>
                  <w:noWrap w:val="0"/>
                  <w:vAlign w:val="center"/>
                </w:tcPr>
                <w:p w14:paraId="59BA987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06E683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60" w:hRule="atLeast"/>
              </w:trPr>
              <w:tc>
                <w:tcPr>
                  <w:tcW w:w="314" w:type="pct"/>
                  <w:noWrap w:val="0"/>
                  <w:vAlign w:val="center"/>
                </w:tcPr>
                <w:p w14:paraId="706FEF6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938" w:type="pct"/>
                  <w:noWrap w:val="0"/>
                  <w:vAlign w:val="center"/>
                </w:tcPr>
                <w:p w14:paraId="27ED6FD0">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禁止未经许可在长江干支流及湖泊新设、改设或扩大排污口。</w:t>
                  </w:r>
                </w:p>
              </w:tc>
              <w:tc>
                <w:tcPr>
                  <w:tcW w:w="1272" w:type="pct"/>
                  <w:noWrap w:val="0"/>
                  <w:vAlign w:val="center"/>
                </w:tcPr>
                <w:p w14:paraId="0105005A">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w:t>
                  </w:r>
                  <w:r>
                    <w:rPr>
                      <w:rFonts w:hint="eastAsia" w:cs="Times New Roman"/>
                      <w:color w:val="auto"/>
                      <w:highlight w:val="none"/>
                      <w:lang w:val="en-US" w:eastAsia="zh-CN"/>
                    </w:rPr>
                    <w:t>项目新增食堂</w:t>
                  </w:r>
                  <w:r>
                    <w:rPr>
                      <w:rFonts w:hint="default" w:ascii="Times New Roman" w:hAnsi="Times New Roman" w:eastAsia="宋体" w:cs="Times New Roman"/>
                      <w:color w:val="auto"/>
                      <w:kern w:val="2"/>
                      <w:sz w:val="21"/>
                      <w:szCs w:val="24"/>
                      <w:highlight w:val="none"/>
                      <w:lang w:val="en-US" w:eastAsia="zh-CN" w:bidi="zh-CN"/>
                    </w:rPr>
                    <w:t>废水经隔油池预处理后与现有项目生产废水一起进入厂区污水处理站（500t/d）处理，然后通过园区污水管网排入高安市工业园污水处理厂处理；新增生活污水经</w:t>
                  </w:r>
                  <w:r>
                    <w:rPr>
                      <w:rFonts w:hint="eastAsia" w:cs="Times New Roman"/>
                      <w:color w:val="auto"/>
                      <w:kern w:val="2"/>
                      <w:sz w:val="21"/>
                      <w:szCs w:val="24"/>
                      <w:highlight w:val="none"/>
                      <w:lang w:val="en-US" w:eastAsia="zh-CN" w:bidi="zh-CN"/>
                    </w:rPr>
                    <w:t>隔油池+化粪池预处理</w:t>
                  </w:r>
                  <w:r>
                    <w:rPr>
                      <w:rFonts w:hint="default" w:ascii="Times New Roman" w:hAnsi="Times New Roman" w:eastAsia="宋体" w:cs="Times New Roman"/>
                      <w:color w:val="auto"/>
                      <w:kern w:val="2"/>
                      <w:sz w:val="21"/>
                      <w:szCs w:val="24"/>
                      <w:highlight w:val="none"/>
                      <w:lang w:val="en-US" w:eastAsia="zh-CN" w:bidi="zh-CN"/>
                    </w:rPr>
                    <w:t>后，通过市政管网排入高安市城市污水处理厂处理</w:t>
                  </w:r>
                  <w:r>
                    <w:rPr>
                      <w:rFonts w:hint="default" w:ascii="Times New Roman" w:hAnsi="Times New Roman" w:eastAsia="宋体" w:cs="Times New Roman"/>
                      <w:color w:val="auto"/>
                      <w:szCs w:val="21"/>
                    </w:rPr>
                    <w:t>，不涉及在长江干支流及湖泊新设、改设或扩大排污口。</w:t>
                  </w:r>
                </w:p>
              </w:tc>
              <w:tc>
                <w:tcPr>
                  <w:tcW w:w="475" w:type="pct"/>
                  <w:noWrap w:val="0"/>
                  <w:vAlign w:val="center"/>
                </w:tcPr>
                <w:p w14:paraId="743360C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3DA2A22C">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96" w:hRule="atLeast"/>
              </w:trPr>
              <w:tc>
                <w:tcPr>
                  <w:tcW w:w="314" w:type="pct"/>
                  <w:noWrap w:val="0"/>
                  <w:vAlign w:val="center"/>
                </w:tcPr>
                <w:p w14:paraId="09E9099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2938" w:type="pct"/>
                  <w:noWrap w:val="0"/>
                  <w:vAlign w:val="center"/>
                </w:tcPr>
                <w:p w14:paraId="36278E5D">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禁止在长江干支流、重要湖泊岸线 1 公里范围内新建、扩建化工园区和化工项目。禁止在长江干线三公里范围内和重要支流岸线一公里范围内新建、改建、扩建尾矿库、冶炼渣库和磷石膏库，以提升安全、生态环境保护水平为目的的改建除外。禁止在合规园区外新建、扩建钢铁、石化、化工、焦化、建材、有色、制浆造纸等高污染项目。</w:t>
                  </w:r>
                </w:p>
              </w:tc>
              <w:tc>
                <w:tcPr>
                  <w:tcW w:w="1272" w:type="pct"/>
                  <w:noWrap w:val="0"/>
                  <w:vAlign w:val="center"/>
                </w:tcPr>
                <w:p w14:paraId="2E527E1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本项目不属于钢铁、石化、化工、焦化、建材、有色、制浆造纸。</w:t>
                  </w:r>
                </w:p>
              </w:tc>
              <w:tc>
                <w:tcPr>
                  <w:tcW w:w="475" w:type="pct"/>
                  <w:noWrap w:val="0"/>
                  <w:vAlign w:val="center"/>
                </w:tcPr>
                <w:p w14:paraId="498E220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4795031A">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4187A89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938" w:type="pct"/>
                  <w:noWrap w:val="0"/>
                  <w:vAlign w:val="center"/>
                </w:tcPr>
                <w:p w14:paraId="04C22506">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禁止新建、扩建不符合国家石化、现代煤化工等产业布局规划的项目。</w:t>
                  </w:r>
                </w:p>
              </w:tc>
              <w:tc>
                <w:tcPr>
                  <w:tcW w:w="1272" w:type="pct"/>
                  <w:noWrap w:val="0"/>
                  <w:vAlign w:val="center"/>
                </w:tcPr>
                <w:p w14:paraId="11811678">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本项目不属于石化、现代煤化工等产业。</w:t>
                  </w:r>
                </w:p>
              </w:tc>
              <w:tc>
                <w:tcPr>
                  <w:tcW w:w="475" w:type="pct"/>
                  <w:noWrap w:val="0"/>
                  <w:vAlign w:val="center"/>
                </w:tcPr>
                <w:p w14:paraId="2A308E15">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C3AC376">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02" w:hRule="atLeast"/>
              </w:trPr>
              <w:tc>
                <w:tcPr>
                  <w:tcW w:w="314" w:type="pct"/>
                  <w:noWrap w:val="0"/>
                  <w:vAlign w:val="center"/>
                </w:tcPr>
                <w:p w14:paraId="16CC2DD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938" w:type="pct"/>
                  <w:noWrap w:val="0"/>
                  <w:vAlign w:val="center"/>
                </w:tcPr>
                <w:p w14:paraId="1CA51A6A">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禁止新建、扩建法律法规和相关政策明令禁止的落后产能项目。</w:t>
                  </w:r>
                </w:p>
              </w:tc>
              <w:tc>
                <w:tcPr>
                  <w:tcW w:w="1272" w:type="pct"/>
                  <w:noWrap w:val="0"/>
                  <w:vAlign w:val="center"/>
                </w:tcPr>
                <w:p w14:paraId="54C3B6CB">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本项目不属于法律法规和相关政策明令禁止的落后产能项目</w:t>
                  </w:r>
                </w:p>
              </w:tc>
              <w:tc>
                <w:tcPr>
                  <w:tcW w:w="475" w:type="pct"/>
                  <w:noWrap w:val="0"/>
                  <w:vAlign w:val="center"/>
                </w:tcPr>
                <w:p w14:paraId="5B5A31D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2825AFE1">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9" w:hRule="atLeast"/>
              </w:trPr>
              <w:tc>
                <w:tcPr>
                  <w:tcW w:w="314" w:type="pct"/>
                  <w:noWrap w:val="0"/>
                  <w:vAlign w:val="center"/>
                </w:tcPr>
                <w:p w14:paraId="2A0D7A7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2938" w:type="pct"/>
                  <w:noWrap w:val="0"/>
                  <w:vAlign w:val="center"/>
                </w:tcPr>
                <w:p w14:paraId="758E31F2">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禁止新建、扩建不符合国家产能置换要求的严重过剩产能行业的项目。</w:t>
                  </w:r>
                </w:p>
              </w:tc>
              <w:tc>
                <w:tcPr>
                  <w:tcW w:w="1272" w:type="pct"/>
                  <w:noWrap w:val="0"/>
                  <w:vAlign w:val="center"/>
                </w:tcPr>
                <w:p w14:paraId="4F4C4809">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本项目不属于过剩产能行业</w:t>
                  </w:r>
                </w:p>
              </w:tc>
              <w:tc>
                <w:tcPr>
                  <w:tcW w:w="475" w:type="pct"/>
                  <w:noWrap w:val="0"/>
                  <w:vAlign w:val="center"/>
                </w:tcPr>
                <w:p w14:paraId="020B020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56C7441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2" w:hRule="atLeast"/>
              </w:trPr>
              <w:tc>
                <w:tcPr>
                  <w:tcW w:w="314" w:type="pct"/>
                  <w:noWrap w:val="0"/>
                  <w:vAlign w:val="center"/>
                </w:tcPr>
                <w:p w14:paraId="58F8C57C">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2938" w:type="pct"/>
                  <w:noWrap w:val="0"/>
                  <w:vAlign w:val="center"/>
                </w:tcPr>
                <w:p w14:paraId="6CC640B4">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禁止新建、扩建不符合要求的高耗能高排放项目。</w:t>
                  </w:r>
                </w:p>
              </w:tc>
              <w:tc>
                <w:tcPr>
                  <w:tcW w:w="1272" w:type="pct"/>
                  <w:noWrap w:val="0"/>
                  <w:vAlign w:val="center"/>
                </w:tcPr>
                <w:p w14:paraId="6A54495F">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color w:val="auto"/>
                      <w:szCs w:val="21"/>
                      <w:lang w:eastAsia="zh-CN"/>
                    </w:rPr>
                    <w:t>不属于高耗能高排放项目</w:t>
                  </w:r>
                </w:p>
              </w:tc>
              <w:tc>
                <w:tcPr>
                  <w:tcW w:w="475" w:type="pct"/>
                  <w:noWrap w:val="0"/>
                  <w:vAlign w:val="center"/>
                </w:tcPr>
                <w:p w14:paraId="1C5D231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bl>
          <w:p w14:paraId="03732015">
            <w:pPr>
              <w:pStyle w:val="7"/>
              <w:spacing w:line="360" w:lineRule="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rPr>
              <w:t>综上所述，项目不属于《长江经济带发展负面清单指南（试行）》（长江办〔2022〕7号）禁止建设的内容。</w:t>
            </w:r>
          </w:p>
        </w:tc>
      </w:tr>
    </w:tbl>
    <w:p w14:paraId="2F953A45">
      <w:pPr>
        <w:spacing w:line="360" w:lineRule="auto"/>
        <w:outlineLvl w:val="0"/>
        <w:rPr>
          <w:rFonts w:hint="default" w:ascii="Times New Roman" w:hAnsi="Times New Roman" w:eastAsia="宋体" w:cs="Times New Roman"/>
          <w:color w:val="auto"/>
          <w:sz w:val="30"/>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6D205F32">
      <w:pPr>
        <w:pStyle w:val="29"/>
        <w:jc w:val="center"/>
        <w:outlineLvl w:val="0"/>
        <w:rPr>
          <w:rFonts w:hint="default" w:ascii="Times New Roman" w:hAnsi="Times New Roman" w:eastAsia="宋体" w:cs="Times New Roman"/>
          <w:b/>
          <w:bCs/>
          <w:snapToGrid w:val="0"/>
          <w:color w:val="auto"/>
          <w:sz w:val="30"/>
          <w:szCs w:val="30"/>
        </w:rPr>
      </w:pPr>
      <w:bookmarkStart w:id="5" w:name="_Toc23782"/>
      <w:bookmarkStart w:id="6" w:name="_Toc20348"/>
      <w:r>
        <w:rPr>
          <w:rFonts w:hint="default" w:ascii="Times New Roman" w:hAnsi="Times New Roman" w:eastAsia="宋体" w:cs="Times New Roman"/>
          <w:b/>
          <w:bCs/>
          <w:snapToGrid w:val="0"/>
          <w:color w:val="auto"/>
          <w:sz w:val="30"/>
          <w:szCs w:val="30"/>
        </w:rPr>
        <w:t>二、建设项目工程分析</w:t>
      </w:r>
      <w:bookmarkEnd w:id="5"/>
      <w:bookmarkEnd w:id="6"/>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161"/>
        <w:gridCol w:w="15"/>
      </w:tblGrid>
      <w:tr w14:paraId="22242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305" w:hRule="atLeast"/>
          <w:jc w:val="center"/>
        </w:trPr>
        <w:tc>
          <w:tcPr>
            <w:tcW w:w="823" w:type="dxa"/>
            <w:noWrap w:val="0"/>
            <w:vAlign w:val="center"/>
          </w:tcPr>
          <w:p w14:paraId="7EC2F44C">
            <w:pPr>
              <w:pStyle w:val="29"/>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建设内容</w:t>
            </w:r>
          </w:p>
        </w:tc>
        <w:tc>
          <w:tcPr>
            <w:tcW w:w="8161" w:type="dxa"/>
            <w:noWrap w:val="0"/>
            <w:vAlign w:val="top"/>
          </w:tcPr>
          <w:p w14:paraId="47F44F9A">
            <w:pPr>
              <w:widowControl w:val="0"/>
              <w:numPr>
                <w:ilvl w:val="0"/>
                <w:numId w:val="0"/>
              </w:numPr>
              <w:tabs>
                <w:tab w:val="left" w:pos="1235"/>
              </w:tabs>
              <w:autoSpaceDE w:val="0"/>
              <w:autoSpaceDN w:val="0"/>
              <w:spacing w:before="78" w:after="0" w:line="360" w:lineRule="auto"/>
              <w:ind w:right="0" w:rightChars="0" w:firstLine="482" w:firstLineChars="200"/>
              <w:jc w:val="both"/>
              <w:outlineLvl w:val="3"/>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1、项目由来</w:t>
            </w:r>
          </w:p>
          <w:p w14:paraId="319ED201">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eastAsia="zh-CN"/>
              </w:rPr>
              <w:t>江西瑞鼎精密传动有限公司成立于2012年，公司前身为香港三瑞（国际）精密有限公司，公司在中国大陆研发马达，生产制造精密齿轮、组装减速机有近十年的经验。因业务增长，2012年公司在江西购置</w:t>
            </w:r>
            <w:r>
              <w:rPr>
                <w:rFonts w:hint="eastAsia" w:ascii="Times New Roman" w:hAnsi="Times New Roman" w:eastAsia="宋体" w:cs="Times New Roman"/>
                <w:color w:val="auto"/>
                <w:sz w:val="24"/>
                <w:highlight w:val="none"/>
                <w:lang w:val="en-US" w:eastAsia="zh-CN"/>
              </w:rPr>
              <w:t>近</w:t>
            </w:r>
            <w:r>
              <w:rPr>
                <w:rFonts w:hint="eastAsia" w:ascii="Times New Roman" w:hAnsi="Times New Roman" w:eastAsia="宋体" w:cs="Times New Roman"/>
                <w:color w:val="auto"/>
                <w:sz w:val="24"/>
                <w:highlight w:val="none"/>
                <w:lang w:eastAsia="zh-CN"/>
              </w:rPr>
              <w:t>42000m</w:t>
            </w:r>
            <w:r>
              <w:rPr>
                <w:rFonts w:hint="eastAsia" w:ascii="Times New Roman" w:hAnsi="Times New Roman" w:eastAsia="宋体" w:cs="Times New Roman"/>
                <w:color w:val="auto"/>
                <w:sz w:val="24"/>
                <w:highlight w:val="none"/>
                <w:vertAlign w:val="superscript"/>
                <w:lang w:eastAsia="zh-CN"/>
              </w:rPr>
              <w:t>2</w:t>
            </w:r>
            <w:r>
              <w:rPr>
                <w:rFonts w:hint="eastAsia" w:ascii="Times New Roman" w:hAnsi="Times New Roman" w:eastAsia="宋体" w:cs="Times New Roman"/>
                <w:color w:val="auto"/>
                <w:sz w:val="24"/>
                <w:highlight w:val="none"/>
                <w:lang w:eastAsia="zh-CN"/>
              </w:rPr>
              <w:t>土地，建设现代化厂房，</w:t>
            </w:r>
            <w:r>
              <w:rPr>
                <w:rFonts w:hint="eastAsia" w:ascii="Times New Roman" w:hAnsi="Times New Roman" w:eastAsia="宋体" w:cs="Times New Roman"/>
                <w:color w:val="auto"/>
                <w:sz w:val="24"/>
                <w:highlight w:val="none"/>
                <w:lang w:val="en-US" w:eastAsia="zh-CN"/>
              </w:rPr>
              <w:t>投资5000万元，</w:t>
            </w:r>
            <w:r>
              <w:rPr>
                <w:rFonts w:hint="eastAsia" w:ascii="Times New Roman" w:hAnsi="Times New Roman" w:eastAsia="宋体" w:cs="Times New Roman"/>
                <w:color w:val="auto"/>
                <w:sz w:val="24"/>
                <w:highlight w:val="none"/>
                <w:lang w:eastAsia="zh-CN"/>
              </w:rPr>
              <w:t>购置全新德国和日本制造设备和检测设备，提高齿轮精度</w:t>
            </w:r>
            <w:r>
              <w:rPr>
                <w:rFonts w:hint="eastAsia"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特别是硬齿面精密齿轮和减速机核心精密部件的加工能力、检测能力</w:t>
            </w:r>
            <w:r>
              <w:rPr>
                <w:rFonts w:hint="eastAsia" w:ascii="Times New Roman" w:hAnsi="Times New Roman" w:eastAsia="宋体" w:cs="Times New Roman"/>
                <w:color w:val="auto"/>
                <w:sz w:val="24"/>
                <w:highlight w:val="none"/>
                <w:lang w:val="en-US" w:eastAsia="zh-CN"/>
              </w:rPr>
              <w:t>。</w:t>
            </w:r>
          </w:p>
          <w:p w14:paraId="36E259FA">
            <w:pPr>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江西瑞鼎精密传动有限公司</w:t>
            </w:r>
            <w:r>
              <w:rPr>
                <w:rFonts w:hint="eastAsia" w:ascii="Times New Roman" w:hAnsi="Times New Roman" w:eastAsia="宋体" w:cs="Times New Roman"/>
                <w:color w:val="auto"/>
                <w:sz w:val="24"/>
                <w:highlight w:val="none"/>
                <w:lang w:val="en-US" w:eastAsia="zh-CN"/>
              </w:rPr>
              <w:t>于2012年委托广州市环境保护工程设计院有限公司</w:t>
            </w:r>
            <w:r>
              <w:rPr>
                <w:rFonts w:hint="eastAsia" w:ascii="Times New Roman" w:hAnsi="Times New Roman" w:eastAsia="宋体" w:cs="Times New Roman"/>
                <w:color w:val="auto"/>
                <w:sz w:val="24"/>
                <w:highlight w:val="none"/>
                <w:lang w:eastAsia="zh-CN"/>
              </w:rPr>
              <w:t>编制</w:t>
            </w:r>
            <w:r>
              <w:rPr>
                <w:rFonts w:hint="eastAsia" w:cs="Times New Roman"/>
                <w:color w:val="auto"/>
                <w:sz w:val="24"/>
                <w:highlight w:val="none"/>
                <w:lang w:val="en-US" w:eastAsia="zh-CN"/>
              </w:rPr>
              <w:t>了</w:t>
            </w:r>
            <w:r>
              <w:rPr>
                <w:rFonts w:hint="eastAsia" w:ascii="Times New Roman" w:hAnsi="Times New Roman" w:eastAsia="宋体" w:cs="Times New Roman"/>
                <w:color w:val="auto"/>
                <w:sz w:val="24"/>
                <w:highlight w:val="none"/>
                <w:lang w:eastAsia="zh-CN"/>
              </w:rPr>
              <w:t>《江西瑞鼎精密传动有限公司</w:t>
            </w:r>
            <w:r>
              <w:rPr>
                <w:rFonts w:hint="eastAsia" w:ascii="Times New Roman" w:hAnsi="Times New Roman" w:eastAsia="宋体" w:cs="Times New Roman"/>
                <w:color w:val="auto"/>
                <w:sz w:val="24"/>
                <w:highlight w:val="none"/>
                <w:lang w:val="en-US" w:eastAsia="zh-CN"/>
              </w:rPr>
              <w:t>年产3000万个精密齿轮、50万套减速机</w:t>
            </w:r>
            <w:r>
              <w:rPr>
                <w:rFonts w:hint="eastAsia" w:ascii="Times New Roman" w:hAnsi="Times New Roman" w:eastAsia="宋体" w:cs="Times New Roman"/>
                <w:color w:val="auto"/>
                <w:sz w:val="24"/>
                <w:highlight w:val="none"/>
                <w:lang w:eastAsia="zh-CN"/>
              </w:rPr>
              <w:t>建设项目环境影响报告表》，于201</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年</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lang w:eastAsia="zh-CN"/>
              </w:rPr>
              <w:t>月</w:t>
            </w:r>
            <w:r>
              <w:rPr>
                <w:rFonts w:hint="eastAsia" w:ascii="Times New Roman" w:hAnsi="Times New Roman" w:eastAsia="宋体" w:cs="Times New Roman"/>
                <w:color w:val="auto"/>
                <w:sz w:val="24"/>
                <w:highlight w:val="none"/>
                <w:lang w:val="en-US" w:eastAsia="zh-CN"/>
              </w:rPr>
              <w:t>17日</w:t>
            </w:r>
            <w:r>
              <w:rPr>
                <w:rFonts w:hint="eastAsia" w:ascii="Times New Roman" w:hAnsi="Times New Roman" w:eastAsia="宋体" w:cs="Times New Roman"/>
                <w:color w:val="auto"/>
                <w:sz w:val="24"/>
                <w:highlight w:val="none"/>
                <w:lang w:eastAsia="zh-CN"/>
              </w:rPr>
              <w:t>获得</w:t>
            </w:r>
            <w:r>
              <w:rPr>
                <w:rFonts w:hint="eastAsia" w:ascii="Times New Roman" w:hAnsi="Times New Roman" w:eastAsia="宋体" w:cs="Times New Roman"/>
                <w:color w:val="auto"/>
                <w:sz w:val="24"/>
                <w:highlight w:val="none"/>
                <w:lang w:val="en-US" w:eastAsia="zh-CN"/>
              </w:rPr>
              <w:t>宜春市环境保护局</w:t>
            </w:r>
            <w:r>
              <w:rPr>
                <w:rFonts w:hint="eastAsia" w:ascii="Times New Roman" w:hAnsi="Times New Roman" w:eastAsia="宋体" w:cs="Times New Roman"/>
                <w:color w:val="auto"/>
                <w:sz w:val="24"/>
                <w:highlight w:val="none"/>
                <w:lang w:eastAsia="zh-CN"/>
              </w:rPr>
              <w:t>《关于江西瑞鼎精密传动有限公司</w:t>
            </w:r>
            <w:r>
              <w:rPr>
                <w:rFonts w:hint="eastAsia" w:ascii="Times New Roman" w:hAnsi="Times New Roman" w:eastAsia="宋体" w:cs="Times New Roman"/>
                <w:color w:val="auto"/>
                <w:sz w:val="24"/>
                <w:highlight w:val="none"/>
                <w:lang w:val="en-US" w:eastAsia="zh-CN"/>
              </w:rPr>
              <w:t>年产3000万个精密齿轮、50万套减速机</w:t>
            </w:r>
            <w:r>
              <w:rPr>
                <w:rFonts w:hint="eastAsia" w:ascii="Times New Roman" w:hAnsi="Times New Roman" w:eastAsia="宋体" w:cs="Times New Roman"/>
                <w:color w:val="auto"/>
                <w:sz w:val="24"/>
                <w:highlight w:val="none"/>
                <w:lang w:eastAsia="zh-CN"/>
              </w:rPr>
              <w:t>建设项目环境影响报告表的批复》（</w:t>
            </w:r>
            <w:r>
              <w:rPr>
                <w:rFonts w:hint="eastAsia" w:ascii="Times New Roman" w:hAnsi="Times New Roman" w:eastAsia="宋体" w:cs="Times New Roman"/>
                <w:color w:val="auto"/>
                <w:sz w:val="24"/>
                <w:highlight w:val="none"/>
                <w:lang w:val="en-US" w:eastAsia="zh-CN"/>
              </w:rPr>
              <w:t>宜</w:t>
            </w:r>
            <w:r>
              <w:rPr>
                <w:rFonts w:hint="eastAsia" w:ascii="Times New Roman" w:hAnsi="Times New Roman" w:eastAsia="宋体" w:cs="Times New Roman"/>
                <w:color w:val="auto"/>
                <w:sz w:val="24"/>
                <w:highlight w:val="none"/>
                <w:lang w:eastAsia="zh-CN"/>
              </w:rPr>
              <w:t>环字[201</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228</w:t>
            </w:r>
            <w:r>
              <w:rPr>
                <w:rFonts w:hint="eastAsia" w:ascii="Times New Roman" w:hAnsi="Times New Roman" w:eastAsia="宋体" w:cs="Times New Roman"/>
                <w:color w:val="auto"/>
                <w:sz w:val="24"/>
                <w:highlight w:val="none"/>
                <w:lang w:eastAsia="zh-CN"/>
              </w:rPr>
              <w:t>号）</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32"/>
              </w:rPr>
              <w:t>01</w:t>
            </w:r>
            <w:r>
              <w:rPr>
                <w:rFonts w:hint="default"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default" w:ascii="Times New Roman" w:hAnsi="Times New Roman" w:eastAsia="宋体" w:cs="Times New Roman"/>
                <w:color w:val="auto"/>
                <w:sz w:val="24"/>
                <w:szCs w:val="32"/>
                <w:lang w:val="en-US" w:eastAsia="zh-CN"/>
              </w:rPr>
              <w:t>6</w:t>
            </w:r>
            <w:r>
              <w:rPr>
                <w:rFonts w:hint="default" w:ascii="Times New Roman" w:hAnsi="Times New Roman" w:eastAsia="宋体" w:cs="Times New Roman"/>
                <w:color w:val="auto"/>
                <w:sz w:val="24"/>
                <w:szCs w:val="32"/>
              </w:rPr>
              <w:t>月</w:t>
            </w:r>
            <w:r>
              <w:rPr>
                <w:rFonts w:hint="default" w:ascii="Times New Roman" w:hAnsi="Times New Roman" w:eastAsia="宋体" w:cs="Times New Roman"/>
                <w:color w:val="auto"/>
                <w:sz w:val="24"/>
                <w:szCs w:val="32"/>
                <w:lang w:val="en-US" w:eastAsia="zh-CN"/>
              </w:rPr>
              <w:t>委托江西省天成检测技术有限公司</w:t>
            </w:r>
            <w:r>
              <w:rPr>
                <w:rFonts w:hint="default" w:ascii="Times New Roman" w:hAnsi="Times New Roman" w:eastAsia="宋体" w:cs="Times New Roman"/>
                <w:color w:val="auto"/>
                <w:sz w:val="24"/>
                <w:szCs w:val="32"/>
              </w:rPr>
              <w:t>对</w:t>
            </w:r>
            <w:r>
              <w:rPr>
                <w:rFonts w:hint="default" w:ascii="Times New Roman" w:hAnsi="Times New Roman" w:eastAsia="宋体" w:cs="Times New Roman"/>
                <w:color w:val="auto"/>
                <w:sz w:val="24"/>
                <w:highlight w:val="none"/>
                <w:lang w:eastAsia="zh-CN"/>
              </w:rPr>
              <w:t>江西瑞鼎精密传动有限公司</w:t>
            </w:r>
            <w:r>
              <w:rPr>
                <w:rFonts w:hint="default" w:ascii="Times New Roman" w:hAnsi="Times New Roman" w:eastAsia="宋体" w:cs="Times New Roman"/>
                <w:color w:val="auto"/>
                <w:sz w:val="24"/>
                <w:highlight w:val="none"/>
                <w:lang w:val="en-US" w:eastAsia="zh-CN"/>
              </w:rPr>
              <w:t>年产3000万个精密齿轮、50万套减速机</w:t>
            </w:r>
            <w:r>
              <w:rPr>
                <w:rFonts w:hint="default" w:ascii="Times New Roman" w:hAnsi="Times New Roman" w:eastAsia="宋体" w:cs="Times New Roman"/>
                <w:color w:val="auto"/>
                <w:sz w:val="24"/>
                <w:highlight w:val="none"/>
                <w:lang w:eastAsia="zh-CN"/>
              </w:rPr>
              <w:t>建设项目</w:t>
            </w:r>
            <w:r>
              <w:rPr>
                <w:rFonts w:hint="default" w:ascii="Times New Roman" w:hAnsi="Times New Roman" w:eastAsia="宋体" w:cs="Times New Roman"/>
                <w:color w:val="auto"/>
                <w:sz w:val="24"/>
                <w:szCs w:val="32"/>
              </w:rPr>
              <w:t>进行竣工环境保护验收，并于201</w:t>
            </w:r>
            <w:r>
              <w:rPr>
                <w:rFonts w:hint="eastAsia"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eastAsia" w:ascii="Times New Roman" w:hAnsi="Times New Roman" w:eastAsia="宋体" w:cs="Times New Roman"/>
                <w:color w:val="auto"/>
                <w:sz w:val="24"/>
                <w:szCs w:val="32"/>
                <w:lang w:val="en-US" w:eastAsia="zh-CN"/>
              </w:rPr>
              <w:t>9</w:t>
            </w:r>
            <w:r>
              <w:rPr>
                <w:rFonts w:hint="default" w:ascii="Times New Roman" w:hAnsi="Times New Roman" w:eastAsia="宋体" w:cs="Times New Roman"/>
                <w:color w:val="auto"/>
                <w:sz w:val="24"/>
                <w:szCs w:val="32"/>
              </w:rPr>
              <w:t>月获得《关于</w:t>
            </w:r>
            <w:r>
              <w:rPr>
                <w:rFonts w:hint="default" w:ascii="Times New Roman" w:hAnsi="Times New Roman" w:eastAsia="宋体" w:cs="Times New Roman"/>
                <w:color w:val="auto"/>
                <w:sz w:val="24"/>
                <w:highlight w:val="none"/>
                <w:lang w:eastAsia="zh-CN"/>
              </w:rPr>
              <w:t>江西瑞鼎精密传动有限公司</w:t>
            </w:r>
            <w:r>
              <w:rPr>
                <w:rFonts w:hint="default" w:ascii="Times New Roman" w:hAnsi="Times New Roman" w:eastAsia="宋体" w:cs="Times New Roman"/>
                <w:color w:val="auto"/>
                <w:sz w:val="24"/>
                <w:highlight w:val="none"/>
                <w:lang w:val="en-US" w:eastAsia="zh-CN"/>
              </w:rPr>
              <w:t>年产3000万个精密齿轮、50万套减速机</w:t>
            </w:r>
            <w:r>
              <w:rPr>
                <w:rFonts w:hint="default" w:ascii="Times New Roman" w:hAnsi="Times New Roman" w:eastAsia="宋体" w:cs="Times New Roman"/>
                <w:color w:val="auto"/>
                <w:sz w:val="24"/>
                <w:highlight w:val="none"/>
                <w:lang w:eastAsia="zh-CN"/>
              </w:rPr>
              <w:t>建设项目</w:t>
            </w:r>
            <w:r>
              <w:rPr>
                <w:rFonts w:hint="default" w:ascii="Times New Roman" w:hAnsi="Times New Roman" w:eastAsia="宋体" w:cs="Times New Roman"/>
                <w:color w:val="auto"/>
                <w:sz w:val="24"/>
                <w:szCs w:val="32"/>
              </w:rPr>
              <w:t>竣工环境保护验收意见》（高环验字</w:t>
            </w:r>
            <w:r>
              <w:rPr>
                <w:rFonts w:hint="eastAsia" w:ascii="宋体" w:hAnsi="宋体" w:eastAsia="宋体" w:cs="宋体"/>
                <w:color w:val="auto"/>
                <w:sz w:val="24"/>
                <w:szCs w:val="32"/>
              </w:rPr>
              <w:t>〔</w:t>
            </w:r>
            <w:r>
              <w:rPr>
                <w:rFonts w:hint="default" w:ascii="Times New Roman" w:hAnsi="Times New Roman" w:eastAsia="宋体" w:cs="Times New Roman"/>
                <w:color w:val="auto"/>
                <w:sz w:val="24"/>
                <w:szCs w:val="32"/>
              </w:rPr>
              <w:t>201</w:t>
            </w:r>
            <w:r>
              <w:rPr>
                <w:rFonts w:hint="default" w:ascii="Times New Roman" w:hAnsi="Times New Roman" w:eastAsia="宋体" w:cs="Times New Roman"/>
                <w:color w:val="auto"/>
                <w:sz w:val="24"/>
                <w:szCs w:val="32"/>
                <w:lang w:val="en-US" w:eastAsia="zh-CN"/>
              </w:rPr>
              <w:t>7</w:t>
            </w:r>
            <w:r>
              <w:rPr>
                <w:rFonts w:hint="eastAsia" w:ascii="宋体" w:hAnsi="宋体" w:eastAsia="宋体" w:cs="宋体"/>
                <w:color w:val="auto"/>
                <w:sz w:val="24"/>
                <w:szCs w:val="32"/>
                <w:lang w:val="en-US" w:eastAsia="zh-CN"/>
              </w:rPr>
              <w:t>〕</w:t>
            </w:r>
            <w:r>
              <w:rPr>
                <w:rFonts w:hint="default" w:ascii="Times New Roman" w:hAnsi="Times New Roman" w:eastAsia="宋体" w:cs="Times New Roman"/>
                <w:color w:val="auto"/>
                <w:sz w:val="24"/>
                <w:szCs w:val="32"/>
                <w:lang w:val="en-US" w:eastAsia="zh-CN"/>
              </w:rPr>
              <w:t>39</w:t>
            </w:r>
            <w:r>
              <w:rPr>
                <w:rFonts w:hint="default" w:ascii="Times New Roman" w:hAnsi="Times New Roman" w:eastAsia="宋体" w:cs="Times New Roman"/>
                <w:color w:val="auto"/>
                <w:sz w:val="24"/>
                <w:szCs w:val="32"/>
              </w:rPr>
              <w:t>号）</w:t>
            </w:r>
            <w:r>
              <w:rPr>
                <w:rFonts w:hint="default" w:ascii="Times New Roman" w:hAnsi="Times New Roman" w:cs="Times New Roman"/>
                <w:bCs/>
                <w:color w:val="auto"/>
                <w:sz w:val="24"/>
                <w:szCs w:val="32"/>
              </w:rPr>
              <w:t>。</w:t>
            </w:r>
          </w:p>
          <w:p w14:paraId="6415FDF5">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现因市场需求</w:t>
            </w:r>
            <w:r>
              <w:rPr>
                <w:rFonts w:hint="eastAsia" w:cs="Times New Roman"/>
                <w:b/>
                <w:bCs/>
                <w:color w:val="auto"/>
                <w:sz w:val="24"/>
                <w:highlight w:val="none"/>
                <w:lang w:val="en-US" w:eastAsia="zh-CN"/>
              </w:rPr>
              <w:t>，提高齿轮精度等，</w:t>
            </w:r>
            <w:r>
              <w:rPr>
                <w:rFonts w:hint="default" w:ascii="Times New Roman" w:hAnsi="Times New Roman" w:eastAsia="宋体" w:cs="Times New Roman"/>
                <w:b/>
                <w:bCs/>
                <w:color w:val="auto"/>
                <w:sz w:val="24"/>
                <w:highlight w:val="none"/>
                <w:lang w:val="en-US" w:eastAsia="zh-CN"/>
              </w:rPr>
              <w:t>对项目进行</w:t>
            </w:r>
            <w:r>
              <w:rPr>
                <w:rFonts w:hint="eastAsia" w:cs="Times New Roman"/>
                <w:b/>
                <w:bCs/>
                <w:color w:val="auto"/>
                <w:sz w:val="24"/>
                <w:highlight w:val="none"/>
                <w:lang w:val="en-US" w:eastAsia="zh-CN"/>
              </w:rPr>
              <w:t>改扩建</w:t>
            </w:r>
            <w:r>
              <w:rPr>
                <w:rFonts w:hint="default" w:ascii="Times New Roman" w:hAnsi="Times New Roman" w:eastAsia="宋体" w:cs="Times New Roman"/>
                <w:b/>
                <w:bCs/>
                <w:color w:val="auto"/>
                <w:sz w:val="24"/>
                <w:highlight w:val="none"/>
                <w:lang w:val="en-US" w:eastAsia="zh-CN"/>
              </w:rPr>
              <w:t>，主要</w:t>
            </w:r>
            <w:r>
              <w:rPr>
                <w:rFonts w:hint="eastAsia" w:cs="Times New Roman"/>
                <w:b/>
                <w:bCs/>
                <w:color w:val="auto"/>
                <w:sz w:val="24"/>
                <w:highlight w:val="none"/>
                <w:lang w:val="en-US" w:eastAsia="zh-CN"/>
              </w:rPr>
              <w:t>改扩建内容</w:t>
            </w:r>
            <w:r>
              <w:rPr>
                <w:rFonts w:hint="default" w:ascii="Times New Roman" w:hAnsi="Times New Roman" w:eastAsia="宋体" w:cs="Times New Roman"/>
                <w:b/>
                <w:bCs/>
                <w:color w:val="auto"/>
                <w:sz w:val="24"/>
                <w:highlight w:val="none"/>
                <w:lang w:val="en-US" w:eastAsia="zh-CN"/>
              </w:rPr>
              <w:t>：</w:t>
            </w:r>
          </w:p>
          <w:p w14:paraId="170B9E0F">
            <w:pPr>
              <w:spacing w:line="360" w:lineRule="auto"/>
              <w:ind w:firstLine="480" w:firstLineChars="200"/>
              <w:rPr>
                <w:rFonts w:hint="eastAsia"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（1）</w:t>
            </w:r>
            <w:r>
              <w:rPr>
                <w:rFonts w:hint="eastAsia" w:cs="Times New Roman"/>
                <w:b w:val="0"/>
                <w:bCs w:val="0"/>
                <w:color w:val="auto"/>
                <w:sz w:val="24"/>
                <w:highlight w:val="none"/>
                <w:lang w:val="en-US" w:eastAsia="zh-CN"/>
              </w:rPr>
              <w:t>用磨齿及拉齿工艺替换原来插齿工艺。购置CNC自动车、空压机、超声波、平磨机、线切割机、铣床、插齿机、磨床、拉床、火花机、倒角机、抛丸机等。淘汰部分落后设备。</w:t>
            </w:r>
          </w:p>
          <w:p w14:paraId="6CB24BC5">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（2）新增油漆喷枪，对减速机进行喷漆。</w:t>
            </w:r>
          </w:p>
          <w:p w14:paraId="1FA1B3B0">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3</w:t>
            </w:r>
            <w:r>
              <w:rPr>
                <w:rFonts w:hint="default" w:ascii="Times New Roman" w:hAnsi="Times New Roman" w:eastAsia="宋体" w:cs="Times New Roman"/>
                <w:b w:val="0"/>
                <w:bCs w:val="0"/>
                <w:color w:val="auto"/>
                <w:sz w:val="24"/>
                <w:highlight w:val="none"/>
                <w:lang w:val="en-US" w:eastAsia="zh-CN"/>
              </w:rPr>
              <w:t>）产品及生产规模：20</w:t>
            </w:r>
            <w:r>
              <w:rPr>
                <w:rFonts w:hint="eastAsia" w:cs="Times New Roman"/>
                <w:b w:val="0"/>
                <w:bCs w:val="0"/>
                <w:color w:val="auto"/>
                <w:sz w:val="24"/>
                <w:highlight w:val="none"/>
                <w:lang w:val="en-US" w:eastAsia="zh-CN"/>
              </w:rPr>
              <w:t>1</w:t>
            </w:r>
            <w:r>
              <w:rPr>
                <w:rFonts w:hint="default" w:ascii="Times New Roman" w:hAnsi="Times New Roman" w:eastAsia="宋体" w:cs="Times New Roman"/>
                <w:b w:val="0"/>
                <w:bCs w:val="0"/>
                <w:color w:val="auto"/>
                <w:sz w:val="24"/>
                <w:highlight w:val="none"/>
                <w:lang w:val="en-US" w:eastAsia="zh-CN"/>
              </w:rPr>
              <w:t>2年，</w:t>
            </w:r>
            <w:r>
              <w:rPr>
                <w:rFonts w:hint="eastAsia" w:cs="Times New Roman"/>
                <w:b w:val="0"/>
                <w:bCs w:val="0"/>
                <w:color w:val="auto"/>
                <w:sz w:val="24"/>
                <w:highlight w:val="none"/>
                <w:lang w:val="en-US" w:eastAsia="zh-CN"/>
              </w:rPr>
              <w:t>原项目</w:t>
            </w:r>
            <w:r>
              <w:rPr>
                <w:rFonts w:hint="default" w:ascii="Times New Roman" w:hAnsi="Times New Roman" w:eastAsia="宋体" w:cs="Times New Roman"/>
                <w:b w:val="0"/>
                <w:bCs w:val="0"/>
                <w:color w:val="auto"/>
                <w:sz w:val="24"/>
                <w:highlight w:val="none"/>
                <w:lang w:val="en-US" w:eastAsia="zh-CN"/>
              </w:rPr>
              <w:t>产品方案为年产</w:t>
            </w:r>
            <w:r>
              <w:rPr>
                <w:rFonts w:hint="eastAsia" w:ascii="Times New Roman" w:hAnsi="Times New Roman" w:eastAsia="宋体" w:cs="Times New Roman"/>
                <w:color w:val="auto"/>
                <w:sz w:val="24"/>
                <w:highlight w:val="none"/>
                <w:lang w:val="en-US" w:eastAsia="zh-CN"/>
              </w:rPr>
              <w:t>3000万个精密齿轮、50万套减速机</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202</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年，因市场需求，企业对</w:t>
            </w:r>
            <w:r>
              <w:rPr>
                <w:rFonts w:hint="eastAsia" w:cs="Times New Roman"/>
                <w:color w:val="auto"/>
                <w:sz w:val="24"/>
                <w:highlight w:val="none"/>
                <w:lang w:val="en-US" w:eastAsia="zh-CN"/>
              </w:rPr>
              <w:t>工艺进行</w:t>
            </w:r>
            <w:r>
              <w:rPr>
                <w:rFonts w:hint="default" w:ascii="Times New Roman" w:hAnsi="Times New Roman" w:eastAsia="宋体" w:cs="Times New Roman"/>
                <w:color w:val="auto"/>
                <w:sz w:val="24"/>
                <w:highlight w:val="none"/>
                <w:lang w:val="en-US" w:eastAsia="zh-CN"/>
              </w:rPr>
              <w:t>升级改造</w:t>
            </w:r>
            <w:r>
              <w:rPr>
                <w:rFonts w:hint="eastAsia" w:cs="Times New Roman"/>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本次</w:t>
            </w:r>
            <w:r>
              <w:rPr>
                <w:rFonts w:hint="eastAsia" w:ascii="Times New Roman" w:hAnsi="Times New Roman" w:eastAsia="宋体" w:cs="Times New Roman"/>
                <w:b w:val="0"/>
                <w:bCs w:val="0"/>
                <w:color w:val="auto"/>
                <w:sz w:val="24"/>
                <w:highlight w:val="none"/>
                <w:lang w:val="en-US" w:eastAsia="zh-CN"/>
              </w:rPr>
              <w:t>为</w:t>
            </w:r>
            <w:r>
              <w:rPr>
                <w:rFonts w:hint="eastAsia" w:cs="Times New Roman"/>
                <w:color w:val="auto"/>
                <w:sz w:val="24"/>
                <w:highlight w:val="none"/>
                <w:lang w:val="en-US" w:eastAsia="zh-CN"/>
              </w:rPr>
              <w:t>江西瑞鼎精密传动有限公司AB/AF/AD行星减速机技术改造项目，建设完成后</w:t>
            </w:r>
            <w:r>
              <w:rPr>
                <w:rFonts w:hint="default" w:ascii="Times New Roman" w:hAnsi="Times New Roman" w:eastAsia="宋体" w:cs="Times New Roman"/>
                <w:color w:val="auto"/>
                <w:sz w:val="24"/>
                <w:highlight w:val="none"/>
                <w:lang w:val="en-US" w:eastAsia="zh-CN"/>
              </w:rPr>
              <w:t>产品方案为</w:t>
            </w:r>
            <w:r>
              <w:rPr>
                <w:rFonts w:hint="eastAsia" w:cs="Times New Roman"/>
                <w:color w:val="auto"/>
                <w:sz w:val="24"/>
                <w:highlight w:val="none"/>
                <w:lang w:val="en-US" w:eastAsia="zh-CN"/>
              </w:rPr>
              <w:t>年产</w:t>
            </w:r>
            <w:r>
              <w:rPr>
                <w:rFonts w:hint="default" w:ascii="Times New Roman" w:hAnsi="Times New Roman" w:eastAsia="宋体" w:cs="Times New Roman"/>
                <w:color w:val="auto"/>
                <w:sz w:val="24"/>
                <w:highlight w:val="none"/>
                <w:lang w:val="en-US" w:eastAsia="zh-CN"/>
              </w:rPr>
              <w:t>年产</w:t>
            </w:r>
            <w:r>
              <w:rPr>
                <w:rFonts w:hint="eastAsia" w:ascii="Times New Roman" w:hAnsi="Times New Roman" w:eastAsia="宋体" w:cs="Times New Roman"/>
                <w:color w:val="auto"/>
                <w:sz w:val="24"/>
                <w:highlight w:val="none"/>
                <w:lang w:val="en-US" w:eastAsia="zh-CN"/>
              </w:rPr>
              <w:t>3000万个精密齿轮、</w:t>
            </w:r>
            <w:r>
              <w:rPr>
                <w:rFonts w:hint="eastAsia" w:cs="Times New Roman"/>
                <w:b w:val="0"/>
                <w:bCs w:val="0"/>
                <w:color w:val="auto"/>
                <w:sz w:val="24"/>
                <w:highlight w:val="none"/>
                <w:lang w:val="en-US" w:eastAsia="zh-CN"/>
              </w:rPr>
              <w:t>精密行星减速机100万台</w:t>
            </w:r>
            <w:r>
              <w:rPr>
                <w:rFonts w:hint="default" w:ascii="Times New Roman" w:hAnsi="Times New Roman" w:eastAsia="宋体" w:cs="Times New Roman"/>
                <w:b w:val="0"/>
                <w:bCs w:val="0"/>
                <w:color w:val="auto"/>
                <w:sz w:val="24"/>
                <w:highlight w:val="none"/>
                <w:lang w:val="en-US" w:eastAsia="zh-CN"/>
              </w:rPr>
              <w:t>。</w:t>
            </w:r>
          </w:p>
          <w:p w14:paraId="2937DE2C">
            <w:pPr>
              <w:keepNext w:val="0"/>
              <w:keepLines w:val="0"/>
              <w:pageBreakBefore w:val="0"/>
              <w:widowControl w:val="0"/>
              <w:kinsoku/>
              <w:wordWrap/>
              <w:overflowPunct/>
              <w:topLinePunct w:val="0"/>
              <w:autoSpaceDE/>
              <w:autoSpaceDN/>
              <w:bidi w:val="0"/>
              <w:adjustRightInd/>
              <w:snapToGrid/>
              <w:spacing w:before="0" w:beforeLines="0" w:line="360" w:lineRule="auto"/>
              <w:ind w:firstLine="480" w:firstLineChars="200"/>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江西瑞鼎精密传动有限公司</w:t>
            </w:r>
            <w:r>
              <w:rPr>
                <w:rFonts w:hint="default" w:ascii="Times New Roman" w:hAnsi="Times New Roman" w:eastAsia="宋体" w:cs="Times New Roman"/>
                <w:color w:val="auto"/>
                <w:sz w:val="24"/>
                <w:highlight w:val="none"/>
                <w:lang w:val="en-US" w:eastAsia="zh-CN"/>
              </w:rPr>
              <w:t>委托我公司进行环境影响</w:t>
            </w:r>
            <w:r>
              <w:rPr>
                <w:rFonts w:hint="eastAsia" w:cs="Times New Roman"/>
                <w:color w:val="auto"/>
                <w:sz w:val="24"/>
                <w:highlight w:val="none"/>
                <w:lang w:val="en-US" w:eastAsia="zh-CN"/>
              </w:rPr>
              <w:t>评价</w:t>
            </w:r>
            <w:r>
              <w:rPr>
                <w:rFonts w:hint="default" w:ascii="Times New Roman" w:hAnsi="Times New Roman" w:eastAsia="宋体" w:cs="Times New Roman"/>
                <w:color w:val="auto"/>
                <w:sz w:val="24"/>
                <w:highlight w:val="none"/>
                <w:lang w:val="en-US" w:eastAsia="zh-CN"/>
              </w:rPr>
              <w:t>工作。接受委托后，我单位即组织技术人员进行实地踏勘和资料收集，根据收集资料和环境保护相关法律法规和技术规范，编制了本项目环境影响报告表，为建设单位环境保护及管理部门监管提供参考。</w:t>
            </w:r>
          </w:p>
          <w:p w14:paraId="52C4EFF6">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after="0" w:line="360" w:lineRule="auto"/>
              <w:ind w:right="0" w:rightChars="0" w:firstLine="482" w:firstLineChars="200"/>
              <w:jc w:val="both"/>
              <w:textAlignment w:val="auto"/>
              <w:outlineLvl w:val="3"/>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2、</w:t>
            </w:r>
            <w:r>
              <w:rPr>
                <w:rFonts w:hint="default" w:ascii="Times New Roman" w:hAnsi="Times New Roman" w:eastAsia="宋体" w:cs="Times New Roman"/>
                <w:b/>
                <w:bCs/>
                <w:color w:val="auto"/>
                <w:sz w:val="24"/>
                <w:szCs w:val="24"/>
                <w:highlight w:val="none"/>
                <w:lang w:val="zh-CN" w:eastAsia="zh-CN" w:bidi="zh-CN"/>
              </w:rPr>
              <w:t>建设内容</w:t>
            </w:r>
          </w:p>
          <w:p w14:paraId="7AF56C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项目</w:t>
            </w:r>
            <w:r>
              <w:rPr>
                <w:rFonts w:hint="eastAsia" w:cs="Times New Roman"/>
                <w:color w:val="auto"/>
                <w:sz w:val="24"/>
                <w:highlight w:val="none"/>
                <w:lang w:val="en-US" w:eastAsia="zh-CN"/>
              </w:rPr>
              <w:t>改扩建</w:t>
            </w:r>
            <w:r>
              <w:rPr>
                <w:rFonts w:hint="default" w:ascii="Times New Roman" w:hAnsi="Times New Roman" w:eastAsia="宋体" w:cs="Times New Roman"/>
                <w:color w:val="auto"/>
                <w:sz w:val="24"/>
                <w:highlight w:val="none"/>
                <w:lang w:val="en-US" w:eastAsia="zh-CN"/>
              </w:rPr>
              <w:t>前</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后主要建设内容</w:t>
            </w:r>
            <w:r>
              <w:rPr>
                <w:rFonts w:hint="default" w:ascii="Times New Roman" w:hAnsi="Times New Roman" w:eastAsia="宋体" w:cs="Times New Roman"/>
                <w:color w:val="auto"/>
                <w:sz w:val="24"/>
                <w:highlight w:val="none"/>
              </w:rPr>
              <w:t>。</w:t>
            </w:r>
          </w:p>
          <w:p w14:paraId="12EB7D0F">
            <w:pPr>
              <w:numPr>
                <w:ilvl w:val="0"/>
                <w:numId w:val="7"/>
              </w:numPr>
              <w:spacing w:line="240" w:lineRule="auto"/>
              <w:ind w:left="0" w:leftChars="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w:t>
            </w:r>
            <w:r>
              <w:rPr>
                <w:rFonts w:hint="eastAsia" w:cs="Times New Roman"/>
                <w:b/>
                <w:bCs/>
                <w:color w:val="auto"/>
                <w:sz w:val="21"/>
                <w:szCs w:val="21"/>
                <w:highlight w:val="none"/>
                <w:lang w:val="en-US" w:eastAsia="zh-CN"/>
              </w:rPr>
              <w:t>改扩建</w:t>
            </w:r>
            <w:r>
              <w:rPr>
                <w:rFonts w:hint="default" w:ascii="Times New Roman" w:hAnsi="Times New Roman" w:eastAsia="宋体" w:cs="Times New Roman"/>
                <w:b/>
                <w:bCs/>
                <w:color w:val="auto"/>
                <w:sz w:val="21"/>
                <w:szCs w:val="21"/>
                <w:highlight w:val="none"/>
                <w:lang w:val="en-US" w:eastAsia="zh-CN"/>
              </w:rPr>
              <w:t>前</w:t>
            </w:r>
            <w:r>
              <w:rPr>
                <w:rFonts w:hint="eastAsia"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后</w:t>
            </w:r>
            <w:r>
              <w:rPr>
                <w:rFonts w:hint="default" w:ascii="Times New Roman" w:hAnsi="Times New Roman" w:eastAsia="宋体" w:cs="Times New Roman"/>
                <w:b/>
                <w:bCs/>
                <w:color w:val="auto"/>
                <w:sz w:val="21"/>
                <w:szCs w:val="21"/>
                <w:highlight w:val="none"/>
              </w:rPr>
              <w:t>建设内容及规模组成一览表</w:t>
            </w:r>
          </w:p>
          <w:tbl>
            <w:tblPr>
              <w:tblStyle w:val="33"/>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09"/>
              <w:gridCol w:w="1217"/>
              <w:gridCol w:w="2054"/>
              <w:gridCol w:w="2175"/>
              <w:gridCol w:w="934"/>
              <w:gridCol w:w="1053"/>
            </w:tblGrid>
            <w:tr w14:paraId="5C634B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5" w:hRule="atLeast"/>
                <w:jc w:val="center"/>
              </w:trPr>
              <w:tc>
                <w:tcPr>
                  <w:tcW w:w="320" w:type="pct"/>
                  <w:tcBorders>
                    <w:tl2br w:val="nil"/>
                    <w:tr2bl w:val="nil"/>
                  </w:tcBorders>
                  <w:noWrap w:val="0"/>
                  <w:vAlign w:val="center"/>
                </w:tcPr>
                <w:p w14:paraId="3A3A2AAB">
                  <w:pPr>
                    <w:pStyle w:val="60"/>
                    <w:bidi w:val="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工程类别</w:t>
                  </w:r>
                </w:p>
              </w:tc>
              <w:tc>
                <w:tcPr>
                  <w:tcW w:w="766" w:type="pct"/>
                  <w:tcBorders>
                    <w:tl2br w:val="nil"/>
                    <w:tr2bl w:val="nil"/>
                  </w:tcBorders>
                  <w:noWrap w:val="0"/>
                  <w:vAlign w:val="center"/>
                </w:tcPr>
                <w:p w14:paraId="38974C80">
                  <w:pPr>
                    <w:pStyle w:val="60"/>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建设内容</w:t>
                  </w:r>
                </w:p>
              </w:tc>
              <w:tc>
                <w:tcPr>
                  <w:tcW w:w="1293" w:type="pct"/>
                  <w:tcBorders>
                    <w:tl2br w:val="nil"/>
                    <w:tr2bl w:val="nil"/>
                  </w:tcBorders>
                  <w:noWrap w:val="0"/>
                  <w:vAlign w:val="center"/>
                </w:tcPr>
                <w:p w14:paraId="2CC234CE">
                  <w:pPr>
                    <w:pStyle w:val="60"/>
                    <w:bidi w:val="0"/>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
                      <w:bCs/>
                      <w:color w:val="auto"/>
                      <w:highlight w:val="none"/>
                      <w:lang w:val="en-US" w:eastAsia="zh-CN"/>
                    </w:rPr>
                    <w:t>改扩建</w:t>
                  </w:r>
                  <w:r>
                    <w:rPr>
                      <w:rFonts w:hint="default" w:ascii="Times New Roman" w:hAnsi="Times New Roman" w:eastAsia="宋体" w:cs="Times New Roman"/>
                      <w:b/>
                      <w:bCs/>
                      <w:color w:val="auto"/>
                      <w:highlight w:val="none"/>
                      <w:lang w:val="en-US" w:eastAsia="zh-CN"/>
                    </w:rPr>
                    <w:t>前</w:t>
                  </w:r>
                </w:p>
              </w:tc>
              <w:tc>
                <w:tcPr>
                  <w:tcW w:w="1369" w:type="pct"/>
                  <w:tcBorders>
                    <w:tl2br w:val="nil"/>
                    <w:tr2bl w:val="nil"/>
                  </w:tcBorders>
                  <w:noWrap w:val="0"/>
                  <w:vAlign w:val="center"/>
                </w:tcPr>
                <w:p w14:paraId="05FC0753">
                  <w:pPr>
                    <w:pStyle w:val="60"/>
                    <w:bidi w:val="0"/>
                    <w:rPr>
                      <w:rFonts w:hint="default" w:ascii="Times New Roman" w:hAnsi="Times New Roman" w:eastAsia="宋体" w:cs="Times New Roman"/>
                      <w:b/>
                      <w:bCs/>
                      <w:color w:val="auto"/>
                      <w:highlight w:val="none"/>
                      <w:lang w:val="zh-CN" w:eastAsia="zh-CN"/>
                    </w:rPr>
                  </w:pPr>
                  <w:r>
                    <w:rPr>
                      <w:rFonts w:hint="eastAsia" w:ascii="Times New Roman" w:hAnsi="Times New Roman" w:cs="Times New Roman"/>
                      <w:b/>
                      <w:bCs/>
                      <w:color w:val="auto"/>
                      <w:highlight w:val="none"/>
                      <w:lang w:val="en-US" w:eastAsia="zh-CN"/>
                    </w:rPr>
                    <w:t>改扩建</w:t>
                  </w:r>
                  <w:r>
                    <w:rPr>
                      <w:rFonts w:hint="default" w:ascii="Times New Roman" w:hAnsi="Times New Roman" w:eastAsia="宋体" w:cs="Times New Roman"/>
                      <w:b/>
                      <w:bCs/>
                      <w:color w:val="auto"/>
                      <w:highlight w:val="none"/>
                      <w:lang w:val="en-US" w:eastAsia="zh-CN"/>
                    </w:rPr>
                    <w:t>后</w:t>
                  </w:r>
                </w:p>
              </w:tc>
              <w:tc>
                <w:tcPr>
                  <w:tcW w:w="588" w:type="pct"/>
                  <w:tcBorders>
                    <w:tl2br w:val="nil"/>
                    <w:tr2bl w:val="nil"/>
                  </w:tcBorders>
                  <w:noWrap w:val="0"/>
                  <w:vAlign w:val="center"/>
                </w:tcPr>
                <w:p w14:paraId="0D33B68A">
                  <w:pPr>
                    <w:pStyle w:val="60"/>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变化情况</w:t>
                  </w:r>
                </w:p>
              </w:tc>
              <w:tc>
                <w:tcPr>
                  <w:tcW w:w="662" w:type="pct"/>
                  <w:tcBorders>
                    <w:tl2br w:val="nil"/>
                    <w:tr2bl w:val="nil"/>
                  </w:tcBorders>
                  <w:noWrap w:val="0"/>
                  <w:vAlign w:val="center"/>
                </w:tcPr>
                <w:p w14:paraId="6346FD6F">
                  <w:pPr>
                    <w:pStyle w:val="60"/>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备注</w:t>
                  </w:r>
                </w:p>
              </w:tc>
            </w:tr>
            <w:tr w14:paraId="10C861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restart"/>
                  <w:tcBorders>
                    <w:tl2br w:val="nil"/>
                    <w:tr2bl w:val="nil"/>
                  </w:tcBorders>
                  <w:noWrap w:val="0"/>
                  <w:vAlign w:val="center"/>
                </w:tcPr>
                <w:p w14:paraId="319D0C9C">
                  <w:pPr>
                    <w:pStyle w:val="60"/>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主体工程</w:t>
                  </w:r>
                </w:p>
              </w:tc>
              <w:tc>
                <w:tcPr>
                  <w:tcW w:w="766" w:type="pct"/>
                  <w:tcBorders>
                    <w:tl2br w:val="nil"/>
                    <w:tr2bl w:val="nil"/>
                  </w:tcBorders>
                  <w:noWrap w:val="0"/>
                  <w:vAlign w:val="center"/>
                </w:tcPr>
                <w:p w14:paraId="6606C203">
                  <w:pPr>
                    <w:pStyle w:val="60"/>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bidi="ar"/>
                    </w:rPr>
                    <w:t>厂房</w:t>
                  </w:r>
                  <w:r>
                    <w:rPr>
                      <w:rFonts w:hint="eastAsia" w:ascii="Times New Roman" w:hAnsi="Times New Roman" w:cs="Times New Roman"/>
                      <w:b w:val="0"/>
                      <w:bCs w:val="0"/>
                      <w:color w:val="auto"/>
                      <w:kern w:val="0"/>
                      <w:sz w:val="21"/>
                      <w:szCs w:val="21"/>
                      <w:highlight w:val="none"/>
                      <w:lang w:val="en-US" w:eastAsia="zh-CN" w:bidi="ar"/>
                    </w:rPr>
                    <w:t>1#</w:t>
                  </w:r>
                </w:p>
              </w:tc>
              <w:tc>
                <w:tcPr>
                  <w:tcW w:w="1293" w:type="pct"/>
                  <w:tcBorders>
                    <w:tl2br w:val="nil"/>
                    <w:tr2bl w:val="nil"/>
                  </w:tcBorders>
                  <w:noWrap w:val="0"/>
                  <w:vAlign w:val="center"/>
                </w:tcPr>
                <w:p w14:paraId="690C1CA3">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，长75.8m×宽29.6m×高9.0m，钢砼结构，组装/包装。</w:t>
                  </w:r>
                </w:p>
              </w:tc>
              <w:tc>
                <w:tcPr>
                  <w:tcW w:w="1369" w:type="pct"/>
                  <w:tcBorders>
                    <w:tl2br w:val="nil"/>
                    <w:tr2bl w:val="nil"/>
                  </w:tcBorders>
                  <w:noWrap w:val="0"/>
                  <w:vAlign w:val="center"/>
                </w:tcPr>
                <w:p w14:paraId="2802DE00">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，长75.8m×宽29.6m×高9.0m，钢砼结构，组装/包装。</w:t>
                  </w:r>
                </w:p>
              </w:tc>
              <w:tc>
                <w:tcPr>
                  <w:tcW w:w="588" w:type="pct"/>
                  <w:tcBorders>
                    <w:tl2br w:val="nil"/>
                    <w:tr2bl w:val="nil"/>
                  </w:tcBorders>
                  <w:noWrap w:val="0"/>
                  <w:vAlign w:val="center"/>
                </w:tcPr>
                <w:p w14:paraId="270BED3F">
                  <w:pPr>
                    <w:pStyle w:val="60"/>
                    <w:bidi w:val="0"/>
                    <w:rPr>
                      <w:rFonts w:hint="default" w:ascii="Times New Roman" w:hAnsi="Times New Roman" w:eastAsia="宋体" w:cs="Times New Roman"/>
                      <w:b w:val="0"/>
                      <w:bCs w:val="0"/>
                      <w:color w:val="auto"/>
                      <w:highlight w:val="none"/>
                      <w:lang w:val="en-US" w:eastAsia="zh-CN"/>
                    </w:rPr>
                  </w:pPr>
                  <w:r>
                    <w:rPr>
                      <w:rFonts w:hint="eastAsia" w:ascii="Times New Roman" w:hAnsi="Times New Roman" w:cs="Times New Roman"/>
                      <w:color w:val="auto"/>
                      <w:highlight w:val="none"/>
                      <w:lang w:val="en-US" w:eastAsia="zh-CN"/>
                    </w:rPr>
                    <w:t>无</w:t>
                  </w:r>
                  <w:r>
                    <w:rPr>
                      <w:rFonts w:hint="default" w:ascii="Times New Roman" w:hAnsi="Times New Roman" w:eastAsia="宋体" w:cs="Times New Roman"/>
                      <w:color w:val="auto"/>
                      <w:highlight w:val="none"/>
                      <w:lang w:val="en-US" w:eastAsia="zh-CN"/>
                    </w:rPr>
                    <w:t>变化</w:t>
                  </w:r>
                </w:p>
              </w:tc>
              <w:tc>
                <w:tcPr>
                  <w:tcW w:w="662" w:type="pct"/>
                  <w:vMerge w:val="restart"/>
                  <w:tcBorders>
                    <w:tl2br w:val="nil"/>
                    <w:tr2bl w:val="nil"/>
                  </w:tcBorders>
                  <w:noWrap w:val="0"/>
                  <w:vAlign w:val="center"/>
                </w:tcPr>
                <w:p w14:paraId="2F9441E6">
                  <w:pPr>
                    <w:pStyle w:val="60"/>
                    <w:bidi w:val="0"/>
                    <w:jc w:val="left"/>
                    <w:rPr>
                      <w:rFonts w:hint="default" w:ascii="Times New Roman" w:hAnsi="Times New Roman" w:eastAsia="宋体"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依托现有厂房，主要是设备安装和调试，</w:t>
                  </w:r>
                  <w:r>
                    <w:rPr>
                      <w:rFonts w:hint="default" w:ascii="Times New Roman" w:hAnsi="Times New Roman" w:eastAsia="宋体" w:cs="Times New Roman"/>
                      <w:b w:val="0"/>
                      <w:bCs w:val="0"/>
                      <w:color w:val="auto"/>
                      <w:highlight w:val="none"/>
                      <w:lang w:val="en-US" w:eastAsia="zh-CN"/>
                    </w:rPr>
                    <w:t>布局略作调整</w:t>
                  </w:r>
                  <w:r>
                    <w:rPr>
                      <w:rFonts w:hint="eastAsia" w:ascii="Times New Roman" w:hAnsi="Times New Roman" w:cs="Times New Roman"/>
                      <w:b w:val="0"/>
                      <w:bCs w:val="0"/>
                      <w:color w:val="auto"/>
                      <w:highlight w:val="none"/>
                      <w:lang w:val="en-US" w:eastAsia="zh-CN"/>
                    </w:rPr>
                    <w:t>。</w:t>
                  </w:r>
                </w:p>
              </w:tc>
            </w:tr>
            <w:tr w14:paraId="1B9D17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6B4803E8">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2A831C1B">
                  <w:pPr>
                    <w:pStyle w:val="60"/>
                    <w:bidi w:val="0"/>
                    <w:rPr>
                      <w:rFonts w:hint="default" w:ascii="Times New Roman" w:hAnsi="Times New Roman" w:eastAsia="宋体"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厂房2#</w:t>
                  </w:r>
                </w:p>
              </w:tc>
              <w:tc>
                <w:tcPr>
                  <w:tcW w:w="1293" w:type="pct"/>
                  <w:tcBorders>
                    <w:tl2br w:val="nil"/>
                    <w:tr2bl w:val="nil"/>
                  </w:tcBorders>
                  <w:noWrap w:val="0"/>
                  <w:vAlign w:val="center"/>
                </w:tcPr>
                <w:p w14:paraId="671B6B3B">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，长75.8m×宽29.6m×高9.0m，钢砼结构，仓库/办公室。</w:t>
                  </w:r>
                </w:p>
              </w:tc>
              <w:tc>
                <w:tcPr>
                  <w:tcW w:w="1369" w:type="pct"/>
                  <w:tcBorders>
                    <w:tl2br w:val="nil"/>
                    <w:tr2bl w:val="nil"/>
                  </w:tcBorders>
                  <w:noWrap w:val="0"/>
                  <w:vAlign w:val="center"/>
                </w:tcPr>
                <w:p w14:paraId="51B2E821">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，长75.8m×宽29.6m×高9.0m，钢砼结构，仓库/办公室。</w:t>
                  </w:r>
                </w:p>
              </w:tc>
              <w:tc>
                <w:tcPr>
                  <w:tcW w:w="588" w:type="pct"/>
                  <w:tcBorders>
                    <w:tl2br w:val="nil"/>
                    <w:tr2bl w:val="nil"/>
                  </w:tcBorders>
                  <w:noWrap w:val="0"/>
                  <w:vAlign w:val="center"/>
                </w:tcPr>
                <w:p w14:paraId="1395465C">
                  <w:pPr>
                    <w:pStyle w:val="60"/>
                    <w:bidi w:val="0"/>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无变化</w:t>
                  </w:r>
                </w:p>
              </w:tc>
              <w:tc>
                <w:tcPr>
                  <w:tcW w:w="662" w:type="pct"/>
                  <w:vMerge w:val="continue"/>
                  <w:tcBorders>
                    <w:tl2br w:val="nil"/>
                    <w:tr2bl w:val="nil"/>
                  </w:tcBorders>
                  <w:noWrap w:val="0"/>
                  <w:vAlign w:val="center"/>
                </w:tcPr>
                <w:p w14:paraId="70B153D7">
                  <w:pPr>
                    <w:pStyle w:val="60"/>
                    <w:bidi w:val="0"/>
                    <w:rPr>
                      <w:rFonts w:hint="default" w:ascii="Times New Roman" w:hAnsi="Times New Roman" w:eastAsia="宋体" w:cs="Times New Roman"/>
                      <w:b w:val="0"/>
                      <w:bCs w:val="0"/>
                      <w:color w:val="auto"/>
                      <w:highlight w:val="none"/>
                      <w:lang w:val="en-US" w:eastAsia="zh-CN"/>
                    </w:rPr>
                  </w:pPr>
                </w:p>
              </w:tc>
            </w:tr>
            <w:tr w14:paraId="72ABE0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21BA836C">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4BABE3A8">
                  <w:pPr>
                    <w:pStyle w:val="60"/>
                    <w:bidi w:val="0"/>
                    <w:rPr>
                      <w:rFonts w:hint="default" w:ascii="Times New Roman" w:hAnsi="Times New Roman" w:eastAsia="宋体"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厂房3#</w:t>
                  </w:r>
                </w:p>
              </w:tc>
              <w:tc>
                <w:tcPr>
                  <w:tcW w:w="1293" w:type="pct"/>
                  <w:tcBorders>
                    <w:tl2br w:val="nil"/>
                    <w:tr2bl w:val="nil"/>
                  </w:tcBorders>
                  <w:noWrap w:val="0"/>
                  <w:vAlign w:val="center"/>
                </w:tcPr>
                <w:p w14:paraId="5C9506CA">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，长75.8m×宽29.6m×高9.0m，钢砼结构，仓库。</w:t>
                  </w:r>
                </w:p>
              </w:tc>
              <w:tc>
                <w:tcPr>
                  <w:tcW w:w="1369" w:type="pct"/>
                  <w:tcBorders>
                    <w:tl2br w:val="nil"/>
                    <w:tr2bl w:val="nil"/>
                  </w:tcBorders>
                  <w:noWrap w:val="0"/>
                  <w:vAlign w:val="center"/>
                </w:tcPr>
                <w:p w14:paraId="4755A9F4">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，长75.8m×宽29.6m×高9.0m，钢砼结构，仓库/清洗。</w:t>
                  </w:r>
                </w:p>
              </w:tc>
              <w:tc>
                <w:tcPr>
                  <w:tcW w:w="588" w:type="pct"/>
                  <w:tcBorders>
                    <w:tl2br w:val="nil"/>
                    <w:tr2bl w:val="nil"/>
                  </w:tcBorders>
                  <w:noWrap w:val="0"/>
                  <w:vAlign w:val="center"/>
                </w:tcPr>
                <w:p w14:paraId="32C0E498">
                  <w:pPr>
                    <w:pStyle w:val="60"/>
                    <w:bidi w:val="0"/>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0000FF"/>
                      <w:highlight w:val="none"/>
                      <w:lang w:val="en-US" w:eastAsia="zh-CN"/>
                    </w:rPr>
                    <w:t>增加清洗</w:t>
                  </w:r>
                </w:p>
              </w:tc>
              <w:tc>
                <w:tcPr>
                  <w:tcW w:w="662" w:type="pct"/>
                  <w:vMerge w:val="continue"/>
                  <w:tcBorders>
                    <w:tl2br w:val="nil"/>
                    <w:tr2bl w:val="nil"/>
                  </w:tcBorders>
                  <w:noWrap w:val="0"/>
                  <w:vAlign w:val="center"/>
                </w:tcPr>
                <w:p w14:paraId="4E418AA5">
                  <w:pPr>
                    <w:pStyle w:val="60"/>
                    <w:bidi w:val="0"/>
                    <w:rPr>
                      <w:rFonts w:hint="default" w:ascii="Times New Roman" w:hAnsi="Times New Roman" w:eastAsia="宋体" w:cs="Times New Roman"/>
                      <w:b w:val="0"/>
                      <w:bCs w:val="0"/>
                      <w:color w:val="auto"/>
                      <w:highlight w:val="none"/>
                      <w:lang w:val="en-US" w:eastAsia="zh-CN"/>
                    </w:rPr>
                  </w:pPr>
                </w:p>
              </w:tc>
            </w:tr>
            <w:tr w14:paraId="4E41D1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69F87520">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13D80834">
                  <w:pPr>
                    <w:pStyle w:val="60"/>
                    <w:bidi w:val="0"/>
                    <w:rPr>
                      <w:rFonts w:hint="default" w:ascii="Times New Roman" w:hAnsi="Times New Roman" w:eastAsia="宋体"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厂房4#</w:t>
                  </w:r>
                </w:p>
              </w:tc>
              <w:tc>
                <w:tcPr>
                  <w:tcW w:w="1293" w:type="pct"/>
                  <w:tcBorders>
                    <w:tl2br w:val="nil"/>
                    <w:tr2bl w:val="nil"/>
                  </w:tcBorders>
                  <w:noWrap w:val="0"/>
                  <w:vAlign w:val="center"/>
                </w:tcPr>
                <w:p w14:paraId="7EE7F46C">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，长75.8m×宽29.6m×高9.0m，钢砼结构，CNC加工。</w:t>
                  </w:r>
                </w:p>
              </w:tc>
              <w:tc>
                <w:tcPr>
                  <w:tcW w:w="1369" w:type="pct"/>
                  <w:tcBorders>
                    <w:tl2br w:val="nil"/>
                    <w:tr2bl w:val="nil"/>
                  </w:tcBorders>
                  <w:noWrap w:val="0"/>
                  <w:vAlign w:val="center"/>
                </w:tcPr>
                <w:p w14:paraId="32050CBF">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，长75.8m×宽29.6m×高9.0m，钢砼结构，CNC加工。</w:t>
                  </w:r>
                </w:p>
              </w:tc>
              <w:tc>
                <w:tcPr>
                  <w:tcW w:w="588" w:type="pct"/>
                  <w:tcBorders>
                    <w:tl2br w:val="nil"/>
                    <w:tr2bl w:val="nil"/>
                  </w:tcBorders>
                  <w:noWrap w:val="0"/>
                  <w:vAlign w:val="center"/>
                </w:tcPr>
                <w:p w14:paraId="1FC2B9C8">
                  <w:pPr>
                    <w:pStyle w:val="60"/>
                    <w:bidi w:val="0"/>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无变化</w:t>
                  </w:r>
                </w:p>
              </w:tc>
              <w:tc>
                <w:tcPr>
                  <w:tcW w:w="662" w:type="pct"/>
                  <w:vMerge w:val="continue"/>
                  <w:tcBorders>
                    <w:tl2br w:val="nil"/>
                    <w:tr2bl w:val="nil"/>
                  </w:tcBorders>
                  <w:noWrap w:val="0"/>
                  <w:vAlign w:val="center"/>
                </w:tcPr>
                <w:p w14:paraId="520E1F88">
                  <w:pPr>
                    <w:pStyle w:val="60"/>
                    <w:bidi w:val="0"/>
                    <w:rPr>
                      <w:rFonts w:hint="default" w:ascii="Times New Roman" w:hAnsi="Times New Roman" w:eastAsia="宋体" w:cs="Times New Roman"/>
                      <w:b w:val="0"/>
                      <w:bCs w:val="0"/>
                      <w:color w:val="auto"/>
                      <w:highlight w:val="none"/>
                      <w:lang w:val="en-US" w:eastAsia="zh-CN"/>
                    </w:rPr>
                  </w:pPr>
                </w:p>
              </w:tc>
            </w:tr>
            <w:tr w14:paraId="3842C2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5B1257D3">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6D616026">
                  <w:pPr>
                    <w:pStyle w:val="60"/>
                    <w:bidi w:val="0"/>
                    <w:rPr>
                      <w:rFonts w:hint="default" w:ascii="Times New Roman" w:hAnsi="Times New Roman" w:eastAsia="宋体"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厂房5#</w:t>
                  </w:r>
                </w:p>
              </w:tc>
              <w:tc>
                <w:tcPr>
                  <w:tcW w:w="1293" w:type="pct"/>
                  <w:tcBorders>
                    <w:tl2br w:val="nil"/>
                    <w:tr2bl w:val="nil"/>
                  </w:tcBorders>
                  <w:noWrap w:val="0"/>
                  <w:vAlign w:val="center"/>
                </w:tcPr>
                <w:p w14:paraId="1FE7B3DC">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，长75.8m×宽29.6m×高9.0m，钢砼结构，清洗/原料仓库。</w:t>
                  </w:r>
                </w:p>
              </w:tc>
              <w:tc>
                <w:tcPr>
                  <w:tcW w:w="1369" w:type="pct"/>
                  <w:tcBorders>
                    <w:tl2br w:val="nil"/>
                    <w:tr2bl w:val="nil"/>
                  </w:tcBorders>
                  <w:noWrap w:val="0"/>
                  <w:vAlign w:val="center"/>
                </w:tcPr>
                <w:p w14:paraId="6BE1CEB1">
                  <w:pPr>
                    <w:pStyle w:val="60"/>
                    <w:bidi w:val="0"/>
                    <w:jc w:val="left"/>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2250m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，长75.8m×宽29.6m×高9.0m，钢砼结构，原料仓库。</w:t>
                  </w:r>
                </w:p>
              </w:tc>
              <w:tc>
                <w:tcPr>
                  <w:tcW w:w="588" w:type="pct"/>
                  <w:tcBorders>
                    <w:tl2br w:val="nil"/>
                    <w:tr2bl w:val="nil"/>
                  </w:tcBorders>
                  <w:noWrap w:val="0"/>
                  <w:vAlign w:val="center"/>
                </w:tcPr>
                <w:p w14:paraId="301CA36C">
                  <w:pPr>
                    <w:pStyle w:val="60"/>
                    <w:bidi w:val="0"/>
                    <w:rPr>
                      <w:rFonts w:hint="default" w:ascii="Times New Roman" w:hAnsi="Times New Roman" w:eastAsia="宋体" w:cs="Times New Roman"/>
                      <w:color w:val="0000FF"/>
                      <w:highlight w:val="none"/>
                      <w:lang w:val="en-US" w:eastAsia="zh-CN"/>
                    </w:rPr>
                  </w:pPr>
                  <w:r>
                    <w:rPr>
                      <w:rFonts w:hint="eastAsia" w:ascii="Times New Roman" w:hAnsi="Times New Roman" w:cs="Times New Roman"/>
                      <w:color w:val="0000FF"/>
                      <w:highlight w:val="none"/>
                      <w:lang w:val="en-US" w:eastAsia="zh-CN"/>
                    </w:rPr>
                    <w:t>减少清洗</w:t>
                  </w:r>
                </w:p>
              </w:tc>
              <w:tc>
                <w:tcPr>
                  <w:tcW w:w="662" w:type="pct"/>
                  <w:vMerge w:val="continue"/>
                  <w:tcBorders>
                    <w:tl2br w:val="nil"/>
                    <w:tr2bl w:val="nil"/>
                  </w:tcBorders>
                  <w:noWrap w:val="0"/>
                  <w:vAlign w:val="center"/>
                </w:tcPr>
                <w:p w14:paraId="459DF305">
                  <w:pPr>
                    <w:pStyle w:val="60"/>
                    <w:bidi w:val="0"/>
                    <w:rPr>
                      <w:rFonts w:hint="default" w:ascii="Times New Roman" w:hAnsi="Times New Roman" w:eastAsia="宋体" w:cs="Times New Roman"/>
                      <w:b w:val="0"/>
                      <w:bCs w:val="0"/>
                      <w:color w:val="auto"/>
                      <w:highlight w:val="none"/>
                      <w:lang w:val="en-US" w:eastAsia="zh-CN"/>
                    </w:rPr>
                  </w:pPr>
                </w:p>
              </w:tc>
            </w:tr>
            <w:tr w14:paraId="33F2D5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602F79B6">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7B8F56D4">
                  <w:pPr>
                    <w:pStyle w:val="60"/>
                    <w:bidi w:val="0"/>
                    <w:rPr>
                      <w:rFonts w:hint="default" w:ascii="Times New Roman" w:hAnsi="Times New Roman"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喷漆车间</w:t>
                  </w:r>
                </w:p>
              </w:tc>
              <w:tc>
                <w:tcPr>
                  <w:tcW w:w="1293" w:type="pct"/>
                  <w:tcBorders>
                    <w:tl2br w:val="nil"/>
                    <w:tr2bl w:val="nil"/>
                  </w:tcBorders>
                  <w:noWrap w:val="0"/>
                  <w:vAlign w:val="center"/>
                </w:tcPr>
                <w:p w14:paraId="1CDF3581">
                  <w:pPr>
                    <w:pStyle w:val="60"/>
                    <w:bidi w:val="0"/>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w:t>
                  </w:r>
                </w:p>
              </w:tc>
              <w:tc>
                <w:tcPr>
                  <w:tcW w:w="1369" w:type="pct"/>
                  <w:tcBorders>
                    <w:tl2br w:val="nil"/>
                    <w:tr2bl w:val="nil"/>
                  </w:tcBorders>
                  <w:noWrap w:val="0"/>
                  <w:vAlign w:val="center"/>
                </w:tcPr>
                <w:p w14:paraId="0747F312">
                  <w:pPr>
                    <w:pStyle w:val="60"/>
                    <w:keepNext w:val="0"/>
                    <w:keepLines w:val="0"/>
                    <w:pageBreakBefore w:val="0"/>
                    <w:widowControl w:val="0"/>
                    <w:kinsoku/>
                    <w:wordWrap w:val="0"/>
                    <w:overflowPunct/>
                    <w:topLinePunct w:val="0"/>
                    <w:autoSpaceDE/>
                    <w:autoSpaceDN/>
                    <w:bidi w:val="0"/>
                    <w:adjustRightInd/>
                    <w:snapToGrid/>
                    <w:jc w:val="left"/>
                    <w:textAlignment w:val="auto"/>
                    <w:rPr>
                      <w:rFonts w:hint="default" w:ascii="Times New Roman" w:hAnsi="Times New Roman" w:eastAsia="宋体" w:cs="Times New Roman"/>
                      <w:b w:val="0"/>
                      <w:bCs w:val="0"/>
                      <w:color w:val="0000FF"/>
                      <w:highlight w:val="none"/>
                      <w:lang w:val="en-US" w:eastAsia="zh-CN"/>
                    </w:rPr>
                  </w:pPr>
                  <w:r>
                    <w:rPr>
                      <w:rFonts w:hint="eastAsia" w:ascii="Times New Roman" w:hAnsi="Times New Roman" w:cs="Times New Roman"/>
                      <w:b w:val="0"/>
                      <w:bCs w:val="0"/>
                      <w:color w:val="0000FF"/>
                      <w:highlight w:val="none"/>
                      <w:lang w:val="en-US" w:eastAsia="zh-CN"/>
                    </w:rPr>
                    <w:t>341m</w:t>
                  </w:r>
                  <w:r>
                    <w:rPr>
                      <w:rFonts w:hint="eastAsia" w:ascii="Times New Roman" w:hAnsi="Times New Roman" w:cs="Times New Roman"/>
                      <w:b w:val="0"/>
                      <w:bCs w:val="0"/>
                      <w:color w:val="0000FF"/>
                      <w:highlight w:val="none"/>
                      <w:vertAlign w:val="superscript"/>
                      <w:lang w:val="en-US" w:eastAsia="zh-CN"/>
                    </w:rPr>
                    <w:t>2</w:t>
                  </w:r>
                  <w:r>
                    <w:rPr>
                      <w:rFonts w:hint="eastAsia" w:ascii="Times New Roman" w:hAnsi="Times New Roman" w:cs="Times New Roman"/>
                      <w:b w:val="0"/>
                      <w:bCs w:val="0"/>
                      <w:color w:val="0000FF"/>
                      <w:highlight w:val="none"/>
                      <w:lang w:val="en-US" w:eastAsia="zh-CN"/>
                    </w:rPr>
                    <w:t>，长31m×宽11m×高9.0m，喷漆房/仓库。</w:t>
                  </w:r>
                </w:p>
              </w:tc>
              <w:tc>
                <w:tcPr>
                  <w:tcW w:w="588" w:type="pct"/>
                  <w:tcBorders>
                    <w:tl2br w:val="nil"/>
                    <w:tr2bl w:val="nil"/>
                  </w:tcBorders>
                  <w:noWrap w:val="0"/>
                  <w:vAlign w:val="center"/>
                </w:tcPr>
                <w:p w14:paraId="16A825F1">
                  <w:pPr>
                    <w:pStyle w:val="60"/>
                    <w:bidi w:val="0"/>
                    <w:rPr>
                      <w:rFonts w:hint="default" w:ascii="Times New Roman" w:hAnsi="Times New Roman" w:eastAsia="宋体" w:cs="Times New Roman"/>
                      <w:color w:val="0000FF"/>
                      <w:highlight w:val="none"/>
                      <w:lang w:val="en-US" w:eastAsia="zh-CN"/>
                    </w:rPr>
                  </w:pPr>
                  <w:r>
                    <w:rPr>
                      <w:rFonts w:hint="eastAsia" w:ascii="Times New Roman" w:hAnsi="Times New Roman" w:cs="Times New Roman"/>
                      <w:color w:val="0000FF"/>
                      <w:highlight w:val="none"/>
                      <w:lang w:val="en-US" w:eastAsia="zh-CN"/>
                    </w:rPr>
                    <w:t>新增设备</w:t>
                  </w:r>
                </w:p>
              </w:tc>
              <w:tc>
                <w:tcPr>
                  <w:tcW w:w="662" w:type="pct"/>
                  <w:vMerge w:val="continue"/>
                  <w:tcBorders>
                    <w:tl2br w:val="nil"/>
                    <w:tr2bl w:val="nil"/>
                  </w:tcBorders>
                  <w:noWrap w:val="0"/>
                  <w:vAlign w:val="center"/>
                </w:tcPr>
                <w:p w14:paraId="4A90793C">
                  <w:pPr>
                    <w:pStyle w:val="60"/>
                    <w:bidi w:val="0"/>
                    <w:rPr>
                      <w:rFonts w:hint="default" w:ascii="Times New Roman" w:hAnsi="Times New Roman" w:eastAsia="宋体" w:cs="Times New Roman"/>
                      <w:b w:val="0"/>
                      <w:bCs w:val="0"/>
                      <w:color w:val="auto"/>
                      <w:highlight w:val="none"/>
                      <w:lang w:val="en-US" w:eastAsia="zh-CN"/>
                    </w:rPr>
                  </w:pPr>
                </w:p>
              </w:tc>
            </w:tr>
            <w:tr w14:paraId="3CD693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restart"/>
                  <w:tcBorders>
                    <w:tl2br w:val="nil"/>
                    <w:tr2bl w:val="nil"/>
                  </w:tcBorders>
                  <w:noWrap w:val="0"/>
                  <w:vAlign w:val="center"/>
                </w:tcPr>
                <w:p w14:paraId="62B2D817">
                  <w:pPr>
                    <w:pStyle w:val="60"/>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辅助工程</w:t>
                  </w:r>
                </w:p>
              </w:tc>
              <w:tc>
                <w:tcPr>
                  <w:tcW w:w="766" w:type="pct"/>
                  <w:tcBorders>
                    <w:tl2br w:val="nil"/>
                    <w:tr2bl w:val="nil"/>
                  </w:tcBorders>
                  <w:noWrap w:val="0"/>
                  <w:vAlign w:val="center"/>
                </w:tcPr>
                <w:p w14:paraId="693538C2">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员工宿舍楼</w:t>
                  </w:r>
                </w:p>
              </w:tc>
              <w:tc>
                <w:tcPr>
                  <w:tcW w:w="1293" w:type="pct"/>
                  <w:tcBorders>
                    <w:tl2br w:val="nil"/>
                    <w:tr2bl w:val="nil"/>
                  </w:tcBorders>
                  <w:noWrap w:val="0"/>
                  <w:vAlign w:val="center"/>
                </w:tcPr>
                <w:p w14:paraId="05164713">
                  <w:pPr>
                    <w:snapToGrid w:val="0"/>
                    <w:jc w:val="left"/>
                    <w:rPr>
                      <w:rFonts w:hint="default" w:ascii="Times New Roman" w:hAnsi="Times New Roman" w:eastAsia="宋体" w:cs="Times New Roman"/>
                      <w:color w:val="auto"/>
                      <w:highlight w:val="none"/>
                      <w:lang w:val="en-US" w:eastAsia="zh-CN"/>
                    </w:rPr>
                  </w:pPr>
                  <w:r>
                    <w:rPr>
                      <w:rFonts w:hint="eastAsia" w:cs="Times New Roman"/>
                      <w:color w:val="auto"/>
                      <w:kern w:val="0"/>
                      <w:szCs w:val="21"/>
                      <w:highlight w:val="none"/>
                      <w:lang w:val="en-US" w:eastAsia="zh-CN" w:bidi="ar"/>
                    </w:rPr>
                    <w:t>1</w:t>
                  </w:r>
                  <w:r>
                    <w:rPr>
                      <w:rFonts w:hint="default" w:ascii="Times New Roman" w:hAnsi="Times New Roman" w:eastAsia="宋体" w:cs="Times New Roman"/>
                      <w:color w:val="auto"/>
                      <w:kern w:val="0"/>
                      <w:szCs w:val="21"/>
                      <w:highlight w:val="none"/>
                      <w:lang w:val="en-US" w:eastAsia="zh-CN" w:bidi="ar"/>
                    </w:rPr>
                    <w:t>栋6F宿舍楼，总占地面积</w:t>
                  </w:r>
                  <w:r>
                    <w:rPr>
                      <w:rFonts w:hint="eastAsia" w:cs="Times New Roman"/>
                      <w:color w:val="auto"/>
                      <w:kern w:val="0"/>
                      <w:szCs w:val="21"/>
                      <w:highlight w:val="none"/>
                      <w:lang w:val="en-US" w:eastAsia="zh-CN" w:bidi="ar"/>
                    </w:rPr>
                    <w:t>1440</w:t>
                  </w:r>
                  <w:r>
                    <w:rPr>
                      <w:rFonts w:hint="default" w:ascii="Times New Roman" w:hAnsi="Times New Roman" w:eastAsia="宋体" w:cs="Times New Roman"/>
                      <w:color w:val="auto"/>
                      <w:kern w:val="0"/>
                      <w:szCs w:val="21"/>
                      <w:highlight w:val="none"/>
                      <w:lang w:val="en-US" w:eastAsia="zh-CN" w:bidi="ar"/>
                    </w:rPr>
                    <w:t>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r>
                    <w:rPr>
                      <w:rFonts w:hint="eastAsia" w:cs="Times New Roman"/>
                      <w:color w:val="auto"/>
                      <w:kern w:val="0"/>
                      <w:szCs w:val="21"/>
                      <w:highlight w:val="none"/>
                      <w:lang w:val="en-US" w:eastAsia="zh-CN" w:bidi="ar"/>
                    </w:rPr>
                    <w:t>。</w:t>
                  </w:r>
                </w:p>
              </w:tc>
              <w:tc>
                <w:tcPr>
                  <w:tcW w:w="1369" w:type="pct"/>
                  <w:tcBorders>
                    <w:tl2br w:val="nil"/>
                    <w:tr2bl w:val="nil"/>
                  </w:tcBorders>
                  <w:noWrap w:val="0"/>
                  <w:vAlign w:val="center"/>
                </w:tcPr>
                <w:p w14:paraId="7CDD11F4">
                  <w:pPr>
                    <w:bidi w:val="0"/>
                    <w:jc w:val="left"/>
                    <w:rPr>
                      <w:rFonts w:hint="default" w:ascii="Times New Roman" w:hAnsi="Times New Roman" w:eastAsia="宋体" w:cs="Times New Roman"/>
                      <w:color w:val="auto"/>
                      <w:highlight w:val="none"/>
                      <w:lang w:val="zh-CN" w:eastAsia="zh-CN"/>
                    </w:rPr>
                  </w:pPr>
                  <w:r>
                    <w:rPr>
                      <w:rFonts w:hint="eastAsia" w:cs="Times New Roman"/>
                      <w:color w:val="auto"/>
                      <w:kern w:val="0"/>
                      <w:szCs w:val="21"/>
                      <w:highlight w:val="none"/>
                      <w:lang w:val="en-US" w:eastAsia="zh-CN" w:bidi="ar"/>
                    </w:rPr>
                    <w:t>1</w:t>
                  </w:r>
                  <w:r>
                    <w:rPr>
                      <w:rFonts w:hint="default" w:ascii="Times New Roman" w:hAnsi="Times New Roman" w:eastAsia="宋体" w:cs="Times New Roman"/>
                      <w:color w:val="auto"/>
                      <w:kern w:val="0"/>
                      <w:szCs w:val="21"/>
                      <w:highlight w:val="none"/>
                      <w:lang w:val="en-US" w:eastAsia="zh-CN" w:bidi="ar"/>
                    </w:rPr>
                    <w:t>栋6F宿舍楼，总占地面积</w:t>
                  </w:r>
                  <w:r>
                    <w:rPr>
                      <w:rFonts w:hint="eastAsia" w:cs="Times New Roman"/>
                      <w:color w:val="auto"/>
                      <w:kern w:val="0"/>
                      <w:szCs w:val="21"/>
                      <w:highlight w:val="none"/>
                      <w:lang w:val="en-US" w:eastAsia="zh-CN" w:bidi="ar"/>
                    </w:rPr>
                    <w:t>1440</w:t>
                  </w:r>
                  <w:r>
                    <w:rPr>
                      <w:rFonts w:hint="default" w:ascii="Times New Roman" w:hAnsi="Times New Roman" w:eastAsia="宋体" w:cs="Times New Roman"/>
                      <w:color w:val="auto"/>
                      <w:kern w:val="0"/>
                      <w:szCs w:val="21"/>
                      <w:highlight w:val="none"/>
                      <w:lang w:val="en-US" w:eastAsia="zh-CN" w:bidi="ar"/>
                    </w:rPr>
                    <w:t>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r>
                    <w:rPr>
                      <w:rFonts w:hint="eastAsia" w:cs="Times New Roman"/>
                      <w:color w:val="auto"/>
                      <w:kern w:val="0"/>
                      <w:szCs w:val="21"/>
                      <w:highlight w:val="none"/>
                      <w:lang w:val="en-US" w:eastAsia="zh-CN" w:bidi="ar"/>
                    </w:rPr>
                    <w:t>。</w:t>
                  </w:r>
                </w:p>
              </w:tc>
              <w:tc>
                <w:tcPr>
                  <w:tcW w:w="588" w:type="pct"/>
                  <w:tcBorders>
                    <w:tl2br w:val="nil"/>
                    <w:tr2bl w:val="nil"/>
                  </w:tcBorders>
                  <w:noWrap w:val="0"/>
                  <w:vAlign w:val="center"/>
                </w:tcPr>
                <w:p w14:paraId="407462E4">
                  <w:pPr>
                    <w:bidi w:val="0"/>
                    <w:jc w:val="center"/>
                    <w:rPr>
                      <w:rFonts w:hint="default" w:ascii="Times New Roman" w:hAnsi="Times New Roman" w:eastAsia="宋体" w:cs="Times New Roman"/>
                      <w:color w:val="auto"/>
                      <w:highlight w:val="none"/>
                      <w:lang w:val="en-US" w:eastAsia="zh-CN"/>
                    </w:rPr>
                  </w:pPr>
                  <w:bookmarkStart w:id="7" w:name="OLE_LINK3"/>
                  <w:r>
                    <w:rPr>
                      <w:rFonts w:hint="default" w:ascii="Times New Roman" w:hAnsi="Times New Roman" w:eastAsia="宋体" w:cs="Times New Roman"/>
                      <w:color w:val="auto"/>
                      <w:highlight w:val="none"/>
                      <w:lang w:val="en-US" w:eastAsia="zh-CN"/>
                    </w:rPr>
                    <w:t>无变化</w:t>
                  </w:r>
                  <w:bookmarkEnd w:id="7"/>
                </w:p>
              </w:tc>
              <w:tc>
                <w:tcPr>
                  <w:tcW w:w="662" w:type="pct"/>
                  <w:tcBorders>
                    <w:tl2br w:val="nil"/>
                    <w:tr2bl w:val="nil"/>
                  </w:tcBorders>
                  <w:noWrap w:val="0"/>
                  <w:vAlign w:val="center"/>
                </w:tcPr>
                <w:p w14:paraId="67ED5D86">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688638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76869010">
                  <w:pPr>
                    <w:pStyle w:val="60"/>
                    <w:bidi w:val="0"/>
                    <w:rPr>
                      <w:rFonts w:hint="default" w:ascii="Times New Roman" w:hAnsi="Times New Roman" w:eastAsia="宋体" w:cs="Times New Roman"/>
                      <w:color w:val="auto"/>
                      <w:highlight w:val="none"/>
                      <w:lang w:val="zh-CN" w:eastAsia="zh-CN"/>
                    </w:rPr>
                  </w:pPr>
                </w:p>
              </w:tc>
              <w:tc>
                <w:tcPr>
                  <w:tcW w:w="766" w:type="pct"/>
                  <w:tcBorders>
                    <w:tl2br w:val="nil"/>
                    <w:tr2bl w:val="nil"/>
                  </w:tcBorders>
                  <w:noWrap w:val="0"/>
                  <w:vAlign w:val="center"/>
                </w:tcPr>
                <w:p w14:paraId="24D7FD13">
                  <w:pPr>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kern w:val="0"/>
                      <w:szCs w:val="21"/>
                      <w:highlight w:val="none"/>
                      <w:lang w:val="en-US" w:eastAsia="zh-CN" w:bidi="ar"/>
                    </w:rPr>
                    <w:t>办公楼</w:t>
                  </w:r>
                </w:p>
              </w:tc>
              <w:tc>
                <w:tcPr>
                  <w:tcW w:w="1293" w:type="pct"/>
                  <w:tcBorders>
                    <w:tl2br w:val="nil"/>
                    <w:tr2bl w:val="nil"/>
                  </w:tcBorders>
                  <w:noWrap w:val="0"/>
                  <w:vAlign w:val="center"/>
                </w:tcPr>
                <w:p w14:paraId="0DC34020">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1栋</w:t>
                  </w:r>
                  <w:r>
                    <w:rPr>
                      <w:rFonts w:hint="eastAsia" w:cs="Times New Roman"/>
                      <w:color w:val="auto"/>
                      <w:kern w:val="0"/>
                      <w:szCs w:val="21"/>
                      <w:highlight w:val="none"/>
                      <w:lang w:val="en-US" w:eastAsia="zh-CN" w:bidi="ar"/>
                    </w:rPr>
                    <w:t>3</w:t>
                  </w:r>
                  <w:r>
                    <w:rPr>
                      <w:rFonts w:hint="default" w:ascii="Times New Roman" w:hAnsi="Times New Roman" w:eastAsia="宋体" w:cs="Times New Roman"/>
                      <w:color w:val="auto"/>
                      <w:kern w:val="0"/>
                      <w:szCs w:val="21"/>
                      <w:highlight w:val="none"/>
                      <w:lang w:val="en-US" w:eastAsia="zh-CN" w:bidi="ar"/>
                    </w:rPr>
                    <w:t>F，占地面积</w:t>
                  </w:r>
                  <w:r>
                    <w:rPr>
                      <w:rFonts w:hint="eastAsia" w:cs="Times New Roman"/>
                      <w:color w:val="auto"/>
                      <w:kern w:val="0"/>
                      <w:szCs w:val="21"/>
                      <w:highlight w:val="none"/>
                      <w:lang w:val="en-US" w:eastAsia="zh-CN" w:bidi="ar"/>
                    </w:rPr>
                    <w:t>658</w:t>
                  </w:r>
                  <w:r>
                    <w:rPr>
                      <w:rFonts w:hint="default" w:ascii="Times New Roman" w:hAnsi="Times New Roman" w:eastAsia="宋体" w:cs="Times New Roman"/>
                      <w:color w:val="auto"/>
                      <w:kern w:val="0"/>
                      <w:szCs w:val="21"/>
                      <w:highlight w:val="none"/>
                      <w:lang w:val="en-US" w:eastAsia="zh-CN" w:bidi="ar"/>
                    </w:rPr>
                    <w:t>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w:t>
                  </w:r>
                  <w:r>
                    <w:rPr>
                      <w:rFonts w:hint="eastAsia" w:cs="Times New Roman"/>
                      <w:color w:val="auto"/>
                      <w:kern w:val="0"/>
                      <w:szCs w:val="21"/>
                      <w:highlight w:val="none"/>
                      <w:lang w:val="en-US" w:eastAsia="zh-CN" w:bidi="ar"/>
                    </w:rPr>
                    <w:t>办公接待。</w:t>
                  </w:r>
                </w:p>
              </w:tc>
              <w:tc>
                <w:tcPr>
                  <w:tcW w:w="1369" w:type="pct"/>
                  <w:tcBorders>
                    <w:tl2br w:val="nil"/>
                    <w:tr2bl w:val="nil"/>
                  </w:tcBorders>
                  <w:noWrap w:val="0"/>
                  <w:vAlign w:val="center"/>
                </w:tcPr>
                <w:p w14:paraId="5C05A482">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1栋</w:t>
                  </w:r>
                  <w:r>
                    <w:rPr>
                      <w:rFonts w:hint="eastAsia" w:cs="Times New Roman"/>
                      <w:color w:val="auto"/>
                      <w:kern w:val="0"/>
                      <w:szCs w:val="21"/>
                      <w:highlight w:val="none"/>
                      <w:lang w:val="en-US" w:eastAsia="zh-CN" w:bidi="ar"/>
                    </w:rPr>
                    <w:t>3</w:t>
                  </w:r>
                  <w:r>
                    <w:rPr>
                      <w:rFonts w:hint="default" w:ascii="Times New Roman" w:hAnsi="Times New Roman" w:eastAsia="宋体" w:cs="Times New Roman"/>
                      <w:color w:val="auto"/>
                      <w:kern w:val="0"/>
                      <w:szCs w:val="21"/>
                      <w:highlight w:val="none"/>
                      <w:lang w:val="en-US" w:eastAsia="zh-CN" w:bidi="ar"/>
                    </w:rPr>
                    <w:t>F，占地面积</w:t>
                  </w:r>
                  <w:r>
                    <w:rPr>
                      <w:rFonts w:hint="eastAsia" w:cs="Times New Roman"/>
                      <w:color w:val="auto"/>
                      <w:kern w:val="0"/>
                      <w:szCs w:val="21"/>
                      <w:highlight w:val="none"/>
                      <w:lang w:val="en-US" w:eastAsia="zh-CN" w:bidi="ar"/>
                    </w:rPr>
                    <w:t>658</w:t>
                  </w:r>
                  <w:r>
                    <w:rPr>
                      <w:rFonts w:hint="default" w:ascii="Times New Roman" w:hAnsi="Times New Roman" w:eastAsia="宋体" w:cs="Times New Roman"/>
                      <w:color w:val="auto"/>
                      <w:kern w:val="0"/>
                      <w:szCs w:val="21"/>
                      <w:highlight w:val="none"/>
                      <w:lang w:val="en-US" w:eastAsia="zh-CN" w:bidi="ar"/>
                    </w:rPr>
                    <w:t>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w:t>
                  </w:r>
                  <w:r>
                    <w:rPr>
                      <w:rFonts w:hint="eastAsia" w:cs="Times New Roman"/>
                      <w:color w:val="auto"/>
                      <w:kern w:val="0"/>
                      <w:szCs w:val="21"/>
                      <w:highlight w:val="none"/>
                      <w:lang w:val="en-US" w:eastAsia="zh-CN" w:bidi="ar"/>
                    </w:rPr>
                    <w:t>办公接待。</w:t>
                  </w:r>
                </w:p>
              </w:tc>
              <w:tc>
                <w:tcPr>
                  <w:tcW w:w="588" w:type="pct"/>
                  <w:tcBorders>
                    <w:tl2br w:val="nil"/>
                    <w:tr2bl w:val="nil"/>
                  </w:tcBorders>
                  <w:noWrap w:val="0"/>
                  <w:vAlign w:val="center"/>
                </w:tcPr>
                <w:p w14:paraId="7E1AB7F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62" w:type="pct"/>
                  <w:tcBorders>
                    <w:tl2br w:val="nil"/>
                    <w:tr2bl w:val="nil"/>
                  </w:tcBorders>
                  <w:noWrap w:val="0"/>
                  <w:vAlign w:val="center"/>
                </w:tcPr>
                <w:p w14:paraId="212BD70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0115AC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restart"/>
                  <w:tcBorders>
                    <w:tl2br w:val="nil"/>
                    <w:tr2bl w:val="nil"/>
                  </w:tcBorders>
                  <w:noWrap w:val="0"/>
                  <w:vAlign w:val="center"/>
                </w:tcPr>
                <w:p w14:paraId="477870E2">
                  <w:pPr>
                    <w:pStyle w:val="60"/>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公用工程</w:t>
                  </w:r>
                </w:p>
              </w:tc>
              <w:tc>
                <w:tcPr>
                  <w:tcW w:w="766" w:type="pct"/>
                  <w:tcBorders>
                    <w:tl2br w:val="nil"/>
                    <w:tr2bl w:val="nil"/>
                  </w:tcBorders>
                  <w:noWrap w:val="0"/>
                  <w:vAlign w:val="center"/>
                </w:tcPr>
                <w:p w14:paraId="1EAAC639">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lang w:eastAsia="zh-CN"/>
                    </w:rPr>
                    <w:t>供水</w:t>
                  </w:r>
                </w:p>
              </w:tc>
              <w:tc>
                <w:tcPr>
                  <w:tcW w:w="1293" w:type="pct"/>
                  <w:tcBorders>
                    <w:tl2br w:val="nil"/>
                    <w:tr2bl w:val="nil"/>
                  </w:tcBorders>
                  <w:noWrap w:val="0"/>
                  <w:vAlign w:val="center"/>
                </w:tcPr>
                <w:p w14:paraId="486A48F5">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1369" w:type="pct"/>
                  <w:tcBorders>
                    <w:tl2br w:val="nil"/>
                    <w:tr2bl w:val="nil"/>
                  </w:tcBorders>
                  <w:noWrap w:val="0"/>
                  <w:vAlign w:val="center"/>
                </w:tcPr>
                <w:p w14:paraId="762C1647">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588" w:type="pct"/>
                  <w:tcBorders>
                    <w:tl2br w:val="nil"/>
                    <w:tr2bl w:val="nil"/>
                  </w:tcBorders>
                  <w:noWrap w:val="0"/>
                  <w:vAlign w:val="center"/>
                </w:tcPr>
                <w:p w14:paraId="7015E449">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62" w:type="pct"/>
                  <w:tcBorders>
                    <w:tl2br w:val="nil"/>
                    <w:tr2bl w:val="nil"/>
                  </w:tcBorders>
                  <w:noWrap w:val="0"/>
                  <w:vAlign w:val="center"/>
                </w:tcPr>
                <w:p w14:paraId="774E7123">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0F314D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1912F2B7">
                  <w:pPr>
                    <w:pStyle w:val="60"/>
                    <w:bidi w:val="0"/>
                    <w:rPr>
                      <w:rFonts w:hint="default" w:ascii="Times New Roman" w:hAnsi="Times New Roman" w:eastAsia="宋体" w:cs="Times New Roman"/>
                      <w:b/>
                      <w:bCs/>
                      <w:color w:val="auto"/>
                      <w:sz w:val="21"/>
                      <w:szCs w:val="21"/>
                      <w:highlight w:val="none"/>
                    </w:rPr>
                  </w:pPr>
                </w:p>
              </w:tc>
              <w:tc>
                <w:tcPr>
                  <w:tcW w:w="766" w:type="pct"/>
                  <w:tcBorders>
                    <w:tl2br w:val="nil"/>
                    <w:tr2bl w:val="nil"/>
                  </w:tcBorders>
                  <w:noWrap w:val="0"/>
                  <w:vAlign w:val="center"/>
                </w:tcPr>
                <w:p w14:paraId="3415C1DF">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供电</w:t>
                  </w:r>
                </w:p>
              </w:tc>
              <w:tc>
                <w:tcPr>
                  <w:tcW w:w="1293" w:type="pct"/>
                  <w:tcBorders>
                    <w:tl2br w:val="nil"/>
                    <w:tr2bl w:val="nil"/>
                  </w:tcBorders>
                  <w:noWrap w:val="0"/>
                  <w:vAlign w:val="center"/>
                </w:tcPr>
                <w:p w14:paraId="26FB6906">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1369" w:type="pct"/>
                  <w:tcBorders>
                    <w:tl2br w:val="nil"/>
                    <w:tr2bl w:val="nil"/>
                  </w:tcBorders>
                  <w:noWrap w:val="0"/>
                  <w:vAlign w:val="center"/>
                </w:tcPr>
                <w:p w14:paraId="169BDFC9">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588" w:type="pct"/>
                  <w:tcBorders>
                    <w:tl2br w:val="nil"/>
                    <w:tr2bl w:val="nil"/>
                  </w:tcBorders>
                  <w:noWrap w:val="0"/>
                  <w:vAlign w:val="center"/>
                </w:tcPr>
                <w:p w14:paraId="080F0804">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无变化</w:t>
                  </w:r>
                </w:p>
              </w:tc>
              <w:tc>
                <w:tcPr>
                  <w:tcW w:w="662" w:type="pct"/>
                  <w:tcBorders>
                    <w:tl2br w:val="nil"/>
                    <w:tr2bl w:val="nil"/>
                  </w:tcBorders>
                  <w:noWrap w:val="0"/>
                  <w:vAlign w:val="center"/>
                </w:tcPr>
                <w:p w14:paraId="008F99FB">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依托现有</w:t>
                  </w:r>
                </w:p>
              </w:tc>
            </w:tr>
            <w:tr w14:paraId="17B0A2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366" w:hRule="atLeast"/>
                <w:jc w:val="center"/>
              </w:trPr>
              <w:tc>
                <w:tcPr>
                  <w:tcW w:w="320" w:type="pct"/>
                  <w:vMerge w:val="restart"/>
                  <w:tcBorders>
                    <w:tl2br w:val="nil"/>
                    <w:tr2bl w:val="nil"/>
                  </w:tcBorders>
                  <w:noWrap w:val="0"/>
                  <w:vAlign w:val="center"/>
                </w:tcPr>
                <w:p w14:paraId="2664B981">
                  <w:pPr>
                    <w:pStyle w:val="60"/>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环保工程</w:t>
                  </w:r>
                </w:p>
              </w:tc>
              <w:tc>
                <w:tcPr>
                  <w:tcW w:w="766" w:type="pct"/>
                  <w:vMerge w:val="restart"/>
                  <w:tcBorders>
                    <w:tl2br w:val="nil"/>
                    <w:tr2bl w:val="nil"/>
                  </w:tcBorders>
                  <w:noWrap w:val="0"/>
                  <w:vAlign w:val="center"/>
                </w:tcPr>
                <w:p w14:paraId="2AA6580C">
                  <w:pPr>
                    <w:pStyle w:val="60"/>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废气治理</w:t>
                  </w:r>
                </w:p>
              </w:tc>
              <w:tc>
                <w:tcPr>
                  <w:tcW w:w="1293" w:type="pct"/>
                  <w:tcBorders>
                    <w:tl2br w:val="nil"/>
                    <w:tr2bl w:val="nil"/>
                  </w:tcBorders>
                  <w:noWrap w:val="0"/>
                  <w:vAlign w:val="center"/>
                </w:tcPr>
                <w:p w14:paraId="6D31073A">
                  <w:pPr>
                    <w:bidi w:val="0"/>
                    <w:jc w:val="left"/>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zh-CN"/>
                    </w:rPr>
                    <w:t>项目生产过程基本无废气产生，但有少量的粉尘外排。另职工食堂会产生油烟废气。</w:t>
                  </w:r>
                </w:p>
              </w:tc>
              <w:tc>
                <w:tcPr>
                  <w:tcW w:w="1369" w:type="pct"/>
                  <w:tcBorders>
                    <w:tl2br w:val="nil"/>
                    <w:tr2bl w:val="nil"/>
                  </w:tcBorders>
                  <w:noWrap w:val="0"/>
                  <w:vAlign w:val="center"/>
                </w:tcPr>
                <w:p w14:paraId="39E16D54">
                  <w:pPr>
                    <w:bidi w:val="0"/>
                    <w:jc w:val="center"/>
                    <w:rPr>
                      <w:rFonts w:hint="default" w:ascii="Times New Roman" w:hAnsi="Times New Roman" w:eastAsia="宋体" w:cs="Times New Roman"/>
                      <w:color w:val="auto"/>
                      <w:highlight w:val="none"/>
                      <w:lang w:val="zh-CN" w:eastAsia="zh-CN"/>
                    </w:rPr>
                  </w:pPr>
                  <w:r>
                    <w:rPr>
                      <w:rFonts w:hint="eastAsia" w:cs="Times New Roman"/>
                      <w:color w:val="auto"/>
                      <w:kern w:val="2"/>
                      <w:sz w:val="21"/>
                      <w:szCs w:val="24"/>
                      <w:highlight w:val="none"/>
                      <w:lang w:val="en-US" w:eastAsia="zh-CN" w:bidi="zh-CN"/>
                    </w:rPr>
                    <w:t>项目产生的喷漆废气通过集气罩收集</w:t>
                  </w:r>
                  <w:r>
                    <w:rPr>
                      <w:rFonts w:hint="default" w:ascii="Times New Roman" w:hAnsi="Times New Roman" w:eastAsia="宋体" w:cs="Times New Roman"/>
                      <w:color w:val="auto"/>
                      <w:kern w:val="2"/>
                      <w:sz w:val="21"/>
                      <w:szCs w:val="24"/>
                      <w:highlight w:val="none"/>
                      <w:lang w:val="en-US" w:eastAsia="zh-CN" w:bidi="zh-CN"/>
                    </w:rPr>
                    <w:t>+</w:t>
                  </w:r>
                  <w:r>
                    <w:rPr>
                      <w:rFonts w:hint="eastAsia" w:cs="Times New Roman"/>
                      <w:color w:val="auto"/>
                      <w:kern w:val="2"/>
                      <w:sz w:val="21"/>
                      <w:szCs w:val="24"/>
                      <w:highlight w:val="none"/>
                      <w:lang w:val="en-US" w:eastAsia="zh-CN" w:bidi="zh-CN"/>
                    </w:rPr>
                    <w:t>多级过滤+两级活性炭吸附装置</w:t>
                  </w:r>
                  <w:r>
                    <w:rPr>
                      <w:rFonts w:hint="default" w:ascii="Times New Roman" w:hAnsi="Times New Roman" w:eastAsia="宋体" w:cs="Times New Roman"/>
                      <w:color w:val="auto"/>
                      <w:kern w:val="2"/>
                      <w:sz w:val="21"/>
                      <w:szCs w:val="24"/>
                      <w:highlight w:val="none"/>
                      <w:lang w:val="en-US" w:eastAsia="zh-CN" w:bidi="zh-CN"/>
                    </w:rPr>
                    <w:t>+车间一根15m高排气筒（DA00</w:t>
                  </w:r>
                  <w:r>
                    <w:rPr>
                      <w:rFonts w:hint="eastAsia" w:cs="Times New Roman"/>
                      <w:color w:val="auto"/>
                      <w:kern w:val="2"/>
                      <w:sz w:val="21"/>
                      <w:szCs w:val="24"/>
                      <w:highlight w:val="none"/>
                      <w:lang w:val="en-US" w:eastAsia="zh-CN" w:bidi="zh-CN"/>
                    </w:rPr>
                    <w:t>2</w:t>
                  </w:r>
                  <w:r>
                    <w:rPr>
                      <w:rFonts w:hint="default" w:ascii="Times New Roman" w:hAnsi="Times New Roman" w:eastAsia="宋体" w:cs="Times New Roman"/>
                      <w:color w:val="auto"/>
                      <w:kern w:val="2"/>
                      <w:sz w:val="21"/>
                      <w:szCs w:val="24"/>
                      <w:highlight w:val="none"/>
                      <w:lang w:val="en-US" w:eastAsia="zh-CN" w:bidi="zh-CN"/>
                    </w:rPr>
                    <w:t>）排放</w:t>
                  </w:r>
                  <w:r>
                    <w:rPr>
                      <w:rFonts w:hint="eastAsia" w:cs="Times New Roman"/>
                      <w:color w:val="auto"/>
                      <w:kern w:val="2"/>
                      <w:sz w:val="21"/>
                      <w:szCs w:val="24"/>
                      <w:highlight w:val="none"/>
                      <w:lang w:val="en-US" w:eastAsia="zh-CN" w:bidi="zh-CN"/>
                    </w:rPr>
                    <w:t>。</w:t>
                  </w:r>
                </w:p>
              </w:tc>
              <w:tc>
                <w:tcPr>
                  <w:tcW w:w="588" w:type="pct"/>
                  <w:tcBorders>
                    <w:tl2br w:val="nil"/>
                    <w:tr2bl w:val="nil"/>
                  </w:tcBorders>
                  <w:noWrap w:val="0"/>
                  <w:vAlign w:val="center"/>
                </w:tcPr>
                <w:p w14:paraId="1A84FD5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新增</w:t>
                  </w:r>
                  <w:r>
                    <w:rPr>
                      <w:rFonts w:hint="eastAsia" w:cs="Times New Roman"/>
                      <w:color w:val="auto"/>
                      <w:highlight w:val="none"/>
                      <w:lang w:val="en-US" w:eastAsia="zh-CN"/>
                    </w:rPr>
                    <w:t>喷漆废气及废气处理设施</w:t>
                  </w:r>
                </w:p>
              </w:tc>
              <w:tc>
                <w:tcPr>
                  <w:tcW w:w="662" w:type="pct"/>
                  <w:tcBorders>
                    <w:tl2br w:val="nil"/>
                    <w:tr2bl w:val="nil"/>
                  </w:tcBorders>
                  <w:noWrap w:val="0"/>
                  <w:vAlign w:val="center"/>
                </w:tcPr>
                <w:p w14:paraId="4CBCCCDD">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新建</w:t>
                  </w:r>
                </w:p>
              </w:tc>
            </w:tr>
            <w:tr w14:paraId="4E8F18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20" w:type="pct"/>
                  <w:vMerge w:val="continue"/>
                  <w:tcBorders>
                    <w:tl2br w:val="nil"/>
                    <w:tr2bl w:val="nil"/>
                  </w:tcBorders>
                  <w:noWrap w:val="0"/>
                  <w:vAlign w:val="center"/>
                </w:tcPr>
                <w:p w14:paraId="14894EFA">
                  <w:pPr>
                    <w:pStyle w:val="60"/>
                    <w:bidi w:val="0"/>
                    <w:rPr>
                      <w:rFonts w:hint="default" w:ascii="Times New Roman" w:hAnsi="Times New Roman" w:eastAsia="宋体" w:cs="Times New Roman"/>
                      <w:color w:val="auto"/>
                      <w:kern w:val="2"/>
                      <w:sz w:val="21"/>
                      <w:szCs w:val="24"/>
                      <w:highlight w:val="none"/>
                      <w:lang w:val="zh-CN" w:eastAsia="zh-CN" w:bidi="zh-CN"/>
                    </w:rPr>
                  </w:pPr>
                </w:p>
              </w:tc>
              <w:tc>
                <w:tcPr>
                  <w:tcW w:w="766" w:type="pct"/>
                  <w:vMerge w:val="continue"/>
                  <w:tcBorders>
                    <w:tl2br w:val="nil"/>
                    <w:tr2bl w:val="nil"/>
                  </w:tcBorders>
                  <w:noWrap w:val="0"/>
                  <w:vAlign w:val="center"/>
                </w:tcPr>
                <w:p w14:paraId="134D48DB">
                  <w:pPr>
                    <w:pStyle w:val="60"/>
                    <w:bidi w:val="0"/>
                    <w:rPr>
                      <w:rFonts w:hint="default" w:ascii="Times New Roman" w:hAnsi="Times New Roman" w:eastAsia="宋体" w:cs="Times New Roman"/>
                      <w:color w:val="auto"/>
                      <w:kern w:val="2"/>
                      <w:sz w:val="21"/>
                      <w:szCs w:val="24"/>
                      <w:highlight w:val="none"/>
                      <w:lang w:val="zh-CN" w:eastAsia="zh-CN" w:bidi="zh-CN"/>
                    </w:rPr>
                  </w:pPr>
                </w:p>
              </w:tc>
              <w:tc>
                <w:tcPr>
                  <w:tcW w:w="1293" w:type="pct"/>
                  <w:tcBorders>
                    <w:tl2br w:val="nil"/>
                    <w:tr2bl w:val="nil"/>
                  </w:tcBorders>
                  <w:noWrap w:val="0"/>
                  <w:vAlign w:val="center"/>
                </w:tcPr>
                <w:p w14:paraId="4605B70B">
                  <w:pPr>
                    <w:bidi w:val="0"/>
                    <w:jc w:val="left"/>
                    <w:rPr>
                      <w:rFonts w:hint="eastAsia" w:cs="Times New Roman"/>
                      <w:color w:val="auto"/>
                      <w:kern w:val="2"/>
                      <w:sz w:val="21"/>
                      <w:szCs w:val="24"/>
                      <w:highlight w:val="none"/>
                      <w:lang w:val="en-US" w:eastAsia="zh-CN" w:bidi="zh-CN"/>
                    </w:rPr>
                  </w:pPr>
                  <w:r>
                    <w:rPr>
                      <w:rFonts w:hint="eastAsia" w:cs="Times New Roman"/>
                      <w:color w:val="auto"/>
                      <w:kern w:val="2"/>
                      <w:sz w:val="21"/>
                      <w:szCs w:val="24"/>
                      <w:highlight w:val="none"/>
                      <w:lang w:val="en-US" w:eastAsia="zh-CN" w:bidi="zh-CN"/>
                    </w:rPr>
                    <w:t>食堂油烟管道高度达15米，未安装油烟净化器。</w:t>
                  </w:r>
                </w:p>
              </w:tc>
              <w:tc>
                <w:tcPr>
                  <w:tcW w:w="1369" w:type="pct"/>
                  <w:tcBorders>
                    <w:tl2br w:val="nil"/>
                    <w:tr2bl w:val="nil"/>
                  </w:tcBorders>
                  <w:noWrap w:val="0"/>
                  <w:vAlign w:val="center"/>
                </w:tcPr>
                <w:p w14:paraId="7A65A00B">
                  <w:pPr>
                    <w:bidi w:val="0"/>
                    <w:jc w:val="left"/>
                    <w:rPr>
                      <w:rFonts w:hint="eastAsia" w:cs="Times New Roman"/>
                      <w:color w:val="auto"/>
                      <w:kern w:val="2"/>
                      <w:sz w:val="21"/>
                      <w:szCs w:val="24"/>
                      <w:highlight w:val="none"/>
                      <w:lang w:val="en-US" w:eastAsia="zh-CN" w:bidi="zh-CN"/>
                    </w:rPr>
                  </w:pPr>
                  <w:r>
                    <w:rPr>
                      <w:rFonts w:hint="eastAsia" w:cs="Times New Roman"/>
                      <w:color w:val="auto"/>
                      <w:kern w:val="2"/>
                      <w:sz w:val="21"/>
                      <w:szCs w:val="24"/>
                      <w:highlight w:val="none"/>
                      <w:lang w:val="en-US" w:eastAsia="zh-CN" w:bidi="zh-CN"/>
                    </w:rPr>
                    <w:t>食堂油烟经油烟净化器处理后经15m高烟管排放。</w:t>
                  </w:r>
                </w:p>
              </w:tc>
              <w:tc>
                <w:tcPr>
                  <w:tcW w:w="588" w:type="pct"/>
                  <w:tcBorders>
                    <w:tl2br w:val="nil"/>
                    <w:tr2bl w:val="nil"/>
                  </w:tcBorders>
                  <w:noWrap w:val="0"/>
                  <w:vAlign w:val="center"/>
                </w:tcPr>
                <w:p w14:paraId="6EF32EF7">
                  <w:pPr>
                    <w:bidi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新增油烟净化器</w:t>
                  </w:r>
                </w:p>
              </w:tc>
              <w:tc>
                <w:tcPr>
                  <w:tcW w:w="662" w:type="pct"/>
                  <w:tcBorders>
                    <w:tl2br w:val="nil"/>
                    <w:tr2bl w:val="nil"/>
                  </w:tcBorders>
                  <w:noWrap w:val="0"/>
                  <w:vAlign w:val="center"/>
                </w:tcPr>
                <w:p w14:paraId="5F641803">
                  <w:pPr>
                    <w:bidi w:val="0"/>
                    <w:jc w:val="center"/>
                    <w:rPr>
                      <w:rFonts w:hint="eastAsia" w:cs="Times New Roman"/>
                      <w:color w:val="auto"/>
                      <w:highlight w:val="none"/>
                      <w:lang w:val="en-US" w:eastAsia="zh-CN"/>
                    </w:rPr>
                  </w:pPr>
                  <w:r>
                    <w:rPr>
                      <w:rFonts w:hint="eastAsia" w:cs="Times New Roman"/>
                      <w:color w:val="auto"/>
                      <w:highlight w:val="none"/>
                      <w:lang w:val="en-US" w:eastAsia="zh-CN"/>
                    </w:rPr>
                    <w:t>新建</w:t>
                  </w:r>
                </w:p>
              </w:tc>
            </w:tr>
            <w:tr w14:paraId="650C37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0DD78BCF">
                  <w:pPr>
                    <w:pStyle w:val="60"/>
                    <w:bidi w:val="0"/>
                    <w:rPr>
                      <w:rFonts w:hint="default" w:ascii="Times New Roman" w:hAnsi="Times New Roman" w:eastAsia="宋体" w:cs="Times New Roman"/>
                      <w:color w:val="auto"/>
                      <w:kern w:val="2"/>
                      <w:sz w:val="21"/>
                      <w:szCs w:val="24"/>
                      <w:highlight w:val="none"/>
                      <w:lang w:val="zh-CN" w:eastAsia="zh-CN" w:bidi="zh-CN"/>
                    </w:rPr>
                  </w:pPr>
                </w:p>
              </w:tc>
              <w:tc>
                <w:tcPr>
                  <w:tcW w:w="766" w:type="pct"/>
                  <w:vMerge w:val="restart"/>
                  <w:tcBorders>
                    <w:tl2br w:val="nil"/>
                    <w:tr2bl w:val="nil"/>
                  </w:tcBorders>
                  <w:noWrap w:val="0"/>
                  <w:vAlign w:val="center"/>
                </w:tcPr>
                <w:p w14:paraId="2E773E67">
                  <w:pPr>
                    <w:pStyle w:val="60"/>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废水治理</w:t>
                  </w:r>
                </w:p>
              </w:tc>
              <w:tc>
                <w:tcPr>
                  <w:tcW w:w="1293" w:type="pct"/>
                  <w:tcBorders>
                    <w:tl2br w:val="nil"/>
                    <w:tr2bl w:val="nil"/>
                  </w:tcBorders>
                  <w:noWrap w:val="0"/>
                  <w:vAlign w:val="center"/>
                </w:tcPr>
                <w:p w14:paraId="2849653D">
                  <w:pPr>
                    <w:bidi w:val="0"/>
                    <w:jc w:val="both"/>
                    <w:rPr>
                      <w:rFonts w:hint="default"/>
                      <w:color w:val="auto"/>
                      <w:lang w:val="en-US" w:eastAsia="zh-CN"/>
                    </w:rPr>
                  </w:pPr>
                  <w:r>
                    <w:rPr>
                      <w:rFonts w:hint="default" w:ascii="Times New Roman" w:hAnsi="Times New Roman" w:eastAsia="宋体" w:cs="Times New Roman"/>
                      <w:color w:val="auto"/>
                      <w:kern w:val="2"/>
                      <w:sz w:val="21"/>
                      <w:szCs w:val="24"/>
                      <w:highlight w:val="none"/>
                      <w:lang w:val="zh-CN" w:eastAsia="zh-CN" w:bidi="ar-SA"/>
                    </w:rPr>
                    <w:t>生活污水经</w:t>
                  </w:r>
                  <w:r>
                    <w:rPr>
                      <w:rFonts w:hint="eastAsia" w:cs="Times New Roman"/>
                      <w:color w:val="auto"/>
                      <w:kern w:val="2"/>
                      <w:sz w:val="21"/>
                      <w:szCs w:val="24"/>
                      <w:highlight w:val="none"/>
                      <w:lang w:val="zh-CN" w:eastAsia="zh-CN" w:bidi="ar-SA"/>
                    </w:rPr>
                    <w:t>化粪池</w:t>
                  </w:r>
                  <w:r>
                    <w:rPr>
                      <w:rFonts w:hint="default" w:ascii="Times New Roman" w:hAnsi="Times New Roman" w:eastAsia="宋体" w:cs="Times New Roman"/>
                      <w:color w:val="auto"/>
                      <w:kern w:val="2"/>
                      <w:sz w:val="21"/>
                      <w:szCs w:val="24"/>
                      <w:highlight w:val="none"/>
                      <w:lang w:val="zh-CN" w:eastAsia="zh-CN" w:bidi="ar-SA"/>
                    </w:rPr>
                    <w:t>+地埋式处理设施处理，处理达到《污水综合排放标准》（GB8978-1996）表4中的一级标准后，排入污水管网排入锦江。</w:t>
                  </w:r>
                </w:p>
              </w:tc>
              <w:tc>
                <w:tcPr>
                  <w:tcW w:w="1369" w:type="pct"/>
                  <w:tcBorders>
                    <w:tl2br w:val="nil"/>
                    <w:tr2bl w:val="nil"/>
                  </w:tcBorders>
                  <w:noWrap w:val="0"/>
                  <w:vAlign w:val="center"/>
                </w:tcPr>
                <w:p w14:paraId="616AA9F2">
                  <w:pPr>
                    <w:bidi w:val="0"/>
                    <w:jc w:val="both"/>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项目</w:t>
                  </w:r>
                  <w:r>
                    <w:rPr>
                      <w:rFonts w:hint="default" w:ascii="Times New Roman" w:hAnsi="Times New Roman" w:eastAsia="宋体" w:cs="Times New Roman"/>
                      <w:color w:val="auto"/>
                      <w:kern w:val="2"/>
                      <w:sz w:val="21"/>
                      <w:szCs w:val="24"/>
                      <w:highlight w:val="none"/>
                      <w:lang w:val="en-US" w:eastAsia="zh-CN" w:bidi="zh-CN"/>
                    </w:rPr>
                    <w:t>生活污水经</w:t>
                  </w:r>
                  <w:r>
                    <w:rPr>
                      <w:rFonts w:hint="eastAsia" w:cs="Times New Roman"/>
                      <w:color w:val="auto"/>
                      <w:kern w:val="2"/>
                      <w:sz w:val="21"/>
                      <w:szCs w:val="24"/>
                      <w:highlight w:val="none"/>
                      <w:lang w:val="en-US" w:eastAsia="zh-CN" w:bidi="zh-CN"/>
                    </w:rPr>
                    <w:t>隔油池+化粪池预处理</w:t>
                  </w:r>
                  <w:r>
                    <w:rPr>
                      <w:rFonts w:hint="default" w:ascii="Times New Roman" w:hAnsi="Times New Roman" w:eastAsia="宋体" w:cs="Times New Roman"/>
                      <w:color w:val="auto"/>
                      <w:kern w:val="2"/>
                      <w:sz w:val="21"/>
                      <w:szCs w:val="24"/>
                      <w:highlight w:val="none"/>
                      <w:lang w:val="en-US" w:eastAsia="zh-CN" w:bidi="zh-CN"/>
                    </w:rPr>
                    <w:t>后，</w:t>
                  </w:r>
                  <w:r>
                    <w:rPr>
                      <w:rFonts w:hint="eastAsia" w:cs="Times New Roman"/>
                      <w:color w:val="auto"/>
                      <w:kern w:val="2"/>
                      <w:sz w:val="21"/>
                      <w:szCs w:val="24"/>
                      <w:highlight w:val="none"/>
                      <w:lang w:val="en-US" w:eastAsia="zh-CN" w:bidi="zh-CN"/>
                    </w:rPr>
                    <w:t>与经处理后的超声波清洗废水汇合</w:t>
                  </w:r>
                  <w:r>
                    <w:rPr>
                      <w:rFonts w:hint="default" w:ascii="Times New Roman" w:hAnsi="Times New Roman" w:eastAsia="宋体" w:cs="Times New Roman"/>
                      <w:color w:val="auto"/>
                      <w:kern w:val="2"/>
                      <w:sz w:val="21"/>
                      <w:szCs w:val="24"/>
                      <w:highlight w:val="none"/>
                      <w:lang w:val="en-US" w:eastAsia="zh-CN" w:bidi="zh-CN"/>
                    </w:rPr>
                    <w:t>通过市政管网排入高安市</w:t>
                  </w:r>
                  <w:r>
                    <w:rPr>
                      <w:rFonts w:hint="eastAsia" w:cs="Times New Roman"/>
                      <w:color w:val="auto"/>
                      <w:kern w:val="2"/>
                      <w:sz w:val="21"/>
                      <w:szCs w:val="24"/>
                      <w:highlight w:val="none"/>
                      <w:lang w:val="en-US" w:eastAsia="zh-CN" w:bidi="zh-CN"/>
                    </w:rPr>
                    <w:t>工业园</w:t>
                  </w:r>
                  <w:r>
                    <w:rPr>
                      <w:rFonts w:hint="default" w:ascii="Times New Roman" w:hAnsi="Times New Roman" w:eastAsia="宋体" w:cs="Times New Roman"/>
                      <w:color w:val="auto"/>
                      <w:kern w:val="2"/>
                      <w:sz w:val="21"/>
                      <w:szCs w:val="24"/>
                      <w:highlight w:val="none"/>
                      <w:lang w:val="en-US" w:eastAsia="zh-CN" w:bidi="zh-CN"/>
                    </w:rPr>
                    <w:t>污水处理厂处理</w:t>
                  </w:r>
                  <w:r>
                    <w:rPr>
                      <w:rFonts w:hint="eastAsia" w:cs="Times New Roman"/>
                      <w:color w:val="auto"/>
                      <w:kern w:val="2"/>
                      <w:sz w:val="21"/>
                      <w:szCs w:val="24"/>
                      <w:highlight w:val="none"/>
                      <w:lang w:val="en-US" w:eastAsia="zh-CN" w:bidi="zh-CN"/>
                    </w:rPr>
                    <w:t>。</w:t>
                  </w:r>
                </w:p>
              </w:tc>
              <w:tc>
                <w:tcPr>
                  <w:tcW w:w="588" w:type="pct"/>
                  <w:tcBorders>
                    <w:tl2br w:val="nil"/>
                    <w:tr2bl w:val="nil"/>
                  </w:tcBorders>
                  <w:noWrap w:val="0"/>
                  <w:vAlign w:val="center"/>
                </w:tcPr>
                <w:p w14:paraId="204D4A1B">
                  <w:pPr>
                    <w:bidi w:val="0"/>
                    <w:jc w:val="left"/>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员工减少，</w:t>
                  </w:r>
                  <w:r>
                    <w:rPr>
                      <w:rFonts w:hint="default" w:ascii="Times New Roman" w:hAnsi="Times New Roman" w:eastAsia="宋体" w:cs="Times New Roman"/>
                      <w:color w:val="auto"/>
                      <w:highlight w:val="none"/>
                      <w:lang w:val="en-US" w:eastAsia="zh-CN"/>
                    </w:rPr>
                    <w:t>生活污水量</w:t>
                  </w:r>
                  <w:r>
                    <w:rPr>
                      <w:rFonts w:hint="eastAsia" w:cs="Times New Roman"/>
                      <w:color w:val="auto"/>
                      <w:highlight w:val="none"/>
                      <w:lang w:val="en-US" w:eastAsia="zh-CN"/>
                    </w:rPr>
                    <w:t>减少。</w:t>
                  </w:r>
                </w:p>
              </w:tc>
              <w:tc>
                <w:tcPr>
                  <w:tcW w:w="662" w:type="pct"/>
                  <w:tcBorders>
                    <w:tl2br w:val="nil"/>
                    <w:tr2bl w:val="nil"/>
                  </w:tcBorders>
                  <w:noWrap w:val="0"/>
                  <w:vAlign w:val="center"/>
                </w:tcPr>
                <w:p w14:paraId="469E5282">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依托现有处理设施</w:t>
                  </w:r>
                </w:p>
              </w:tc>
            </w:tr>
            <w:tr w14:paraId="126414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6E488087">
                  <w:pPr>
                    <w:pStyle w:val="60"/>
                    <w:bidi w:val="0"/>
                    <w:rPr>
                      <w:rFonts w:hint="default" w:ascii="Times New Roman" w:hAnsi="Times New Roman" w:eastAsia="宋体" w:cs="Times New Roman"/>
                      <w:color w:val="auto"/>
                      <w:kern w:val="2"/>
                      <w:sz w:val="21"/>
                      <w:szCs w:val="24"/>
                      <w:highlight w:val="none"/>
                      <w:lang w:val="zh-CN" w:eastAsia="zh-CN" w:bidi="zh-CN"/>
                    </w:rPr>
                  </w:pPr>
                </w:p>
              </w:tc>
              <w:tc>
                <w:tcPr>
                  <w:tcW w:w="766" w:type="pct"/>
                  <w:vMerge w:val="continue"/>
                  <w:tcBorders>
                    <w:tl2br w:val="nil"/>
                    <w:tr2bl w:val="nil"/>
                  </w:tcBorders>
                  <w:noWrap w:val="0"/>
                  <w:vAlign w:val="center"/>
                </w:tcPr>
                <w:p w14:paraId="31F12F3B">
                  <w:pPr>
                    <w:pStyle w:val="60"/>
                    <w:bidi w:val="0"/>
                    <w:rPr>
                      <w:rFonts w:hint="default" w:ascii="Times New Roman" w:hAnsi="Times New Roman" w:eastAsia="宋体" w:cs="Times New Roman"/>
                      <w:color w:val="auto"/>
                      <w:kern w:val="2"/>
                      <w:sz w:val="21"/>
                      <w:szCs w:val="24"/>
                      <w:highlight w:val="none"/>
                      <w:lang w:val="zh-CN" w:eastAsia="zh-CN" w:bidi="zh-CN"/>
                    </w:rPr>
                  </w:pPr>
                </w:p>
              </w:tc>
              <w:tc>
                <w:tcPr>
                  <w:tcW w:w="1293" w:type="pct"/>
                  <w:tcBorders>
                    <w:tl2br w:val="nil"/>
                    <w:tr2bl w:val="nil"/>
                  </w:tcBorders>
                  <w:noWrap w:val="0"/>
                  <w:vAlign w:val="center"/>
                </w:tcPr>
                <w:p w14:paraId="098C57D9">
                  <w:pPr>
                    <w:bidi w:val="0"/>
                    <w:jc w:val="both"/>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超声波清洗用水回用</w:t>
                  </w:r>
                </w:p>
              </w:tc>
              <w:tc>
                <w:tcPr>
                  <w:tcW w:w="1369" w:type="pct"/>
                  <w:tcBorders>
                    <w:tl2br w:val="nil"/>
                    <w:tr2bl w:val="nil"/>
                  </w:tcBorders>
                  <w:noWrap w:val="0"/>
                  <w:vAlign w:val="center"/>
                </w:tcPr>
                <w:p w14:paraId="2595826A">
                  <w:pPr>
                    <w:bidi w:val="0"/>
                    <w:jc w:val="both"/>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超声波清洗废水经一体化污水处理设施</w:t>
                  </w:r>
                  <w:r>
                    <w:rPr>
                      <w:rFonts w:hint="eastAsia" w:cs="Times New Roman"/>
                      <w:color w:val="auto"/>
                      <w:kern w:val="2"/>
                      <w:sz w:val="21"/>
                      <w:szCs w:val="24"/>
                      <w:highlight w:val="none"/>
                      <w:lang w:val="en-US" w:eastAsia="zh-CN" w:bidi="ar-SA"/>
                    </w:rPr>
                    <w:t>（3m</w:t>
                  </w:r>
                  <w:r>
                    <w:rPr>
                      <w:rFonts w:hint="eastAsia" w:cs="Times New Roman"/>
                      <w:color w:val="auto"/>
                      <w:kern w:val="2"/>
                      <w:sz w:val="21"/>
                      <w:szCs w:val="24"/>
                      <w:highlight w:val="none"/>
                      <w:vertAlign w:val="superscript"/>
                      <w:lang w:val="en-US" w:eastAsia="zh-CN" w:bidi="ar-SA"/>
                    </w:rPr>
                    <w:t>3</w:t>
                  </w:r>
                  <w:r>
                    <w:rPr>
                      <w:rFonts w:hint="eastAsia" w:cs="Times New Roman"/>
                      <w:color w:val="auto"/>
                      <w:kern w:val="2"/>
                      <w:sz w:val="21"/>
                      <w:szCs w:val="24"/>
                      <w:highlight w:val="none"/>
                      <w:lang w:val="en-US" w:eastAsia="zh-CN" w:bidi="ar-SA"/>
                    </w:rPr>
                    <w:t>/d）</w:t>
                  </w:r>
                  <w:r>
                    <w:rPr>
                      <w:rFonts w:hint="eastAsia" w:ascii="Times New Roman" w:hAnsi="Times New Roman" w:eastAsia="宋体" w:cs="Times New Roman"/>
                      <w:color w:val="auto"/>
                      <w:kern w:val="2"/>
                      <w:sz w:val="21"/>
                      <w:szCs w:val="24"/>
                      <w:highlight w:val="none"/>
                      <w:lang w:val="en-US" w:eastAsia="zh-CN" w:bidi="ar-SA"/>
                    </w:rPr>
                    <w:t>处理达到污水处理厂纳管标准后与生活污水汇合通过</w:t>
                  </w:r>
                  <w:r>
                    <w:rPr>
                      <w:rFonts w:hint="default" w:ascii="Times New Roman" w:hAnsi="Times New Roman" w:eastAsia="宋体" w:cs="Times New Roman"/>
                      <w:color w:val="auto"/>
                      <w:kern w:val="2"/>
                      <w:sz w:val="21"/>
                      <w:szCs w:val="24"/>
                      <w:highlight w:val="none"/>
                      <w:lang w:val="en-US" w:eastAsia="zh-CN" w:bidi="zh-CN"/>
                    </w:rPr>
                    <w:t>市政管网排入高安市</w:t>
                  </w:r>
                  <w:r>
                    <w:rPr>
                      <w:rFonts w:hint="eastAsia" w:cs="Times New Roman"/>
                      <w:color w:val="auto"/>
                      <w:kern w:val="2"/>
                      <w:sz w:val="21"/>
                      <w:szCs w:val="24"/>
                      <w:highlight w:val="none"/>
                      <w:lang w:val="en-US" w:eastAsia="zh-CN" w:bidi="zh-CN"/>
                    </w:rPr>
                    <w:t>工业园</w:t>
                  </w:r>
                  <w:r>
                    <w:rPr>
                      <w:rFonts w:hint="default" w:ascii="Times New Roman" w:hAnsi="Times New Roman" w:eastAsia="宋体" w:cs="Times New Roman"/>
                      <w:color w:val="auto"/>
                      <w:kern w:val="2"/>
                      <w:sz w:val="21"/>
                      <w:szCs w:val="24"/>
                      <w:highlight w:val="none"/>
                      <w:lang w:val="en-US" w:eastAsia="zh-CN" w:bidi="zh-CN"/>
                    </w:rPr>
                    <w:t>污水处理厂处理</w:t>
                  </w:r>
                  <w:r>
                    <w:rPr>
                      <w:rFonts w:hint="eastAsia" w:cs="Times New Roman"/>
                      <w:color w:val="auto"/>
                      <w:kern w:val="2"/>
                      <w:sz w:val="21"/>
                      <w:szCs w:val="24"/>
                      <w:highlight w:val="none"/>
                      <w:lang w:val="en-US" w:eastAsia="zh-CN" w:bidi="zh-CN"/>
                    </w:rPr>
                    <w:t>。</w:t>
                  </w:r>
                </w:p>
              </w:tc>
              <w:tc>
                <w:tcPr>
                  <w:tcW w:w="588" w:type="pct"/>
                  <w:tcBorders>
                    <w:tl2br w:val="nil"/>
                    <w:tr2bl w:val="nil"/>
                  </w:tcBorders>
                  <w:noWrap w:val="0"/>
                  <w:vAlign w:val="center"/>
                </w:tcPr>
                <w:p w14:paraId="4E290361">
                  <w:pPr>
                    <w:bidi w:val="0"/>
                    <w:jc w:val="left"/>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超声波清洗废水排放</w:t>
                  </w:r>
                </w:p>
              </w:tc>
              <w:tc>
                <w:tcPr>
                  <w:tcW w:w="662" w:type="pct"/>
                  <w:tcBorders>
                    <w:tl2br w:val="nil"/>
                    <w:tr2bl w:val="nil"/>
                  </w:tcBorders>
                  <w:noWrap w:val="0"/>
                  <w:vAlign w:val="center"/>
                </w:tcPr>
                <w:p w14:paraId="1CB82027">
                  <w:pPr>
                    <w:bidi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新增污水处理设施</w:t>
                  </w:r>
                </w:p>
              </w:tc>
            </w:tr>
            <w:tr w14:paraId="76D04C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3D65AAB1">
                  <w:pPr>
                    <w:pStyle w:val="60"/>
                    <w:bidi w:val="0"/>
                    <w:rPr>
                      <w:rFonts w:hint="default" w:ascii="Times New Roman" w:hAnsi="Times New Roman" w:eastAsia="宋体" w:cs="Times New Roman"/>
                      <w:color w:val="auto"/>
                      <w:highlight w:val="none"/>
                      <w:lang w:val="zh-CN"/>
                    </w:rPr>
                  </w:pPr>
                </w:p>
              </w:tc>
              <w:tc>
                <w:tcPr>
                  <w:tcW w:w="766" w:type="pct"/>
                  <w:tcBorders>
                    <w:tl2br w:val="nil"/>
                    <w:tr2bl w:val="nil"/>
                  </w:tcBorders>
                  <w:noWrap w:val="0"/>
                  <w:vAlign w:val="center"/>
                </w:tcPr>
                <w:p w14:paraId="3C9F3D56">
                  <w:pPr>
                    <w:pStyle w:val="60"/>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噪声治理</w:t>
                  </w:r>
                </w:p>
              </w:tc>
              <w:tc>
                <w:tcPr>
                  <w:tcW w:w="1293" w:type="pct"/>
                  <w:tcBorders>
                    <w:tl2br w:val="nil"/>
                    <w:tr2bl w:val="nil"/>
                  </w:tcBorders>
                  <w:noWrap w:val="0"/>
                  <w:vAlign w:val="center"/>
                </w:tcPr>
                <w:p w14:paraId="755D100E">
                  <w:pPr>
                    <w:adjustRightInd w:val="0"/>
                    <w:snapToGrid w:val="0"/>
                    <w:jc w:val="left"/>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r>
                    <w:rPr>
                      <w:rFonts w:hint="eastAsia" w:cs="Times New Roman"/>
                      <w:color w:val="auto"/>
                      <w:sz w:val="21"/>
                      <w:szCs w:val="21"/>
                      <w:highlight w:val="none"/>
                      <w:lang w:eastAsia="zh-CN"/>
                    </w:rPr>
                    <w:t>。</w:t>
                  </w:r>
                </w:p>
              </w:tc>
              <w:tc>
                <w:tcPr>
                  <w:tcW w:w="1369" w:type="pct"/>
                  <w:tcBorders>
                    <w:tl2br w:val="nil"/>
                    <w:tr2bl w:val="nil"/>
                  </w:tcBorders>
                  <w:noWrap w:val="0"/>
                  <w:vAlign w:val="center"/>
                </w:tcPr>
                <w:p w14:paraId="144BE4BC">
                  <w:pPr>
                    <w:bidi w:val="0"/>
                    <w:jc w:val="left"/>
                    <w:rPr>
                      <w:rFonts w:hint="eastAsia"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r>
                    <w:rPr>
                      <w:rFonts w:hint="eastAsia" w:cs="Times New Roman"/>
                      <w:color w:val="auto"/>
                      <w:sz w:val="21"/>
                      <w:szCs w:val="21"/>
                      <w:highlight w:val="none"/>
                      <w:lang w:eastAsia="zh-CN"/>
                    </w:rPr>
                    <w:t>。</w:t>
                  </w:r>
                </w:p>
              </w:tc>
              <w:tc>
                <w:tcPr>
                  <w:tcW w:w="588" w:type="pct"/>
                  <w:tcBorders>
                    <w:tl2br w:val="nil"/>
                    <w:tr2bl w:val="nil"/>
                  </w:tcBorders>
                  <w:noWrap w:val="0"/>
                  <w:vAlign w:val="center"/>
                </w:tcPr>
                <w:p w14:paraId="4E06E368">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662" w:type="pct"/>
                  <w:tcBorders>
                    <w:tl2br w:val="nil"/>
                    <w:tr2bl w:val="nil"/>
                  </w:tcBorders>
                  <w:noWrap w:val="0"/>
                  <w:vAlign w:val="center"/>
                </w:tcPr>
                <w:p w14:paraId="198CBB78">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r w14:paraId="06D589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0A97CE34">
                  <w:pPr>
                    <w:pStyle w:val="60"/>
                    <w:bidi w:val="0"/>
                    <w:rPr>
                      <w:rFonts w:hint="default" w:ascii="Times New Roman" w:hAnsi="Times New Roman" w:eastAsia="宋体" w:cs="Times New Roman"/>
                      <w:color w:val="auto"/>
                      <w:highlight w:val="none"/>
                      <w:lang w:val="zh-CN"/>
                    </w:rPr>
                  </w:pPr>
                </w:p>
              </w:tc>
              <w:tc>
                <w:tcPr>
                  <w:tcW w:w="766" w:type="pct"/>
                  <w:tcBorders>
                    <w:tl2br w:val="nil"/>
                    <w:tr2bl w:val="nil"/>
                  </w:tcBorders>
                  <w:noWrap w:val="0"/>
                  <w:vAlign w:val="center"/>
                </w:tcPr>
                <w:p w14:paraId="134D16A6">
                  <w:pPr>
                    <w:pStyle w:val="60"/>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固废贮存</w:t>
                  </w:r>
                </w:p>
              </w:tc>
              <w:tc>
                <w:tcPr>
                  <w:tcW w:w="1293" w:type="pct"/>
                  <w:tcBorders>
                    <w:tl2br w:val="nil"/>
                    <w:tr2bl w:val="nil"/>
                  </w:tcBorders>
                  <w:noWrap w:val="0"/>
                  <w:vAlign w:val="center"/>
                </w:tcPr>
                <w:p w14:paraId="7752D53C">
                  <w:pPr>
                    <w:adjustRightInd w:val="0"/>
                    <w:snapToGrid w:val="0"/>
                    <w:jc w:val="left"/>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highlight w:val="none"/>
                      <w:lang w:val="zh-CN" w:eastAsia="zh-CN"/>
                    </w:rPr>
                    <w:t>一般固废暂存间（</w:t>
                  </w:r>
                  <w:r>
                    <w:rPr>
                      <w:rFonts w:hint="eastAsia" w:cs="Times New Roman"/>
                      <w:color w:val="0000FF"/>
                      <w:highlight w:val="none"/>
                      <w:lang w:val="en-US" w:eastAsia="zh-CN"/>
                    </w:rPr>
                    <w:t>5</w:t>
                  </w:r>
                  <w:r>
                    <w:rPr>
                      <w:rFonts w:hint="default" w:ascii="Times New Roman" w:hAnsi="Times New Roman" w:eastAsia="宋体" w:cs="Times New Roman"/>
                      <w:color w:val="0000FF"/>
                      <w:highlight w:val="none"/>
                      <w:lang w:val="zh-CN" w:eastAsia="zh-CN"/>
                    </w:rPr>
                    <w:t>0</w:t>
                  </w:r>
                  <w:r>
                    <w:rPr>
                      <w:rFonts w:hint="default" w:ascii="Times New Roman" w:hAnsi="Times New Roman" w:eastAsia="宋体" w:cs="Times New Roman"/>
                      <w:color w:val="0000FF"/>
                      <w:highlight w:val="none"/>
                      <w:lang w:val="en-US" w:eastAsia="zh-CN"/>
                    </w:rPr>
                    <w:t>m</w:t>
                  </w:r>
                  <w:r>
                    <w:rPr>
                      <w:rFonts w:hint="default" w:ascii="Times New Roman" w:hAnsi="Times New Roman" w:eastAsia="宋体" w:cs="Times New Roman"/>
                      <w:color w:val="0000FF"/>
                      <w:highlight w:val="none"/>
                      <w:vertAlign w:val="superscript"/>
                      <w:lang w:val="en-US" w:eastAsia="zh-CN"/>
                    </w:rPr>
                    <w:t>2</w:t>
                  </w:r>
                  <w:r>
                    <w:rPr>
                      <w:rFonts w:hint="default" w:ascii="Times New Roman" w:hAnsi="Times New Roman" w:eastAsia="宋体" w:cs="Times New Roman"/>
                      <w:color w:val="0000FF"/>
                      <w:highlight w:val="none"/>
                      <w:lang w:val="zh-CN" w:eastAsia="zh-CN"/>
                    </w:rPr>
                    <w:t>）</w:t>
                  </w:r>
                  <w:r>
                    <w:rPr>
                      <w:rFonts w:hint="eastAsia" w:cs="Times New Roman"/>
                      <w:color w:val="0000FF"/>
                      <w:highlight w:val="none"/>
                      <w:lang w:val="zh-CN" w:eastAsia="zh-CN"/>
                    </w:rPr>
                    <w:t>，</w:t>
                  </w:r>
                  <w:r>
                    <w:rPr>
                      <w:rFonts w:hint="eastAsia" w:cs="Times New Roman"/>
                      <w:color w:val="0000FF"/>
                      <w:highlight w:val="none"/>
                      <w:lang w:val="en-US" w:eastAsia="zh-CN"/>
                    </w:rPr>
                    <w:t>设置在厂房5#西北部；</w:t>
                  </w:r>
                </w:p>
                <w:p w14:paraId="74DABB1D">
                  <w:pPr>
                    <w:adjustRightInd w:val="0"/>
                    <w:snapToGrid w:val="0"/>
                    <w:jc w:val="left"/>
                    <w:rPr>
                      <w:rFonts w:hint="default" w:ascii="Times New Roman" w:hAnsi="Times New Roman" w:eastAsia="宋体" w:cs="Times New Roman"/>
                      <w:color w:val="0000FF"/>
                      <w:highlight w:val="none"/>
                      <w:lang w:val="zh-CN" w:eastAsia="zh-CN"/>
                    </w:rPr>
                  </w:pPr>
                  <w:r>
                    <w:rPr>
                      <w:rFonts w:hint="default" w:ascii="Times New Roman" w:hAnsi="Times New Roman" w:eastAsia="宋体" w:cs="Times New Roman"/>
                      <w:color w:val="0000FF"/>
                      <w:highlight w:val="none"/>
                      <w:lang w:val="zh-CN" w:eastAsia="zh-CN"/>
                    </w:rPr>
                    <w:t>危险废物暂存间（</w:t>
                  </w:r>
                  <w:r>
                    <w:rPr>
                      <w:rFonts w:hint="eastAsia" w:cs="Times New Roman"/>
                      <w:color w:val="0000FF"/>
                      <w:highlight w:val="none"/>
                      <w:lang w:val="en-US" w:eastAsia="zh-CN"/>
                    </w:rPr>
                    <w:t>5</w:t>
                  </w:r>
                  <w:r>
                    <w:rPr>
                      <w:rFonts w:hint="default" w:ascii="Times New Roman" w:hAnsi="Times New Roman" w:eastAsia="宋体" w:cs="Times New Roman"/>
                      <w:color w:val="0000FF"/>
                      <w:highlight w:val="none"/>
                      <w:lang w:val="zh-CN" w:eastAsia="zh-CN"/>
                    </w:rPr>
                    <w:t>0</w:t>
                  </w:r>
                  <w:r>
                    <w:rPr>
                      <w:rFonts w:hint="default" w:ascii="Times New Roman" w:hAnsi="Times New Roman" w:eastAsia="宋体" w:cs="Times New Roman"/>
                      <w:color w:val="0000FF"/>
                      <w:highlight w:val="none"/>
                      <w:lang w:val="en-US" w:eastAsia="zh-CN"/>
                    </w:rPr>
                    <w:t>m</w:t>
                  </w:r>
                  <w:r>
                    <w:rPr>
                      <w:rFonts w:hint="default" w:ascii="Times New Roman" w:hAnsi="Times New Roman" w:eastAsia="宋体" w:cs="Times New Roman"/>
                      <w:color w:val="0000FF"/>
                      <w:highlight w:val="none"/>
                      <w:vertAlign w:val="superscript"/>
                      <w:lang w:val="en-US" w:eastAsia="zh-CN"/>
                    </w:rPr>
                    <w:t>2</w:t>
                  </w:r>
                  <w:r>
                    <w:rPr>
                      <w:rFonts w:hint="default" w:ascii="Times New Roman" w:hAnsi="Times New Roman" w:eastAsia="宋体" w:cs="Times New Roman"/>
                      <w:color w:val="0000FF"/>
                      <w:highlight w:val="none"/>
                      <w:lang w:val="zh-CN" w:eastAsia="zh-CN"/>
                    </w:rPr>
                    <w:t>），设置在</w:t>
                  </w:r>
                  <w:r>
                    <w:rPr>
                      <w:rFonts w:hint="eastAsia" w:cs="Times New Roman"/>
                      <w:color w:val="0000FF"/>
                      <w:highlight w:val="none"/>
                      <w:lang w:val="en-US" w:eastAsia="zh-CN"/>
                    </w:rPr>
                    <w:t>厂房4#西南部</w:t>
                  </w:r>
                  <w:r>
                    <w:rPr>
                      <w:rFonts w:hint="eastAsia" w:cs="Times New Roman"/>
                      <w:color w:val="0000FF"/>
                      <w:highlight w:val="none"/>
                      <w:lang w:val="zh-CN" w:eastAsia="zh-CN"/>
                    </w:rPr>
                    <w:t>。</w:t>
                  </w:r>
                </w:p>
              </w:tc>
              <w:tc>
                <w:tcPr>
                  <w:tcW w:w="1369" w:type="pct"/>
                  <w:tcBorders>
                    <w:tl2br w:val="nil"/>
                    <w:tr2bl w:val="nil"/>
                  </w:tcBorders>
                  <w:noWrap w:val="0"/>
                  <w:vAlign w:val="center"/>
                </w:tcPr>
                <w:p w14:paraId="2FEA421B">
                  <w:pPr>
                    <w:adjustRightInd w:val="0"/>
                    <w:snapToGrid w:val="0"/>
                    <w:jc w:val="left"/>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highlight w:val="none"/>
                      <w:lang w:val="zh-CN" w:eastAsia="zh-CN"/>
                    </w:rPr>
                    <w:t>一般固废暂存间（</w:t>
                  </w:r>
                  <w:r>
                    <w:rPr>
                      <w:rFonts w:hint="eastAsia" w:cs="Times New Roman"/>
                      <w:color w:val="0000FF"/>
                      <w:highlight w:val="none"/>
                      <w:lang w:val="en-US" w:eastAsia="zh-CN"/>
                    </w:rPr>
                    <w:t>5</w:t>
                  </w:r>
                  <w:r>
                    <w:rPr>
                      <w:rFonts w:hint="default" w:ascii="Times New Roman" w:hAnsi="Times New Roman" w:eastAsia="宋体" w:cs="Times New Roman"/>
                      <w:color w:val="0000FF"/>
                      <w:highlight w:val="none"/>
                      <w:lang w:val="zh-CN" w:eastAsia="zh-CN"/>
                    </w:rPr>
                    <w:t>0</w:t>
                  </w:r>
                  <w:r>
                    <w:rPr>
                      <w:rFonts w:hint="default" w:ascii="Times New Roman" w:hAnsi="Times New Roman" w:eastAsia="宋体" w:cs="Times New Roman"/>
                      <w:color w:val="0000FF"/>
                      <w:highlight w:val="none"/>
                      <w:lang w:val="en-US" w:eastAsia="zh-CN"/>
                    </w:rPr>
                    <w:t>m</w:t>
                  </w:r>
                  <w:r>
                    <w:rPr>
                      <w:rFonts w:hint="default" w:ascii="Times New Roman" w:hAnsi="Times New Roman" w:eastAsia="宋体" w:cs="Times New Roman"/>
                      <w:color w:val="0000FF"/>
                      <w:highlight w:val="none"/>
                      <w:vertAlign w:val="superscript"/>
                      <w:lang w:val="en-US" w:eastAsia="zh-CN"/>
                    </w:rPr>
                    <w:t>2</w:t>
                  </w:r>
                  <w:r>
                    <w:rPr>
                      <w:rFonts w:hint="default" w:ascii="Times New Roman" w:hAnsi="Times New Roman" w:eastAsia="宋体" w:cs="Times New Roman"/>
                      <w:color w:val="0000FF"/>
                      <w:highlight w:val="none"/>
                      <w:lang w:val="zh-CN" w:eastAsia="zh-CN"/>
                    </w:rPr>
                    <w:t>）</w:t>
                  </w:r>
                  <w:r>
                    <w:rPr>
                      <w:rFonts w:hint="eastAsia" w:cs="Times New Roman"/>
                      <w:color w:val="0000FF"/>
                      <w:highlight w:val="none"/>
                      <w:lang w:val="zh-CN" w:eastAsia="zh-CN"/>
                    </w:rPr>
                    <w:t>，</w:t>
                  </w:r>
                  <w:r>
                    <w:rPr>
                      <w:rFonts w:hint="eastAsia" w:cs="Times New Roman"/>
                      <w:color w:val="0000FF"/>
                      <w:highlight w:val="none"/>
                      <w:lang w:val="en-US" w:eastAsia="zh-CN"/>
                    </w:rPr>
                    <w:t>设置在厂房5#西北部；</w:t>
                  </w:r>
                </w:p>
                <w:p w14:paraId="67C36815">
                  <w:pPr>
                    <w:bidi w:val="0"/>
                    <w:jc w:val="left"/>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highlight w:val="none"/>
                      <w:lang w:val="zh-CN" w:eastAsia="zh-CN"/>
                    </w:rPr>
                    <w:t>危险废物暂存间（</w:t>
                  </w:r>
                  <w:r>
                    <w:rPr>
                      <w:rFonts w:hint="eastAsia" w:cs="Times New Roman"/>
                      <w:color w:val="0000FF"/>
                      <w:highlight w:val="none"/>
                      <w:lang w:val="en-US" w:eastAsia="zh-CN"/>
                    </w:rPr>
                    <w:t>5</w:t>
                  </w:r>
                  <w:r>
                    <w:rPr>
                      <w:rFonts w:hint="default" w:ascii="Times New Roman" w:hAnsi="Times New Roman" w:eastAsia="宋体" w:cs="Times New Roman"/>
                      <w:color w:val="0000FF"/>
                      <w:highlight w:val="none"/>
                      <w:lang w:val="zh-CN" w:eastAsia="zh-CN"/>
                    </w:rPr>
                    <w:t>0</w:t>
                  </w:r>
                  <w:r>
                    <w:rPr>
                      <w:rFonts w:hint="default" w:ascii="Times New Roman" w:hAnsi="Times New Roman" w:eastAsia="宋体" w:cs="Times New Roman"/>
                      <w:color w:val="0000FF"/>
                      <w:highlight w:val="none"/>
                      <w:lang w:val="en-US" w:eastAsia="zh-CN"/>
                    </w:rPr>
                    <w:t>m</w:t>
                  </w:r>
                  <w:r>
                    <w:rPr>
                      <w:rFonts w:hint="default" w:ascii="Times New Roman" w:hAnsi="Times New Roman" w:eastAsia="宋体" w:cs="Times New Roman"/>
                      <w:color w:val="0000FF"/>
                      <w:highlight w:val="none"/>
                      <w:vertAlign w:val="superscript"/>
                      <w:lang w:val="en-US" w:eastAsia="zh-CN"/>
                    </w:rPr>
                    <w:t>2</w:t>
                  </w:r>
                  <w:r>
                    <w:rPr>
                      <w:rFonts w:hint="default" w:ascii="Times New Roman" w:hAnsi="Times New Roman" w:eastAsia="宋体" w:cs="Times New Roman"/>
                      <w:color w:val="0000FF"/>
                      <w:highlight w:val="none"/>
                      <w:lang w:val="zh-CN" w:eastAsia="zh-CN"/>
                    </w:rPr>
                    <w:t>），设置在</w:t>
                  </w:r>
                  <w:r>
                    <w:rPr>
                      <w:rFonts w:hint="eastAsia" w:cs="Times New Roman"/>
                      <w:color w:val="0000FF"/>
                      <w:highlight w:val="none"/>
                      <w:lang w:val="en-US" w:eastAsia="zh-CN"/>
                    </w:rPr>
                    <w:t>厂房4#西南部</w:t>
                  </w:r>
                  <w:r>
                    <w:rPr>
                      <w:rFonts w:hint="eastAsia" w:cs="Times New Roman"/>
                      <w:color w:val="0000FF"/>
                      <w:highlight w:val="none"/>
                      <w:lang w:val="zh-CN" w:eastAsia="zh-CN"/>
                    </w:rPr>
                    <w:t>。</w:t>
                  </w:r>
                </w:p>
              </w:tc>
              <w:tc>
                <w:tcPr>
                  <w:tcW w:w="588" w:type="pct"/>
                  <w:tcBorders>
                    <w:tl2br w:val="nil"/>
                    <w:tr2bl w:val="nil"/>
                  </w:tcBorders>
                  <w:noWrap w:val="0"/>
                  <w:vAlign w:val="center"/>
                </w:tcPr>
                <w:p w14:paraId="5E89D6AA">
                  <w:pPr>
                    <w:bidi w:val="0"/>
                    <w:jc w:val="center"/>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highlight w:val="none"/>
                      <w:lang w:val="en-US" w:eastAsia="zh-CN"/>
                    </w:rPr>
                    <w:t>无变化</w:t>
                  </w:r>
                </w:p>
              </w:tc>
              <w:tc>
                <w:tcPr>
                  <w:tcW w:w="662" w:type="pct"/>
                  <w:tcBorders>
                    <w:tl2br w:val="nil"/>
                    <w:tr2bl w:val="nil"/>
                  </w:tcBorders>
                  <w:noWrap w:val="0"/>
                  <w:vAlign w:val="center"/>
                </w:tcPr>
                <w:p w14:paraId="23C43CD7">
                  <w:pPr>
                    <w:bidi w:val="0"/>
                    <w:jc w:val="center"/>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highlight w:val="none"/>
                      <w:lang w:val="en-US" w:eastAsia="zh-CN"/>
                    </w:rPr>
                    <w:t>依托现有</w:t>
                  </w:r>
                </w:p>
              </w:tc>
            </w:tr>
            <w:tr w14:paraId="5CFADD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3B9AFD1C">
                  <w:pPr>
                    <w:pStyle w:val="60"/>
                    <w:bidi w:val="0"/>
                    <w:rPr>
                      <w:rFonts w:hint="default" w:ascii="Times New Roman" w:hAnsi="Times New Roman" w:eastAsia="宋体" w:cs="Times New Roman"/>
                      <w:color w:val="auto"/>
                      <w:highlight w:val="none"/>
                      <w:lang w:val="zh-CN"/>
                    </w:rPr>
                  </w:pPr>
                </w:p>
              </w:tc>
              <w:tc>
                <w:tcPr>
                  <w:tcW w:w="766" w:type="pct"/>
                  <w:tcBorders>
                    <w:tl2br w:val="nil"/>
                    <w:tr2bl w:val="nil"/>
                  </w:tcBorders>
                  <w:shd w:val="clear" w:color="auto" w:fill="auto"/>
                  <w:noWrap w:val="0"/>
                  <w:vAlign w:val="center"/>
                </w:tcPr>
                <w:p w14:paraId="0348374E">
                  <w:pPr>
                    <w:keepNext/>
                    <w:widowControl w:val="0"/>
                    <w:kinsoku w:val="0"/>
                    <w:jc w:val="center"/>
                    <w:textAlignment w:val="center"/>
                    <w:rPr>
                      <w:rFonts w:hint="default" w:ascii="Times New Roman" w:hAnsi="Times New Roman" w:eastAsia="宋体" w:cs="Times New Roman"/>
                      <w:color w:val="0000FF"/>
                      <w:kern w:val="2"/>
                      <w:sz w:val="21"/>
                      <w:szCs w:val="21"/>
                      <w:lang w:val="zh-CN" w:eastAsia="zh-CN" w:bidi="ar-SA"/>
                    </w:rPr>
                  </w:pPr>
                  <w:r>
                    <w:rPr>
                      <w:rFonts w:hint="eastAsia" w:ascii="Times New Roman" w:hAnsi="Times New Roman" w:cs="Times New Roman"/>
                      <w:color w:val="0000FF"/>
                      <w:szCs w:val="21"/>
                    </w:rPr>
                    <w:t>分区防渗</w:t>
                  </w:r>
                </w:p>
              </w:tc>
              <w:tc>
                <w:tcPr>
                  <w:tcW w:w="1293" w:type="pct"/>
                  <w:tcBorders>
                    <w:tl2br w:val="nil"/>
                    <w:tr2bl w:val="nil"/>
                  </w:tcBorders>
                  <w:noWrap w:val="0"/>
                  <w:vAlign w:val="center"/>
                </w:tcPr>
                <w:p w14:paraId="469CF236">
                  <w:pPr>
                    <w:keepNext/>
                    <w:widowControl w:val="0"/>
                    <w:kinsoku w:val="0"/>
                    <w:jc w:val="center"/>
                    <w:textAlignment w:val="center"/>
                    <w:rPr>
                      <w:rFonts w:hint="default" w:ascii="Times New Roman" w:hAnsi="Times New Roman" w:eastAsia="宋体" w:cs="Times New Roman"/>
                      <w:color w:val="0000FF"/>
                      <w:highlight w:val="none"/>
                      <w:lang w:val="zh-CN" w:eastAsia="zh-CN"/>
                    </w:rPr>
                  </w:pPr>
                  <w:r>
                    <w:rPr>
                      <w:color w:val="0000FF"/>
                    </w:rPr>
                    <w:t>危废暂存间</w:t>
                  </w:r>
                  <w:r>
                    <w:rPr>
                      <w:rFonts w:hint="eastAsia"/>
                      <w:color w:val="0000FF"/>
                    </w:rPr>
                    <w:t>设置为重点防渗区；</w:t>
                  </w:r>
                  <w:r>
                    <w:rPr>
                      <w:color w:val="0000FF"/>
                    </w:rPr>
                    <w:t>生产车间</w:t>
                  </w:r>
                  <w:r>
                    <w:rPr>
                      <w:rFonts w:hint="eastAsia"/>
                      <w:color w:val="0000FF"/>
                      <w:lang w:eastAsia="zh-CN"/>
                    </w:rPr>
                    <w:t>、</w:t>
                  </w:r>
                  <w:r>
                    <w:rPr>
                      <w:rFonts w:hint="eastAsia"/>
                      <w:color w:val="0000FF"/>
                      <w:lang w:val="en-US" w:eastAsia="zh-CN"/>
                    </w:rPr>
                    <w:t>仓库</w:t>
                  </w:r>
                  <w:r>
                    <w:rPr>
                      <w:color w:val="0000FF"/>
                    </w:rPr>
                    <w:t>及一般固废暂存间设置为一般防渗区</w:t>
                  </w:r>
                  <w:r>
                    <w:rPr>
                      <w:rFonts w:hint="eastAsia"/>
                      <w:color w:val="0000FF"/>
                    </w:rPr>
                    <w:t>；办公楼、员工宿舍、门卫设置为简单防渗区</w:t>
                  </w:r>
                </w:p>
              </w:tc>
              <w:tc>
                <w:tcPr>
                  <w:tcW w:w="1369" w:type="pct"/>
                  <w:tcBorders>
                    <w:tl2br w:val="nil"/>
                    <w:tr2bl w:val="nil"/>
                  </w:tcBorders>
                  <w:noWrap w:val="0"/>
                  <w:vAlign w:val="center"/>
                </w:tcPr>
                <w:p w14:paraId="7BEACD88">
                  <w:pPr>
                    <w:keepNext/>
                    <w:widowControl w:val="0"/>
                    <w:kinsoku w:val="0"/>
                    <w:jc w:val="left"/>
                    <w:textAlignment w:val="center"/>
                    <w:rPr>
                      <w:rFonts w:hint="default" w:ascii="Times New Roman" w:hAnsi="Times New Roman" w:eastAsia="宋体" w:cs="Times New Roman"/>
                      <w:color w:val="0000FF"/>
                      <w:highlight w:val="none"/>
                      <w:lang w:val="zh-CN" w:eastAsia="zh-CN"/>
                    </w:rPr>
                  </w:pPr>
                  <w:r>
                    <w:rPr>
                      <w:color w:val="0000FF"/>
                    </w:rPr>
                    <w:t>危废暂存间、</w:t>
                  </w:r>
                  <w:r>
                    <w:rPr>
                      <w:rFonts w:hint="eastAsia"/>
                      <w:color w:val="0000FF"/>
                      <w:lang w:val="en-US" w:eastAsia="zh-CN"/>
                    </w:rPr>
                    <w:t>事故应急</w:t>
                  </w:r>
                  <w:r>
                    <w:rPr>
                      <w:color w:val="0000FF"/>
                    </w:rPr>
                    <w:t>池设为重点防渗区，生产车间</w:t>
                  </w:r>
                  <w:r>
                    <w:rPr>
                      <w:rFonts w:hint="eastAsia"/>
                      <w:color w:val="0000FF"/>
                      <w:lang w:eastAsia="zh-CN"/>
                    </w:rPr>
                    <w:t>、</w:t>
                  </w:r>
                  <w:r>
                    <w:rPr>
                      <w:rFonts w:hint="eastAsia"/>
                      <w:color w:val="0000FF"/>
                      <w:lang w:val="en-US" w:eastAsia="zh-CN"/>
                    </w:rPr>
                    <w:t>仓库及</w:t>
                  </w:r>
                  <w:r>
                    <w:rPr>
                      <w:color w:val="0000FF"/>
                    </w:rPr>
                    <w:t>一般固废暂存间设置为一般防渗区</w:t>
                  </w:r>
                  <w:r>
                    <w:rPr>
                      <w:rFonts w:hint="eastAsia"/>
                      <w:color w:val="0000FF"/>
                    </w:rPr>
                    <w:t>，办公楼、员工宿舍、门卫设置为简单防渗区</w:t>
                  </w:r>
                </w:p>
              </w:tc>
              <w:tc>
                <w:tcPr>
                  <w:tcW w:w="588" w:type="pct"/>
                  <w:tcBorders>
                    <w:tl2br w:val="nil"/>
                    <w:tr2bl w:val="nil"/>
                  </w:tcBorders>
                  <w:noWrap w:val="0"/>
                  <w:vAlign w:val="center"/>
                </w:tcPr>
                <w:p w14:paraId="431AA34F">
                  <w:pPr>
                    <w:bidi w:val="0"/>
                    <w:jc w:val="center"/>
                    <w:rPr>
                      <w:rFonts w:hint="default" w:ascii="Times New Roman" w:hAnsi="Times New Roman" w:eastAsia="宋体" w:cs="Times New Roman"/>
                      <w:color w:val="0000FF"/>
                      <w:highlight w:val="none"/>
                      <w:lang w:val="en-US" w:eastAsia="zh-CN"/>
                    </w:rPr>
                  </w:pPr>
                  <w:r>
                    <w:rPr>
                      <w:rFonts w:hint="eastAsia" w:cs="Times New Roman"/>
                      <w:color w:val="0000FF"/>
                      <w:highlight w:val="none"/>
                      <w:lang w:val="en-US" w:eastAsia="zh-CN"/>
                    </w:rPr>
                    <w:t>增加事故应急池分区防渗</w:t>
                  </w:r>
                </w:p>
              </w:tc>
              <w:tc>
                <w:tcPr>
                  <w:tcW w:w="662" w:type="pct"/>
                  <w:tcBorders>
                    <w:tl2br w:val="nil"/>
                    <w:tr2bl w:val="nil"/>
                  </w:tcBorders>
                  <w:noWrap w:val="0"/>
                  <w:vAlign w:val="center"/>
                </w:tcPr>
                <w:p w14:paraId="53CAF4DF">
                  <w:pPr>
                    <w:bidi w:val="0"/>
                    <w:jc w:val="center"/>
                    <w:rPr>
                      <w:rFonts w:hint="default" w:ascii="Times New Roman" w:hAnsi="Times New Roman" w:eastAsia="宋体" w:cs="Times New Roman"/>
                      <w:color w:val="0000FF"/>
                      <w:highlight w:val="none"/>
                      <w:lang w:val="en-US" w:eastAsia="zh-CN"/>
                    </w:rPr>
                  </w:pPr>
                  <w:r>
                    <w:rPr>
                      <w:rFonts w:hint="eastAsia" w:cs="Times New Roman"/>
                      <w:color w:val="0000FF"/>
                      <w:highlight w:val="none"/>
                      <w:lang w:val="en-US" w:eastAsia="zh-CN"/>
                    </w:rPr>
                    <w:t>新建</w:t>
                  </w:r>
                </w:p>
              </w:tc>
            </w:tr>
            <w:tr w14:paraId="779E36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0" w:type="pct"/>
                  <w:vMerge w:val="continue"/>
                  <w:tcBorders>
                    <w:tl2br w:val="nil"/>
                    <w:tr2bl w:val="nil"/>
                  </w:tcBorders>
                  <w:noWrap w:val="0"/>
                  <w:vAlign w:val="center"/>
                </w:tcPr>
                <w:p w14:paraId="4FFDF221">
                  <w:pPr>
                    <w:pStyle w:val="60"/>
                    <w:bidi w:val="0"/>
                    <w:rPr>
                      <w:rFonts w:hint="default" w:ascii="Times New Roman" w:hAnsi="Times New Roman" w:eastAsia="宋体" w:cs="Times New Roman"/>
                      <w:color w:val="auto"/>
                      <w:highlight w:val="none"/>
                      <w:lang w:val="zh-CN"/>
                    </w:rPr>
                  </w:pPr>
                </w:p>
              </w:tc>
              <w:tc>
                <w:tcPr>
                  <w:tcW w:w="766" w:type="pct"/>
                  <w:tcBorders>
                    <w:tl2br w:val="nil"/>
                    <w:tr2bl w:val="nil"/>
                  </w:tcBorders>
                  <w:shd w:val="clear" w:color="auto" w:fill="auto"/>
                  <w:noWrap w:val="0"/>
                  <w:vAlign w:val="center"/>
                </w:tcPr>
                <w:p w14:paraId="7ADD8EF0">
                  <w:pPr>
                    <w:keepNext/>
                    <w:widowControl w:val="0"/>
                    <w:kinsoku w:val="0"/>
                    <w:jc w:val="center"/>
                    <w:textAlignment w:val="center"/>
                    <w:rPr>
                      <w:rFonts w:hint="default" w:ascii="Times New Roman" w:hAnsi="Times New Roman" w:eastAsia="宋体" w:cs="Times New Roman"/>
                      <w:color w:val="0000FF"/>
                      <w:kern w:val="2"/>
                      <w:sz w:val="21"/>
                      <w:szCs w:val="21"/>
                      <w:lang w:val="zh-CN" w:eastAsia="zh-CN" w:bidi="ar-SA"/>
                    </w:rPr>
                  </w:pPr>
                  <w:r>
                    <w:rPr>
                      <w:rFonts w:hint="eastAsia" w:ascii="Times New Roman" w:hAnsi="Times New Roman" w:cs="Times New Roman"/>
                      <w:color w:val="0000FF"/>
                      <w:szCs w:val="21"/>
                    </w:rPr>
                    <w:t>环境风险</w:t>
                  </w:r>
                </w:p>
              </w:tc>
              <w:tc>
                <w:tcPr>
                  <w:tcW w:w="1293" w:type="pct"/>
                  <w:tcBorders>
                    <w:tl2br w:val="nil"/>
                    <w:tr2bl w:val="nil"/>
                  </w:tcBorders>
                  <w:noWrap w:val="0"/>
                  <w:vAlign w:val="center"/>
                </w:tcPr>
                <w:p w14:paraId="4AC1249B">
                  <w:pPr>
                    <w:keepNext/>
                    <w:widowControl w:val="0"/>
                    <w:kinsoku w:val="0"/>
                    <w:jc w:val="center"/>
                    <w:textAlignment w:val="center"/>
                    <w:rPr>
                      <w:rFonts w:hint="default" w:ascii="Times New Roman" w:hAnsi="Times New Roman" w:eastAsia="宋体" w:cs="Times New Roman"/>
                      <w:color w:val="0000FF"/>
                      <w:highlight w:val="none"/>
                      <w:lang w:val="zh-CN" w:eastAsia="zh-CN"/>
                    </w:rPr>
                  </w:pPr>
                  <w:r>
                    <w:rPr>
                      <w:rFonts w:hint="eastAsia" w:ascii="Times New Roman" w:hAnsi="Times New Roman" w:cs="Times New Roman"/>
                      <w:color w:val="0000FF"/>
                      <w:szCs w:val="21"/>
                    </w:rPr>
                    <w:t>/</w:t>
                  </w:r>
                </w:p>
              </w:tc>
              <w:tc>
                <w:tcPr>
                  <w:tcW w:w="1369" w:type="pct"/>
                  <w:tcBorders>
                    <w:tl2br w:val="nil"/>
                    <w:tr2bl w:val="nil"/>
                  </w:tcBorders>
                  <w:noWrap w:val="0"/>
                  <w:vAlign w:val="center"/>
                </w:tcPr>
                <w:p w14:paraId="0DBA54ED">
                  <w:pPr>
                    <w:pStyle w:val="168"/>
                    <w:jc w:val="both"/>
                    <w:rPr>
                      <w:rFonts w:hint="default" w:ascii="Times New Roman" w:hAnsi="Times New Roman" w:eastAsia="宋体" w:cs="Times New Roman"/>
                      <w:color w:val="0000FF"/>
                      <w:highlight w:val="none"/>
                      <w:lang w:val="zh-CN" w:eastAsia="zh-CN"/>
                    </w:rPr>
                  </w:pPr>
                  <w:r>
                    <w:rPr>
                      <w:color w:val="0000FF"/>
                    </w:rPr>
                    <w:t>厂房</w:t>
                  </w:r>
                  <w:r>
                    <w:rPr>
                      <w:rFonts w:hint="eastAsia"/>
                      <w:color w:val="0000FF"/>
                      <w:lang w:val="en-US" w:eastAsia="zh-CN"/>
                    </w:rPr>
                    <w:t>3#</w:t>
                  </w:r>
                  <w:r>
                    <w:rPr>
                      <w:color w:val="0000FF"/>
                    </w:rPr>
                    <w:t>西南侧建设</w:t>
                  </w:r>
                  <w:r>
                    <w:rPr>
                      <w:rFonts w:hint="eastAsia"/>
                      <w:color w:val="0000FF"/>
                      <w:lang w:val="en-US" w:eastAsia="zh-CN"/>
                    </w:rPr>
                    <w:t>一座135</w:t>
                  </w:r>
                  <w:r>
                    <w:rPr>
                      <w:color w:val="0000FF"/>
                    </w:rPr>
                    <w:t>m</w:t>
                  </w:r>
                  <w:r>
                    <w:rPr>
                      <w:color w:val="0000FF"/>
                      <w:vertAlign w:val="superscript"/>
                    </w:rPr>
                    <w:t>3</w:t>
                  </w:r>
                  <w:r>
                    <w:rPr>
                      <w:color w:val="0000FF"/>
                    </w:rPr>
                    <w:t>的</w:t>
                  </w:r>
                  <w:r>
                    <w:rPr>
                      <w:rFonts w:hint="eastAsia"/>
                      <w:color w:val="0000FF"/>
                      <w:lang w:val="en-US" w:eastAsia="zh-CN"/>
                    </w:rPr>
                    <w:t>事故应急池，应对废水事故排放。建设一座10</w:t>
                  </w:r>
                  <w:r>
                    <w:rPr>
                      <w:color w:val="0000FF"/>
                    </w:rPr>
                    <w:t>0m</w:t>
                  </w:r>
                  <w:r>
                    <w:rPr>
                      <w:color w:val="0000FF"/>
                      <w:vertAlign w:val="superscript"/>
                    </w:rPr>
                    <w:t>3</w:t>
                  </w:r>
                  <w:r>
                    <w:rPr>
                      <w:color w:val="0000FF"/>
                    </w:rPr>
                    <w:t>的</w:t>
                  </w:r>
                  <w:r>
                    <w:rPr>
                      <w:rFonts w:hint="eastAsia"/>
                      <w:color w:val="0000FF"/>
                      <w:lang w:val="en-US" w:eastAsia="zh-CN"/>
                    </w:rPr>
                    <w:t>消防</w:t>
                  </w:r>
                  <w:r>
                    <w:rPr>
                      <w:color w:val="0000FF"/>
                    </w:rPr>
                    <w:t>水池，贮存火灾事故发生所产生的消防水、雨水</w:t>
                  </w:r>
                </w:p>
              </w:tc>
              <w:tc>
                <w:tcPr>
                  <w:tcW w:w="588" w:type="pct"/>
                  <w:tcBorders>
                    <w:tl2br w:val="nil"/>
                    <w:tr2bl w:val="nil"/>
                  </w:tcBorders>
                  <w:noWrap w:val="0"/>
                  <w:vAlign w:val="center"/>
                </w:tcPr>
                <w:p w14:paraId="6DC05948">
                  <w:pPr>
                    <w:bidi w:val="0"/>
                    <w:jc w:val="center"/>
                    <w:rPr>
                      <w:rFonts w:hint="default" w:ascii="Times New Roman" w:hAnsi="Times New Roman" w:eastAsia="宋体" w:cs="Times New Roman"/>
                      <w:color w:val="0000FF"/>
                      <w:highlight w:val="none"/>
                      <w:lang w:val="en-US" w:eastAsia="zh-CN"/>
                    </w:rPr>
                  </w:pPr>
                  <w:r>
                    <w:rPr>
                      <w:rFonts w:hint="eastAsia" w:cs="Times New Roman"/>
                      <w:color w:val="0000FF"/>
                      <w:highlight w:val="none"/>
                      <w:lang w:val="en-US" w:eastAsia="zh-CN"/>
                    </w:rPr>
                    <w:t>增加事故应急池和消防水池</w:t>
                  </w:r>
                </w:p>
              </w:tc>
              <w:tc>
                <w:tcPr>
                  <w:tcW w:w="662" w:type="pct"/>
                  <w:tcBorders>
                    <w:tl2br w:val="nil"/>
                    <w:tr2bl w:val="nil"/>
                  </w:tcBorders>
                  <w:noWrap w:val="0"/>
                  <w:vAlign w:val="center"/>
                </w:tcPr>
                <w:p w14:paraId="0E5CDCBC">
                  <w:pPr>
                    <w:bidi w:val="0"/>
                    <w:jc w:val="center"/>
                    <w:rPr>
                      <w:rFonts w:hint="default" w:ascii="Times New Roman" w:hAnsi="Times New Roman" w:eastAsia="宋体" w:cs="Times New Roman"/>
                      <w:color w:val="0000FF"/>
                      <w:highlight w:val="none"/>
                      <w:lang w:val="en-US" w:eastAsia="zh-CN"/>
                    </w:rPr>
                  </w:pPr>
                  <w:r>
                    <w:rPr>
                      <w:rFonts w:hint="eastAsia" w:cs="Times New Roman"/>
                      <w:color w:val="0000FF"/>
                      <w:highlight w:val="none"/>
                      <w:lang w:val="en-US" w:eastAsia="zh-CN"/>
                    </w:rPr>
                    <w:t>新建</w:t>
                  </w:r>
                </w:p>
              </w:tc>
            </w:tr>
            <w:tr w14:paraId="22FCD9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00" w:type="pct"/>
                  <w:gridSpan w:val="6"/>
                  <w:tcBorders>
                    <w:tl2br w:val="nil"/>
                    <w:tr2bl w:val="nil"/>
                  </w:tcBorders>
                  <w:noWrap w:val="0"/>
                  <w:vAlign w:val="center"/>
                </w:tcPr>
                <w:p w14:paraId="3AE5F926">
                  <w:pPr>
                    <w:bidi w:val="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val="0"/>
                      <w:bCs w:val="0"/>
                      <w:color w:val="auto"/>
                      <w:sz w:val="21"/>
                      <w:szCs w:val="21"/>
                      <w:highlight w:val="none"/>
                      <w:lang w:val="en-US" w:eastAsia="zh-CN" w:bidi="zh-CN"/>
                    </w:rPr>
                    <w:t>注：项目</w:t>
                  </w:r>
                  <w:r>
                    <w:rPr>
                      <w:rFonts w:hint="eastAsia" w:cs="Times New Roman"/>
                      <w:b w:val="0"/>
                      <w:bCs w:val="0"/>
                      <w:color w:val="auto"/>
                      <w:sz w:val="21"/>
                      <w:szCs w:val="21"/>
                      <w:highlight w:val="none"/>
                      <w:lang w:val="en-US" w:eastAsia="zh-CN" w:bidi="zh-CN"/>
                    </w:rPr>
                    <w:t>改扩建</w:t>
                  </w:r>
                  <w:r>
                    <w:rPr>
                      <w:rFonts w:hint="default" w:ascii="Times New Roman" w:hAnsi="Times New Roman" w:eastAsia="宋体" w:cs="Times New Roman"/>
                      <w:b w:val="0"/>
                      <w:bCs w:val="0"/>
                      <w:color w:val="auto"/>
                      <w:sz w:val="21"/>
                      <w:szCs w:val="21"/>
                      <w:highlight w:val="none"/>
                      <w:lang w:val="en-US" w:eastAsia="zh-CN" w:bidi="zh-CN"/>
                    </w:rPr>
                    <w:t>后其</w:t>
                  </w:r>
                  <w:r>
                    <w:rPr>
                      <w:rFonts w:hint="eastAsia" w:cs="Times New Roman"/>
                      <w:b w:val="0"/>
                      <w:bCs w:val="0"/>
                      <w:color w:val="auto"/>
                      <w:sz w:val="21"/>
                      <w:szCs w:val="21"/>
                      <w:highlight w:val="none"/>
                      <w:lang w:val="en-US" w:eastAsia="zh-CN" w:bidi="zh-CN"/>
                    </w:rPr>
                    <w:t>它</w:t>
                  </w:r>
                  <w:r>
                    <w:rPr>
                      <w:rFonts w:hint="default" w:ascii="Times New Roman" w:hAnsi="Times New Roman" w:eastAsia="宋体" w:cs="Times New Roman"/>
                      <w:b w:val="0"/>
                      <w:bCs w:val="0"/>
                      <w:color w:val="auto"/>
                      <w:sz w:val="21"/>
                      <w:szCs w:val="21"/>
                      <w:highlight w:val="none"/>
                      <w:lang w:val="en-US" w:eastAsia="zh-CN" w:bidi="zh-CN"/>
                    </w:rPr>
                    <w:t>建设内容不变。</w:t>
                  </w:r>
                </w:p>
              </w:tc>
            </w:tr>
          </w:tbl>
          <w:p w14:paraId="6A09F403">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before="157" w:beforeLines="50" w:after="0" w:line="360" w:lineRule="auto"/>
              <w:ind w:right="0" w:rightChars="0" w:firstLine="482" w:firstLineChars="200"/>
              <w:jc w:val="both"/>
              <w:textAlignment w:val="auto"/>
              <w:outlineLvl w:val="3"/>
              <w:rPr>
                <w:rFonts w:hint="default" w:ascii="Times New Roman" w:hAnsi="Times New Roman" w:eastAsia="宋体" w:cs="Times New Roman"/>
                <w:b/>
                <w:bCs/>
                <w:color w:val="auto"/>
                <w:sz w:val="24"/>
                <w:szCs w:val="24"/>
                <w:highlight w:val="none"/>
                <w:lang w:val="en-US" w:eastAsia="zh-CN" w:bidi="zh-CN"/>
              </w:rPr>
            </w:pPr>
            <w:r>
              <w:rPr>
                <w:rFonts w:hint="eastAsia" w:ascii="Times New Roman" w:hAnsi="Times New Roman" w:eastAsia="宋体" w:cs="Times New Roman"/>
                <w:b/>
                <w:bCs/>
                <w:color w:val="auto"/>
                <w:sz w:val="24"/>
                <w:szCs w:val="24"/>
                <w:highlight w:val="none"/>
                <w:lang w:val="en-US" w:eastAsia="zh-CN" w:bidi="zh-CN"/>
              </w:rPr>
              <w:t>3</w:t>
            </w:r>
            <w:r>
              <w:rPr>
                <w:rFonts w:hint="default" w:ascii="Times New Roman" w:hAnsi="Times New Roman" w:eastAsia="宋体" w:cs="Times New Roman"/>
                <w:b/>
                <w:bCs/>
                <w:color w:val="auto"/>
                <w:sz w:val="24"/>
                <w:szCs w:val="24"/>
                <w:highlight w:val="none"/>
                <w:lang w:val="en-US" w:eastAsia="zh-CN" w:bidi="zh-CN"/>
              </w:rPr>
              <w:t>、产品方案</w:t>
            </w:r>
          </w:p>
          <w:p w14:paraId="5821B6D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项目</w:t>
            </w:r>
            <w:r>
              <w:rPr>
                <w:rFonts w:hint="eastAsia" w:cs="Times New Roman"/>
                <w:b w:val="0"/>
                <w:bCs w:val="0"/>
                <w:color w:val="auto"/>
                <w:sz w:val="24"/>
                <w:szCs w:val="24"/>
                <w:highlight w:val="none"/>
                <w:lang w:val="en-US" w:eastAsia="zh-CN"/>
              </w:rPr>
              <w:t>改扩建</w:t>
            </w:r>
            <w:r>
              <w:rPr>
                <w:rFonts w:hint="default" w:ascii="Times New Roman" w:hAnsi="Times New Roman" w:eastAsia="宋体" w:cs="Times New Roman"/>
                <w:b w:val="0"/>
                <w:bCs w:val="0"/>
                <w:color w:val="auto"/>
                <w:sz w:val="24"/>
                <w:szCs w:val="24"/>
                <w:highlight w:val="none"/>
                <w:lang w:val="en-US" w:eastAsia="zh-CN"/>
              </w:rPr>
              <w:t>前</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后产品方案见表</w:t>
            </w:r>
            <w:r>
              <w:rPr>
                <w:rFonts w:hint="eastAsia" w:ascii="Times New Roman" w:hAnsi="Times New Roman" w:eastAsia="宋体" w:cs="Times New Roman"/>
                <w:b w:val="0"/>
                <w:bCs w:val="0"/>
                <w:color w:val="auto"/>
                <w:sz w:val="24"/>
                <w:szCs w:val="24"/>
                <w:highlight w:val="none"/>
                <w:lang w:val="en-US" w:eastAsia="zh-CN"/>
              </w:rPr>
              <w:t>2-2</w:t>
            </w:r>
            <w:r>
              <w:rPr>
                <w:rFonts w:hint="default" w:ascii="Times New Roman" w:hAnsi="Times New Roman" w:eastAsia="宋体" w:cs="Times New Roman"/>
                <w:b w:val="0"/>
                <w:bCs w:val="0"/>
                <w:color w:val="auto"/>
                <w:sz w:val="24"/>
                <w:szCs w:val="24"/>
                <w:highlight w:val="none"/>
                <w:lang w:val="en-US" w:eastAsia="zh-CN"/>
              </w:rPr>
              <w:t>。</w:t>
            </w:r>
          </w:p>
          <w:p w14:paraId="3EB36BC0">
            <w:pPr>
              <w:numPr>
                <w:ilvl w:val="0"/>
                <w:numId w:val="7"/>
              </w:numPr>
              <w:spacing w:line="240" w:lineRule="auto"/>
              <w:ind w:left="0" w:lef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项目</w:t>
            </w:r>
            <w:r>
              <w:rPr>
                <w:rFonts w:hint="eastAsia" w:cs="Times New Roman"/>
                <w:b/>
                <w:bCs/>
                <w:color w:val="auto"/>
                <w:sz w:val="21"/>
                <w:szCs w:val="21"/>
                <w:highlight w:val="none"/>
                <w:lang w:val="en-US" w:eastAsia="zh-CN"/>
              </w:rPr>
              <w:t>改扩建</w:t>
            </w:r>
            <w:r>
              <w:rPr>
                <w:rFonts w:hint="default" w:ascii="Times New Roman" w:hAnsi="Times New Roman" w:eastAsia="宋体" w:cs="Times New Roman"/>
                <w:b/>
                <w:bCs/>
                <w:color w:val="auto"/>
                <w:sz w:val="21"/>
                <w:szCs w:val="21"/>
                <w:highlight w:val="none"/>
                <w:lang w:val="en-US" w:eastAsia="zh-CN"/>
              </w:rPr>
              <w:t>前</w:t>
            </w:r>
            <w:r>
              <w:rPr>
                <w:rFonts w:hint="eastAsia"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后产品方案一览表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2"/>
              <w:gridCol w:w="1868"/>
              <w:gridCol w:w="1440"/>
              <w:gridCol w:w="1485"/>
              <w:gridCol w:w="1350"/>
              <w:gridCol w:w="1387"/>
            </w:tblGrid>
            <w:tr w14:paraId="1CF69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restart"/>
                  <w:tcBorders>
                    <w:tl2br w:val="nil"/>
                    <w:tr2bl w:val="nil"/>
                  </w:tcBorders>
                  <w:noWrap/>
                  <w:vAlign w:val="center"/>
                </w:tcPr>
                <w:p w14:paraId="0A190F64">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序号</w:t>
                  </w:r>
                </w:p>
              </w:tc>
              <w:tc>
                <w:tcPr>
                  <w:tcW w:w="1176" w:type="pct"/>
                  <w:vMerge w:val="restart"/>
                  <w:tcBorders>
                    <w:tl2br w:val="nil"/>
                    <w:tr2bl w:val="nil"/>
                  </w:tcBorders>
                  <w:noWrap w:val="0"/>
                  <w:vAlign w:val="center"/>
                </w:tcPr>
                <w:p w14:paraId="5C1C10DB">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产品名称</w:t>
                  </w:r>
                </w:p>
              </w:tc>
              <w:tc>
                <w:tcPr>
                  <w:tcW w:w="906" w:type="pct"/>
                  <w:vMerge w:val="restart"/>
                  <w:tcBorders>
                    <w:tl2br w:val="nil"/>
                    <w:tr2bl w:val="nil"/>
                  </w:tcBorders>
                  <w:noWrap w:val="0"/>
                  <w:vAlign w:val="center"/>
                </w:tcPr>
                <w:p w14:paraId="51F853FF">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产品型号</w:t>
                  </w:r>
                </w:p>
              </w:tc>
              <w:tc>
                <w:tcPr>
                  <w:tcW w:w="2658" w:type="pct"/>
                  <w:gridSpan w:val="3"/>
                  <w:tcBorders>
                    <w:tl2br w:val="nil"/>
                    <w:tr2bl w:val="nil"/>
                  </w:tcBorders>
                  <w:noWrap w:val="0"/>
                  <w:vAlign w:val="center"/>
                </w:tcPr>
                <w:p w14:paraId="072AA839">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年产量</w:t>
                  </w:r>
                </w:p>
              </w:tc>
            </w:tr>
            <w:tr w14:paraId="2EA9DF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tcBorders>
                    <w:tl2br w:val="nil"/>
                    <w:tr2bl w:val="nil"/>
                  </w:tcBorders>
                  <w:noWrap/>
                  <w:vAlign w:val="center"/>
                </w:tcPr>
                <w:p w14:paraId="5A1FDE32">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p>
              </w:tc>
              <w:tc>
                <w:tcPr>
                  <w:tcW w:w="1176" w:type="pct"/>
                  <w:vMerge w:val="continue"/>
                  <w:tcBorders>
                    <w:tl2br w:val="nil"/>
                    <w:tr2bl w:val="nil"/>
                  </w:tcBorders>
                  <w:noWrap w:val="0"/>
                  <w:vAlign w:val="center"/>
                </w:tcPr>
                <w:p w14:paraId="3DE902E3">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906" w:type="pct"/>
                  <w:vMerge w:val="continue"/>
                  <w:tcBorders>
                    <w:tl2br w:val="nil"/>
                    <w:tr2bl w:val="nil"/>
                  </w:tcBorders>
                  <w:noWrap w:val="0"/>
                  <w:vAlign w:val="center"/>
                </w:tcPr>
                <w:p w14:paraId="6C231296">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934" w:type="pct"/>
                  <w:tcBorders>
                    <w:tl2br w:val="nil"/>
                    <w:tr2bl w:val="nil"/>
                  </w:tcBorders>
                  <w:noWrap w:val="0"/>
                  <w:vAlign w:val="center"/>
                </w:tcPr>
                <w:p w14:paraId="1C709D44">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eastAsia" w:cs="Times New Roman"/>
                      <w:b/>
                      <w:bCs/>
                      <w:color w:val="auto"/>
                      <w:kern w:val="2"/>
                      <w:sz w:val="21"/>
                      <w:szCs w:val="21"/>
                      <w:highlight w:val="none"/>
                      <w:lang w:val="en-US" w:eastAsia="zh-CN" w:bidi="zh-CN"/>
                    </w:rPr>
                    <w:t>改扩建</w:t>
                  </w:r>
                  <w:r>
                    <w:rPr>
                      <w:rFonts w:hint="default" w:ascii="Times New Roman" w:hAnsi="Times New Roman" w:eastAsia="宋体" w:cs="Times New Roman"/>
                      <w:b/>
                      <w:bCs/>
                      <w:color w:val="auto"/>
                      <w:kern w:val="2"/>
                      <w:sz w:val="21"/>
                      <w:szCs w:val="21"/>
                      <w:highlight w:val="none"/>
                      <w:lang w:val="en-US" w:eastAsia="zh-CN" w:bidi="zh-CN"/>
                    </w:rPr>
                    <w:t>前</w:t>
                  </w:r>
                </w:p>
              </w:tc>
              <w:tc>
                <w:tcPr>
                  <w:tcW w:w="849" w:type="pct"/>
                  <w:tcBorders>
                    <w:tl2br w:val="nil"/>
                    <w:tr2bl w:val="nil"/>
                  </w:tcBorders>
                  <w:noWrap/>
                  <w:vAlign w:val="center"/>
                </w:tcPr>
                <w:p w14:paraId="62C7C754">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eastAsia" w:cs="Times New Roman"/>
                      <w:b/>
                      <w:bCs/>
                      <w:color w:val="auto"/>
                      <w:kern w:val="2"/>
                      <w:sz w:val="21"/>
                      <w:szCs w:val="21"/>
                      <w:highlight w:val="none"/>
                      <w:lang w:val="en-US" w:eastAsia="zh-CN" w:bidi="zh-CN"/>
                    </w:rPr>
                    <w:t>改扩建</w:t>
                  </w:r>
                  <w:r>
                    <w:rPr>
                      <w:rFonts w:hint="default" w:ascii="Times New Roman" w:hAnsi="Times New Roman" w:eastAsia="宋体" w:cs="Times New Roman"/>
                      <w:b/>
                      <w:bCs/>
                      <w:color w:val="auto"/>
                      <w:kern w:val="2"/>
                      <w:sz w:val="21"/>
                      <w:szCs w:val="21"/>
                      <w:highlight w:val="none"/>
                      <w:lang w:val="en-US" w:eastAsia="zh-CN" w:bidi="zh-CN"/>
                    </w:rPr>
                    <w:t>后</w:t>
                  </w:r>
                </w:p>
              </w:tc>
              <w:tc>
                <w:tcPr>
                  <w:tcW w:w="873" w:type="pct"/>
                  <w:tcBorders>
                    <w:tl2br w:val="nil"/>
                    <w:tr2bl w:val="nil"/>
                  </w:tcBorders>
                  <w:noWrap/>
                  <w:vAlign w:val="center"/>
                </w:tcPr>
                <w:p w14:paraId="12FA7CAE">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变化量</w:t>
                  </w:r>
                </w:p>
              </w:tc>
            </w:tr>
            <w:tr w14:paraId="2D704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tcBorders>
                    <w:tl2br w:val="nil"/>
                    <w:tr2bl w:val="nil"/>
                  </w:tcBorders>
                  <w:noWrap/>
                  <w:vAlign w:val="center"/>
                </w:tcPr>
                <w:p w14:paraId="51FCE12B">
                  <w:pPr>
                    <w:widowControl/>
                    <w:spacing w:line="276" w:lineRule="auto"/>
                    <w:jc w:val="center"/>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1</w:t>
                  </w:r>
                </w:p>
              </w:tc>
              <w:tc>
                <w:tcPr>
                  <w:tcW w:w="1176" w:type="pct"/>
                  <w:tcBorders>
                    <w:tl2br w:val="nil"/>
                    <w:tr2bl w:val="nil"/>
                  </w:tcBorders>
                  <w:noWrap w:val="0"/>
                  <w:vAlign w:val="center"/>
                </w:tcPr>
                <w:p w14:paraId="132BFA50">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精密齿轮</w:t>
                  </w:r>
                </w:p>
              </w:tc>
              <w:tc>
                <w:tcPr>
                  <w:tcW w:w="906" w:type="pct"/>
                  <w:tcBorders>
                    <w:tl2br w:val="nil"/>
                    <w:tr2bl w:val="nil"/>
                  </w:tcBorders>
                  <w:noWrap w:val="0"/>
                  <w:vAlign w:val="center"/>
                </w:tcPr>
                <w:p w14:paraId="5E44C60E">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p>
              </w:tc>
              <w:tc>
                <w:tcPr>
                  <w:tcW w:w="934" w:type="pct"/>
                  <w:tcBorders>
                    <w:tl2br w:val="nil"/>
                    <w:tr2bl w:val="nil"/>
                  </w:tcBorders>
                  <w:noWrap w:val="0"/>
                  <w:vAlign w:val="center"/>
                </w:tcPr>
                <w:p w14:paraId="7AD00E8E">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3000万个</w:t>
                  </w:r>
                </w:p>
              </w:tc>
              <w:tc>
                <w:tcPr>
                  <w:tcW w:w="849" w:type="pct"/>
                  <w:tcBorders>
                    <w:tl2br w:val="nil"/>
                    <w:tr2bl w:val="nil"/>
                  </w:tcBorders>
                  <w:noWrap/>
                  <w:vAlign w:val="center"/>
                </w:tcPr>
                <w:p w14:paraId="07109F39">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3000万个</w:t>
                  </w:r>
                </w:p>
              </w:tc>
              <w:tc>
                <w:tcPr>
                  <w:tcW w:w="873" w:type="pct"/>
                  <w:tcBorders>
                    <w:tl2br w:val="nil"/>
                    <w:tr2bl w:val="nil"/>
                  </w:tcBorders>
                  <w:noWrap/>
                  <w:vAlign w:val="center"/>
                </w:tcPr>
                <w:p w14:paraId="1CD2CE32">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w:t>
                  </w:r>
                </w:p>
              </w:tc>
            </w:tr>
            <w:tr w14:paraId="310434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tcBorders>
                    <w:tl2br w:val="nil"/>
                    <w:tr2bl w:val="nil"/>
                  </w:tcBorders>
                  <w:noWrap/>
                  <w:vAlign w:val="center"/>
                </w:tcPr>
                <w:p w14:paraId="0F441BA5">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2</w:t>
                  </w:r>
                </w:p>
              </w:tc>
              <w:tc>
                <w:tcPr>
                  <w:tcW w:w="1176" w:type="pct"/>
                  <w:tcBorders>
                    <w:tl2br w:val="nil"/>
                    <w:tr2bl w:val="nil"/>
                  </w:tcBorders>
                  <w:noWrap w:val="0"/>
                  <w:vAlign w:val="center"/>
                </w:tcPr>
                <w:p w14:paraId="54CF808F">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减速机</w:t>
                  </w:r>
                </w:p>
              </w:tc>
              <w:tc>
                <w:tcPr>
                  <w:tcW w:w="906" w:type="pct"/>
                  <w:tcBorders>
                    <w:tl2br w:val="nil"/>
                    <w:tr2bl w:val="nil"/>
                  </w:tcBorders>
                  <w:noWrap w:val="0"/>
                  <w:vAlign w:val="center"/>
                </w:tcPr>
                <w:p w14:paraId="4FF00DE6">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p>
              </w:tc>
              <w:tc>
                <w:tcPr>
                  <w:tcW w:w="934" w:type="pct"/>
                  <w:tcBorders>
                    <w:tl2br w:val="nil"/>
                    <w:tr2bl w:val="nil"/>
                  </w:tcBorders>
                  <w:noWrap w:val="0"/>
                  <w:vAlign w:val="center"/>
                </w:tcPr>
                <w:p w14:paraId="4E9F355A">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50万套</w:t>
                  </w:r>
                </w:p>
              </w:tc>
              <w:tc>
                <w:tcPr>
                  <w:tcW w:w="849" w:type="pct"/>
                  <w:tcBorders>
                    <w:tl2br w:val="nil"/>
                    <w:tr2bl w:val="nil"/>
                  </w:tcBorders>
                  <w:noWrap/>
                  <w:vAlign w:val="center"/>
                </w:tcPr>
                <w:p w14:paraId="177EA2E1">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w:t>
                  </w:r>
                </w:p>
              </w:tc>
              <w:tc>
                <w:tcPr>
                  <w:tcW w:w="873" w:type="pct"/>
                  <w:tcBorders>
                    <w:tl2br w:val="nil"/>
                    <w:tr2bl w:val="nil"/>
                  </w:tcBorders>
                  <w:noWrap/>
                  <w:vAlign w:val="center"/>
                </w:tcPr>
                <w:p w14:paraId="0953B353">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-50万台</w:t>
                  </w:r>
                </w:p>
              </w:tc>
            </w:tr>
            <w:tr w14:paraId="79925F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tcBorders>
                    <w:tl2br w:val="nil"/>
                    <w:tr2bl w:val="nil"/>
                  </w:tcBorders>
                  <w:noWrap/>
                  <w:vAlign w:val="center"/>
                </w:tcPr>
                <w:p w14:paraId="39560691">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3</w:t>
                  </w:r>
                </w:p>
              </w:tc>
              <w:tc>
                <w:tcPr>
                  <w:tcW w:w="1176" w:type="pct"/>
                  <w:tcBorders>
                    <w:tl2br w:val="nil"/>
                    <w:tr2bl w:val="nil"/>
                  </w:tcBorders>
                  <w:noWrap w:val="0"/>
                  <w:vAlign w:val="center"/>
                </w:tcPr>
                <w:p w14:paraId="26CD7C4A">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精密</w:t>
                  </w:r>
                  <w:r>
                    <w:rPr>
                      <w:rFonts w:hint="eastAsia" w:ascii="Times New Roman" w:hAnsi="Times New Roman" w:eastAsia="宋体" w:cs="Times New Roman"/>
                      <w:color w:val="auto"/>
                      <w:kern w:val="2"/>
                      <w:sz w:val="21"/>
                      <w:szCs w:val="21"/>
                      <w:highlight w:val="none"/>
                      <w:lang w:val="en-US" w:eastAsia="zh-CN" w:bidi="zh-CN"/>
                    </w:rPr>
                    <w:t>行星减速机</w:t>
                  </w:r>
                </w:p>
              </w:tc>
              <w:tc>
                <w:tcPr>
                  <w:tcW w:w="906" w:type="pct"/>
                  <w:tcBorders>
                    <w:tl2br w:val="nil"/>
                    <w:tr2bl w:val="nil"/>
                  </w:tcBorders>
                  <w:noWrap w:val="0"/>
                  <w:vAlign w:val="center"/>
                </w:tcPr>
                <w:p w14:paraId="6461976A">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sz w:val="21"/>
                      <w:szCs w:val="21"/>
                      <w:highlight w:val="none"/>
                      <w:lang w:val="en-US" w:eastAsia="zh-CN"/>
                    </w:rPr>
                    <w:t>AB/AF/AD</w:t>
                  </w:r>
                </w:p>
              </w:tc>
              <w:tc>
                <w:tcPr>
                  <w:tcW w:w="934" w:type="pct"/>
                  <w:tcBorders>
                    <w:tl2br w:val="nil"/>
                    <w:tr2bl w:val="nil"/>
                  </w:tcBorders>
                  <w:noWrap w:val="0"/>
                  <w:vAlign w:val="center"/>
                </w:tcPr>
                <w:p w14:paraId="248A4B42">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w:t>
                  </w:r>
                </w:p>
              </w:tc>
              <w:tc>
                <w:tcPr>
                  <w:tcW w:w="849" w:type="pct"/>
                  <w:tcBorders>
                    <w:tl2br w:val="nil"/>
                    <w:tr2bl w:val="nil"/>
                  </w:tcBorders>
                  <w:noWrap/>
                  <w:vAlign w:val="center"/>
                </w:tcPr>
                <w:p w14:paraId="2995001C">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1</w:t>
                  </w:r>
                  <w:r>
                    <w:rPr>
                      <w:rFonts w:hint="eastAsia" w:cs="Times New Roman"/>
                      <w:color w:val="auto"/>
                      <w:kern w:val="2"/>
                      <w:sz w:val="21"/>
                      <w:szCs w:val="21"/>
                      <w:highlight w:val="none"/>
                      <w:lang w:val="en-US" w:eastAsia="zh-CN" w:bidi="zh-CN"/>
                    </w:rPr>
                    <w:t>00</w:t>
                  </w:r>
                  <w:r>
                    <w:rPr>
                      <w:rFonts w:hint="eastAsia" w:ascii="Times New Roman" w:hAnsi="Times New Roman" w:eastAsia="宋体" w:cs="Times New Roman"/>
                      <w:color w:val="auto"/>
                      <w:kern w:val="2"/>
                      <w:sz w:val="21"/>
                      <w:szCs w:val="21"/>
                      <w:highlight w:val="none"/>
                      <w:lang w:val="en-US" w:eastAsia="zh-CN" w:bidi="zh-CN"/>
                    </w:rPr>
                    <w:t>万台</w:t>
                  </w:r>
                </w:p>
              </w:tc>
              <w:tc>
                <w:tcPr>
                  <w:tcW w:w="873" w:type="pct"/>
                  <w:tcBorders>
                    <w:tl2br w:val="nil"/>
                    <w:tr2bl w:val="nil"/>
                  </w:tcBorders>
                  <w:noWrap/>
                  <w:vAlign w:val="center"/>
                </w:tcPr>
                <w:p w14:paraId="213CCC00">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eastAsia="宋体" w:cs="Times New Roman"/>
                      <w:color w:val="auto"/>
                      <w:kern w:val="2"/>
                      <w:sz w:val="21"/>
                      <w:szCs w:val="21"/>
                      <w:highlight w:val="none"/>
                      <w:lang w:val="en-US" w:eastAsia="zh-CN" w:bidi="zh-CN"/>
                    </w:rPr>
                    <w:t>+1</w:t>
                  </w:r>
                  <w:r>
                    <w:rPr>
                      <w:rFonts w:hint="eastAsia" w:cs="Times New Roman"/>
                      <w:color w:val="auto"/>
                      <w:kern w:val="2"/>
                      <w:sz w:val="21"/>
                      <w:szCs w:val="21"/>
                      <w:highlight w:val="none"/>
                      <w:lang w:val="en-US" w:eastAsia="zh-CN" w:bidi="zh-CN"/>
                    </w:rPr>
                    <w:t>00</w:t>
                  </w:r>
                  <w:r>
                    <w:rPr>
                      <w:rFonts w:hint="eastAsia" w:ascii="Times New Roman" w:hAnsi="Times New Roman" w:eastAsia="宋体" w:cs="Times New Roman"/>
                      <w:color w:val="auto"/>
                      <w:kern w:val="2"/>
                      <w:sz w:val="21"/>
                      <w:szCs w:val="21"/>
                      <w:highlight w:val="none"/>
                      <w:lang w:val="en-US" w:eastAsia="zh-CN" w:bidi="zh-CN"/>
                    </w:rPr>
                    <w:t>万台</w:t>
                  </w:r>
                </w:p>
              </w:tc>
            </w:tr>
            <w:tr w14:paraId="009DF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00" w:type="pct"/>
                  <w:gridSpan w:val="6"/>
                  <w:tcBorders>
                    <w:tl2br w:val="nil"/>
                    <w:tr2bl w:val="nil"/>
                  </w:tcBorders>
                  <w:noWrap/>
                  <w:vAlign w:val="center"/>
                </w:tcPr>
                <w:p w14:paraId="39424715">
                  <w:pPr>
                    <w:widowControl/>
                    <w:spacing w:line="276" w:lineRule="auto"/>
                    <w:jc w:val="left"/>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w:t>
                  </w:r>
                  <w:r>
                    <w:rPr>
                      <w:rFonts w:hint="eastAsia" w:ascii="Times New Roman" w:hAnsi="Times New Roman" w:eastAsia="宋体" w:cs="Times New Roman"/>
                      <w:color w:val="auto"/>
                      <w:kern w:val="2"/>
                      <w:sz w:val="21"/>
                      <w:szCs w:val="21"/>
                      <w:highlight w:val="none"/>
                      <w:lang w:val="en-US" w:eastAsia="zh-CN" w:bidi="zh-CN"/>
                    </w:rPr>
                    <w:t>工艺设备升级改造，提升减速机精度，生产AB/AF/AD行星减速机</w:t>
                  </w:r>
                  <w:r>
                    <w:rPr>
                      <w:rFonts w:hint="default" w:ascii="Times New Roman" w:hAnsi="Times New Roman" w:eastAsia="宋体" w:cs="Times New Roman"/>
                      <w:b w:val="0"/>
                      <w:bCs w:val="0"/>
                      <w:color w:val="auto"/>
                      <w:sz w:val="21"/>
                      <w:szCs w:val="21"/>
                      <w:highlight w:val="none"/>
                      <w:lang w:val="en-US" w:eastAsia="zh-CN"/>
                    </w:rPr>
                    <w:t>。</w:t>
                  </w:r>
                </w:p>
              </w:tc>
            </w:tr>
          </w:tbl>
          <w:p w14:paraId="7B373047">
            <w:pPr>
              <w:keepNext w:val="0"/>
              <w:keepLines w:val="0"/>
              <w:pageBreakBefore w:val="0"/>
              <w:widowControl w:val="0"/>
              <w:tabs>
                <w:tab w:val="left" w:pos="756"/>
              </w:tabs>
              <w:kinsoku/>
              <w:wordWrap/>
              <w:overflowPunct/>
              <w:topLinePunct w:val="0"/>
              <w:autoSpaceDE w:val="0"/>
              <w:autoSpaceDN w:val="0"/>
              <w:bidi w:val="0"/>
              <w:adjustRightInd/>
              <w:snapToGrid/>
              <w:spacing w:before="157" w:beforeLines="50" w:after="0" w:line="360" w:lineRule="auto"/>
              <w:ind w:left="0" w:right="0" w:firstLine="482" w:firstLineChars="200"/>
              <w:jc w:val="left"/>
              <w:textAlignment w:val="auto"/>
              <w:outlineLvl w:val="2"/>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4、</w:t>
            </w:r>
            <w:r>
              <w:rPr>
                <w:rFonts w:hint="default" w:ascii="Times New Roman" w:hAnsi="Times New Roman" w:eastAsia="宋体" w:cs="Times New Roman"/>
                <w:b/>
                <w:bCs/>
                <w:color w:val="auto"/>
                <w:sz w:val="24"/>
                <w:szCs w:val="24"/>
                <w:highlight w:val="none"/>
                <w:lang w:val="zh-CN" w:eastAsia="zh-CN" w:bidi="zh-CN"/>
              </w:rPr>
              <w:t>主要设备</w:t>
            </w:r>
          </w:p>
          <w:p w14:paraId="3B8DA722">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eastAsia" w:cs="Times New Roman"/>
                <w:color w:val="auto"/>
                <w:sz w:val="24"/>
                <w:szCs w:val="24"/>
                <w:highlight w:val="none"/>
                <w:lang w:val="en-US" w:eastAsia="zh-CN" w:bidi="zh-CN"/>
              </w:rPr>
              <w:t>改扩建</w:t>
            </w:r>
            <w:r>
              <w:rPr>
                <w:rFonts w:hint="default" w:ascii="Times New Roman" w:hAnsi="Times New Roman" w:eastAsia="宋体" w:cs="Times New Roman"/>
                <w:color w:val="auto"/>
                <w:sz w:val="24"/>
                <w:szCs w:val="24"/>
                <w:highlight w:val="none"/>
                <w:lang w:val="en-US" w:eastAsia="zh-CN" w:bidi="zh-CN"/>
              </w:rPr>
              <w:t>前</w:t>
            </w:r>
            <w:r>
              <w:rPr>
                <w:rFonts w:hint="eastAsia" w:cs="Times New Roman"/>
                <w:color w:val="auto"/>
                <w:sz w:val="24"/>
                <w:szCs w:val="24"/>
                <w:highlight w:val="none"/>
                <w:lang w:val="en-US" w:eastAsia="zh-CN" w:bidi="zh-CN"/>
              </w:rPr>
              <w:t>、</w:t>
            </w:r>
            <w:r>
              <w:rPr>
                <w:rFonts w:hint="default" w:ascii="Times New Roman" w:hAnsi="Times New Roman" w:eastAsia="宋体" w:cs="Times New Roman"/>
                <w:color w:val="auto"/>
                <w:sz w:val="24"/>
                <w:szCs w:val="24"/>
                <w:highlight w:val="none"/>
                <w:lang w:val="en-US" w:eastAsia="zh-CN" w:bidi="zh-CN"/>
              </w:rPr>
              <w:t>后设备清单</w:t>
            </w:r>
            <w:r>
              <w:rPr>
                <w:rFonts w:hint="default" w:ascii="Times New Roman" w:hAnsi="Times New Roman" w:eastAsia="宋体" w:cs="Times New Roman"/>
                <w:color w:val="auto"/>
                <w:sz w:val="24"/>
                <w:szCs w:val="24"/>
                <w:highlight w:val="none"/>
                <w:lang w:val="zh-CN" w:eastAsia="zh-CN" w:bidi="zh-CN"/>
              </w:rPr>
              <w:t>见表</w:t>
            </w:r>
            <w:r>
              <w:rPr>
                <w:rFonts w:hint="default" w:ascii="Times New Roman" w:hAnsi="Times New Roman" w:eastAsia="宋体" w:cs="Times New Roman"/>
                <w:color w:val="auto"/>
                <w:sz w:val="24"/>
                <w:szCs w:val="24"/>
                <w:highlight w:val="none"/>
                <w:lang w:val="en-US" w:eastAsia="zh-CN" w:bidi="zh-CN"/>
              </w:rPr>
              <w:t>2-</w:t>
            </w:r>
            <w:r>
              <w:rPr>
                <w:rFonts w:hint="eastAsia" w:cs="Times New Roman"/>
                <w:color w:val="auto"/>
                <w:sz w:val="24"/>
                <w:szCs w:val="24"/>
                <w:highlight w:val="none"/>
                <w:lang w:val="en-US" w:eastAsia="zh-CN" w:bidi="zh-CN"/>
              </w:rPr>
              <w:t>3</w:t>
            </w:r>
            <w:r>
              <w:rPr>
                <w:rFonts w:hint="default" w:ascii="Times New Roman" w:hAnsi="Times New Roman" w:eastAsia="宋体" w:cs="Times New Roman"/>
                <w:color w:val="auto"/>
                <w:sz w:val="24"/>
                <w:szCs w:val="24"/>
                <w:highlight w:val="none"/>
                <w:lang w:val="en-US" w:eastAsia="zh-CN" w:bidi="zh-CN"/>
              </w:rPr>
              <w:t>。</w:t>
            </w:r>
          </w:p>
          <w:p w14:paraId="45186D6C">
            <w:pPr>
              <w:numPr>
                <w:ilvl w:val="0"/>
                <w:numId w:val="7"/>
              </w:numPr>
              <w:spacing w:line="240" w:lineRule="auto"/>
              <w:ind w:left="0" w:lef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项目</w:t>
            </w:r>
            <w:r>
              <w:rPr>
                <w:rFonts w:hint="eastAsia" w:cs="Times New Roman"/>
                <w:b/>
                <w:bCs/>
                <w:color w:val="auto"/>
                <w:sz w:val="21"/>
                <w:szCs w:val="21"/>
                <w:highlight w:val="none"/>
                <w:lang w:val="en-US" w:eastAsia="zh-CN"/>
              </w:rPr>
              <w:t>改扩建</w:t>
            </w:r>
            <w:r>
              <w:rPr>
                <w:rFonts w:hint="default" w:ascii="Times New Roman" w:hAnsi="Times New Roman" w:eastAsia="宋体" w:cs="Times New Roman"/>
                <w:b/>
                <w:bCs/>
                <w:color w:val="auto"/>
                <w:sz w:val="21"/>
                <w:szCs w:val="21"/>
                <w:highlight w:val="none"/>
                <w:lang w:val="en-US" w:eastAsia="zh-CN"/>
              </w:rPr>
              <w:t>前</w:t>
            </w:r>
            <w:r>
              <w:rPr>
                <w:rFonts w:hint="eastAsia"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后</w:t>
            </w:r>
            <w:r>
              <w:rPr>
                <w:rFonts w:hint="default" w:ascii="Times New Roman" w:hAnsi="Times New Roman" w:eastAsia="宋体" w:cs="Times New Roman"/>
                <w:b/>
                <w:bCs/>
                <w:color w:val="auto"/>
                <w:sz w:val="21"/>
                <w:szCs w:val="21"/>
                <w:highlight w:val="none"/>
                <w:lang w:val="zh-CN" w:eastAsia="zh-CN"/>
              </w:rPr>
              <w:t>主要设备清单</w:t>
            </w:r>
            <w:r>
              <w:rPr>
                <w:rFonts w:hint="default" w:ascii="Times New Roman" w:hAnsi="Times New Roman" w:eastAsia="宋体" w:cs="Times New Roman"/>
                <w:b/>
                <w:bCs/>
                <w:color w:val="auto"/>
                <w:sz w:val="21"/>
                <w:szCs w:val="21"/>
                <w:highlight w:val="none"/>
                <w:lang w:val="en-US" w:eastAsia="zh-CN"/>
              </w:rPr>
              <w:t>一览表</w:t>
            </w:r>
          </w:p>
          <w:tbl>
            <w:tblPr>
              <w:tblStyle w:val="33"/>
              <w:tblW w:w="796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05"/>
              <w:gridCol w:w="1815"/>
              <w:gridCol w:w="1547"/>
              <w:gridCol w:w="1547"/>
              <w:gridCol w:w="1179"/>
              <w:gridCol w:w="1176"/>
            </w:tblGrid>
            <w:tr w14:paraId="6943DE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442" w:type="pct"/>
                  <w:vMerge w:val="restart"/>
                  <w:tcBorders>
                    <w:tl2br w:val="nil"/>
                    <w:tr2bl w:val="nil"/>
                  </w:tcBorders>
                  <w:shd w:val="clear" w:color="auto" w:fill="auto"/>
                  <w:noWrap w:val="0"/>
                  <w:vAlign w:val="center"/>
                </w:tcPr>
                <w:p w14:paraId="4DA81C7F">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138" w:type="pct"/>
                  <w:vMerge w:val="restart"/>
                  <w:tcBorders>
                    <w:tl2br w:val="nil"/>
                    <w:tr2bl w:val="nil"/>
                  </w:tcBorders>
                  <w:shd w:val="clear" w:color="auto" w:fill="auto"/>
                  <w:noWrap w:val="0"/>
                  <w:vAlign w:val="center"/>
                </w:tcPr>
                <w:p w14:paraId="0718F98C">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设备名称</w:t>
                  </w:r>
                </w:p>
              </w:tc>
              <w:tc>
                <w:tcPr>
                  <w:tcW w:w="2681" w:type="pct"/>
                  <w:gridSpan w:val="3"/>
                  <w:tcBorders>
                    <w:tl2br w:val="nil"/>
                    <w:tr2bl w:val="nil"/>
                  </w:tcBorders>
                  <w:shd w:val="clear" w:color="auto" w:fill="auto"/>
                  <w:noWrap w:val="0"/>
                  <w:vAlign w:val="center"/>
                </w:tcPr>
                <w:p w14:paraId="16BC7571">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数量（台</w:t>
                  </w:r>
                  <w:r>
                    <w:rPr>
                      <w:rFonts w:hint="default" w:ascii="Times New Roman" w:hAnsi="Times New Roman" w:eastAsia="宋体" w:cs="Times New Roman"/>
                      <w:b/>
                      <w:bCs/>
                      <w:color w:val="auto"/>
                      <w:kern w:val="0"/>
                      <w:sz w:val="21"/>
                      <w:szCs w:val="21"/>
                      <w:highlight w:val="none"/>
                      <w:lang w:val="en-US" w:eastAsia="zh-CN"/>
                    </w:rPr>
                    <w:t>/套</w:t>
                  </w:r>
                  <w:r>
                    <w:rPr>
                      <w:rFonts w:hint="default" w:ascii="Times New Roman" w:hAnsi="Times New Roman" w:eastAsia="宋体" w:cs="Times New Roman"/>
                      <w:b/>
                      <w:bCs/>
                      <w:color w:val="auto"/>
                      <w:kern w:val="0"/>
                      <w:sz w:val="21"/>
                      <w:szCs w:val="21"/>
                      <w:highlight w:val="none"/>
                    </w:rPr>
                    <w:t>）</w:t>
                  </w:r>
                </w:p>
              </w:tc>
              <w:tc>
                <w:tcPr>
                  <w:tcW w:w="737" w:type="pct"/>
                  <w:vMerge w:val="restart"/>
                  <w:tcBorders>
                    <w:tl2br w:val="nil"/>
                    <w:tr2bl w:val="nil"/>
                  </w:tcBorders>
                  <w:shd w:val="clear" w:color="auto" w:fill="auto"/>
                  <w:noWrap w:val="0"/>
                  <w:vAlign w:val="center"/>
                </w:tcPr>
                <w:p w14:paraId="3970A914">
                  <w:pPr>
                    <w:widowControl/>
                    <w:jc w:val="center"/>
                    <w:rPr>
                      <w:rFonts w:hint="eastAsia" w:ascii="Times New Roman" w:hAnsi="Times New Roman" w:eastAsia="宋体"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备注</w:t>
                  </w:r>
                </w:p>
              </w:tc>
            </w:tr>
            <w:tr w14:paraId="59508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vMerge w:val="continue"/>
                  <w:tcBorders>
                    <w:tl2br w:val="nil"/>
                    <w:tr2bl w:val="nil"/>
                  </w:tcBorders>
                  <w:shd w:val="clear" w:color="auto" w:fill="auto"/>
                  <w:noWrap w:val="0"/>
                  <w:vAlign w:val="center"/>
                </w:tcPr>
                <w:p w14:paraId="21D4D07F">
                  <w:pPr>
                    <w:widowControl/>
                    <w:jc w:val="center"/>
                    <w:rPr>
                      <w:rFonts w:hint="default" w:ascii="Times New Roman" w:hAnsi="Times New Roman" w:eastAsia="宋体" w:cs="Times New Roman"/>
                      <w:b/>
                      <w:bCs/>
                      <w:color w:val="auto"/>
                      <w:kern w:val="0"/>
                      <w:sz w:val="21"/>
                      <w:szCs w:val="21"/>
                      <w:highlight w:val="none"/>
                    </w:rPr>
                  </w:pPr>
                </w:p>
              </w:tc>
              <w:tc>
                <w:tcPr>
                  <w:tcW w:w="1138" w:type="pct"/>
                  <w:vMerge w:val="continue"/>
                  <w:tcBorders>
                    <w:tl2br w:val="nil"/>
                    <w:tr2bl w:val="nil"/>
                  </w:tcBorders>
                  <w:shd w:val="clear" w:color="auto" w:fill="auto"/>
                  <w:noWrap w:val="0"/>
                  <w:vAlign w:val="center"/>
                </w:tcPr>
                <w:p w14:paraId="6EC79F81">
                  <w:pPr>
                    <w:widowControl/>
                    <w:jc w:val="center"/>
                    <w:rPr>
                      <w:rFonts w:hint="default" w:ascii="Times New Roman" w:hAnsi="Times New Roman" w:eastAsia="宋体" w:cs="Times New Roman"/>
                      <w:b/>
                      <w:bCs/>
                      <w:color w:val="auto"/>
                      <w:kern w:val="0"/>
                      <w:sz w:val="21"/>
                      <w:szCs w:val="21"/>
                      <w:highlight w:val="none"/>
                    </w:rPr>
                  </w:pPr>
                </w:p>
              </w:tc>
              <w:tc>
                <w:tcPr>
                  <w:tcW w:w="970" w:type="pct"/>
                  <w:tcBorders>
                    <w:tl2br w:val="nil"/>
                    <w:tr2bl w:val="nil"/>
                  </w:tcBorders>
                  <w:shd w:val="clear" w:color="auto" w:fill="auto"/>
                  <w:noWrap w:val="0"/>
                  <w:vAlign w:val="center"/>
                </w:tcPr>
                <w:p w14:paraId="69E9F5B8">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改扩建</w:t>
                  </w:r>
                  <w:r>
                    <w:rPr>
                      <w:rFonts w:hint="default" w:ascii="Times New Roman" w:hAnsi="Times New Roman" w:eastAsia="宋体" w:cs="Times New Roman"/>
                      <w:b/>
                      <w:bCs/>
                      <w:color w:val="auto"/>
                      <w:kern w:val="0"/>
                      <w:sz w:val="21"/>
                      <w:szCs w:val="21"/>
                      <w:highlight w:val="none"/>
                      <w:lang w:val="en-US" w:eastAsia="zh-CN"/>
                    </w:rPr>
                    <w:t>前</w:t>
                  </w:r>
                </w:p>
              </w:tc>
              <w:tc>
                <w:tcPr>
                  <w:tcW w:w="970" w:type="pct"/>
                  <w:tcBorders>
                    <w:tl2br w:val="nil"/>
                    <w:tr2bl w:val="nil"/>
                  </w:tcBorders>
                  <w:shd w:val="clear" w:color="auto" w:fill="auto"/>
                  <w:noWrap w:val="0"/>
                  <w:vAlign w:val="center"/>
                </w:tcPr>
                <w:p w14:paraId="0B37AD40">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改扩建</w:t>
                  </w:r>
                  <w:r>
                    <w:rPr>
                      <w:rFonts w:hint="default" w:ascii="Times New Roman" w:hAnsi="Times New Roman" w:eastAsia="宋体" w:cs="Times New Roman"/>
                      <w:b/>
                      <w:bCs/>
                      <w:color w:val="auto"/>
                      <w:kern w:val="0"/>
                      <w:sz w:val="21"/>
                      <w:szCs w:val="21"/>
                      <w:highlight w:val="none"/>
                      <w:lang w:val="en-US" w:eastAsia="zh-CN"/>
                    </w:rPr>
                    <w:t>后</w:t>
                  </w:r>
                </w:p>
              </w:tc>
              <w:tc>
                <w:tcPr>
                  <w:tcW w:w="739" w:type="pct"/>
                  <w:tcBorders>
                    <w:tl2br w:val="nil"/>
                    <w:tr2bl w:val="nil"/>
                  </w:tcBorders>
                  <w:shd w:val="clear" w:color="auto" w:fill="auto"/>
                  <w:noWrap w:val="0"/>
                  <w:vAlign w:val="center"/>
                </w:tcPr>
                <w:p w14:paraId="438C3E79">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c>
                <w:tcPr>
                  <w:tcW w:w="737" w:type="pct"/>
                  <w:vMerge w:val="continue"/>
                  <w:tcBorders>
                    <w:tl2br w:val="nil"/>
                    <w:tr2bl w:val="nil"/>
                  </w:tcBorders>
                  <w:shd w:val="clear" w:color="auto" w:fill="auto"/>
                  <w:noWrap w:val="0"/>
                  <w:vAlign w:val="center"/>
                </w:tcPr>
                <w:p w14:paraId="61F7420C">
                  <w:pPr>
                    <w:widowControl/>
                    <w:jc w:val="center"/>
                    <w:rPr>
                      <w:rFonts w:hint="default" w:ascii="Times New Roman" w:hAnsi="Times New Roman" w:eastAsia="宋体" w:cs="Times New Roman"/>
                      <w:b/>
                      <w:bCs/>
                      <w:color w:val="auto"/>
                      <w:kern w:val="0"/>
                      <w:sz w:val="21"/>
                      <w:szCs w:val="21"/>
                      <w:highlight w:val="none"/>
                      <w:lang w:val="en-US" w:eastAsia="zh-CN"/>
                    </w:rPr>
                  </w:pPr>
                </w:p>
              </w:tc>
            </w:tr>
            <w:tr w14:paraId="1CB46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230EEA47">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w:t>
                  </w:r>
                </w:p>
              </w:tc>
              <w:tc>
                <w:tcPr>
                  <w:tcW w:w="1138" w:type="pct"/>
                  <w:tcBorders>
                    <w:tl2br w:val="nil"/>
                    <w:tr2bl w:val="nil"/>
                  </w:tcBorders>
                  <w:shd w:val="clear" w:color="auto" w:fill="auto"/>
                  <w:noWrap/>
                  <w:vAlign w:val="center"/>
                </w:tcPr>
                <w:p w14:paraId="59B940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CNC自动车</w:t>
                  </w:r>
                </w:p>
              </w:tc>
              <w:tc>
                <w:tcPr>
                  <w:tcW w:w="970" w:type="pct"/>
                  <w:tcBorders>
                    <w:tl2br w:val="nil"/>
                    <w:tr2bl w:val="nil"/>
                  </w:tcBorders>
                  <w:shd w:val="clear" w:color="auto" w:fill="auto"/>
                  <w:noWrap/>
                  <w:vAlign w:val="center"/>
                </w:tcPr>
                <w:p w14:paraId="258FD3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p>
              </w:tc>
              <w:tc>
                <w:tcPr>
                  <w:tcW w:w="970" w:type="pct"/>
                  <w:tcBorders>
                    <w:tl2br w:val="nil"/>
                    <w:tr2bl w:val="nil"/>
                  </w:tcBorders>
                  <w:shd w:val="clear" w:color="auto" w:fill="auto"/>
                  <w:noWrap/>
                  <w:vAlign w:val="center"/>
                </w:tcPr>
                <w:p w14:paraId="071D029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9</w:t>
                  </w:r>
                  <w:r>
                    <w:rPr>
                      <w:rFonts w:hint="eastAsia" w:ascii="Times New Roman" w:hAnsi="Times New Roman" w:eastAsia="宋体" w:cs="Times New Roman"/>
                      <w:color w:val="auto"/>
                      <w:kern w:val="0"/>
                      <w:sz w:val="21"/>
                      <w:szCs w:val="21"/>
                      <w:highlight w:val="none"/>
                      <w:lang w:val="en-US" w:eastAsia="zh-CN" w:bidi="ar-SA"/>
                    </w:rPr>
                    <w:t>0</w:t>
                  </w:r>
                </w:p>
              </w:tc>
              <w:tc>
                <w:tcPr>
                  <w:tcW w:w="739" w:type="pct"/>
                  <w:tcBorders>
                    <w:tl2br w:val="nil"/>
                    <w:tr2bl w:val="nil"/>
                  </w:tcBorders>
                  <w:shd w:val="clear" w:color="auto" w:fill="auto"/>
                  <w:noWrap/>
                  <w:vAlign w:val="center"/>
                </w:tcPr>
                <w:p w14:paraId="6777182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7</w:t>
                  </w:r>
                  <w:r>
                    <w:rPr>
                      <w:rFonts w:hint="eastAsia" w:ascii="Times New Roman" w:hAnsi="Times New Roman" w:eastAsia="宋体" w:cs="Times New Roman"/>
                      <w:color w:val="auto"/>
                      <w:kern w:val="0"/>
                      <w:sz w:val="21"/>
                      <w:szCs w:val="21"/>
                      <w:highlight w:val="none"/>
                      <w:lang w:val="en-US" w:eastAsia="zh-CN" w:bidi="ar-SA"/>
                    </w:rPr>
                    <w:t>5</w:t>
                  </w:r>
                </w:p>
              </w:tc>
              <w:tc>
                <w:tcPr>
                  <w:tcW w:w="737" w:type="pct"/>
                  <w:tcBorders>
                    <w:tl2br w:val="nil"/>
                    <w:tr2bl w:val="nil"/>
                  </w:tcBorders>
                  <w:shd w:val="clear" w:color="auto" w:fill="auto"/>
                  <w:noWrap/>
                  <w:vAlign w:val="center"/>
                </w:tcPr>
                <w:p w14:paraId="055E7A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厂房3#</w:t>
                  </w:r>
                </w:p>
              </w:tc>
            </w:tr>
            <w:tr w14:paraId="6376A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06CC17C0">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2</w:t>
                  </w:r>
                </w:p>
              </w:tc>
              <w:tc>
                <w:tcPr>
                  <w:tcW w:w="1138" w:type="pct"/>
                  <w:tcBorders>
                    <w:tl2br w:val="nil"/>
                    <w:tr2bl w:val="nil"/>
                  </w:tcBorders>
                  <w:shd w:val="clear" w:color="auto" w:fill="auto"/>
                  <w:noWrap/>
                  <w:vAlign w:val="center"/>
                </w:tcPr>
                <w:p w14:paraId="699EA9A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滚齿机</w:t>
                  </w:r>
                </w:p>
              </w:tc>
              <w:tc>
                <w:tcPr>
                  <w:tcW w:w="970" w:type="pct"/>
                  <w:tcBorders>
                    <w:tl2br w:val="nil"/>
                    <w:tr2bl w:val="nil"/>
                  </w:tcBorders>
                  <w:shd w:val="clear" w:color="auto" w:fill="auto"/>
                  <w:noWrap/>
                  <w:vAlign w:val="center"/>
                </w:tcPr>
                <w:p w14:paraId="018BE8A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970" w:type="pct"/>
                  <w:tcBorders>
                    <w:tl2br w:val="nil"/>
                    <w:tr2bl w:val="nil"/>
                  </w:tcBorders>
                  <w:shd w:val="clear" w:color="auto" w:fill="auto"/>
                  <w:noWrap/>
                  <w:vAlign w:val="center"/>
                </w:tcPr>
                <w:p w14:paraId="65E9632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c>
                <w:tcPr>
                  <w:tcW w:w="739" w:type="pct"/>
                  <w:tcBorders>
                    <w:tl2br w:val="nil"/>
                    <w:tr2bl w:val="nil"/>
                  </w:tcBorders>
                  <w:shd w:val="clear" w:color="auto" w:fill="auto"/>
                  <w:noWrap/>
                  <w:vAlign w:val="center"/>
                </w:tcPr>
                <w:p w14:paraId="32C9FD2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10105B1C">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厂房1#</w:t>
                  </w:r>
                </w:p>
              </w:tc>
            </w:tr>
            <w:tr w14:paraId="7A7D31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49D9B5F5">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3</w:t>
                  </w:r>
                </w:p>
              </w:tc>
              <w:tc>
                <w:tcPr>
                  <w:tcW w:w="1138" w:type="pct"/>
                  <w:tcBorders>
                    <w:tl2br w:val="nil"/>
                    <w:tr2bl w:val="nil"/>
                  </w:tcBorders>
                  <w:shd w:val="clear" w:color="auto" w:fill="auto"/>
                  <w:noWrap/>
                  <w:vAlign w:val="center"/>
                </w:tcPr>
                <w:p w14:paraId="2BA7386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空压机</w:t>
                  </w:r>
                </w:p>
              </w:tc>
              <w:tc>
                <w:tcPr>
                  <w:tcW w:w="970" w:type="pct"/>
                  <w:tcBorders>
                    <w:tl2br w:val="nil"/>
                    <w:tr2bl w:val="nil"/>
                  </w:tcBorders>
                  <w:shd w:val="clear" w:color="auto" w:fill="auto"/>
                  <w:noWrap/>
                  <w:vAlign w:val="center"/>
                </w:tcPr>
                <w:p w14:paraId="1DF1DBF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5EDB3BB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w:t>
                  </w:r>
                </w:p>
              </w:tc>
              <w:tc>
                <w:tcPr>
                  <w:tcW w:w="739" w:type="pct"/>
                  <w:tcBorders>
                    <w:tl2br w:val="nil"/>
                    <w:tr2bl w:val="nil"/>
                  </w:tcBorders>
                  <w:shd w:val="clear" w:color="auto" w:fill="auto"/>
                  <w:noWrap/>
                  <w:vAlign w:val="center"/>
                </w:tcPr>
                <w:p w14:paraId="0047732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5</w:t>
                  </w:r>
                </w:p>
              </w:tc>
              <w:tc>
                <w:tcPr>
                  <w:tcW w:w="737" w:type="pct"/>
                  <w:tcBorders>
                    <w:tl2br w:val="nil"/>
                    <w:tr2bl w:val="nil"/>
                  </w:tcBorders>
                  <w:shd w:val="clear" w:color="auto" w:fill="auto"/>
                  <w:noWrap/>
                  <w:vAlign w:val="center"/>
                </w:tcPr>
                <w:p w14:paraId="4FE7B96E">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厂房1#</w:t>
                  </w:r>
                </w:p>
              </w:tc>
            </w:tr>
            <w:tr w14:paraId="296671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76A546DA">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4</w:t>
                  </w:r>
                </w:p>
              </w:tc>
              <w:tc>
                <w:tcPr>
                  <w:tcW w:w="1138" w:type="pct"/>
                  <w:tcBorders>
                    <w:tl2br w:val="nil"/>
                    <w:tr2bl w:val="nil"/>
                  </w:tcBorders>
                  <w:shd w:val="clear" w:color="auto" w:fill="auto"/>
                  <w:noWrap/>
                  <w:vAlign w:val="center"/>
                </w:tcPr>
                <w:p w14:paraId="592DF2A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甩油机</w:t>
                  </w:r>
                </w:p>
              </w:tc>
              <w:tc>
                <w:tcPr>
                  <w:tcW w:w="970" w:type="pct"/>
                  <w:tcBorders>
                    <w:tl2br w:val="nil"/>
                    <w:tr2bl w:val="nil"/>
                  </w:tcBorders>
                  <w:shd w:val="clear" w:color="auto" w:fill="auto"/>
                  <w:noWrap/>
                  <w:vAlign w:val="center"/>
                </w:tcPr>
                <w:p w14:paraId="6449A9A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749305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9" w:type="pct"/>
                  <w:tcBorders>
                    <w:tl2br w:val="nil"/>
                    <w:tr2bl w:val="nil"/>
                  </w:tcBorders>
                  <w:shd w:val="clear" w:color="auto" w:fill="auto"/>
                  <w:noWrap/>
                  <w:vAlign w:val="center"/>
                </w:tcPr>
                <w:p w14:paraId="2F330D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w:t>
                  </w:r>
                </w:p>
              </w:tc>
              <w:tc>
                <w:tcPr>
                  <w:tcW w:w="737" w:type="pct"/>
                  <w:tcBorders>
                    <w:tl2br w:val="nil"/>
                    <w:tr2bl w:val="nil"/>
                  </w:tcBorders>
                  <w:shd w:val="clear" w:color="auto" w:fill="auto"/>
                  <w:noWrap/>
                  <w:vAlign w:val="center"/>
                </w:tcPr>
                <w:p w14:paraId="57DDB46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已淘汰</w:t>
                  </w:r>
                </w:p>
              </w:tc>
            </w:tr>
            <w:tr w14:paraId="481EC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68D7725B">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5</w:t>
                  </w:r>
                </w:p>
              </w:tc>
              <w:tc>
                <w:tcPr>
                  <w:tcW w:w="1138" w:type="pct"/>
                  <w:tcBorders>
                    <w:tl2br w:val="nil"/>
                    <w:tr2bl w:val="nil"/>
                  </w:tcBorders>
                  <w:shd w:val="clear" w:color="auto" w:fill="auto"/>
                  <w:noWrap/>
                  <w:vAlign w:val="center"/>
                </w:tcPr>
                <w:p w14:paraId="66D677B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螺丝机</w:t>
                  </w:r>
                </w:p>
              </w:tc>
              <w:tc>
                <w:tcPr>
                  <w:tcW w:w="970" w:type="pct"/>
                  <w:tcBorders>
                    <w:tl2br w:val="nil"/>
                    <w:tr2bl w:val="nil"/>
                  </w:tcBorders>
                  <w:shd w:val="clear" w:color="auto" w:fill="auto"/>
                  <w:noWrap/>
                  <w:vAlign w:val="center"/>
                </w:tcPr>
                <w:p w14:paraId="52140F4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7619C91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0</w:t>
                  </w:r>
                </w:p>
              </w:tc>
              <w:tc>
                <w:tcPr>
                  <w:tcW w:w="739" w:type="pct"/>
                  <w:tcBorders>
                    <w:tl2br w:val="nil"/>
                    <w:tr2bl w:val="nil"/>
                  </w:tcBorders>
                  <w:shd w:val="clear" w:color="auto" w:fill="auto"/>
                  <w:noWrap/>
                  <w:vAlign w:val="center"/>
                </w:tcPr>
                <w:p w14:paraId="04EDBB6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p>
              </w:tc>
              <w:tc>
                <w:tcPr>
                  <w:tcW w:w="737" w:type="pct"/>
                  <w:tcBorders>
                    <w:tl2br w:val="nil"/>
                    <w:tr2bl w:val="nil"/>
                  </w:tcBorders>
                  <w:shd w:val="clear" w:color="auto" w:fill="auto"/>
                  <w:noWrap/>
                  <w:vAlign w:val="center"/>
                </w:tcPr>
                <w:p w14:paraId="16D00996">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已淘汰</w:t>
                  </w:r>
                </w:p>
              </w:tc>
            </w:tr>
            <w:tr w14:paraId="6064B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3514469D">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6</w:t>
                  </w:r>
                </w:p>
              </w:tc>
              <w:tc>
                <w:tcPr>
                  <w:tcW w:w="1138" w:type="pct"/>
                  <w:tcBorders>
                    <w:tl2br w:val="nil"/>
                    <w:tr2bl w:val="nil"/>
                  </w:tcBorders>
                  <w:shd w:val="clear" w:color="auto" w:fill="auto"/>
                  <w:noWrap/>
                  <w:vAlign w:val="center"/>
                </w:tcPr>
                <w:p w14:paraId="61F6ACC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超声波</w:t>
                  </w:r>
                  <w:r>
                    <w:rPr>
                      <w:rFonts w:hint="eastAsia" w:cs="Times New Roman"/>
                      <w:i w:val="0"/>
                      <w:iCs w:val="0"/>
                      <w:color w:val="auto"/>
                      <w:kern w:val="0"/>
                      <w:sz w:val="22"/>
                      <w:szCs w:val="22"/>
                      <w:highlight w:val="none"/>
                      <w:u w:val="none"/>
                      <w:lang w:val="en-US" w:eastAsia="zh-CN" w:bidi="ar"/>
                    </w:rPr>
                    <w:t>清洗机</w:t>
                  </w:r>
                </w:p>
              </w:tc>
              <w:tc>
                <w:tcPr>
                  <w:tcW w:w="970" w:type="pct"/>
                  <w:tcBorders>
                    <w:tl2br w:val="nil"/>
                    <w:tr2bl w:val="nil"/>
                  </w:tcBorders>
                  <w:shd w:val="clear" w:color="auto" w:fill="auto"/>
                  <w:noWrap/>
                  <w:vAlign w:val="center"/>
                </w:tcPr>
                <w:p w14:paraId="060E6E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506D0EA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w:t>
                  </w:r>
                </w:p>
              </w:tc>
              <w:tc>
                <w:tcPr>
                  <w:tcW w:w="739" w:type="pct"/>
                  <w:tcBorders>
                    <w:tl2br w:val="nil"/>
                    <w:tr2bl w:val="nil"/>
                  </w:tcBorders>
                  <w:shd w:val="clear" w:color="auto" w:fill="auto"/>
                  <w:noWrap/>
                  <w:vAlign w:val="center"/>
                </w:tcPr>
                <w:p w14:paraId="70755D9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4</w:t>
                  </w:r>
                </w:p>
              </w:tc>
              <w:tc>
                <w:tcPr>
                  <w:tcW w:w="737" w:type="pct"/>
                  <w:tcBorders>
                    <w:tl2br w:val="nil"/>
                    <w:tr2bl w:val="nil"/>
                  </w:tcBorders>
                  <w:shd w:val="clear" w:color="auto" w:fill="auto"/>
                  <w:noWrap/>
                  <w:vAlign w:val="center"/>
                </w:tcPr>
                <w:p w14:paraId="5793DDD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厂房3#</w:t>
                  </w:r>
                </w:p>
              </w:tc>
            </w:tr>
            <w:tr w14:paraId="41BAC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4773B3B8">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7</w:t>
                  </w:r>
                </w:p>
              </w:tc>
              <w:tc>
                <w:tcPr>
                  <w:tcW w:w="1138" w:type="pct"/>
                  <w:tcBorders>
                    <w:tl2br w:val="nil"/>
                    <w:tr2bl w:val="nil"/>
                  </w:tcBorders>
                  <w:shd w:val="clear" w:color="auto" w:fill="auto"/>
                  <w:noWrap/>
                  <w:vAlign w:val="center"/>
                </w:tcPr>
                <w:p w14:paraId="7AE0951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热风干燥机</w:t>
                  </w:r>
                </w:p>
              </w:tc>
              <w:tc>
                <w:tcPr>
                  <w:tcW w:w="970" w:type="pct"/>
                  <w:tcBorders>
                    <w:tl2br w:val="nil"/>
                    <w:tr2bl w:val="nil"/>
                  </w:tcBorders>
                  <w:shd w:val="clear" w:color="auto" w:fill="auto"/>
                  <w:noWrap/>
                  <w:vAlign w:val="center"/>
                </w:tcPr>
                <w:p w14:paraId="45E471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0B05FF7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p>
              </w:tc>
              <w:tc>
                <w:tcPr>
                  <w:tcW w:w="739" w:type="pct"/>
                  <w:tcBorders>
                    <w:tl2br w:val="nil"/>
                    <w:tr2bl w:val="nil"/>
                  </w:tcBorders>
                  <w:shd w:val="clear" w:color="auto" w:fill="auto"/>
                  <w:noWrap/>
                  <w:vAlign w:val="center"/>
                </w:tcPr>
                <w:p w14:paraId="35793A1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050C16B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2E01B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57EF2B06">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8</w:t>
                  </w:r>
                </w:p>
              </w:tc>
              <w:tc>
                <w:tcPr>
                  <w:tcW w:w="1138" w:type="pct"/>
                  <w:tcBorders>
                    <w:tl2br w:val="nil"/>
                    <w:tr2bl w:val="nil"/>
                  </w:tcBorders>
                  <w:shd w:val="clear" w:color="auto" w:fill="auto"/>
                  <w:noWrap/>
                  <w:vAlign w:val="center"/>
                </w:tcPr>
                <w:p w14:paraId="6F5E246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平磨机</w:t>
                  </w:r>
                </w:p>
              </w:tc>
              <w:tc>
                <w:tcPr>
                  <w:tcW w:w="970" w:type="pct"/>
                  <w:tcBorders>
                    <w:tl2br w:val="nil"/>
                    <w:tr2bl w:val="nil"/>
                  </w:tcBorders>
                  <w:shd w:val="clear" w:color="auto" w:fill="auto"/>
                  <w:noWrap/>
                  <w:vAlign w:val="center"/>
                </w:tcPr>
                <w:p w14:paraId="1DDA90A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581DC77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w:t>
                  </w:r>
                </w:p>
              </w:tc>
              <w:tc>
                <w:tcPr>
                  <w:tcW w:w="739" w:type="pct"/>
                  <w:tcBorders>
                    <w:tl2br w:val="nil"/>
                    <w:tr2bl w:val="nil"/>
                  </w:tcBorders>
                  <w:shd w:val="clear" w:color="auto" w:fill="auto"/>
                  <w:noWrap/>
                  <w:vAlign w:val="center"/>
                </w:tcPr>
                <w:p w14:paraId="1C74A5C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9</w:t>
                  </w:r>
                </w:p>
              </w:tc>
              <w:tc>
                <w:tcPr>
                  <w:tcW w:w="737" w:type="pct"/>
                  <w:tcBorders>
                    <w:tl2br w:val="nil"/>
                    <w:tr2bl w:val="nil"/>
                  </w:tcBorders>
                  <w:shd w:val="clear" w:color="auto" w:fill="auto"/>
                  <w:noWrap/>
                  <w:vAlign w:val="center"/>
                </w:tcPr>
                <w:p w14:paraId="4C546E0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23A70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08CB555E">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9</w:t>
                  </w:r>
                </w:p>
              </w:tc>
              <w:tc>
                <w:tcPr>
                  <w:tcW w:w="1138" w:type="pct"/>
                  <w:tcBorders>
                    <w:tl2br w:val="nil"/>
                    <w:tr2bl w:val="nil"/>
                  </w:tcBorders>
                  <w:shd w:val="clear" w:color="auto" w:fill="auto"/>
                  <w:noWrap/>
                  <w:vAlign w:val="center"/>
                </w:tcPr>
                <w:p w14:paraId="62BD3A5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自动绗</w:t>
                  </w:r>
                </w:p>
              </w:tc>
              <w:tc>
                <w:tcPr>
                  <w:tcW w:w="970" w:type="pct"/>
                  <w:tcBorders>
                    <w:tl2br w:val="nil"/>
                    <w:tr2bl w:val="nil"/>
                  </w:tcBorders>
                  <w:shd w:val="clear" w:color="auto" w:fill="auto"/>
                  <w:noWrap/>
                  <w:vAlign w:val="center"/>
                </w:tcPr>
                <w:p w14:paraId="34C1BD5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5B2E737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p>
              </w:tc>
              <w:tc>
                <w:tcPr>
                  <w:tcW w:w="739" w:type="pct"/>
                  <w:tcBorders>
                    <w:tl2br w:val="nil"/>
                    <w:tr2bl w:val="nil"/>
                  </w:tcBorders>
                  <w:shd w:val="clear" w:color="auto" w:fill="auto"/>
                  <w:noWrap/>
                  <w:vAlign w:val="center"/>
                </w:tcPr>
                <w:p w14:paraId="5F08C0F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5C38582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741BA9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37A45BD3">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10</w:t>
                  </w:r>
                </w:p>
              </w:tc>
              <w:tc>
                <w:tcPr>
                  <w:tcW w:w="1138" w:type="pct"/>
                  <w:tcBorders>
                    <w:tl2br w:val="nil"/>
                    <w:tr2bl w:val="nil"/>
                  </w:tcBorders>
                  <w:shd w:val="clear" w:color="auto" w:fill="auto"/>
                  <w:noWrap/>
                  <w:vAlign w:val="center"/>
                </w:tcPr>
                <w:p w14:paraId="7D03D25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线切割机</w:t>
                  </w:r>
                </w:p>
              </w:tc>
              <w:tc>
                <w:tcPr>
                  <w:tcW w:w="970" w:type="pct"/>
                  <w:tcBorders>
                    <w:tl2br w:val="nil"/>
                    <w:tr2bl w:val="nil"/>
                  </w:tcBorders>
                  <w:shd w:val="clear" w:color="auto" w:fill="auto"/>
                  <w:noWrap/>
                  <w:vAlign w:val="center"/>
                </w:tcPr>
                <w:p w14:paraId="40F156B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0439268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w:t>
                  </w:r>
                </w:p>
              </w:tc>
              <w:tc>
                <w:tcPr>
                  <w:tcW w:w="739" w:type="pct"/>
                  <w:tcBorders>
                    <w:tl2br w:val="nil"/>
                    <w:tr2bl w:val="nil"/>
                  </w:tcBorders>
                  <w:shd w:val="clear" w:color="auto" w:fill="auto"/>
                  <w:noWrap/>
                  <w:vAlign w:val="center"/>
                </w:tcPr>
                <w:p w14:paraId="1310675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3</w:t>
                  </w:r>
                </w:p>
              </w:tc>
              <w:tc>
                <w:tcPr>
                  <w:tcW w:w="737" w:type="pct"/>
                  <w:tcBorders>
                    <w:tl2br w:val="nil"/>
                    <w:tr2bl w:val="nil"/>
                  </w:tcBorders>
                  <w:shd w:val="clear" w:color="auto" w:fill="auto"/>
                  <w:noWrap/>
                  <w:vAlign w:val="center"/>
                </w:tcPr>
                <w:p w14:paraId="5E41450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445EF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174D2983">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11</w:t>
                  </w:r>
                </w:p>
              </w:tc>
              <w:tc>
                <w:tcPr>
                  <w:tcW w:w="1138" w:type="pct"/>
                  <w:tcBorders>
                    <w:tl2br w:val="nil"/>
                    <w:tr2bl w:val="nil"/>
                  </w:tcBorders>
                  <w:shd w:val="clear" w:color="auto" w:fill="auto"/>
                  <w:noWrap/>
                  <w:vAlign w:val="center"/>
                </w:tcPr>
                <w:p w14:paraId="6B98F7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铣齿机</w:t>
                  </w:r>
                </w:p>
              </w:tc>
              <w:tc>
                <w:tcPr>
                  <w:tcW w:w="970" w:type="pct"/>
                  <w:tcBorders>
                    <w:tl2br w:val="nil"/>
                    <w:tr2bl w:val="nil"/>
                  </w:tcBorders>
                  <w:shd w:val="clear" w:color="auto" w:fill="auto"/>
                  <w:noWrap/>
                  <w:vAlign w:val="center"/>
                </w:tcPr>
                <w:p w14:paraId="69CC021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w:t>
                  </w:r>
                </w:p>
              </w:tc>
              <w:tc>
                <w:tcPr>
                  <w:tcW w:w="970" w:type="pct"/>
                  <w:tcBorders>
                    <w:tl2br w:val="nil"/>
                    <w:tr2bl w:val="nil"/>
                  </w:tcBorders>
                  <w:shd w:val="clear" w:color="auto" w:fill="auto"/>
                  <w:noWrap/>
                  <w:vAlign w:val="center"/>
                </w:tcPr>
                <w:p w14:paraId="5BF3BCC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5</w:t>
                  </w:r>
                </w:p>
              </w:tc>
              <w:tc>
                <w:tcPr>
                  <w:tcW w:w="739" w:type="pct"/>
                  <w:tcBorders>
                    <w:tl2br w:val="nil"/>
                    <w:tr2bl w:val="nil"/>
                  </w:tcBorders>
                  <w:shd w:val="clear" w:color="auto" w:fill="auto"/>
                  <w:noWrap/>
                  <w:vAlign w:val="center"/>
                </w:tcPr>
                <w:p w14:paraId="2DD1BB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c>
                <w:tcPr>
                  <w:tcW w:w="737" w:type="pct"/>
                  <w:tcBorders>
                    <w:tl2br w:val="nil"/>
                    <w:tr2bl w:val="nil"/>
                  </w:tcBorders>
                  <w:shd w:val="clear" w:color="auto" w:fill="auto"/>
                  <w:noWrap/>
                  <w:vAlign w:val="center"/>
                </w:tcPr>
                <w:p w14:paraId="2432EA09">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7B81A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3CC1B52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12</w:t>
                  </w:r>
                </w:p>
              </w:tc>
              <w:tc>
                <w:tcPr>
                  <w:tcW w:w="1138" w:type="pct"/>
                  <w:tcBorders>
                    <w:tl2br w:val="nil"/>
                    <w:tr2bl w:val="nil"/>
                  </w:tcBorders>
                  <w:shd w:val="clear" w:color="auto" w:fill="auto"/>
                  <w:noWrap/>
                  <w:vAlign w:val="center"/>
                </w:tcPr>
                <w:p w14:paraId="5F6F447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插齿机</w:t>
                  </w:r>
                </w:p>
              </w:tc>
              <w:tc>
                <w:tcPr>
                  <w:tcW w:w="970" w:type="pct"/>
                  <w:tcBorders>
                    <w:tl2br w:val="nil"/>
                    <w:tr2bl w:val="nil"/>
                  </w:tcBorders>
                  <w:shd w:val="clear" w:color="auto" w:fill="auto"/>
                  <w:noWrap/>
                  <w:vAlign w:val="center"/>
                </w:tcPr>
                <w:p w14:paraId="16845DF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42FE377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r>
                    <w:rPr>
                      <w:rFonts w:hint="eastAsia" w:cs="Times New Roman"/>
                      <w:color w:val="auto"/>
                      <w:kern w:val="0"/>
                      <w:sz w:val="21"/>
                      <w:szCs w:val="21"/>
                      <w:highlight w:val="none"/>
                      <w:lang w:val="en-US" w:eastAsia="zh-CN" w:bidi="ar-SA"/>
                    </w:rPr>
                    <w:t>5</w:t>
                  </w:r>
                </w:p>
              </w:tc>
              <w:tc>
                <w:tcPr>
                  <w:tcW w:w="739" w:type="pct"/>
                  <w:tcBorders>
                    <w:tl2br w:val="nil"/>
                    <w:tr2bl w:val="nil"/>
                  </w:tcBorders>
                  <w:shd w:val="clear" w:color="auto" w:fill="auto"/>
                  <w:noWrap/>
                  <w:vAlign w:val="center"/>
                </w:tcPr>
                <w:p w14:paraId="60608FB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24</w:t>
                  </w:r>
                </w:p>
              </w:tc>
              <w:tc>
                <w:tcPr>
                  <w:tcW w:w="737" w:type="pct"/>
                  <w:tcBorders>
                    <w:tl2br w:val="nil"/>
                    <w:tr2bl w:val="nil"/>
                  </w:tcBorders>
                  <w:shd w:val="clear" w:color="auto" w:fill="auto"/>
                  <w:noWrap/>
                  <w:vAlign w:val="center"/>
                </w:tcPr>
                <w:p w14:paraId="36BE00DC">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3A04D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3979CB89">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13</w:t>
                  </w:r>
                </w:p>
              </w:tc>
              <w:tc>
                <w:tcPr>
                  <w:tcW w:w="1138" w:type="pct"/>
                  <w:tcBorders>
                    <w:tl2br w:val="nil"/>
                    <w:tr2bl w:val="nil"/>
                  </w:tcBorders>
                  <w:shd w:val="clear" w:color="auto" w:fill="auto"/>
                  <w:noWrap/>
                  <w:vAlign w:val="center"/>
                </w:tcPr>
                <w:p w14:paraId="3985A18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万能外磨圆</w:t>
                  </w:r>
                </w:p>
              </w:tc>
              <w:tc>
                <w:tcPr>
                  <w:tcW w:w="970" w:type="pct"/>
                  <w:tcBorders>
                    <w:tl2br w:val="nil"/>
                    <w:tr2bl w:val="nil"/>
                  </w:tcBorders>
                  <w:shd w:val="clear" w:color="auto" w:fill="auto"/>
                  <w:noWrap/>
                  <w:vAlign w:val="center"/>
                </w:tcPr>
                <w:p w14:paraId="01F58D9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970" w:type="pct"/>
                  <w:tcBorders>
                    <w:tl2br w:val="nil"/>
                    <w:tr2bl w:val="nil"/>
                  </w:tcBorders>
                  <w:shd w:val="clear" w:color="auto" w:fill="auto"/>
                  <w:noWrap/>
                  <w:vAlign w:val="center"/>
                </w:tcPr>
                <w:p w14:paraId="0EC8E4E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739" w:type="pct"/>
                  <w:tcBorders>
                    <w:tl2br w:val="nil"/>
                    <w:tr2bl w:val="nil"/>
                  </w:tcBorders>
                  <w:shd w:val="clear" w:color="auto" w:fill="auto"/>
                  <w:noWrap/>
                  <w:vAlign w:val="center"/>
                </w:tcPr>
                <w:p w14:paraId="1178D8C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49BE8919">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58800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4FD48E0F">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14</w:t>
                  </w:r>
                </w:p>
              </w:tc>
              <w:tc>
                <w:tcPr>
                  <w:tcW w:w="1138" w:type="pct"/>
                  <w:tcBorders>
                    <w:tl2br w:val="nil"/>
                    <w:tr2bl w:val="nil"/>
                  </w:tcBorders>
                  <w:shd w:val="clear" w:color="auto" w:fill="auto"/>
                  <w:noWrap/>
                  <w:vAlign w:val="center"/>
                </w:tcPr>
                <w:p w14:paraId="220AB45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CNC5轴复合机</w:t>
                  </w:r>
                </w:p>
              </w:tc>
              <w:tc>
                <w:tcPr>
                  <w:tcW w:w="970" w:type="pct"/>
                  <w:tcBorders>
                    <w:tl2br w:val="nil"/>
                    <w:tr2bl w:val="nil"/>
                  </w:tcBorders>
                  <w:shd w:val="clear" w:color="auto" w:fill="auto"/>
                  <w:noWrap/>
                  <w:vAlign w:val="center"/>
                </w:tcPr>
                <w:p w14:paraId="1FBC906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970" w:type="pct"/>
                  <w:tcBorders>
                    <w:tl2br w:val="nil"/>
                    <w:tr2bl w:val="nil"/>
                  </w:tcBorders>
                  <w:shd w:val="clear" w:color="auto" w:fill="auto"/>
                  <w:noWrap/>
                  <w:vAlign w:val="center"/>
                </w:tcPr>
                <w:p w14:paraId="1F407F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739" w:type="pct"/>
                  <w:tcBorders>
                    <w:tl2br w:val="nil"/>
                    <w:tr2bl w:val="nil"/>
                  </w:tcBorders>
                  <w:shd w:val="clear" w:color="auto" w:fill="auto"/>
                  <w:noWrap/>
                  <w:vAlign w:val="center"/>
                </w:tcPr>
                <w:p w14:paraId="3BB42C2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01CAE30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厂房4#</w:t>
                  </w:r>
                </w:p>
              </w:tc>
            </w:tr>
            <w:tr w14:paraId="525F37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01ABDF9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15</w:t>
                  </w:r>
                </w:p>
              </w:tc>
              <w:tc>
                <w:tcPr>
                  <w:tcW w:w="1138" w:type="pct"/>
                  <w:tcBorders>
                    <w:tl2br w:val="nil"/>
                    <w:tr2bl w:val="nil"/>
                  </w:tcBorders>
                  <w:shd w:val="clear" w:color="auto" w:fill="auto"/>
                  <w:noWrap/>
                  <w:vAlign w:val="center"/>
                </w:tcPr>
                <w:p w14:paraId="6C4CFCD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NC车床</w:t>
                  </w:r>
                </w:p>
              </w:tc>
              <w:tc>
                <w:tcPr>
                  <w:tcW w:w="970" w:type="pct"/>
                  <w:tcBorders>
                    <w:tl2br w:val="nil"/>
                    <w:tr2bl w:val="nil"/>
                  </w:tcBorders>
                  <w:shd w:val="clear" w:color="auto" w:fill="auto"/>
                  <w:noWrap/>
                  <w:vAlign w:val="center"/>
                </w:tcPr>
                <w:p w14:paraId="688FF7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970" w:type="pct"/>
                  <w:tcBorders>
                    <w:tl2br w:val="nil"/>
                    <w:tr2bl w:val="nil"/>
                  </w:tcBorders>
                  <w:shd w:val="clear" w:color="auto" w:fill="auto"/>
                  <w:noWrap/>
                  <w:vAlign w:val="center"/>
                </w:tcPr>
                <w:p w14:paraId="71E6B34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739" w:type="pct"/>
                  <w:tcBorders>
                    <w:tl2br w:val="nil"/>
                    <w:tr2bl w:val="nil"/>
                  </w:tcBorders>
                  <w:shd w:val="clear" w:color="auto" w:fill="auto"/>
                  <w:noWrap/>
                  <w:vAlign w:val="center"/>
                </w:tcPr>
                <w:p w14:paraId="3F71FEA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6229B69E">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厂房4#</w:t>
                  </w:r>
                </w:p>
              </w:tc>
            </w:tr>
            <w:tr w14:paraId="3C469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64658357">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16</w:t>
                  </w:r>
                </w:p>
              </w:tc>
              <w:tc>
                <w:tcPr>
                  <w:tcW w:w="1138" w:type="pct"/>
                  <w:tcBorders>
                    <w:tl2br w:val="nil"/>
                    <w:tr2bl w:val="nil"/>
                  </w:tcBorders>
                  <w:shd w:val="clear" w:color="auto" w:fill="auto"/>
                  <w:noWrap/>
                  <w:vAlign w:val="center"/>
                </w:tcPr>
                <w:p w14:paraId="3B52F0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铣床</w:t>
                  </w:r>
                </w:p>
              </w:tc>
              <w:tc>
                <w:tcPr>
                  <w:tcW w:w="970" w:type="pct"/>
                  <w:tcBorders>
                    <w:tl2br w:val="nil"/>
                    <w:tr2bl w:val="nil"/>
                  </w:tcBorders>
                  <w:shd w:val="clear" w:color="auto" w:fill="auto"/>
                  <w:noWrap/>
                  <w:vAlign w:val="center"/>
                </w:tcPr>
                <w:p w14:paraId="05A63A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970" w:type="pct"/>
                  <w:tcBorders>
                    <w:tl2br w:val="nil"/>
                    <w:tr2bl w:val="nil"/>
                  </w:tcBorders>
                  <w:shd w:val="clear" w:color="auto" w:fill="auto"/>
                  <w:noWrap/>
                  <w:vAlign w:val="center"/>
                </w:tcPr>
                <w:p w14:paraId="41AE9C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10</w:t>
                  </w:r>
                </w:p>
              </w:tc>
              <w:tc>
                <w:tcPr>
                  <w:tcW w:w="739" w:type="pct"/>
                  <w:tcBorders>
                    <w:tl2br w:val="nil"/>
                    <w:tr2bl w:val="nil"/>
                  </w:tcBorders>
                  <w:shd w:val="clear" w:color="auto" w:fill="auto"/>
                  <w:noWrap/>
                  <w:vAlign w:val="center"/>
                </w:tcPr>
                <w:p w14:paraId="51603DC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w:t>
                  </w:r>
                </w:p>
              </w:tc>
              <w:tc>
                <w:tcPr>
                  <w:tcW w:w="737" w:type="pct"/>
                  <w:tcBorders>
                    <w:tl2br w:val="nil"/>
                    <w:tr2bl w:val="nil"/>
                  </w:tcBorders>
                  <w:shd w:val="clear" w:color="auto" w:fill="auto"/>
                  <w:noWrap/>
                  <w:vAlign w:val="center"/>
                </w:tcPr>
                <w:p w14:paraId="6F5BEFF9">
                  <w:pPr>
                    <w:keepNext w:val="0"/>
                    <w:keepLines w:val="0"/>
                    <w:widowControl/>
                    <w:suppressLineNumbers w:val="0"/>
                    <w:jc w:val="center"/>
                    <w:textAlignment w:val="center"/>
                    <w:rPr>
                      <w:rFonts w:hint="eastAsia"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厂房4#</w:t>
                  </w:r>
                </w:p>
              </w:tc>
            </w:tr>
            <w:tr w14:paraId="39E56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0CEEA16B">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17</w:t>
                  </w:r>
                </w:p>
              </w:tc>
              <w:tc>
                <w:tcPr>
                  <w:tcW w:w="1138" w:type="pct"/>
                  <w:tcBorders>
                    <w:tl2br w:val="nil"/>
                    <w:tr2bl w:val="nil"/>
                  </w:tcBorders>
                  <w:shd w:val="clear" w:color="auto" w:fill="auto"/>
                  <w:noWrap/>
                  <w:vAlign w:val="center"/>
                </w:tcPr>
                <w:p w14:paraId="35A3764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磨床</w:t>
                  </w:r>
                </w:p>
              </w:tc>
              <w:tc>
                <w:tcPr>
                  <w:tcW w:w="970" w:type="pct"/>
                  <w:tcBorders>
                    <w:tl2br w:val="nil"/>
                    <w:tr2bl w:val="nil"/>
                  </w:tcBorders>
                  <w:shd w:val="clear" w:color="auto" w:fill="auto"/>
                  <w:noWrap/>
                  <w:vAlign w:val="center"/>
                </w:tcPr>
                <w:p w14:paraId="0B8333F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970" w:type="pct"/>
                  <w:tcBorders>
                    <w:tl2br w:val="nil"/>
                    <w:tr2bl w:val="nil"/>
                  </w:tcBorders>
                  <w:shd w:val="clear" w:color="auto" w:fill="auto"/>
                  <w:noWrap/>
                  <w:vAlign w:val="center"/>
                </w:tcPr>
                <w:p w14:paraId="3ED4E6A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w:t>
                  </w:r>
                </w:p>
              </w:tc>
              <w:tc>
                <w:tcPr>
                  <w:tcW w:w="739" w:type="pct"/>
                  <w:tcBorders>
                    <w:tl2br w:val="nil"/>
                    <w:tr2bl w:val="nil"/>
                  </w:tcBorders>
                  <w:shd w:val="clear" w:color="auto" w:fill="auto"/>
                  <w:noWrap/>
                  <w:vAlign w:val="center"/>
                </w:tcPr>
                <w:p w14:paraId="3A5EBED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4</w:t>
                  </w:r>
                </w:p>
              </w:tc>
              <w:tc>
                <w:tcPr>
                  <w:tcW w:w="737" w:type="pct"/>
                  <w:tcBorders>
                    <w:tl2br w:val="nil"/>
                    <w:tr2bl w:val="nil"/>
                  </w:tcBorders>
                  <w:shd w:val="clear" w:color="auto" w:fill="auto"/>
                  <w:noWrap/>
                  <w:vAlign w:val="center"/>
                </w:tcPr>
                <w:p w14:paraId="203F905C">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厂房4#</w:t>
                  </w:r>
                </w:p>
              </w:tc>
            </w:tr>
            <w:tr w14:paraId="53405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3F7EC87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18</w:t>
                  </w:r>
                </w:p>
              </w:tc>
              <w:tc>
                <w:tcPr>
                  <w:tcW w:w="1138" w:type="pct"/>
                  <w:tcBorders>
                    <w:tl2br w:val="nil"/>
                    <w:tr2bl w:val="nil"/>
                  </w:tcBorders>
                  <w:shd w:val="clear" w:color="auto" w:fill="auto"/>
                  <w:noWrap/>
                  <w:vAlign w:val="center"/>
                </w:tcPr>
                <w:p w14:paraId="437C86B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拉床</w:t>
                  </w:r>
                </w:p>
              </w:tc>
              <w:tc>
                <w:tcPr>
                  <w:tcW w:w="970" w:type="pct"/>
                  <w:tcBorders>
                    <w:tl2br w:val="nil"/>
                    <w:tr2bl w:val="nil"/>
                  </w:tcBorders>
                  <w:shd w:val="clear" w:color="auto" w:fill="auto"/>
                  <w:noWrap/>
                  <w:vAlign w:val="center"/>
                </w:tcPr>
                <w:p w14:paraId="0EBAA0A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0" w:type="pct"/>
                  <w:tcBorders>
                    <w:tl2br w:val="nil"/>
                    <w:tr2bl w:val="nil"/>
                  </w:tcBorders>
                  <w:shd w:val="clear" w:color="auto" w:fill="auto"/>
                  <w:noWrap/>
                  <w:vAlign w:val="center"/>
                </w:tcPr>
                <w:p w14:paraId="415709C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r>
                    <w:rPr>
                      <w:rFonts w:hint="eastAsia" w:cs="Times New Roman"/>
                      <w:color w:val="auto"/>
                      <w:kern w:val="0"/>
                      <w:sz w:val="21"/>
                      <w:szCs w:val="21"/>
                      <w:highlight w:val="none"/>
                      <w:lang w:val="en-US" w:eastAsia="zh-CN" w:bidi="ar-SA"/>
                    </w:rPr>
                    <w:t>0</w:t>
                  </w:r>
                </w:p>
              </w:tc>
              <w:tc>
                <w:tcPr>
                  <w:tcW w:w="739" w:type="pct"/>
                  <w:tcBorders>
                    <w:tl2br w:val="nil"/>
                    <w:tr2bl w:val="nil"/>
                  </w:tcBorders>
                  <w:shd w:val="clear" w:color="auto" w:fill="auto"/>
                  <w:noWrap/>
                  <w:vAlign w:val="center"/>
                </w:tcPr>
                <w:p w14:paraId="3348A40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w:t>
                  </w:r>
                  <w:r>
                    <w:rPr>
                      <w:rFonts w:hint="eastAsia" w:cs="Times New Roman"/>
                      <w:color w:val="auto"/>
                      <w:kern w:val="0"/>
                      <w:sz w:val="21"/>
                      <w:szCs w:val="21"/>
                      <w:highlight w:val="none"/>
                      <w:lang w:val="en-US" w:eastAsia="zh-CN" w:bidi="ar-SA"/>
                    </w:rPr>
                    <w:t>0</w:t>
                  </w:r>
                </w:p>
              </w:tc>
              <w:tc>
                <w:tcPr>
                  <w:tcW w:w="737" w:type="pct"/>
                  <w:tcBorders>
                    <w:tl2br w:val="nil"/>
                    <w:tr2bl w:val="nil"/>
                  </w:tcBorders>
                  <w:shd w:val="clear" w:color="auto" w:fill="auto"/>
                  <w:noWrap/>
                  <w:vAlign w:val="center"/>
                </w:tcPr>
                <w:p w14:paraId="49D7086D">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厂房4#</w:t>
                  </w:r>
                </w:p>
              </w:tc>
            </w:tr>
            <w:tr w14:paraId="45EF4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786E1C0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19</w:t>
                  </w:r>
                </w:p>
              </w:tc>
              <w:tc>
                <w:tcPr>
                  <w:tcW w:w="1138" w:type="pct"/>
                  <w:tcBorders>
                    <w:tl2br w:val="nil"/>
                    <w:tr2bl w:val="nil"/>
                  </w:tcBorders>
                  <w:shd w:val="clear" w:color="auto" w:fill="auto"/>
                  <w:noWrap/>
                  <w:vAlign w:val="center"/>
                </w:tcPr>
                <w:p w14:paraId="48DE1B7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火花机</w:t>
                  </w:r>
                </w:p>
              </w:tc>
              <w:tc>
                <w:tcPr>
                  <w:tcW w:w="970" w:type="pct"/>
                  <w:tcBorders>
                    <w:tl2br w:val="nil"/>
                    <w:tr2bl w:val="nil"/>
                  </w:tcBorders>
                  <w:shd w:val="clear" w:color="auto" w:fill="auto"/>
                  <w:noWrap/>
                  <w:vAlign w:val="center"/>
                </w:tcPr>
                <w:p w14:paraId="27486A0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0" w:type="pct"/>
                  <w:tcBorders>
                    <w:tl2br w:val="nil"/>
                    <w:tr2bl w:val="nil"/>
                  </w:tcBorders>
                  <w:shd w:val="clear" w:color="auto" w:fill="auto"/>
                  <w:noWrap/>
                  <w:vAlign w:val="center"/>
                </w:tcPr>
                <w:p w14:paraId="06FDCE0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w:t>
                  </w:r>
                </w:p>
              </w:tc>
              <w:tc>
                <w:tcPr>
                  <w:tcW w:w="739" w:type="pct"/>
                  <w:tcBorders>
                    <w:tl2br w:val="nil"/>
                    <w:tr2bl w:val="nil"/>
                  </w:tcBorders>
                  <w:shd w:val="clear" w:color="auto" w:fill="auto"/>
                  <w:noWrap/>
                  <w:vAlign w:val="center"/>
                </w:tcPr>
                <w:p w14:paraId="648D303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6</w:t>
                  </w:r>
                </w:p>
              </w:tc>
              <w:tc>
                <w:tcPr>
                  <w:tcW w:w="737" w:type="pct"/>
                  <w:tcBorders>
                    <w:tl2br w:val="nil"/>
                    <w:tr2bl w:val="nil"/>
                  </w:tcBorders>
                  <w:shd w:val="clear" w:color="auto" w:fill="auto"/>
                  <w:noWrap/>
                  <w:vAlign w:val="center"/>
                </w:tcPr>
                <w:p w14:paraId="4D3DC62F">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3D1B4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10DBFBE3">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20</w:t>
                  </w:r>
                </w:p>
              </w:tc>
              <w:tc>
                <w:tcPr>
                  <w:tcW w:w="1138" w:type="pct"/>
                  <w:tcBorders>
                    <w:tl2br w:val="nil"/>
                    <w:tr2bl w:val="nil"/>
                  </w:tcBorders>
                  <w:shd w:val="clear" w:color="auto" w:fill="auto"/>
                  <w:noWrap/>
                  <w:vAlign w:val="center"/>
                </w:tcPr>
                <w:p w14:paraId="2CEC85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倒角机</w:t>
                  </w:r>
                </w:p>
              </w:tc>
              <w:tc>
                <w:tcPr>
                  <w:tcW w:w="970" w:type="pct"/>
                  <w:tcBorders>
                    <w:tl2br w:val="nil"/>
                    <w:tr2bl w:val="nil"/>
                  </w:tcBorders>
                  <w:shd w:val="clear" w:color="auto" w:fill="auto"/>
                  <w:noWrap/>
                  <w:vAlign w:val="center"/>
                </w:tcPr>
                <w:p w14:paraId="3EB702C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0" w:type="pct"/>
                  <w:tcBorders>
                    <w:tl2br w:val="nil"/>
                    <w:tr2bl w:val="nil"/>
                  </w:tcBorders>
                  <w:shd w:val="clear" w:color="auto" w:fill="auto"/>
                  <w:noWrap/>
                  <w:vAlign w:val="center"/>
                </w:tcPr>
                <w:p w14:paraId="4D5D5F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w:t>
                  </w:r>
                </w:p>
              </w:tc>
              <w:tc>
                <w:tcPr>
                  <w:tcW w:w="739" w:type="pct"/>
                  <w:tcBorders>
                    <w:tl2br w:val="nil"/>
                    <w:tr2bl w:val="nil"/>
                  </w:tcBorders>
                  <w:shd w:val="clear" w:color="auto" w:fill="auto"/>
                  <w:noWrap/>
                  <w:vAlign w:val="center"/>
                </w:tcPr>
                <w:p w14:paraId="2EB5AF2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5</w:t>
                  </w:r>
                </w:p>
              </w:tc>
              <w:tc>
                <w:tcPr>
                  <w:tcW w:w="737" w:type="pct"/>
                  <w:tcBorders>
                    <w:tl2br w:val="nil"/>
                    <w:tr2bl w:val="nil"/>
                  </w:tcBorders>
                  <w:shd w:val="clear" w:color="auto" w:fill="auto"/>
                  <w:noWrap/>
                  <w:vAlign w:val="center"/>
                </w:tcPr>
                <w:p w14:paraId="16D82E9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0B46B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1D74F67A">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21</w:t>
                  </w:r>
                </w:p>
              </w:tc>
              <w:tc>
                <w:tcPr>
                  <w:tcW w:w="1138" w:type="pct"/>
                  <w:tcBorders>
                    <w:tl2br w:val="nil"/>
                    <w:tr2bl w:val="nil"/>
                  </w:tcBorders>
                  <w:shd w:val="clear" w:color="auto" w:fill="auto"/>
                  <w:noWrap/>
                  <w:vAlign w:val="center"/>
                </w:tcPr>
                <w:p w14:paraId="46895E4E">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抛丸机</w:t>
                  </w:r>
                </w:p>
              </w:tc>
              <w:tc>
                <w:tcPr>
                  <w:tcW w:w="970" w:type="pct"/>
                  <w:tcBorders>
                    <w:tl2br w:val="nil"/>
                    <w:tr2bl w:val="nil"/>
                  </w:tcBorders>
                  <w:shd w:val="clear" w:color="auto" w:fill="auto"/>
                  <w:noWrap/>
                  <w:vAlign w:val="center"/>
                </w:tcPr>
                <w:p w14:paraId="5AE11D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0" w:type="pct"/>
                  <w:tcBorders>
                    <w:tl2br w:val="nil"/>
                    <w:tr2bl w:val="nil"/>
                  </w:tcBorders>
                  <w:shd w:val="clear" w:color="auto" w:fill="auto"/>
                  <w:noWrap/>
                  <w:vAlign w:val="center"/>
                </w:tcPr>
                <w:p w14:paraId="7BD77F8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3</w:t>
                  </w:r>
                </w:p>
              </w:tc>
              <w:tc>
                <w:tcPr>
                  <w:tcW w:w="739" w:type="pct"/>
                  <w:tcBorders>
                    <w:tl2br w:val="nil"/>
                    <w:tr2bl w:val="nil"/>
                  </w:tcBorders>
                  <w:shd w:val="clear" w:color="auto" w:fill="auto"/>
                  <w:noWrap/>
                  <w:vAlign w:val="center"/>
                </w:tcPr>
                <w:p w14:paraId="42626FF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3</w:t>
                  </w:r>
                </w:p>
              </w:tc>
              <w:tc>
                <w:tcPr>
                  <w:tcW w:w="737" w:type="pct"/>
                  <w:tcBorders>
                    <w:tl2br w:val="nil"/>
                    <w:tr2bl w:val="nil"/>
                  </w:tcBorders>
                  <w:shd w:val="clear" w:color="auto" w:fill="auto"/>
                  <w:noWrap/>
                  <w:vAlign w:val="center"/>
                </w:tcPr>
                <w:p w14:paraId="1EDB20A6">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厂房2#</w:t>
                  </w:r>
                </w:p>
              </w:tc>
            </w:tr>
            <w:tr w14:paraId="107619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2" w:type="pct"/>
                  <w:tcBorders>
                    <w:tl2br w:val="nil"/>
                    <w:tr2bl w:val="nil"/>
                  </w:tcBorders>
                  <w:shd w:val="clear" w:color="auto" w:fill="auto"/>
                  <w:noWrap w:val="0"/>
                  <w:vAlign w:val="center"/>
                </w:tcPr>
                <w:p w14:paraId="7DE7BA12">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bidi="ar-SA"/>
                    </w:rPr>
                    <w:t>22</w:t>
                  </w:r>
                </w:p>
              </w:tc>
              <w:tc>
                <w:tcPr>
                  <w:tcW w:w="1138" w:type="pct"/>
                  <w:tcBorders>
                    <w:tl2br w:val="nil"/>
                    <w:tr2bl w:val="nil"/>
                  </w:tcBorders>
                  <w:shd w:val="clear" w:color="auto" w:fill="auto"/>
                  <w:noWrap/>
                  <w:vAlign w:val="center"/>
                </w:tcPr>
                <w:p w14:paraId="39D825EC">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喷枪</w:t>
                  </w:r>
                </w:p>
              </w:tc>
              <w:tc>
                <w:tcPr>
                  <w:tcW w:w="970" w:type="pct"/>
                  <w:tcBorders>
                    <w:tl2br w:val="nil"/>
                    <w:tr2bl w:val="nil"/>
                  </w:tcBorders>
                  <w:shd w:val="clear" w:color="auto" w:fill="auto"/>
                  <w:noWrap/>
                  <w:vAlign w:val="center"/>
                </w:tcPr>
                <w:p w14:paraId="0474E78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0" w:type="pct"/>
                  <w:tcBorders>
                    <w:tl2br w:val="nil"/>
                    <w:tr2bl w:val="nil"/>
                  </w:tcBorders>
                  <w:shd w:val="clear" w:color="auto" w:fill="auto"/>
                  <w:noWrap/>
                  <w:vAlign w:val="center"/>
                </w:tcPr>
                <w:p w14:paraId="43EE39A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2</w:t>
                  </w:r>
                </w:p>
              </w:tc>
              <w:tc>
                <w:tcPr>
                  <w:tcW w:w="739" w:type="pct"/>
                  <w:tcBorders>
                    <w:tl2br w:val="nil"/>
                    <w:tr2bl w:val="nil"/>
                  </w:tcBorders>
                  <w:shd w:val="clear" w:color="auto" w:fill="auto"/>
                  <w:noWrap/>
                  <w:vAlign w:val="center"/>
                </w:tcPr>
                <w:p w14:paraId="75AFF14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2</w:t>
                  </w:r>
                </w:p>
              </w:tc>
              <w:tc>
                <w:tcPr>
                  <w:tcW w:w="737" w:type="pct"/>
                  <w:tcBorders>
                    <w:tl2br w:val="nil"/>
                    <w:tr2bl w:val="nil"/>
                  </w:tcBorders>
                  <w:shd w:val="clear" w:color="auto" w:fill="auto"/>
                  <w:noWrap/>
                  <w:vAlign w:val="center"/>
                </w:tcPr>
                <w:p w14:paraId="0E9A206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喷漆房</w:t>
                  </w:r>
                </w:p>
              </w:tc>
            </w:tr>
            <w:tr w14:paraId="220FB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auto"/>
                  <w:noWrap w:val="0"/>
                  <w:vAlign w:val="center"/>
                </w:tcPr>
                <w:p w14:paraId="2139F31B">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注：项目</w:t>
                  </w:r>
                  <w:r>
                    <w:rPr>
                      <w:rFonts w:hint="eastAsia" w:cs="Times New Roman"/>
                      <w:b w:val="0"/>
                      <w:bCs w:val="0"/>
                      <w:color w:val="auto"/>
                      <w:sz w:val="21"/>
                      <w:szCs w:val="21"/>
                      <w:highlight w:val="none"/>
                      <w:lang w:val="en-US" w:eastAsia="zh-CN"/>
                    </w:rPr>
                    <w:t>改扩建</w:t>
                  </w:r>
                  <w:r>
                    <w:rPr>
                      <w:rFonts w:hint="default" w:ascii="Times New Roman" w:hAnsi="Times New Roman" w:eastAsia="宋体" w:cs="Times New Roman"/>
                      <w:b w:val="0"/>
                      <w:bCs w:val="0"/>
                      <w:color w:val="auto"/>
                      <w:sz w:val="21"/>
                      <w:szCs w:val="21"/>
                      <w:highlight w:val="none"/>
                      <w:lang w:val="en-US" w:eastAsia="zh-CN"/>
                    </w:rPr>
                    <w:t>后</w:t>
                  </w:r>
                  <w:r>
                    <w:rPr>
                      <w:rFonts w:hint="eastAsia" w:ascii="Times New Roman" w:hAnsi="Times New Roman" w:eastAsia="宋体" w:cs="Times New Roman"/>
                      <w:b w:val="0"/>
                      <w:bCs w:val="0"/>
                      <w:color w:val="auto"/>
                      <w:sz w:val="21"/>
                      <w:szCs w:val="21"/>
                      <w:highlight w:val="none"/>
                      <w:lang w:val="en-US" w:eastAsia="zh-CN"/>
                    </w:rPr>
                    <w:t>淘汰部分设备</w:t>
                  </w:r>
                  <w:r>
                    <w:rPr>
                      <w:rFonts w:hint="default" w:ascii="Times New Roman" w:hAnsi="Times New Roman" w:eastAsia="宋体" w:cs="Times New Roman"/>
                      <w:b w:val="0"/>
                      <w:bCs w:val="0"/>
                      <w:color w:val="auto"/>
                      <w:sz w:val="21"/>
                      <w:szCs w:val="21"/>
                      <w:highlight w:val="none"/>
                      <w:lang w:val="en-US" w:eastAsia="zh-CN"/>
                    </w:rPr>
                    <w:t>。</w:t>
                  </w:r>
                </w:p>
              </w:tc>
            </w:tr>
          </w:tbl>
          <w:p w14:paraId="02ACAEA7">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before="157" w:beforeLines="50" w:after="0" w:line="360" w:lineRule="auto"/>
              <w:ind w:right="0" w:rightChars="0" w:firstLine="480" w:firstLineChars="200"/>
              <w:jc w:val="both"/>
              <w:textAlignment w:val="auto"/>
              <w:outlineLvl w:val="3"/>
              <w:rPr>
                <w:rFonts w:hint="eastAsia" w:cs="Times New Roman"/>
                <w:b w:val="0"/>
                <w:bCs w:val="0"/>
                <w:color w:val="0000FF"/>
                <w:sz w:val="24"/>
                <w:szCs w:val="24"/>
                <w:highlight w:val="none"/>
                <w:lang w:val="en-US" w:eastAsia="zh-CN" w:bidi="zh-CN"/>
              </w:rPr>
            </w:pPr>
            <w:r>
              <w:rPr>
                <w:rFonts w:hint="eastAsia" w:cs="Times New Roman"/>
                <w:b w:val="0"/>
                <w:bCs w:val="0"/>
                <w:color w:val="0000FF"/>
                <w:sz w:val="24"/>
                <w:szCs w:val="24"/>
                <w:highlight w:val="none"/>
                <w:lang w:val="en-US" w:eastAsia="zh-CN" w:bidi="zh-CN"/>
              </w:rPr>
              <w:t>主要设备产能匹配性分析：</w:t>
            </w:r>
          </w:p>
          <w:p w14:paraId="66D696F8">
            <w:pPr>
              <w:tabs>
                <w:tab w:val="left" w:pos="756"/>
              </w:tabs>
              <w:autoSpaceDE w:val="0"/>
              <w:autoSpaceDN w:val="0"/>
              <w:spacing w:line="360" w:lineRule="auto"/>
              <w:ind w:firstLine="480"/>
              <w:jc w:val="left"/>
              <w:outlineLvl w:val="2"/>
              <w:rPr>
                <w:rFonts w:hint="default" w:ascii="Times New Roman" w:hAnsi="Times New Roman" w:eastAsia="宋体" w:cs="Times New Roman"/>
                <w:b w:val="0"/>
                <w:bCs w:val="0"/>
                <w:color w:val="0000FF"/>
                <w:sz w:val="24"/>
                <w:szCs w:val="24"/>
                <w:highlight w:val="none"/>
                <w:lang w:val="en-US" w:eastAsia="zh-CN" w:bidi="zh-CN"/>
              </w:rPr>
            </w:pPr>
            <w:r>
              <w:rPr>
                <w:rFonts w:hint="default" w:ascii="Times New Roman" w:hAnsi="Times New Roman" w:eastAsia="宋体" w:cs="Times New Roman"/>
                <w:b w:val="0"/>
                <w:bCs w:val="0"/>
                <w:color w:val="0000FF"/>
                <w:sz w:val="24"/>
                <w:szCs w:val="24"/>
                <w:highlight w:val="none"/>
                <w:lang w:val="en-US" w:eastAsia="zh-CN" w:bidi="zh-CN"/>
              </w:rPr>
              <w:t>本项目涉及产能的主要设备为CNC自动车，数量为90台，</w:t>
            </w:r>
            <w:r>
              <w:rPr>
                <w:rFonts w:hint="default" w:ascii="Times New Roman" w:hAnsi="Times New Roman" w:eastAsia="宋体" w:cs="Times New Roman"/>
                <w:color w:val="0000FF"/>
                <w:sz w:val="24"/>
                <w:szCs w:val="24"/>
                <w:highlight w:val="none"/>
                <w:lang w:bidi="zh-CN"/>
              </w:rPr>
              <w:t>单台设备最大生产能力</w:t>
            </w:r>
            <w:r>
              <w:rPr>
                <w:rFonts w:hint="default" w:ascii="Times New Roman" w:hAnsi="Times New Roman" w:eastAsia="宋体" w:cs="Times New Roman"/>
                <w:color w:val="0000FF"/>
                <w:sz w:val="24"/>
                <w:szCs w:val="24"/>
                <w:highlight w:val="none"/>
                <w:lang w:val="en-US" w:bidi="zh-CN"/>
              </w:rPr>
              <w:t>为</w:t>
            </w:r>
            <w:r>
              <w:rPr>
                <w:rFonts w:hint="eastAsia" w:ascii="Times New Roman" w:hAnsi="Times New Roman" w:eastAsia="宋体" w:cs="Times New Roman"/>
                <w:color w:val="0000FF"/>
                <w:sz w:val="24"/>
                <w:szCs w:val="24"/>
                <w:highlight w:val="none"/>
                <w:lang w:val="en-US" w:bidi="zh-CN"/>
              </w:rPr>
              <w:t>0.02t/h，每年工作300天，每天工作8小时，则本项目CNC自动车满负荷开启时，可加工4320t/a。本项目所需CNC加工的原材料为2600t/a，可满足本项目产能要求。</w:t>
            </w:r>
          </w:p>
          <w:p w14:paraId="767814D3">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before="157" w:beforeLines="50" w:after="0" w:line="360" w:lineRule="auto"/>
              <w:ind w:right="0" w:rightChars="0" w:firstLine="482" w:firstLineChars="200"/>
              <w:jc w:val="both"/>
              <w:textAlignment w:val="auto"/>
              <w:outlineLvl w:val="3"/>
              <w:rPr>
                <w:rFonts w:hint="default" w:ascii="Times New Roman" w:hAnsi="Times New Roman" w:eastAsia="宋体" w:cs="Times New Roman"/>
                <w:b/>
                <w:bCs/>
                <w:color w:val="auto"/>
                <w:sz w:val="24"/>
                <w:szCs w:val="24"/>
                <w:highlight w:val="none"/>
                <w:lang w:val="zh-CN" w:eastAsia="zh-CN" w:bidi="zh-CN"/>
              </w:rPr>
            </w:pPr>
            <w:r>
              <w:rPr>
                <w:rFonts w:hint="eastAsia" w:cs="Times New Roman"/>
                <w:b/>
                <w:bCs/>
                <w:color w:val="auto"/>
                <w:sz w:val="24"/>
                <w:szCs w:val="24"/>
                <w:highlight w:val="none"/>
                <w:lang w:val="en-US" w:eastAsia="zh-CN" w:bidi="zh-CN"/>
              </w:rPr>
              <w:t>5</w:t>
            </w:r>
            <w:r>
              <w:rPr>
                <w:rFonts w:hint="default" w:ascii="Times New Roman" w:hAnsi="Times New Roman" w:eastAsia="宋体" w:cs="Times New Roman"/>
                <w:b/>
                <w:bCs/>
                <w:color w:val="auto"/>
                <w:sz w:val="24"/>
                <w:szCs w:val="24"/>
                <w:highlight w:val="none"/>
                <w:lang w:val="en-US" w:eastAsia="zh-CN" w:bidi="zh-CN"/>
              </w:rPr>
              <w:t>、</w:t>
            </w:r>
            <w:r>
              <w:rPr>
                <w:rFonts w:hint="default" w:ascii="Times New Roman" w:hAnsi="Times New Roman" w:eastAsia="宋体" w:cs="Times New Roman"/>
                <w:b/>
                <w:bCs/>
                <w:color w:val="auto"/>
                <w:sz w:val="24"/>
                <w:szCs w:val="24"/>
                <w:highlight w:val="none"/>
                <w:lang w:val="zh-CN" w:eastAsia="zh-CN" w:bidi="zh-CN"/>
              </w:rPr>
              <w:t>主要原辅材料</w:t>
            </w:r>
          </w:p>
          <w:p w14:paraId="430EE208">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default" w:ascii="Times New Roman" w:hAnsi="Times New Roman" w:eastAsia="宋体" w:cs="Times New Roman"/>
                <w:color w:val="auto"/>
                <w:sz w:val="24"/>
                <w:szCs w:val="24"/>
                <w:highlight w:val="none"/>
                <w:lang w:val="en-US" w:eastAsia="zh-CN" w:bidi="zh-CN"/>
              </w:rPr>
              <w:t>改</w:t>
            </w:r>
            <w:r>
              <w:rPr>
                <w:rFonts w:hint="eastAsia" w:cs="Times New Roman"/>
                <w:color w:val="auto"/>
                <w:sz w:val="24"/>
                <w:szCs w:val="24"/>
                <w:highlight w:val="none"/>
                <w:lang w:val="en-US" w:eastAsia="zh-CN" w:bidi="zh-CN"/>
              </w:rPr>
              <w:t>扩建</w:t>
            </w:r>
            <w:r>
              <w:rPr>
                <w:rFonts w:hint="default" w:ascii="Times New Roman" w:hAnsi="Times New Roman" w:eastAsia="宋体" w:cs="Times New Roman"/>
                <w:color w:val="auto"/>
                <w:sz w:val="24"/>
                <w:szCs w:val="24"/>
                <w:highlight w:val="none"/>
                <w:lang w:val="en-US" w:eastAsia="zh-CN" w:bidi="zh-CN"/>
              </w:rPr>
              <w:t>后</w:t>
            </w:r>
            <w:r>
              <w:rPr>
                <w:rFonts w:hint="default" w:ascii="Times New Roman" w:hAnsi="Times New Roman" w:eastAsia="宋体" w:cs="Times New Roman"/>
                <w:color w:val="auto"/>
                <w:sz w:val="24"/>
                <w:szCs w:val="24"/>
                <w:highlight w:val="none"/>
                <w:lang w:val="zh-CN" w:eastAsia="zh-CN" w:bidi="zh-CN"/>
              </w:rPr>
              <w:t>主要原辅材料及用量见表</w:t>
            </w:r>
            <w:r>
              <w:rPr>
                <w:rFonts w:hint="default" w:ascii="Times New Roman" w:hAnsi="Times New Roman" w:eastAsia="宋体" w:cs="Times New Roman"/>
                <w:color w:val="auto"/>
                <w:sz w:val="24"/>
                <w:szCs w:val="24"/>
                <w:highlight w:val="none"/>
                <w:lang w:val="en-US" w:eastAsia="zh-CN" w:bidi="zh-CN"/>
              </w:rPr>
              <w:t>2-</w:t>
            </w:r>
            <w:r>
              <w:rPr>
                <w:rFonts w:hint="eastAsia" w:cs="Times New Roman"/>
                <w:color w:val="auto"/>
                <w:sz w:val="24"/>
                <w:szCs w:val="24"/>
                <w:highlight w:val="none"/>
                <w:lang w:val="en-US" w:eastAsia="zh-CN" w:bidi="zh-CN"/>
              </w:rPr>
              <w:t>4</w:t>
            </w:r>
            <w:r>
              <w:rPr>
                <w:rFonts w:hint="default" w:ascii="Times New Roman" w:hAnsi="Times New Roman" w:eastAsia="宋体" w:cs="Times New Roman"/>
                <w:color w:val="auto"/>
                <w:sz w:val="24"/>
                <w:szCs w:val="24"/>
                <w:highlight w:val="none"/>
                <w:lang w:val="en-US" w:eastAsia="zh-CN" w:bidi="zh-CN"/>
              </w:rPr>
              <w:t>。</w:t>
            </w:r>
          </w:p>
          <w:p w14:paraId="0F2D3C85">
            <w:pPr>
              <w:numPr>
                <w:ilvl w:val="0"/>
                <w:numId w:val="7"/>
              </w:numPr>
              <w:spacing w:line="240" w:lineRule="auto"/>
              <w:ind w:left="0" w:lef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项目</w:t>
            </w:r>
            <w:r>
              <w:rPr>
                <w:rFonts w:hint="default" w:ascii="Times New Roman" w:hAnsi="Times New Roman" w:eastAsia="宋体" w:cs="Times New Roman"/>
                <w:b/>
                <w:bCs/>
                <w:color w:val="auto"/>
                <w:sz w:val="21"/>
                <w:szCs w:val="21"/>
                <w:highlight w:val="none"/>
                <w:lang w:val="en-US" w:eastAsia="zh-CN"/>
              </w:rPr>
              <w:t>改</w:t>
            </w: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前</w:t>
            </w:r>
            <w:r>
              <w:rPr>
                <w:rFonts w:hint="eastAsia"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后</w:t>
            </w:r>
            <w:r>
              <w:rPr>
                <w:rFonts w:hint="default" w:ascii="Times New Roman" w:hAnsi="Times New Roman" w:eastAsia="宋体" w:cs="Times New Roman"/>
                <w:b/>
                <w:bCs/>
                <w:color w:val="auto"/>
                <w:sz w:val="21"/>
                <w:szCs w:val="21"/>
                <w:highlight w:val="none"/>
                <w:lang w:val="zh-CN" w:eastAsia="zh-CN"/>
              </w:rPr>
              <w:t>主要原辅材料</w:t>
            </w:r>
            <w:r>
              <w:rPr>
                <w:rFonts w:hint="default" w:ascii="Times New Roman" w:hAnsi="Times New Roman" w:eastAsia="宋体" w:cs="Times New Roman"/>
                <w:b/>
                <w:bCs/>
                <w:color w:val="auto"/>
                <w:sz w:val="21"/>
                <w:szCs w:val="21"/>
                <w:highlight w:val="none"/>
                <w:lang w:val="en-US" w:eastAsia="zh-CN"/>
              </w:rPr>
              <w:t>一览表</w:t>
            </w:r>
          </w:p>
          <w:tbl>
            <w:tblPr>
              <w:tblStyle w:val="33"/>
              <w:tblW w:w="79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866"/>
              <w:gridCol w:w="1320"/>
              <w:gridCol w:w="1188"/>
              <w:gridCol w:w="1300"/>
              <w:gridCol w:w="1601"/>
              <w:gridCol w:w="32"/>
            </w:tblGrid>
            <w:tr w14:paraId="13CFD1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0" w:type="dxa"/>
                  <w:vMerge w:val="restart"/>
                  <w:tcBorders>
                    <w:tl2br w:val="nil"/>
                    <w:tr2bl w:val="nil"/>
                  </w:tcBorders>
                  <w:noWrap/>
                  <w:vAlign w:val="center"/>
                </w:tcPr>
                <w:p w14:paraId="0C80D15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866" w:type="dxa"/>
                  <w:vMerge w:val="restart"/>
                  <w:tcBorders>
                    <w:tl2br w:val="nil"/>
                    <w:tr2bl w:val="nil"/>
                  </w:tcBorders>
                  <w:noWrap/>
                  <w:vAlign w:val="center"/>
                </w:tcPr>
                <w:p w14:paraId="1E9DE64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名称</w:t>
                  </w:r>
                </w:p>
              </w:tc>
              <w:tc>
                <w:tcPr>
                  <w:tcW w:w="1320" w:type="dxa"/>
                  <w:vMerge w:val="restart"/>
                  <w:tcBorders>
                    <w:tl2br w:val="nil"/>
                    <w:tr2bl w:val="nil"/>
                  </w:tcBorders>
                  <w:noWrap/>
                  <w:vAlign w:val="center"/>
                </w:tcPr>
                <w:p w14:paraId="4183383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单位</w:t>
                  </w:r>
                </w:p>
              </w:tc>
              <w:tc>
                <w:tcPr>
                  <w:tcW w:w="4121" w:type="dxa"/>
                  <w:gridSpan w:val="4"/>
                  <w:tcBorders>
                    <w:tl2br w:val="nil"/>
                    <w:tr2bl w:val="nil"/>
                  </w:tcBorders>
                  <w:noWrap/>
                  <w:vAlign w:val="center"/>
                </w:tcPr>
                <w:p w14:paraId="47BD6B4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消耗量</w:t>
                  </w:r>
                </w:p>
              </w:tc>
            </w:tr>
            <w:tr w14:paraId="05B8A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0" w:type="dxa"/>
                  <w:vMerge w:val="continue"/>
                  <w:tcBorders>
                    <w:tl2br w:val="nil"/>
                    <w:tr2bl w:val="nil"/>
                  </w:tcBorders>
                  <w:noWrap/>
                  <w:vAlign w:val="center"/>
                </w:tcPr>
                <w:p w14:paraId="28C77DA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866" w:type="dxa"/>
                  <w:vMerge w:val="continue"/>
                  <w:tcBorders>
                    <w:tl2br w:val="nil"/>
                    <w:tr2bl w:val="nil"/>
                  </w:tcBorders>
                  <w:noWrap/>
                  <w:vAlign w:val="center"/>
                </w:tcPr>
                <w:p w14:paraId="79ED9E3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320" w:type="dxa"/>
                  <w:vMerge w:val="continue"/>
                  <w:tcBorders>
                    <w:tl2br w:val="nil"/>
                    <w:tr2bl w:val="nil"/>
                  </w:tcBorders>
                  <w:noWrap/>
                  <w:vAlign w:val="center"/>
                </w:tcPr>
                <w:p w14:paraId="1674647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188" w:type="dxa"/>
                  <w:tcBorders>
                    <w:tl2br w:val="nil"/>
                    <w:tr2bl w:val="nil"/>
                  </w:tcBorders>
                  <w:noWrap/>
                  <w:vAlign w:val="center"/>
                </w:tcPr>
                <w:p w14:paraId="34054FF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改扩建</w:t>
                  </w:r>
                  <w:r>
                    <w:rPr>
                      <w:rFonts w:hint="default" w:ascii="Times New Roman" w:hAnsi="Times New Roman" w:eastAsia="宋体" w:cs="Times New Roman"/>
                      <w:b/>
                      <w:bCs/>
                      <w:color w:val="auto"/>
                      <w:kern w:val="0"/>
                      <w:sz w:val="21"/>
                      <w:szCs w:val="21"/>
                      <w:highlight w:val="none"/>
                      <w:lang w:val="en-US" w:eastAsia="zh-CN"/>
                    </w:rPr>
                    <w:t>前</w:t>
                  </w:r>
                </w:p>
              </w:tc>
              <w:tc>
                <w:tcPr>
                  <w:tcW w:w="1300" w:type="dxa"/>
                  <w:tcBorders>
                    <w:tl2br w:val="nil"/>
                    <w:tr2bl w:val="nil"/>
                  </w:tcBorders>
                  <w:noWrap/>
                  <w:vAlign w:val="center"/>
                </w:tcPr>
                <w:p w14:paraId="796021B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改扩建</w:t>
                  </w:r>
                  <w:r>
                    <w:rPr>
                      <w:rFonts w:hint="default" w:ascii="Times New Roman" w:hAnsi="Times New Roman" w:eastAsia="宋体" w:cs="Times New Roman"/>
                      <w:b/>
                      <w:bCs/>
                      <w:color w:val="auto"/>
                      <w:kern w:val="0"/>
                      <w:sz w:val="21"/>
                      <w:szCs w:val="21"/>
                      <w:highlight w:val="none"/>
                      <w:lang w:val="en-US" w:eastAsia="zh-CN"/>
                    </w:rPr>
                    <w:t>后</w:t>
                  </w:r>
                </w:p>
              </w:tc>
              <w:tc>
                <w:tcPr>
                  <w:tcW w:w="1633" w:type="dxa"/>
                  <w:gridSpan w:val="2"/>
                  <w:tcBorders>
                    <w:tl2br w:val="nil"/>
                    <w:tr2bl w:val="nil"/>
                  </w:tcBorders>
                  <w:noWrap/>
                  <w:vAlign w:val="center"/>
                </w:tcPr>
                <w:p w14:paraId="4BF19E9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r>
            <w:tr w14:paraId="4D92C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noWrap w:val="0"/>
                  <w:vAlign w:val="center"/>
                </w:tcPr>
                <w:p w14:paraId="1D713CA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866" w:type="dxa"/>
                  <w:tcBorders>
                    <w:tl2br w:val="nil"/>
                    <w:tr2bl w:val="nil"/>
                  </w:tcBorders>
                  <w:noWrap/>
                  <w:vAlign w:val="center"/>
                </w:tcPr>
                <w:p w14:paraId="651BEE7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钢材</w:t>
                  </w:r>
                  <w:r>
                    <w:rPr>
                      <w:rFonts w:hint="eastAsia" w:cs="Times New Roman"/>
                      <w:color w:val="auto"/>
                      <w:kern w:val="0"/>
                      <w:sz w:val="21"/>
                      <w:szCs w:val="21"/>
                      <w:highlight w:val="none"/>
                      <w:lang w:val="en-US" w:eastAsia="zh-CN" w:bidi="ar-SA"/>
                    </w:rPr>
                    <w:t>（已切割成规定形状的原料）</w:t>
                  </w:r>
                </w:p>
              </w:tc>
              <w:tc>
                <w:tcPr>
                  <w:tcW w:w="1320" w:type="dxa"/>
                  <w:tcBorders>
                    <w:tl2br w:val="nil"/>
                    <w:tr2bl w:val="nil"/>
                  </w:tcBorders>
                  <w:noWrap/>
                  <w:vAlign w:val="center"/>
                </w:tcPr>
                <w:p w14:paraId="5EA22D4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77A43E8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35</w:t>
                  </w:r>
                </w:p>
              </w:tc>
              <w:tc>
                <w:tcPr>
                  <w:tcW w:w="1300" w:type="dxa"/>
                  <w:tcBorders>
                    <w:tl2br w:val="nil"/>
                    <w:tr2bl w:val="nil"/>
                  </w:tcBorders>
                  <w:noWrap/>
                  <w:vAlign w:val="center"/>
                </w:tcPr>
                <w:p w14:paraId="2AD97A9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2000</w:t>
                  </w:r>
                </w:p>
              </w:tc>
              <w:tc>
                <w:tcPr>
                  <w:tcW w:w="1633" w:type="dxa"/>
                  <w:gridSpan w:val="2"/>
                  <w:tcBorders>
                    <w:tl2br w:val="nil"/>
                    <w:tr2bl w:val="nil"/>
                  </w:tcBorders>
                  <w:noWrap/>
                  <w:vAlign w:val="center"/>
                </w:tcPr>
                <w:p w14:paraId="652F770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+1965</w:t>
                  </w:r>
                </w:p>
              </w:tc>
            </w:tr>
            <w:tr w14:paraId="6AC667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3A8338C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1866" w:type="dxa"/>
                  <w:tcBorders>
                    <w:tl2br w:val="nil"/>
                    <w:tr2bl w:val="nil"/>
                  </w:tcBorders>
                  <w:noWrap/>
                  <w:vAlign w:val="center"/>
                </w:tcPr>
                <w:p w14:paraId="79B08FC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铝材（已切割成规定形状的原料）</w:t>
                  </w:r>
                </w:p>
              </w:tc>
              <w:tc>
                <w:tcPr>
                  <w:tcW w:w="1320" w:type="dxa"/>
                  <w:tcBorders>
                    <w:tl2br w:val="nil"/>
                    <w:tr2bl w:val="nil"/>
                  </w:tcBorders>
                  <w:noWrap/>
                  <w:vAlign w:val="center"/>
                </w:tcPr>
                <w:p w14:paraId="186264A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7CBC0FB8">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1300" w:type="dxa"/>
                  <w:tcBorders>
                    <w:tl2br w:val="nil"/>
                    <w:tr2bl w:val="nil"/>
                  </w:tcBorders>
                  <w:noWrap/>
                  <w:vAlign w:val="center"/>
                </w:tcPr>
                <w:p w14:paraId="5CF77F6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600</w:t>
                  </w:r>
                </w:p>
              </w:tc>
              <w:tc>
                <w:tcPr>
                  <w:tcW w:w="1633" w:type="dxa"/>
                  <w:gridSpan w:val="2"/>
                  <w:tcBorders>
                    <w:tl2br w:val="nil"/>
                    <w:tr2bl w:val="nil"/>
                  </w:tcBorders>
                  <w:noWrap/>
                  <w:vAlign w:val="center"/>
                </w:tcPr>
                <w:p w14:paraId="7D1D2D0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+600</w:t>
                  </w:r>
                </w:p>
              </w:tc>
            </w:tr>
            <w:tr w14:paraId="6F68F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07A5616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w:t>
                  </w:r>
                </w:p>
              </w:tc>
              <w:tc>
                <w:tcPr>
                  <w:tcW w:w="1866" w:type="dxa"/>
                  <w:tcBorders>
                    <w:tl2br w:val="nil"/>
                    <w:tr2bl w:val="nil"/>
                  </w:tcBorders>
                  <w:noWrap/>
                  <w:vAlign w:val="center"/>
                </w:tcPr>
                <w:p w14:paraId="69C4A53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切削</w:t>
                  </w:r>
                  <w:r>
                    <w:rPr>
                      <w:rFonts w:hint="eastAsia" w:cs="Times New Roman"/>
                      <w:color w:val="auto"/>
                      <w:kern w:val="0"/>
                      <w:sz w:val="21"/>
                      <w:szCs w:val="21"/>
                      <w:highlight w:val="none"/>
                      <w:lang w:val="en-US" w:eastAsia="zh-CN" w:bidi="ar-SA"/>
                    </w:rPr>
                    <w:t>液</w:t>
                  </w:r>
                  <w:r>
                    <w:rPr>
                      <w:rFonts w:hint="default" w:ascii="Times New Roman" w:hAnsi="Times New Roman" w:eastAsia="宋体" w:cs="Times New Roman"/>
                      <w:color w:val="auto"/>
                      <w:kern w:val="0"/>
                      <w:sz w:val="21"/>
                      <w:szCs w:val="21"/>
                      <w:highlight w:val="none"/>
                      <w:lang w:val="en-US" w:eastAsia="zh-CN" w:bidi="ar-SA"/>
                    </w:rPr>
                    <w:t>EP333</w:t>
                  </w:r>
                </w:p>
              </w:tc>
              <w:tc>
                <w:tcPr>
                  <w:tcW w:w="1320" w:type="dxa"/>
                  <w:tcBorders>
                    <w:tl2br w:val="nil"/>
                    <w:tr2bl w:val="nil"/>
                  </w:tcBorders>
                  <w:noWrap/>
                  <w:vAlign w:val="center"/>
                </w:tcPr>
                <w:p w14:paraId="3C02F97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55D1E21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0.3</w:t>
                  </w:r>
                </w:p>
              </w:tc>
              <w:tc>
                <w:tcPr>
                  <w:tcW w:w="1300" w:type="dxa"/>
                  <w:tcBorders>
                    <w:tl2br w:val="nil"/>
                    <w:tr2bl w:val="nil"/>
                  </w:tcBorders>
                  <w:noWrap/>
                  <w:vAlign w:val="center"/>
                </w:tcPr>
                <w:p w14:paraId="73CA392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2.0</w:t>
                  </w:r>
                </w:p>
              </w:tc>
              <w:tc>
                <w:tcPr>
                  <w:tcW w:w="1633" w:type="dxa"/>
                  <w:gridSpan w:val="2"/>
                  <w:tcBorders>
                    <w:tl2br w:val="nil"/>
                    <w:tr2bl w:val="nil"/>
                  </w:tcBorders>
                  <w:noWrap/>
                  <w:vAlign w:val="center"/>
                </w:tcPr>
                <w:p w14:paraId="2A922DA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+1.7</w:t>
                  </w:r>
                </w:p>
              </w:tc>
            </w:tr>
            <w:tr w14:paraId="7B602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3C0758B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w:t>
                  </w:r>
                </w:p>
              </w:tc>
              <w:tc>
                <w:tcPr>
                  <w:tcW w:w="1866" w:type="dxa"/>
                  <w:tcBorders>
                    <w:tl2br w:val="nil"/>
                    <w:tr2bl w:val="nil"/>
                  </w:tcBorders>
                  <w:noWrap/>
                  <w:vAlign w:val="center"/>
                </w:tcPr>
                <w:p w14:paraId="5211EF0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环保清洗剂</w:t>
                  </w:r>
                </w:p>
              </w:tc>
              <w:tc>
                <w:tcPr>
                  <w:tcW w:w="1320" w:type="dxa"/>
                  <w:tcBorders>
                    <w:tl2br w:val="nil"/>
                    <w:tr2bl w:val="nil"/>
                  </w:tcBorders>
                  <w:noWrap/>
                  <w:vAlign w:val="center"/>
                </w:tcPr>
                <w:p w14:paraId="4FF0E50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1045C47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0.125</w:t>
                  </w:r>
                </w:p>
              </w:tc>
              <w:tc>
                <w:tcPr>
                  <w:tcW w:w="1300" w:type="dxa"/>
                  <w:tcBorders>
                    <w:tl2br w:val="nil"/>
                    <w:tr2bl w:val="nil"/>
                  </w:tcBorders>
                  <w:noWrap/>
                  <w:vAlign w:val="center"/>
                </w:tcPr>
                <w:p w14:paraId="43BD4C56">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1633" w:type="dxa"/>
                  <w:gridSpan w:val="2"/>
                  <w:tcBorders>
                    <w:tl2br w:val="nil"/>
                    <w:tr2bl w:val="nil"/>
                  </w:tcBorders>
                  <w:noWrap/>
                  <w:vAlign w:val="center"/>
                </w:tcPr>
                <w:p w14:paraId="484C255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-0.125</w:t>
                  </w:r>
                </w:p>
              </w:tc>
            </w:tr>
            <w:tr w14:paraId="1492E2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7B20DD5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p>
              </w:tc>
              <w:tc>
                <w:tcPr>
                  <w:tcW w:w="1866" w:type="dxa"/>
                  <w:tcBorders>
                    <w:tl2br w:val="nil"/>
                    <w:tr2bl w:val="nil"/>
                  </w:tcBorders>
                  <w:noWrap/>
                  <w:vAlign w:val="center"/>
                </w:tcPr>
                <w:p w14:paraId="7AF36F9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超声波清洗剂</w:t>
                  </w:r>
                </w:p>
              </w:tc>
              <w:tc>
                <w:tcPr>
                  <w:tcW w:w="1320" w:type="dxa"/>
                  <w:tcBorders>
                    <w:tl2br w:val="nil"/>
                    <w:tr2bl w:val="nil"/>
                  </w:tcBorders>
                  <w:noWrap/>
                  <w:vAlign w:val="center"/>
                </w:tcPr>
                <w:p w14:paraId="0151705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05500CF7">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1300" w:type="dxa"/>
                  <w:tcBorders>
                    <w:tl2br w:val="nil"/>
                    <w:tr2bl w:val="nil"/>
                  </w:tcBorders>
                  <w:noWrap/>
                  <w:vAlign w:val="center"/>
                </w:tcPr>
                <w:p w14:paraId="7CF3387B">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0.5</w:t>
                  </w:r>
                </w:p>
              </w:tc>
              <w:tc>
                <w:tcPr>
                  <w:tcW w:w="1633" w:type="dxa"/>
                  <w:gridSpan w:val="2"/>
                  <w:tcBorders>
                    <w:tl2br w:val="nil"/>
                    <w:tr2bl w:val="nil"/>
                  </w:tcBorders>
                  <w:noWrap/>
                  <w:vAlign w:val="center"/>
                </w:tcPr>
                <w:p w14:paraId="66AE714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+0.5</w:t>
                  </w:r>
                </w:p>
              </w:tc>
            </w:tr>
            <w:tr w14:paraId="4FFAE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42CE6DB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w:t>
                  </w:r>
                </w:p>
              </w:tc>
              <w:tc>
                <w:tcPr>
                  <w:tcW w:w="1866" w:type="dxa"/>
                  <w:tcBorders>
                    <w:tl2br w:val="nil"/>
                    <w:tr2bl w:val="nil"/>
                  </w:tcBorders>
                  <w:noWrap/>
                  <w:vAlign w:val="center"/>
                </w:tcPr>
                <w:p w14:paraId="67E83D25">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油漆</w:t>
                  </w:r>
                </w:p>
              </w:tc>
              <w:tc>
                <w:tcPr>
                  <w:tcW w:w="1320" w:type="dxa"/>
                  <w:tcBorders>
                    <w:tl2br w:val="nil"/>
                    <w:tr2bl w:val="nil"/>
                  </w:tcBorders>
                  <w:noWrap/>
                  <w:vAlign w:val="center"/>
                </w:tcPr>
                <w:p w14:paraId="3303A2BC">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4C40101E">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1300" w:type="dxa"/>
                  <w:tcBorders>
                    <w:tl2br w:val="nil"/>
                    <w:tr2bl w:val="nil"/>
                  </w:tcBorders>
                  <w:noWrap/>
                  <w:vAlign w:val="center"/>
                </w:tcPr>
                <w:p w14:paraId="37F8E08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w:t>
                  </w:r>
                </w:p>
              </w:tc>
              <w:tc>
                <w:tcPr>
                  <w:tcW w:w="1633" w:type="dxa"/>
                  <w:gridSpan w:val="2"/>
                  <w:tcBorders>
                    <w:tl2br w:val="nil"/>
                    <w:tr2bl w:val="nil"/>
                  </w:tcBorders>
                  <w:noWrap/>
                  <w:vAlign w:val="center"/>
                </w:tcPr>
                <w:p w14:paraId="0FCC01C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w:t>
                  </w:r>
                </w:p>
              </w:tc>
            </w:tr>
            <w:tr w14:paraId="7C9E57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7681DD9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7</w:t>
                  </w:r>
                </w:p>
              </w:tc>
              <w:tc>
                <w:tcPr>
                  <w:tcW w:w="1866" w:type="dxa"/>
                  <w:tcBorders>
                    <w:tl2br w:val="nil"/>
                    <w:tr2bl w:val="nil"/>
                  </w:tcBorders>
                  <w:noWrap/>
                  <w:vAlign w:val="center"/>
                </w:tcPr>
                <w:p w14:paraId="3A40093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稀释剂</w:t>
                  </w:r>
                </w:p>
              </w:tc>
              <w:tc>
                <w:tcPr>
                  <w:tcW w:w="1320" w:type="dxa"/>
                  <w:tcBorders>
                    <w:tl2br w:val="nil"/>
                    <w:tr2bl w:val="nil"/>
                  </w:tcBorders>
                  <w:noWrap/>
                  <w:vAlign w:val="center"/>
                </w:tcPr>
                <w:p w14:paraId="33978CC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t/a</w:t>
                  </w:r>
                </w:p>
              </w:tc>
              <w:tc>
                <w:tcPr>
                  <w:tcW w:w="1188" w:type="dxa"/>
                  <w:tcBorders>
                    <w:tl2br w:val="nil"/>
                    <w:tr2bl w:val="nil"/>
                  </w:tcBorders>
                  <w:noWrap/>
                  <w:vAlign w:val="center"/>
                </w:tcPr>
                <w:p w14:paraId="2E490236">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1300" w:type="dxa"/>
                  <w:tcBorders>
                    <w:tl2br w:val="nil"/>
                    <w:tr2bl w:val="nil"/>
                  </w:tcBorders>
                  <w:noWrap/>
                  <w:vAlign w:val="center"/>
                </w:tcPr>
                <w:p w14:paraId="2F5DE00F">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0.2</w:t>
                  </w:r>
                </w:p>
              </w:tc>
              <w:tc>
                <w:tcPr>
                  <w:tcW w:w="1633" w:type="dxa"/>
                  <w:gridSpan w:val="2"/>
                  <w:tcBorders>
                    <w:tl2br w:val="nil"/>
                    <w:tr2bl w:val="nil"/>
                  </w:tcBorders>
                  <w:noWrap/>
                  <w:vAlign w:val="center"/>
                </w:tcPr>
                <w:p w14:paraId="43E6E30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+0.2</w:t>
                  </w:r>
                </w:p>
              </w:tc>
            </w:tr>
            <w:tr w14:paraId="1F8D2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32896FC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1866" w:type="dxa"/>
                  <w:tcBorders>
                    <w:tl2br w:val="nil"/>
                    <w:tr2bl w:val="nil"/>
                  </w:tcBorders>
                  <w:shd w:val="clear" w:color="auto" w:fill="auto"/>
                  <w:noWrap/>
                  <w:vAlign w:val="center"/>
                </w:tcPr>
                <w:p w14:paraId="66C4FFD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水</w:t>
                  </w:r>
                </w:p>
              </w:tc>
              <w:tc>
                <w:tcPr>
                  <w:tcW w:w="1320" w:type="dxa"/>
                  <w:tcBorders>
                    <w:tl2br w:val="nil"/>
                    <w:tr2bl w:val="nil"/>
                  </w:tcBorders>
                  <w:shd w:val="clear" w:color="auto" w:fill="auto"/>
                  <w:noWrap/>
                  <w:vAlign w:val="center"/>
                </w:tcPr>
                <w:p w14:paraId="17F955BE">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m</w:t>
                  </w:r>
                  <w:r>
                    <w:rPr>
                      <w:rFonts w:hint="eastAsia" w:cs="Times New Roman"/>
                      <w:color w:val="auto"/>
                      <w:kern w:val="0"/>
                      <w:sz w:val="21"/>
                      <w:szCs w:val="21"/>
                      <w:highlight w:val="none"/>
                      <w:vertAlign w:val="superscript"/>
                      <w:lang w:val="en-US" w:eastAsia="zh-CN" w:bidi="ar-SA"/>
                    </w:rPr>
                    <w:t>3</w:t>
                  </w:r>
                  <w:r>
                    <w:rPr>
                      <w:rFonts w:hint="eastAsia" w:cs="Times New Roman"/>
                      <w:color w:val="auto"/>
                      <w:kern w:val="0"/>
                      <w:sz w:val="21"/>
                      <w:szCs w:val="21"/>
                      <w:highlight w:val="none"/>
                      <w:lang w:val="en-US" w:eastAsia="zh-CN" w:bidi="ar-SA"/>
                    </w:rPr>
                    <w:t>/a</w:t>
                  </w:r>
                </w:p>
              </w:tc>
              <w:tc>
                <w:tcPr>
                  <w:tcW w:w="1188" w:type="dxa"/>
                  <w:tcBorders>
                    <w:tl2br w:val="nil"/>
                    <w:tr2bl w:val="nil"/>
                  </w:tcBorders>
                  <w:shd w:val="clear" w:color="auto" w:fill="auto"/>
                  <w:noWrap/>
                  <w:vAlign w:val="center"/>
                </w:tcPr>
                <w:p w14:paraId="5CF9278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5000</w:t>
                  </w:r>
                </w:p>
              </w:tc>
              <w:tc>
                <w:tcPr>
                  <w:tcW w:w="1300" w:type="dxa"/>
                  <w:tcBorders>
                    <w:tl2br w:val="nil"/>
                    <w:tr2bl w:val="nil"/>
                  </w:tcBorders>
                  <w:shd w:val="clear" w:color="auto" w:fill="auto"/>
                  <w:noWrap/>
                  <w:vAlign w:val="center"/>
                </w:tcPr>
                <w:p w14:paraId="4BC5F65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13170</w:t>
                  </w:r>
                </w:p>
              </w:tc>
              <w:tc>
                <w:tcPr>
                  <w:tcW w:w="1633" w:type="dxa"/>
                  <w:gridSpan w:val="2"/>
                  <w:tcBorders>
                    <w:tl2br w:val="nil"/>
                    <w:tr2bl w:val="nil"/>
                  </w:tcBorders>
                  <w:noWrap/>
                  <w:vAlign w:val="center"/>
                </w:tcPr>
                <w:p w14:paraId="1BCC298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+3852.55</w:t>
                  </w:r>
                </w:p>
              </w:tc>
            </w:tr>
            <w:tr w14:paraId="06649F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tcBorders>
                    <w:tl2br w:val="nil"/>
                    <w:tr2bl w:val="nil"/>
                  </w:tcBorders>
                  <w:shd w:val="clear" w:color="auto" w:fill="auto"/>
                  <w:noWrap w:val="0"/>
                  <w:vAlign w:val="center"/>
                </w:tcPr>
                <w:p w14:paraId="1089FB3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w:t>
                  </w:r>
                </w:p>
              </w:tc>
              <w:tc>
                <w:tcPr>
                  <w:tcW w:w="1866" w:type="dxa"/>
                  <w:tcBorders>
                    <w:tl2br w:val="nil"/>
                    <w:tr2bl w:val="nil"/>
                  </w:tcBorders>
                  <w:shd w:val="clear" w:color="auto" w:fill="auto"/>
                  <w:noWrap/>
                  <w:vAlign w:val="center"/>
                </w:tcPr>
                <w:p w14:paraId="4E5D5C0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电</w:t>
                  </w:r>
                </w:p>
              </w:tc>
              <w:tc>
                <w:tcPr>
                  <w:tcW w:w="1320" w:type="dxa"/>
                  <w:tcBorders>
                    <w:tl2br w:val="nil"/>
                    <w:tr2bl w:val="nil"/>
                  </w:tcBorders>
                  <w:shd w:val="clear" w:color="auto" w:fill="auto"/>
                  <w:noWrap/>
                  <w:vAlign w:val="center"/>
                </w:tcPr>
                <w:p w14:paraId="7C12A81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万kWh/a</w:t>
                  </w:r>
                </w:p>
              </w:tc>
              <w:tc>
                <w:tcPr>
                  <w:tcW w:w="1188" w:type="dxa"/>
                  <w:tcBorders>
                    <w:tl2br w:val="nil"/>
                    <w:tr2bl w:val="nil"/>
                  </w:tcBorders>
                  <w:shd w:val="clear" w:color="auto" w:fill="auto"/>
                  <w:noWrap/>
                  <w:vAlign w:val="center"/>
                </w:tcPr>
                <w:p w14:paraId="15BFE17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51.4</w:t>
                  </w:r>
                </w:p>
              </w:tc>
              <w:tc>
                <w:tcPr>
                  <w:tcW w:w="1300" w:type="dxa"/>
                  <w:tcBorders>
                    <w:tl2br w:val="nil"/>
                    <w:tr2bl w:val="nil"/>
                  </w:tcBorders>
                  <w:shd w:val="clear" w:color="auto" w:fill="auto"/>
                  <w:noWrap/>
                  <w:vAlign w:val="center"/>
                </w:tcPr>
                <w:p w14:paraId="1895BEE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56</w:t>
                  </w:r>
                </w:p>
              </w:tc>
              <w:tc>
                <w:tcPr>
                  <w:tcW w:w="1633" w:type="dxa"/>
                  <w:gridSpan w:val="2"/>
                  <w:tcBorders>
                    <w:tl2br w:val="nil"/>
                    <w:tr2bl w:val="nil"/>
                  </w:tcBorders>
                  <w:noWrap/>
                  <w:vAlign w:val="center"/>
                </w:tcPr>
                <w:p w14:paraId="4F103DE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+4.6</w:t>
                  </w:r>
                </w:p>
              </w:tc>
            </w:tr>
            <w:tr w14:paraId="0FC2F3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2" w:type="dxa"/>
                <w:trHeight w:val="397" w:hRule="atLeast"/>
                <w:jc w:val="center"/>
              </w:trPr>
              <w:tc>
                <w:tcPr>
                  <w:tcW w:w="7945" w:type="dxa"/>
                  <w:gridSpan w:val="6"/>
                  <w:tcBorders>
                    <w:tl2br w:val="nil"/>
                    <w:tr2bl w:val="nil"/>
                  </w:tcBorders>
                  <w:noWrap w:val="0"/>
                  <w:vAlign w:val="center"/>
                </w:tcPr>
                <w:p w14:paraId="34AB4B92">
                  <w:pPr>
                    <w:keepNext w:val="0"/>
                    <w:keepLines w:val="0"/>
                    <w:pageBreakBefore w:val="0"/>
                    <w:kinsoku/>
                    <w:wordWrap/>
                    <w:overflowPunct/>
                    <w:topLinePunct w:val="0"/>
                    <w:autoSpaceDE/>
                    <w:autoSpaceDN/>
                    <w:bidi w:val="0"/>
                    <w:spacing w:line="240" w:lineRule="auto"/>
                    <w:ind w:firstLine="0" w:firstLineChars="0"/>
                    <w:jc w:val="left"/>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注：</w:t>
                  </w:r>
                  <w:r>
                    <w:rPr>
                      <w:rFonts w:hint="eastAsia" w:cs="Times New Roman"/>
                      <w:b w:val="0"/>
                      <w:bCs w:val="0"/>
                      <w:color w:val="auto"/>
                      <w:sz w:val="21"/>
                      <w:szCs w:val="21"/>
                      <w:highlight w:val="none"/>
                      <w:lang w:val="en-US" w:eastAsia="zh-CN"/>
                    </w:rPr>
                    <w:t>增加产能，会增加原辅材料消耗</w:t>
                  </w:r>
                  <w:r>
                    <w:rPr>
                      <w:rFonts w:hint="default" w:ascii="Times New Roman" w:hAnsi="Times New Roman" w:eastAsia="宋体" w:cs="Times New Roman"/>
                      <w:b w:val="0"/>
                      <w:bCs w:val="0"/>
                      <w:color w:val="auto"/>
                      <w:sz w:val="21"/>
                      <w:szCs w:val="21"/>
                      <w:highlight w:val="none"/>
                      <w:lang w:val="en-US" w:eastAsia="zh-CN"/>
                    </w:rPr>
                    <w:t>。</w:t>
                  </w:r>
                </w:p>
              </w:tc>
            </w:tr>
          </w:tbl>
          <w:p w14:paraId="3D42AD36">
            <w:pPr>
              <w:keepNext w:val="0"/>
              <w:keepLines w:val="0"/>
              <w:pageBreakBefore w:val="0"/>
              <w:widowControl w:val="0"/>
              <w:numPr>
                <w:ilvl w:val="0"/>
                <w:numId w:val="7"/>
              </w:numPr>
              <w:kinsoku/>
              <w:wordWrap/>
              <w:overflowPunct/>
              <w:topLinePunct w:val="0"/>
              <w:autoSpaceDE/>
              <w:autoSpaceDN/>
              <w:bidi w:val="0"/>
              <w:adjustRightInd/>
              <w:snapToGrid/>
              <w:spacing w:before="157" w:beforeLines="5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项目主要原辅材料</w:t>
            </w:r>
            <w:r>
              <w:rPr>
                <w:rFonts w:hint="default" w:ascii="Times New Roman" w:hAnsi="Times New Roman" w:eastAsia="宋体" w:cs="Times New Roman"/>
                <w:b/>
                <w:bCs/>
                <w:color w:val="auto"/>
                <w:sz w:val="21"/>
                <w:szCs w:val="21"/>
                <w:highlight w:val="none"/>
                <w:lang w:val="en-US" w:eastAsia="zh-CN"/>
              </w:rPr>
              <w:t>理化性质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050"/>
              <w:gridCol w:w="6472"/>
            </w:tblGrid>
            <w:tr w14:paraId="0AA6A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264" w:type="pct"/>
                  <w:tcBorders>
                    <w:tl2br w:val="nil"/>
                    <w:tr2bl w:val="nil"/>
                  </w:tcBorders>
                  <w:noWrap w:val="0"/>
                  <w:vAlign w:val="center"/>
                </w:tcPr>
                <w:p w14:paraId="0FA6B667">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661" w:type="pct"/>
                  <w:tcBorders>
                    <w:tl2br w:val="nil"/>
                    <w:tr2bl w:val="nil"/>
                  </w:tcBorders>
                  <w:noWrap w:val="0"/>
                  <w:vAlign w:val="center"/>
                </w:tcPr>
                <w:p w14:paraId="332B2D80">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原辅材料</w:t>
                  </w:r>
                </w:p>
              </w:tc>
              <w:tc>
                <w:tcPr>
                  <w:tcW w:w="4074" w:type="pct"/>
                  <w:tcBorders>
                    <w:tl2br w:val="nil"/>
                    <w:tr2bl w:val="nil"/>
                  </w:tcBorders>
                  <w:noWrap w:val="0"/>
                  <w:vAlign w:val="center"/>
                </w:tcPr>
                <w:p w14:paraId="0DCDF959">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主要原辅材料说明</w:t>
                  </w:r>
                </w:p>
              </w:tc>
            </w:tr>
            <w:tr w14:paraId="560643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45" w:hRule="atLeast"/>
                <w:jc w:val="center"/>
              </w:trPr>
              <w:tc>
                <w:tcPr>
                  <w:tcW w:w="264" w:type="pct"/>
                  <w:tcBorders>
                    <w:tl2br w:val="nil"/>
                    <w:tr2bl w:val="nil"/>
                  </w:tcBorders>
                  <w:noWrap w:val="0"/>
                  <w:vAlign w:val="center"/>
                </w:tcPr>
                <w:p w14:paraId="1F543908">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1</w:t>
                  </w:r>
                </w:p>
              </w:tc>
              <w:tc>
                <w:tcPr>
                  <w:tcW w:w="661" w:type="pct"/>
                  <w:tcBorders>
                    <w:tl2br w:val="nil"/>
                    <w:tr2bl w:val="nil"/>
                  </w:tcBorders>
                  <w:noWrap w:val="0"/>
                  <w:vAlign w:val="center"/>
                </w:tcPr>
                <w:p w14:paraId="5EAC2EC6">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 w:val="21"/>
                      <w:szCs w:val="21"/>
                      <w:lang w:val="en-US" w:eastAsia="zh-CN"/>
                    </w:rPr>
                    <w:t>油漆</w:t>
                  </w:r>
                </w:p>
              </w:tc>
              <w:tc>
                <w:tcPr>
                  <w:tcW w:w="4074" w:type="pct"/>
                  <w:tcBorders>
                    <w:tl2br w:val="nil"/>
                    <w:tr2bl w:val="nil"/>
                  </w:tcBorders>
                  <w:noWrap w:val="0"/>
                  <w:vAlign w:val="center"/>
                </w:tcPr>
                <w:p w14:paraId="5E6F178D">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bidi="ar-SA"/>
                    </w:rPr>
                    <w:t>金</w:t>
                  </w:r>
                  <w:r>
                    <w:rPr>
                      <w:rFonts w:hint="default" w:ascii="Times New Roman" w:hAnsi="Times New Roman" w:eastAsia="宋体" w:cs="Times New Roman"/>
                      <w:color w:val="auto"/>
                      <w:kern w:val="0"/>
                      <w:sz w:val="21"/>
                      <w:szCs w:val="21"/>
                      <w:highlight w:val="none"/>
                      <w:lang w:val="en-US" w:eastAsia="zh-CN" w:bidi="ar-SA"/>
                    </w:rPr>
                    <w:t>属漆，粘稠液体，轻微刺鼻，闪点为32℃，初沸点﹥35℃，</w:t>
                  </w:r>
                  <w:r>
                    <w:rPr>
                      <w:rFonts w:hint="default" w:ascii="Times New Roman" w:hAnsi="Times New Roman" w:cs="Times New Roman"/>
                      <w:color w:val="auto"/>
                      <w:kern w:val="0"/>
                      <w:sz w:val="22"/>
                      <w:szCs w:val="22"/>
                    </w:rPr>
                    <w:t>燃点</w:t>
                  </w:r>
                  <w:r>
                    <w:rPr>
                      <w:rFonts w:hint="default" w:ascii="Times New Roman" w:hAnsi="Times New Roman" w:cs="Times New Roman"/>
                      <w:color w:val="auto"/>
                      <w:kern w:val="0"/>
                      <w:sz w:val="22"/>
                      <w:szCs w:val="22"/>
                      <w:lang w:val="en-US" w:eastAsia="zh-CN"/>
                    </w:rPr>
                    <w:t>为3</w:t>
                  </w:r>
                  <w:r>
                    <w:rPr>
                      <w:rFonts w:hint="default" w:ascii="Times New Roman" w:hAnsi="Times New Roman" w:cs="Times New Roman"/>
                      <w:color w:val="auto"/>
                      <w:kern w:val="0"/>
                      <w:sz w:val="22"/>
                      <w:szCs w:val="22"/>
                    </w:rPr>
                    <w:t>5℃</w:t>
                  </w:r>
                  <w:r>
                    <w:rPr>
                      <w:rFonts w:hint="default" w:ascii="Times New Roman" w:hAnsi="Times New Roman" w:cs="Times New Roman"/>
                      <w:color w:val="auto"/>
                      <w:kern w:val="0"/>
                      <w:sz w:val="22"/>
                      <w:szCs w:val="22"/>
                      <w:lang w:eastAsia="zh-CN"/>
                    </w:rPr>
                    <w:t>，</w:t>
                  </w:r>
                  <w:r>
                    <w:rPr>
                      <w:rFonts w:hint="default" w:ascii="Times New Roman" w:hAnsi="Times New Roman" w:eastAsia="宋体" w:cs="Times New Roman"/>
                      <w:color w:val="auto"/>
                      <w:kern w:val="0"/>
                      <w:sz w:val="21"/>
                      <w:szCs w:val="21"/>
                      <w:highlight w:val="none"/>
                      <w:lang w:val="en-US" w:eastAsia="zh-CN" w:bidi="ar-SA"/>
                    </w:rPr>
                    <w:t>比重为0.9550g/cm</w:t>
                  </w:r>
                  <w:r>
                    <w:rPr>
                      <w:rFonts w:hint="default" w:ascii="Times New Roman" w:hAnsi="Times New Roman" w:eastAsia="宋体" w:cs="Times New Roman"/>
                      <w:color w:val="auto"/>
                      <w:kern w:val="0"/>
                      <w:sz w:val="21"/>
                      <w:szCs w:val="21"/>
                      <w:highlight w:val="none"/>
                      <w:vertAlign w:val="super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w:t>
                  </w:r>
                  <w:r>
                    <w:rPr>
                      <w:rFonts w:hint="default" w:ascii="Times New Roman" w:hAnsi="Times New Roman" w:cs="Times New Roman"/>
                      <w:color w:val="auto"/>
                      <w:kern w:val="0"/>
                      <w:sz w:val="22"/>
                      <w:szCs w:val="22"/>
                    </w:rPr>
                    <w:t>不溶于水</w:t>
                  </w:r>
                  <w:r>
                    <w:rPr>
                      <w:rFonts w:hint="default" w:ascii="Times New Roman" w:hAnsi="Times New Roman" w:cs="Times New Roman"/>
                      <w:color w:val="auto"/>
                      <w:kern w:val="0"/>
                      <w:sz w:val="22"/>
                      <w:szCs w:val="22"/>
                      <w:lang w:eastAsia="zh-CN"/>
                    </w:rPr>
                    <w:t>。</w:t>
                  </w:r>
                  <w:r>
                    <w:rPr>
                      <w:rFonts w:hint="default" w:ascii="Times New Roman" w:hAnsi="Times New Roman" w:eastAsia="宋体" w:cs="Times New Roman"/>
                      <w:color w:val="auto"/>
                      <w:kern w:val="0"/>
                      <w:sz w:val="21"/>
                      <w:szCs w:val="21"/>
                      <w:highlight w:val="none"/>
                      <w:lang w:val="en-US" w:eastAsia="zh-CN" w:bidi="ar-SA"/>
                    </w:rPr>
                    <w:t>金属漆是指在漆基中加有细微金属粒子的一种常温固化涂料，是流行的一种汽车面漆。在它的漆基中加有微细的铝粒，光线射到铝粒上后，又被铝粒透过漆膜反射出来。金属漆的主要特性有：漆膜坚韧、附着力强，具有极强的抗紫外线、耐腐蚀性和高丰满度，能全面提高涂层的使用寿命和自洁性。</w:t>
                  </w:r>
                </w:p>
              </w:tc>
            </w:tr>
            <w:tr w14:paraId="28CC0D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4" w:type="pct"/>
                  <w:tcBorders>
                    <w:tl2br w:val="nil"/>
                    <w:tr2bl w:val="nil"/>
                  </w:tcBorders>
                  <w:noWrap w:val="0"/>
                  <w:vAlign w:val="center"/>
                </w:tcPr>
                <w:p w14:paraId="3D0BAFAC">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w:t>
                  </w:r>
                </w:p>
              </w:tc>
              <w:tc>
                <w:tcPr>
                  <w:tcW w:w="661" w:type="pct"/>
                  <w:tcBorders>
                    <w:tl2br w:val="nil"/>
                    <w:tr2bl w:val="nil"/>
                  </w:tcBorders>
                  <w:noWrap w:val="0"/>
                  <w:vAlign w:val="center"/>
                </w:tcPr>
                <w:p w14:paraId="652B0E3B">
                  <w:pPr>
                    <w:jc w:val="center"/>
                    <w:rPr>
                      <w:rFonts w:hint="eastAsia"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bidi="ar-SA"/>
                    </w:rPr>
                    <w:t>切削液</w:t>
                  </w:r>
                </w:p>
              </w:tc>
              <w:tc>
                <w:tcPr>
                  <w:tcW w:w="4074" w:type="pct"/>
                  <w:tcBorders>
                    <w:tl2br w:val="nil"/>
                    <w:tr2bl w:val="nil"/>
                  </w:tcBorders>
                  <w:noWrap w:val="0"/>
                  <w:vAlign w:val="center"/>
                </w:tcPr>
                <w:p w14:paraId="1B0864B6">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一种用在金属切削、磨加工过程中，用来冷却和润滑刀具和加工件的工业用液体，切削液由多种超强功能助剂经科学复合配合而成，同时具备良好的冷却性能、润滑性能、防锈性能、除油清洗功能、防腐功能、易稀释特点。其主要化学成分包括：矿物油、表面活性剂、防锈添加剂及防腐剂。</w:t>
                  </w:r>
                </w:p>
              </w:tc>
            </w:tr>
            <w:tr w14:paraId="7FD66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95" w:hRule="atLeast"/>
                <w:jc w:val="center"/>
              </w:trPr>
              <w:tc>
                <w:tcPr>
                  <w:tcW w:w="264" w:type="pct"/>
                  <w:tcBorders>
                    <w:tl2br w:val="nil"/>
                    <w:tr2bl w:val="nil"/>
                  </w:tcBorders>
                  <w:noWrap w:val="0"/>
                  <w:vAlign w:val="center"/>
                </w:tcPr>
                <w:p w14:paraId="35B83814">
                  <w:pPr>
                    <w:adjustRightInd w:val="0"/>
                    <w:snapToGrid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w:t>
                  </w:r>
                </w:p>
              </w:tc>
              <w:tc>
                <w:tcPr>
                  <w:tcW w:w="661" w:type="pct"/>
                  <w:tcBorders>
                    <w:tl2br w:val="nil"/>
                    <w:tr2bl w:val="nil"/>
                  </w:tcBorders>
                  <w:noWrap w:val="0"/>
                  <w:vAlign w:val="center"/>
                </w:tcPr>
                <w:p w14:paraId="1F1757F7">
                  <w:pPr>
                    <w:jc w:val="center"/>
                    <w:rPr>
                      <w:rFonts w:hint="default" w:ascii="Times New Roman" w:hAnsi="Times New Roman" w:eastAsia="宋体" w:cs="Times New Roman"/>
                      <w:color w:val="0000FF"/>
                      <w:kern w:val="0"/>
                      <w:sz w:val="21"/>
                      <w:szCs w:val="21"/>
                      <w:highlight w:val="none"/>
                      <w:lang w:val="en-US" w:eastAsia="zh-CN" w:bidi="ar-SA"/>
                    </w:rPr>
                  </w:pPr>
                  <w:r>
                    <w:rPr>
                      <w:rFonts w:hint="eastAsia" w:cs="Times New Roman"/>
                      <w:color w:val="0000FF"/>
                      <w:kern w:val="0"/>
                      <w:sz w:val="21"/>
                      <w:szCs w:val="21"/>
                      <w:highlight w:val="none"/>
                      <w:lang w:val="en-US" w:eastAsia="zh-CN" w:bidi="ar-SA"/>
                    </w:rPr>
                    <w:t>超声波</w:t>
                  </w:r>
                  <w:r>
                    <w:rPr>
                      <w:rFonts w:hint="eastAsia" w:ascii="Times New Roman" w:hAnsi="Times New Roman" w:eastAsia="宋体" w:cs="Times New Roman"/>
                      <w:color w:val="0000FF"/>
                      <w:kern w:val="0"/>
                      <w:sz w:val="21"/>
                      <w:szCs w:val="21"/>
                      <w:highlight w:val="none"/>
                      <w:lang w:val="en-US" w:eastAsia="zh-CN" w:bidi="ar-SA"/>
                    </w:rPr>
                    <w:t>清洗剂</w:t>
                  </w:r>
                </w:p>
              </w:tc>
              <w:tc>
                <w:tcPr>
                  <w:tcW w:w="4074" w:type="pct"/>
                  <w:tcBorders>
                    <w:tl2br w:val="nil"/>
                    <w:tr2bl w:val="nil"/>
                  </w:tcBorders>
                  <w:noWrap w:val="0"/>
                  <w:vAlign w:val="center"/>
                </w:tcPr>
                <w:p w14:paraId="43BC7FCD">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eastAsia" w:ascii="Times New Roman" w:hAnsi="Times New Roman" w:eastAsia="宋体" w:cs="Times New Roman"/>
                      <w:color w:val="0000FF"/>
                      <w:kern w:val="0"/>
                      <w:sz w:val="21"/>
                      <w:szCs w:val="21"/>
                      <w:highlight w:val="none"/>
                      <w:lang w:val="en-US" w:eastAsia="zh-CN" w:bidi="ar-SA"/>
                    </w:rPr>
                  </w:pPr>
                  <w:r>
                    <w:rPr>
                      <w:rFonts w:hint="eastAsia" w:ascii="Times New Roman" w:hAnsi="Times New Roman" w:eastAsia="宋体" w:cs="Times New Roman"/>
                      <w:color w:val="0000FF"/>
                      <w:kern w:val="0"/>
                      <w:sz w:val="21"/>
                      <w:szCs w:val="21"/>
                      <w:highlight w:val="none"/>
                      <w:lang w:val="en-US" w:eastAsia="zh-CN" w:bidi="ar-SA"/>
                    </w:rPr>
                    <w:t>超声波清洗剂具有可对各种制件的油污进行彻底清洗的功能。以独特的化学作用破坏各种润滑油脂的分子结构，从而达到迅速彻底地清除重油垢的目的。</w:t>
                  </w:r>
                  <w:r>
                    <w:rPr>
                      <w:rFonts w:hint="default" w:ascii="Times New Roman" w:hAnsi="Times New Roman" w:eastAsia="宋体" w:cs="Times New Roman"/>
                      <w:color w:val="0000FF"/>
                      <w:kern w:val="0"/>
                      <w:sz w:val="21"/>
                      <w:szCs w:val="21"/>
                      <w:highlight w:val="none"/>
                      <w:lang w:val="en-US" w:eastAsia="zh-CN" w:bidi="ar-SA"/>
                    </w:rPr>
                    <w:t>PH值：10.0～12.0；</w:t>
                  </w:r>
                </w:p>
                <w:p w14:paraId="7122D359">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default" w:ascii="Times New Roman" w:hAnsi="Times New Roman" w:eastAsia="宋体" w:cs="Times New Roman"/>
                      <w:color w:val="0000FF"/>
                      <w:kern w:val="0"/>
                      <w:sz w:val="21"/>
                      <w:szCs w:val="21"/>
                      <w:highlight w:val="none"/>
                      <w:lang w:val="en-US" w:eastAsia="zh-CN" w:bidi="ar-SA"/>
                    </w:rPr>
                  </w:pPr>
                  <w:r>
                    <w:rPr>
                      <w:rFonts w:hint="default" w:ascii="Times New Roman" w:hAnsi="Times New Roman" w:eastAsia="宋体" w:cs="Times New Roman"/>
                      <w:color w:val="0000FF"/>
                      <w:kern w:val="0"/>
                      <w:sz w:val="21"/>
                      <w:szCs w:val="21"/>
                      <w:highlight w:val="none"/>
                      <w:lang w:val="en-US" w:eastAsia="zh-CN" w:bidi="ar-SA"/>
                    </w:rPr>
                    <w:t>成份：多种</w:t>
                  </w:r>
                  <w:r>
                    <w:rPr>
                      <w:rFonts w:hint="default" w:ascii="Times New Roman" w:hAnsi="Times New Roman" w:eastAsia="宋体" w:cs="Times New Roman"/>
                      <w:color w:val="0000FF"/>
                      <w:kern w:val="0"/>
                      <w:sz w:val="21"/>
                      <w:szCs w:val="21"/>
                      <w:highlight w:val="none"/>
                      <w:lang w:val="en-US" w:eastAsia="zh-CN" w:bidi="ar-SA"/>
                    </w:rPr>
                    <w:fldChar w:fldCharType="begin"/>
                  </w:r>
                  <w:r>
                    <w:rPr>
                      <w:rFonts w:hint="default" w:ascii="Times New Roman" w:hAnsi="Times New Roman" w:eastAsia="宋体" w:cs="Times New Roman"/>
                      <w:color w:val="0000FF"/>
                      <w:kern w:val="0"/>
                      <w:sz w:val="21"/>
                      <w:szCs w:val="21"/>
                      <w:highlight w:val="none"/>
                      <w:lang w:val="en-US" w:eastAsia="zh-CN" w:bidi="ar-SA"/>
                    </w:rPr>
                    <w:instrText xml:space="preserve"> HYPERLINK "https://baike.baidu.com/item/%E8%A1%A8%E9%9D%A2%E6%B4%BB%E6%80%A7%E5%89%82/0?fromModule=lemma_inlink" \t "https://baike.baidu.com/item/%E8%B6%85%E5%A3%B0%E6%B3%A2%E6%B8%85%E6%B4%97%E5%89%82/_blank" </w:instrText>
                  </w:r>
                  <w:r>
                    <w:rPr>
                      <w:rFonts w:hint="default" w:ascii="Times New Roman" w:hAnsi="Times New Roman" w:eastAsia="宋体" w:cs="Times New Roman"/>
                      <w:color w:val="0000FF"/>
                      <w:kern w:val="0"/>
                      <w:sz w:val="21"/>
                      <w:szCs w:val="21"/>
                      <w:highlight w:val="none"/>
                      <w:lang w:val="en-US" w:eastAsia="zh-CN" w:bidi="ar-SA"/>
                    </w:rPr>
                    <w:fldChar w:fldCharType="separate"/>
                  </w:r>
                  <w:r>
                    <w:rPr>
                      <w:rFonts w:hint="default" w:ascii="Times New Roman" w:hAnsi="Times New Roman" w:eastAsia="宋体" w:cs="Times New Roman"/>
                      <w:color w:val="0000FF"/>
                      <w:kern w:val="0"/>
                      <w:sz w:val="21"/>
                      <w:szCs w:val="21"/>
                      <w:highlight w:val="none"/>
                      <w:lang w:val="en-US" w:eastAsia="zh-CN" w:bidi="ar-SA"/>
                    </w:rPr>
                    <w:t>表面活性剂</w:t>
                  </w:r>
                  <w:r>
                    <w:rPr>
                      <w:rFonts w:hint="default" w:ascii="Times New Roman" w:hAnsi="Times New Roman" w:eastAsia="宋体" w:cs="Times New Roman"/>
                      <w:color w:val="0000FF"/>
                      <w:kern w:val="0"/>
                      <w:sz w:val="21"/>
                      <w:szCs w:val="21"/>
                      <w:highlight w:val="none"/>
                      <w:lang w:val="en-US" w:eastAsia="zh-CN" w:bidi="ar-SA"/>
                    </w:rPr>
                    <w:fldChar w:fldCharType="end"/>
                  </w:r>
                  <w:r>
                    <w:rPr>
                      <w:rFonts w:hint="default" w:ascii="Times New Roman" w:hAnsi="Times New Roman" w:eastAsia="宋体" w:cs="Times New Roman"/>
                      <w:color w:val="0000FF"/>
                      <w:kern w:val="0"/>
                      <w:sz w:val="21"/>
                      <w:szCs w:val="21"/>
                      <w:highlight w:val="none"/>
                      <w:lang w:val="en-US" w:eastAsia="zh-CN" w:bidi="ar-SA"/>
                    </w:rPr>
                    <w:t>、渗透剂复配。</w:t>
                  </w:r>
                  <w:r>
                    <w:rPr>
                      <w:rFonts w:hint="eastAsia" w:ascii="Times New Roman" w:hAnsi="Times New Roman" w:eastAsia="宋体" w:cs="Times New Roman"/>
                      <w:color w:val="0000FF"/>
                      <w:kern w:val="0"/>
                      <w:sz w:val="21"/>
                      <w:szCs w:val="21"/>
                      <w:highlight w:val="none"/>
                      <w:lang w:val="en-US" w:eastAsia="zh-CN" w:bidi="ar-SA"/>
                    </w:rPr>
                    <w:t>成分检测报告见附件。</w:t>
                  </w:r>
                </w:p>
                <w:p w14:paraId="7233667D">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eastAsia" w:ascii="Times New Roman" w:hAnsi="Times New Roman" w:eastAsia="宋体" w:cs="Times New Roman"/>
                      <w:color w:val="0000FF"/>
                      <w:kern w:val="0"/>
                      <w:sz w:val="21"/>
                      <w:szCs w:val="21"/>
                      <w:highlight w:val="none"/>
                      <w:lang w:val="en-US" w:eastAsia="zh-CN" w:bidi="ar-SA"/>
                    </w:rPr>
                  </w:pPr>
                  <w:r>
                    <w:rPr>
                      <w:rFonts w:hint="default" w:ascii="Times New Roman" w:hAnsi="Times New Roman" w:eastAsia="宋体" w:cs="Times New Roman"/>
                      <w:color w:val="0000FF"/>
                      <w:kern w:val="0"/>
                      <w:sz w:val="21"/>
                      <w:szCs w:val="21"/>
                      <w:highlight w:val="none"/>
                      <w:lang w:val="en-US" w:eastAsia="zh-CN" w:bidi="ar-SA"/>
                    </w:rPr>
                    <w:t>不燃、无毒、无腐蚀，对皮肤无刺激，安全性好；易生物降解，环保产品；具有优越的清洗效果，并可根据不同清洗用途作不同比例稀释及采取不同清洗工艺；抗硬水性强。</w:t>
                  </w:r>
                </w:p>
              </w:tc>
            </w:tr>
          </w:tbl>
          <w:p w14:paraId="5292092A">
            <w:pPr>
              <w:pStyle w:val="13"/>
              <w:spacing w:before="157" w:beforeLines="50" w:after="0" w:line="360" w:lineRule="auto"/>
              <w:ind w:right="0" w:firstLine="482" w:firstLineChars="200"/>
              <w:rPr>
                <w:rFonts w:hint="eastAsia"/>
                <w:b/>
                <w:color w:val="0000FF"/>
                <w:sz w:val="24"/>
                <w:szCs w:val="24"/>
              </w:rPr>
            </w:pPr>
            <w:r>
              <w:rPr>
                <w:rFonts w:hint="eastAsia"/>
                <w:b/>
                <w:color w:val="0000FF"/>
                <w:sz w:val="24"/>
                <w:szCs w:val="24"/>
              </w:rPr>
              <w:t>油漆用量</w:t>
            </w:r>
            <w:r>
              <w:rPr>
                <w:rFonts w:hint="eastAsia"/>
                <w:b/>
                <w:color w:val="0000FF"/>
                <w:sz w:val="24"/>
                <w:szCs w:val="24"/>
                <w:lang w:val="en-US" w:eastAsia="zh-CN"/>
              </w:rPr>
              <w:t>合理性</w:t>
            </w:r>
            <w:r>
              <w:rPr>
                <w:rFonts w:hint="eastAsia"/>
                <w:b/>
                <w:color w:val="0000FF"/>
                <w:sz w:val="24"/>
                <w:szCs w:val="24"/>
              </w:rPr>
              <w:t>分析：</w:t>
            </w:r>
          </w:p>
          <w:p w14:paraId="610BB57D">
            <w:pPr>
              <w:pStyle w:val="13"/>
              <w:spacing w:before="0" w:after="0" w:line="360" w:lineRule="auto"/>
              <w:ind w:right="0" w:firstLine="480" w:firstLineChars="200"/>
              <w:rPr>
                <w:rFonts w:hint="eastAsia"/>
                <w:bCs/>
                <w:color w:val="0000FF"/>
                <w:sz w:val="24"/>
                <w:szCs w:val="24"/>
              </w:rPr>
            </w:pPr>
            <w:r>
              <w:rPr>
                <w:rFonts w:hint="eastAsia"/>
                <w:bCs/>
                <w:color w:val="0000FF"/>
                <w:sz w:val="24"/>
                <w:szCs w:val="24"/>
              </w:rPr>
              <w:t>项目年产</w:t>
            </w:r>
            <w:r>
              <w:rPr>
                <w:rFonts w:hint="eastAsia"/>
                <w:bCs/>
                <w:color w:val="0000FF"/>
                <w:sz w:val="24"/>
                <w:szCs w:val="24"/>
                <w:lang w:val="en-US" w:eastAsia="zh-CN"/>
              </w:rPr>
              <w:t>行星减速机100万台</w:t>
            </w:r>
            <w:r>
              <w:rPr>
                <w:rFonts w:hint="eastAsia"/>
                <w:bCs/>
                <w:color w:val="0000FF"/>
                <w:sz w:val="24"/>
                <w:szCs w:val="24"/>
              </w:rPr>
              <w:t>。</w:t>
            </w:r>
            <w:r>
              <w:rPr>
                <w:rFonts w:hint="eastAsia"/>
                <w:bCs/>
                <w:color w:val="0000FF"/>
                <w:sz w:val="24"/>
                <w:szCs w:val="24"/>
                <w:lang w:val="en-US" w:eastAsia="zh-CN"/>
              </w:rPr>
              <w:t>部分要求喷涂油漆，大约为50万台，</w:t>
            </w:r>
            <w:r>
              <w:rPr>
                <w:rFonts w:hint="eastAsia"/>
                <w:bCs/>
                <w:color w:val="0000FF"/>
                <w:sz w:val="24"/>
                <w:szCs w:val="24"/>
              </w:rPr>
              <w:t>每</w:t>
            </w:r>
            <w:r>
              <w:rPr>
                <w:rFonts w:hint="eastAsia"/>
                <w:bCs/>
                <w:color w:val="0000FF"/>
                <w:sz w:val="24"/>
                <w:szCs w:val="24"/>
                <w:lang w:val="en-US" w:eastAsia="zh-CN"/>
              </w:rPr>
              <w:t>台行星减速机</w:t>
            </w:r>
            <w:r>
              <w:rPr>
                <w:rFonts w:hint="eastAsia"/>
                <w:bCs/>
                <w:color w:val="0000FF"/>
                <w:sz w:val="24"/>
                <w:szCs w:val="24"/>
              </w:rPr>
              <w:t>平均喷涂面积约为0.</w:t>
            </w:r>
            <w:r>
              <w:rPr>
                <w:rFonts w:hint="eastAsia"/>
                <w:bCs/>
                <w:color w:val="0000FF"/>
                <w:sz w:val="24"/>
                <w:szCs w:val="24"/>
                <w:lang w:val="en-US" w:eastAsia="zh-CN"/>
              </w:rPr>
              <w:t>012</w:t>
            </w:r>
            <w:r>
              <w:rPr>
                <w:rFonts w:hint="eastAsia"/>
                <w:bCs/>
                <w:color w:val="0000FF"/>
                <w:sz w:val="24"/>
                <w:szCs w:val="24"/>
              </w:rPr>
              <w:t>m</w:t>
            </w:r>
            <w:r>
              <w:rPr>
                <w:rFonts w:hint="eastAsia"/>
                <w:bCs/>
                <w:color w:val="0000FF"/>
                <w:sz w:val="24"/>
                <w:szCs w:val="24"/>
                <w:vertAlign w:val="superscript"/>
              </w:rPr>
              <w:t>2</w:t>
            </w:r>
            <w:r>
              <w:rPr>
                <w:rFonts w:hint="eastAsia"/>
                <w:bCs/>
                <w:color w:val="0000FF"/>
                <w:sz w:val="24"/>
                <w:szCs w:val="24"/>
              </w:rPr>
              <w:t>，故喷涂面积共约</w:t>
            </w:r>
            <w:r>
              <w:rPr>
                <w:rFonts w:hint="eastAsia"/>
                <w:bCs/>
                <w:color w:val="0000FF"/>
                <w:sz w:val="24"/>
                <w:szCs w:val="24"/>
                <w:lang w:val="en-US" w:eastAsia="zh-CN"/>
              </w:rPr>
              <w:t>60</w:t>
            </w:r>
            <w:r>
              <w:rPr>
                <w:rFonts w:hint="eastAsia"/>
                <w:bCs/>
                <w:color w:val="0000FF"/>
                <w:sz w:val="24"/>
                <w:szCs w:val="24"/>
              </w:rPr>
              <w:t>00m</w:t>
            </w:r>
            <w:r>
              <w:rPr>
                <w:rFonts w:hint="eastAsia"/>
                <w:bCs/>
                <w:color w:val="0000FF"/>
                <w:sz w:val="24"/>
                <w:szCs w:val="24"/>
                <w:vertAlign w:val="superscript"/>
              </w:rPr>
              <w:t>2</w:t>
            </w:r>
            <w:r>
              <w:rPr>
                <w:rFonts w:hint="eastAsia"/>
                <w:bCs/>
                <w:color w:val="0000FF"/>
                <w:sz w:val="24"/>
                <w:szCs w:val="24"/>
              </w:rPr>
              <w:t>。具体喷涂面积和油漆用量核算见表2-6。</w:t>
            </w:r>
          </w:p>
          <w:p w14:paraId="233BA18F">
            <w:pPr>
              <w:keepNext w:val="0"/>
              <w:keepLines w:val="0"/>
              <w:pageBreakBefore w:val="0"/>
              <w:widowControl w:val="0"/>
              <w:numPr>
                <w:ilvl w:val="0"/>
                <w:numId w:val="7"/>
              </w:numPr>
              <w:kinsoku/>
              <w:wordWrap/>
              <w:overflowPunct/>
              <w:topLinePunct w:val="0"/>
              <w:autoSpaceDE/>
              <w:autoSpaceDN/>
              <w:bidi w:val="0"/>
              <w:adjustRightInd/>
              <w:snapToGrid/>
              <w:spacing w:before="0" w:beforeLines="0" w:line="240" w:lineRule="auto"/>
              <w:ind w:left="0" w:leftChars="0" w:firstLine="0" w:firstLineChars="0"/>
              <w:jc w:val="center"/>
              <w:textAlignment w:val="auto"/>
              <w:rPr>
                <w:rFonts w:hint="default" w:ascii="Times New Roman" w:hAnsi="Times New Roman" w:eastAsia="宋体" w:cs="Times New Roman"/>
                <w:b/>
                <w:bCs/>
                <w:color w:val="0000FF"/>
                <w:sz w:val="21"/>
                <w:szCs w:val="21"/>
                <w:highlight w:val="none"/>
                <w:lang w:val="en-US" w:eastAsia="zh-CN"/>
              </w:rPr>
            </w:pPr>
            <w:r>
              <w:rPr>
                <w:rFonts w:hint="eastAsia" w:ascii="Times New Roman" w:hAnsi="Times New Roman" w:eastAsia="宋体" w:cs="Times New Roman"/>
                <w:b/>
                <w:bCs/>
                <w:color w:val="0000FF"/>
                <w:sz w:val="21"/>
                <w:szCs w:val="21"/>
                <w:highlight w:val="none"/>
                <w:lang w:val="en-US" w:eastAsia="zh-CN"/>
              </w:rPr>
              <w:t>油漆使用情况一览表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89"/>
              <w:gridCol w:w="989"/>
              <w:gridCol w:w="1126"/>
              <w:gridCol w:w="909"/>
              <w:gridCol w:w="986"/>
              <w:gridCol w:w="987"/>
              <w:gridCol w:w="988"/>
            </w:tblGrid>
            <w:tr w14:paraId="14340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shd w:val="clear" w:color="auto" w:fill="auto"/>
                  <w:noWrap w:val="0"/>
                  <w:vAlign w:val="center"/>
                </w:tcPr>
                <w:p w14:paraId="1F6CDA61">
                  <w:pPr>
                    <w:adjustRightInd w:val="0"/>
                    <w:snapToGrid w:val="0"/>
                    <w:jc w:val="center"/>
                    <w:textAlignment w:val="baseline"/>
                    <w:rPr>
                      <w:rFonts w:hint="eastAsia"/>
                      <w:bCs/>
                      <w:color w:val="0000FF"/>
                      <w:szCs w:val="21"/>
                    </w:rPr>
                  </w:pPr>
                  <w:r>
                    <w:rPr>
                      <w:rFonts w:hint="eastAsia"/>
                      <w:bCs/>
                      <w:color w:val="0000FF"/>
                      <w:szCs w:val="21"/>
                    </w:rPr>
                    <w:t>名称</w:t>
                  </w:r>
                </w:p>
              </w:tc>
              <w:tc>
                <w:tcPr>
                  <w:tcW w:w="993" w:type="dxa"/>
                  <w:shd w:val="clear" w:color="auto" w:fill="auto"/>
                  <w:noWrap w:val="0"/>
                  <w:vAlign w:val="center"/>
                </w:tcPr>
                <w:p w14:paraId="0D65C6FC">
                  <w:pPr>
                    <w:adjustRightInd w:val="0"/>
                    <w:snapToGrid w:val="0"/>
                    <w:jc w:val="center"/>
                    <w:textAlignment w:val="baseline"/>
                    <w:rPr>
                      <w:rFonts w:hint="eastAsia"/>
                      <w:bCs/>
                      <w:color w:val="0000FF"/>
                      <w:szCs w:val="21"/>
                    </w:rPr>
                  </w:pPr>
                  <w:r>
                    <w:rPr>
                      <w:rFonts w:hint="eastAsia"/>
                      <w:bCs/>
                      <w:color w:val="0000FF"/>
                      <w:szCs w:val="21"/>
                    </w:rPr>
                    <w:t>喷漆面积（m</w:t>
                  </w:r>
                  <w:r>
                    <w:rPr>
                      <w:rFonts w:hint="eastAsia"/>
                      <w:bCs/>
                      <w:color w:val="0000FF"/>
                      <w:szCs w:val="21"/>
                      <w:vertAlign w:val="superscript"/>
                    </w:rPr>
                    <w:t>2</w:t>
                  </w:r>
                  <w:r>
                    <w:rPr>
                      <w:rFonts w:hint="eastAsia"/>
                      <w:bCs/>
                      <w:color w:val="0000FF"/>
                      <w:szCs w:val="21"/>
                    </w:rPr>
                    <w:t>）</w:t>
                  </w:r>
                </w:p>
              </w:tc>
              <w:tc>
                <w:tcPr>
                  <w:tcW w:w="993" w:type="dxa"/>
                  <w:shd w:val="clear" w:color="auto" w:fill="auto"/>
                  <w:noWrap w:val="0"/>
                  <w:vAlign w:val="center"/>
                </w:tcPr>
                <w:p w14:paraId="00DCF7EE">
                  <w:pPr>
                    <w:adjustRightInd w:val="0"/>
                    <w:snapToGrid w:val="0"/>
                    <w:jc w:val="center"/>
                    <w:textAlignment w:val="baseline"/>
                    <w:rPr>
                      <w:rFonts w:hint="eastAsia"/>
                      <w:bCs/>
                      <w:color w:val="0000FF"/>
                      <w:szCs w:val="21"/>
                    </w:rPr>
                  </w:pPr>
                  <w:r>
                    <w:rPr>
                      <w:rFonts w:hint="eastAsia"/>
                      <w:bCs/>
                      <w:color w:val="0000FF"/>
                      <w:szCs w:val="21"/>
                    </w:rPr>
                    <w:t>漆膜总厚度（cm）</w:t>
                  </w:r>
                </w:p>
              </w:tc>
              <w:tc>
                <w:tcPr>
                  <w:tcW w:w="1074" w:type="dxa"/>
                  <w:shd w:val="clear" w:color="auto" w:fill="auto"/>
                  <w:noWrap w:val="0"/>
                  <w:vAlign w:val="center"/>
                </w:tcPr>
                <w:p w14:paraId="5E206F1A">
                  <w:pPr>
                    <w:adjustRightInd w:val="0"/>
                    <w:snapToGrid w:val="0"/>
                    <w:jc w:val="center"/>
                    <w:textAlignment w:val="baseline"/>
                    <w:rPr>
                      <w:rFonts w:hint="eastAsia"/>
                      <w:bCs/>
                      <w:color w:val="0000FF"/>
                      <w:szCs w:val="21"/>
                    </w:rPr>
                  </w:pPr>
                  <w:r>
                    <w:rPr>
                      <w:rFonts w:hint="eastAsia"/>
                      <w:bCs/>
                      <w:color w:val="0000FF"/>
                      <w:szCs w:val="21"/>
                    </w:rPr>
                    <w:t>密度（g/cm</w:t>
                  </w:r>
                  <w:r>
                    <w:rPr>
                      <w:rFonts w:hint="eastAsia"/>
                      <w:bCs/>
                      <w:color w:val="0000FF"/>
                      <w:szCs w:val="21"/>
                      <w:vertAlign w:val="superscript"/>
                    </w:rPr>
                    <w:t>3</w:t>
                  </w:r>
                  <w:r>
                    <w:rPr>
                      <w:rFonts w:hint="eastAsia"/>
                      <w:bCs/>
                      <w:color w:val="0000FF"/>
                      <w:szCs w:val="21"/>
                    </w:rPr>
                    <w:t>）</w:t>
                  </w:r>
                </w:p>
              </w:tc>
              <w:tc>
                <w:tcPr>
                  <w:tcW w:w="912" w:type="dxa"/>
                  <w:shd w:val="clear" w:color="auto" w:fill="auto"/>
                  <w:noWrap w:val="0"/>
                  <w:vAlign w:val="center"/>
                </w:tcPr>
                <w:p w14:paraId="4B19F7F0">
                  <w:pPr>
                    <w:adjustRightInd w:val="0"/>
                    <w:snapToGrid w:val="0"/>
                    <w:jc w:val="center"/>
                    <w:textAlignment w:val="baseline"/>
                    <w:rPr>
                      <w:rFonts w:hint="eastAsia"/>
                      <w:bCs/>
                      <w:color w:val="0000FF"/>
                      <w:szCs w:val="21"/>
                    </w:rPr>
                  </w:pPr>
                  <w:r>
                    <w:rPr>
                      <w:rFonts w:hint="eastAsia"/>
                      <w:bCs/>
                      <w:color w:val="0000FF"/>
                      <w:szCs w:val="21"/>
                    </w:rPr>
                    <w:t>漆膜量（t/a）</w:t>
                  </w:r>
                </w:p>
              </w:tc>
              <w:tc>
                <w:tcPr>
                  <w:tcW w:w="993" w:type="dxa"/>
                  <w:shd w:val="clear" w:color="auto" w:fill="auto"/>
                  <w:noWrap w:val="0"/>
                  <w:vAlign w:val="center"/>
                </w:tcPr>
                <w:p w14:paraId="60F0FF8A">
                  <w:pPr>
                    <w:adjustRightInd w:val="0"/>
                    <w:snapToGrid w:val="0"/>
                    <w:jc w:val="center"/>
                    <w:textAlignment w:val="baseline"/>
                    <w:rPr>
                      <w:rFonts w:hint="eastAsia"/>
                      <w:bCs/>
                      <w:color w:val="0000FF"/>
                      <w:szCs w:val="21"/>
                    </w:rPr>
                  </w:pPr>
                  <w:r>
                    <w:rPr>
                      <w:rFonts w:hint="eastAsia"/>
                      <w:bCs/>
                      <w:color w:val="0000FF"/>
                      <w:szCs w:val="21"/>
                    </w:rPr>
                    <w:t>上漆率（%）</w:t>
                  </w:r>
                </w:p>
              </w:tc>
              <w:tc>
                <w:tcPr>
                  <w:tcW w:w="994" w:type="dxa"/>
                  <w:shd w:val="clear" w:color="auto" w:fill="auto"/>
                  <w:noWrap w:val="0"/>
                  <w:vAlign w:val="center"/>
                </w:tcPr>
                <w:p w14:paraId="785E99D9">
                  <w:pPr>
                    <w:adjustRightInd w:val="0"/>
                    <w:snapToGrid w:val="0"/>
                    <w:jc w:val="center"/>
                    <w:textAlignment w:val="baseline"/>
                    <w:rPr>
                      <w:rFonts w:hint="eastAsia"/>
                      <w:bCs/>
                      <w:color w:val="0000FF"/>
                      <w:szCs w:val="21"/>
                    </w:rPr>
                  </w:pPr>
                  <w:r>
                    <w:rPr>
                      <w:rFonts w:hint="eastAsia"/>
                      <w:bCs/>
                      <w:color w:val="0000FF"/>
                      <w:szCs w:val="21"/>
                    </w:rPr>
                    <w:t>漆中固分含量比（%）</w:t>
                  </w:r>
                </w:p>
              </w:tc>
              <w:tc>
                <w:tcPr>
                  <w:tcW w:w="994" w:type="dxa"/>
                  <w:shd w:val="clear" w:color="auto" w:fill="auto"/>
                  <w:noWrap w:val="0"/>
                  <w:vAlign w:val="center"/>
                </w:tcPr>
                <w:p w14:paraId="54CBF80C">
                  <w:pPr>
                    <w:adjustRightInd w:val="0"/>
                    <w:snapToGrid w:val="0"/>
                    <w:jc w:val="center"/>
                    <w:textAlignment w:val="baseline"/>
                    <w:rPr>
                      <w:rFonts w:hint="eastAsia"/>
                      <w:bCs/>
                      <w:color w:val="0000FF"/>
                      <w:szCs w:val="21"/>
                    </w:rPr>
                  </w:pPr>
                  <w:r>
                    <w:rPr>
                      <w:rFonts w:hint="eastAsia"/>
                      <w:bCs/>
                      <w:color w:val="0000FF"/>
                      <w:szCs w:val="21"/>
                    </w:rPr>
                    <w:t>漆用量（t/a）</w:t>
                  </w:r>
                </w:p>
              </w:tc>
            </w:tr>
            <w:tr w14:paraId="7B17D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992" w:type="dxa"/>
                  <w:shd w:val="clear" w:color="auto" w:fill="auto"/>
                  <w:noWrap w:val="0"/>
                  <w:vAlign w:val="center"/>
                </w:tcPr>
                <w:p w14:paraId="44E2D3B5">
                  <w:pPr>
                    <w:spacing w:line="360" w:lineRule="auto"/>
                    <w:jc w:val="center"/>
                    <w:textAlignment w:val="baseline"/>
                    <w:rPr>
                      <w:rFonts w:hint="eastAsia"/>
                      <w:bCs/>
                      <w:color w:val="0000FF"/>
                      <w:szCs w:val="21"/>
                    </w:rPr>
                  </w:pPr>
                  <w:r>
                    <w:rPr>
                      <w:rFonts w:hint="eastAsia"/>
                      <w:bCs/>
                      <w:color w:val="0000FF"/>
                      <w:szCs w:val="21"/>
                    </w:rPr>
                    <w:t>油漆</w:t>
                  </w:r>
                </w:p>
              </w:tc>
              <w:tc>
                <w:tcPr>
                  <w:tcW w:w="993" w:type="dxa"/>
                  <w:shd w:val="clear" w:color="auto" w:fill="auto"/>
                  <w:noWrap w:val="0"/>
                  <w:vAlign w:val="center"/>
                </w:tcPr>
                <w:p w14:paraId="370D8FAF">
                  <w:pPr>
                    <w:spacing w:line="360" w:lineRule="auto"/>
                    <w:jc w:val="center"/>
                    <w:textAlignment w:val="baseline"/>
                    <w:rPr>
                      <w:bCs/>
                      <w:color w:val="0000FF"/>
                      <w:szCs w:val="21"/>
                    </w:rPr>
                  </w:pPr>
                  <w:r>
                    <w:rPr>
                      <w:rFonts w:hint="eastAsia"/>
                      <w:bCs/>
                      <w:color w:val="0000FF"/>
                      <w:szCs w:val="21"/>
                      <w:lang w:val="en-US" w:eastAsia="zh-CN"/>
                    </w:rPr>
                    <w:t>60</w:t>
                  </w:r>
                  <w:r>
                    <w:rPr>
                      <w:rFonts w:hint="eastAsia"/>
                      <w:bCs/>
                      <w:color w:val="0000FF"/>
                      <w:szCs w:val="21"/>
                    </w:rPr>
                    <w:t>00</w:t>
                  </w:r>
                </w:p>
              </w:tc>
              <w:tc>
                <w:tcPr>
                  <w:tcW w:w="993" w:type="dxa"/>
                  <w:shd w:val="clear" w:color="auto" w:fill="auto"/>
                  <w:noWrap w:val="0"/>
                  <w:vAlign w:val="center"/>
                </w:tcPr>
                <w:p w14:paraId="26FF7443">
                  <w:pPr>
                    <w:spacing w:line="360" w:lineRule="auto"/>
                    <w:jc w:val="center"/>
                    <w:textAlignment w:val="baseline"/>
                    <w:rPr>
                      <w:bCs/>
                      <w:color w:val="0000FF"/>
                      <w:szCs w:val="21"/>
                    </w:rPr>
                  </w:pPr>
                  <w:r>
                    <w:rPr>
                      <w:rFonts w:hint="eastAsia"/>
                      <w:bCs/>
                      <w:color w:val="0000FF"/>
                      <w:szCs w:val="21"/>
                    </w:rPr>
                    <w:t>0.01</w:t>
                  </w:r>
                </w:p>
              </w:tc>
              <w:tc>
                <w:tcPr>
                  <w:tcW w:w="1074" w:type="dxa"/>
                  <w:shd w:val="clear" w:color="auto" w:fill="auto"/>
                  <w:noWrap w:val="0"/>
                  <w:vAlign w:val="center"/>
                </w:tcPr>
                <w:p w14:paraId="6466BAE8">
                  <w:pPr>
                    <w:spacing w:line="360" w:lineRule="auto"/>
                    <w:jc w:val="center"/>
                    <w:textAlignment w:val="baseline"/>
                    <w:rPr>
                      <w:bCs/>
                      <w:color w:val="0000FF"/>
                      <w:szCs w:val="21"/>
                    </w:rPr>
                  </w:pPr>
                  <w:r>
                    <w:rPr>
                      <w:rFonts w:hint="eastAsia"/>
                      <w:bCs/>
                      <w:color w:val="0000FF"/>
                      <w:szCs w:val="21"/>
                    </w:rPr>
                    <w:t>0.82</w:t>
                  </w:r>
                </w:p>
              </w:tc>
              <w:tc>
                <w:tcPr>
                  <w:tcW w:w="912" w:type="dxa"/>
                  <w:shd w:val="clear" w:color="auto" w:fill="auto"/>
                  <w:noWrap w:val="0"/>
                  <w:vAlign w:val="center"/>
                </w:tcPr>
                <w:p w14:paraId="568AD299">
                  <w:pPr>
                    <w:spacing w:line="360" w:lineRule="auto"/>
                    <w:jc w:val="center"/>
                    <w:textAlignment w:val="baseline"/>
                    <w:rPr>
                      <w:rFonts w:hint="default" w:eastAsia="宋体"/>
                      <w:bCs/>
                      <w:color w:val="0000FF"/>
                      <w:szCs w:val="21"/>
                      <w:lang w:val="en-US" w:eastAsia="zh-CN"/>
                    </w:rPr>
                  </w:pPr>
                  <w:r>
                    <w:rPr>
                      <w:rFonts w:hint="eastAsia"/>
                      <w:bCs/>
                      <w:color w:val="0000FF"/>
                      <w:szCs w:val="21"/>
                    </w:rPr>
                    <w:t>0.</w:t>
                  </w:r>
                  <w:r>
                    <w:rPr>
                      <w:rFonts w:hint="eastAsia"/>
                      <w:bCs/>
                      <w:color w:val="0000FF"/>
                      <w:szCs w:val="21"/>
                      <w:lang w:val="en-US" w:eastAsia="zh-CN"/>
                    </w:rPr>
                    <w:t>492</w:t>
                  </w:r>
                </w:p>
              </w:tc>
              <w:tc>
                <w:tcPr>
                  <w:tcW w:w="993" w:type="dxa"/>
                  <w:shd w:val="clear" w:color="auto" w:fill="auto"/>
                  <w:noWrap w:val="0"/>
                  <w:vAlign w:val="center"/>
                </w:tcPr>
                <w:p w14:paraId="68B47D2A">
                  <w:pPr>
                    <w:spacing w:line="360" w:lineRule="auto"/>
                    <w:jc w:val="center"/>
                    <w:textAlignment w:val="baseline"/>
                    <w:rPr>
                      <w:rFonts w:hint="default" w:eastAsia="宋体"/>
                      <w:bCs/>
                      <w:color w:val="0000FF"/>
                      <w:szCs w:val="21"/>
                      <w:lang w:val="en-US" w:eastAsia="zh-CN"/>
                    </w:rPr>
                  </w:pPr>
                  <w:r>
                    <w:rPr>
                      <w:rFonts w:hint="eastAsia"/>
                      <w:bCs/>
                      <w:color w:val="0000FF"/>
                      <w:szCs w:val="21"/>
                      <w:lang w:val="en-US" w:eastAsia="zh-CN"/>
                    </w:rPr>
                    <w:t>80</w:t>
                  </w:r>
                </w:p>
              </w:tc>
              <w:tc>
                <w:tcPr>
                  <w:tcW w:w="994" w:type="dxa"/>
                  <w:shd w:val="clear" w:color="auto" w:fill="auto"/>
                  <w:noWrap w:val="0"/>
                  <w:vAlign w:val="center"/>
                </w:tcPr>
                <w:p w14:paraId="3CB5C2E6">
                  <w:pPr>
                    <w:spacing w:line="360" w:lineRule="auto"/>
                    <w:jc w:val="center"/>
                    <w:textAlignment w:val="baseline"/>
                    <w:rPr>
                      <w:rFonts w:hint="default" w:eastAsia="宋体"/>
                      <w:bCs/>
                      <w:color w:val="0000FF"/>
                      <w:szCs w:val="21"/>
                      <w:lang w:val="en-US" w:eastAsia="zh-CN"/>
                    </w:rPr>
                  </w:pPr>
                  <w:r>
                    <w:rPr>
                      <w:rFonts w:hint="eastAsia"/>
                      <w:bCs/>
                      <w:color w:val="0000FF"/>
                      <w:szCs w:val="21"/>
                      <w:lang w:val="en-US" w:eastAsia="zh-CN"/>
                    </w:rPr>
                    <w:t>67.7</w:t>
                  </w:r>
                </w:p>
              </w:tc>
              <w:tc>
                <w:tcPr>
                  <w:tcW w:w="994" w:type="dxa"/>
                  <w:shd w:val="clear" w:color="auto" w:fill="auto"/>
                  <w:noWrap w:val="0"/>
                  <w:vAlign w:val="center"/>
                </w:tcPr>
                <w:p w14:paraId="4FF0DA9A">
                  <w:pPr>
                    <w:spacing w:line="360" w:lineRule="auto"/>
                    <w:jc w:val="center"/>
                    <w:textAlignment w:val="baseline"/>
                    <w:rPr>
                      <w:rFonts w:hint="default" w:eastAsia="宋体"/>
                      <w:bCs/>
                      <w:color w:val="0000FF"/>
                      <w:szCs w:val="21"/>
                      <w:lang w:val="en-US" w:eastAsia="zh-CN"/>
                    </w:rPr>
                  </w:pPr>
                  <w:r>
                    <w:rPr>
                      <w:rFonts w:hint="eastAsia"/>
                      <w:bCs/>
                      <w:color w:val="0000FF"/>
                      <w:szCs w:val="21"/>
                      <w:lang w:val="en-US" w:eastAsia="zh-CN"/>
                    </w:rPr>
                    <w:t>0.908</w:t>
                  </w:r>
                </w:p>
              </w:tc>
            </w:tr>
          </w:tbl>
          <w:p w14:paraId="2E738C16">
            <w:pPr>
              <w:keepNext w:val="0"/>
              <w:keepLines w:val="0"/>
              <w:pageBreakBefore w:val="0"/>
              <w:widowControl w:val="0"/>
              <w:numPr>
                <w:ilvl w:val="0"/>
                <w:numId w:val="0"/>
              </w:numPr>
              <w:kinsoku/>
              <w:wordWrap/>
              <w:overflowPunct/>
              <w:topLinePunct w:val="0"/>
              <w:autoSpaceDE w:val="0"/>
              <w:autoSpaceDN w:val="0"/>
              <w:bidi w:val="0"/>
              <w:adjustRightInd/>
              <w:snapToGrid/>
              <w:spacing w:before="157" w:beforeLines="50" w:after="0" w:line="360" w:lineRule="auto"/>
              <w:ind w:right="0" w:rightChars="0" w:firstLine="480" w:firstLineChars="200"/>
              <w:jc w:val="left"/>
              <w:textAlignment w:val="auto"/>
              <w:rPr>
                <w:rFonts w:hint="eastAsia"/>
                <w:bCs/>
                <w:color w:val="0000FF"/>
                <w:sz w:val="24"/>
                <w:szCs w:val="24"/>
              </w:rPr>
            </w:pPr>
            <w:r>
              <w:rPr>
                <w:rFonts w:hint="eastAsia"/>
                <w:bCs/>
                <w:color w:val="0000FF"/>
                <w:sz w:val="24"/>
                <w:szCs w:val="24"/>
              </w:rPr>
              <w:t>经计算本项油漆量为</w:t>
            </w:r>
            <w:r>
              <w:rPr>
                <w:rFonts w:hint="eastAsia"/>
                <w:bCs/>
                <w:color w:val="0000FF"/>
                <w:sz w:val="24"/>
                <w:szCs w:val="24"/>
                <w:highlight w:val="none"/>
                <w:lang w:val="en-US" w:eastAsia="zh-CN"/>
              </w:rPr>
              <w:t>0.908</w:t>
            </w:r>
            <w:r>
              <w:rPr>
                <w:rFonts w:hint="eastAsia"/>
                <w:bCs/>
                <w:color w:val="0000FF"/>
                <w:sz w:val="24"/>
                <w:szCs w:val="24"/>
              </w:rPr>
              <w:t>t/a</w:t>
            </w:r>
            <w:r>
              <w:rPr>
                <w:rFonts w:hint="eastAsia"/>
                <w:bCs/>
                <w:color w:val="0000FF"/>
                <w:sz w:val="24"/>
                <w:szCs w:val="24"/>
                <w:lang w:eastAsia="zh-CN"/>
              </w:rPr>
              <w:t>（</w:t>
            </w:r>
            <w:r>
              <w:rPr>
                <w:rFonts w:hint="eastAsia"/>
                <w:bCs/>
                <w:color w:val="0000FF"/>
                <w:sz w:val="24"/>
                <w:szCs w:val="24"/>
                <w:lang w:val="en-US" w:eastAsia="zh-CN"/>
              </w:rPr>
              <w:t>包含稀释剂</w:t>
            </w:r>
            <w:r>
              <w:rPr>
                <w:rFonts w:hint="eastAsia"/>
                <w:bCs/>
                <w:color w:val="0000FF"/>
                <w:sz w:val="24"/>
                <w:szCs w:val="24"/>
                <w:lang w:eastAsia="zh-CN"/>
              </w:rPr>
              <w:t>）</w:t>
            </w:r>
            <w:r>
              <w:rPr>
                <w:rFonts w:hint="eastAsia"/>
                <w:bCs/>
                <w:color w:val="0000FF"/>
                <w:sz w:val="24"/>
                <w:szCs w:val="24"/>
              </w:rPr>
              <w:t>，油漆与稀释剂调配比例为</w:t>
            </w:r>
            <w:r>
              <w:rPr>
                <w:rFonts w:hint="eastAsia"/>
                <w:bCs/>
                <w:color w:val="0000FF"/>
                <w:sz w:val="24"/>
                <w:szCs w:val="24"/>
                <w:lang w:val="en-US" w:eastAsia="zh-CN"/>
              </w:rPr>
              <w:t>5</w:t>
            </w:r>
            <w:r>
              <w:rPr>
                <w:rFonts w:hint="eastAsia"/>
                <w:bCs/>
                <w:color w:val="0000FF"/>
                <w:sz w:val="24"/>
                <w:szCs w:val="24"/>
              </w:rPr>
              <w:t>:1，稀释剂用量为0.</w:t>
            </w:r>
            <w:r>
              <w:rPr>
                <w:rFonts w:hint="eastAsia"/>
                <w:bCs/>
                <w:color w:val="0000FF"/>
                <w:sz w:val="24"/>
                <w:szCs w:val="24"/>
                <w:lang w:val="en-US" w:eastAsia="zh-CN"/>
              </w:rPr>
              <w:t>182</w:t>
            </w:r>
            <w:r>
              <w:rPr>
                <w:rFonts w:hint="eastAsia"/>
                <w:bCs/>
                <w:color w:val="0000FF"/>
                <w:sz w:val="24"/>
                <w:szCs w:val="24"/>
              </w:rPr>
              <w:t>t/a。</w:t>
            </w:r>
          </w:p>
          <w:p w14:paraId="082578A4">
            <w:pPr>
              <w:pStyle w:val="13"/>
              <w:keepNext w:val="0"/>
              <w:keepLines w:val="0"/>
              <w:pageBreakBefore w:val="0"/>
              <w:widowControl w:val="0"/>
              <w:kinsoku/>
              <w:wordWrap/>
              <w:overflowPunct/>
              <w:topLinePunct w:val="0"/>
              <w:autoSpaceDE/>
              <w:autoSpaceDN/>
              <w:bidi w:val="0"/>
              <w:adjustRightInd/>
              <w:snapToGrid/>
              <w:spacing w:before="0" w:beforeLines="0" w:after="0" w:line="360" w:lineRule="auto"/>
              <w:ind w:right="0" w:rightChars="0" w:firstLine="480" w:firstLineChars="200"/>
              <w:jc w:val="left"/>
              <w:textAlignment w:val="auto"/>
              <w:rPr>
                <w:rFonts w:hint="eastAsia" w:ascii="Times New Roman" w:hAnsi="Times New Roman" w:eastAsia="宋体" w:cs="Times New Roman"/>
                <w:bCs/>
                <w:color w:val="0000FF"/>
                <w:sz w:val="24"/>
                <w:szCs w:val="24"/>
                <w:lang w:val="en-US" w:eastAsia="zh-CN"/>
              </w:rPr>
            </w:pPr>
            <w:r>
              <w:rPr>
                <w:rFonts w:hint="eastAsia" w:ascii="Times New Roman" w:hAnsi="Times New Roman" w:eastAsia="宋体" w:cs="Times New Roman"/>
                <w:bCs/>
                <w:color w:val="0000FF"/>
                <w:sz w:val="24"/>
                <w:szCs w:val="24"/>
                <w:lang w:val="en-US" w:eastAsia="zh-CN"/>
              </w:rPr>
              <w:t>本项目设置油漆用量为1.0t/a，稀释剂用量为0.2t/a，设置</w:t>
            </w:r>
            <w:r>
              <w:rPr>
                <w:rFonts w:hint="eastAsia" w:ascii="Times New Roman" w:hAnsi="Times New Roman" w:eastAsia="宋体" w:cs="Times New Roman"/>
                <w:bCs/>
                <w:color w:val="0000FF"/>
                <w:kern w:val="0"/>
                <w:sz w:val="24"/>
                <w:szCs w:val="24"/>
                <w:lang w:val="en-US" w:eastAsia="zh-CN" w:bidi="ar-SA"/>
              </w:rPr>
              <w:t>合理。</w:t>
            </w:r>
          </w:p>
          <w:p w14:paraId="055D169F">
            <w:pPr>
              <w:keepNext w:val="0"/>
              <w:keepLines w:val="0"/>
              <w:pageBreakBefore w:val="0"/>
              <w:widowControl w:val="0"/>
              <w:numPr>
                <w:ilvl w:val="0"/>
                <w:numId w:val="0"/>
              </w:numPr>
              <w:kinsoku/>
              <w:wordWrap/>
              <w:overflowPunct/>
              <w:topLinePunct w:val="0"/>
              <w:autoSpaceDE w:val="0"/>
              <w:autoSpaceDN w:val="0"/>
              <w:bidi w:val="0"/>
              <w:adjustRightInd/>
              <w:snapToGrid/>
              <w:spacing w:before="157" w:beforeLines="50" w:after="0" w:line="360" w:lineRule="auto"/>
              <w:ind w:right="0" w:rightChars="0" w:firstLine="482" w:firstLineChars="200"/>
              <w:jc w:val="left"/>
              <w:textAlignment w:val="auto"/>
              <w:rPr>
                <w:rFonts w:hint="default" w:ascii="Times New Roman" w:hAnsi="Times New Roman" w:eastAsia="宋体" w:cs="Times New Roman"/>
                <w:b/>
                <w:bCs/>
                <w:color w:val="auto"/>
                <w:sz w:val="24"/>
                <w:szCs w:val="24"/>
                <w:highlight w:val="none"/>
                <w:lang w:val="en-US" w:eastAsia="zh-CN" w:bidi="zh-CN"/>
              </w:rPr>
            </w:pPr>
            <w:r>
              <w:rPr>
                <w:rFonts w:hint="eastAsia" w:ascii="Times New Roman" w:hAnsi="Times New Roman" w:eastAsia="宋体" w:cs="Times New Roman"/>
                <w:b/>
                <w:bCs/>
                <w:color w:val="auto"/>
                <w:sz w:val="24"/>
                <w:szCs w:val="24"/>
                <w:highlight w:val="none"/>
                <w:lang w:val="en-US" w:eastAsia="zh-CN" w:bidi="zh-CN"/>
              </w:rPr>
              <w:t>6</w:t>
            </w:r>
            <w:r>
              <w:rPr>
                <w:rFonts w:hint="default" w:ascii="Times New Roman" w:hAnsi="Times New Roman" w:eastAsia="宋体" w:cs="Times New Roman"/>
                <w:b/>
                <w:bCs/>
                <w:color w:val="auto"/>
                <w:sz w:val="24"/>
                <w:szCs w:val="24"/>
                <w:highlight w:val="none"/>
                <w:lang w:val="en-US" w:eastAsia="zh-CN" w:bidi="zh-CN"/>
              </w:rPr>
              <w:t>、劳动定员及工作制度</w:t>
            </w:r>
          </w:p>
          <w:p w14:paraId="0FBAA139">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bidi="zh-CN"/>
              </w:rPr>
              <w:t>本改</w:t>
            </w:r>
            <w:r>
              <w:rPr>
                <w:rFonts w:hint="eastAsia" w:cs="Times New Roman"/>
                <w:color w:val="auto"/>
                <w:sz w:val="24"/>
                <w:szCs w:val="24"/>
                <w:highlight w:val="none"/>
                <w:lang w:val="en-US" w:eastAsia="zh-CN" w:bidi="zh-CN"/>
              </w:rPr>
              <w:t>扩建</w:t>
            </w:r>
            <w:r>
              <w:rPr>
                <w:rFonts w:hint="default" w:ascii="Times New Roman" w:hAnsi="Times New Roman" w:eastAsia="宋体" w:cs="Times New Roman"/>
                <w:color w:val="auto"/>
                <w:sz w:val="24"/>
                <w:szCs w:val="24"/>
                <w:highlight w:val="none"/>
                <w:lang w:val="en-US" w:eastAsia="zh-CN" w:bidi="zh-CN"/>
              </w:rPr>
              <w:t>项目劳动定员</w:t>
            </w:r>
            <w:r>
              <w:rPr>
                <w:rFonts w:hint="eastAsia" w:cs="Times New Roman"/>
                <w:color w:val="auto"/>
                <w:sz w:val="24"/>
                <w:szCs w:val="24"/>
                <w:highlight w:val="none"/>
                <w:lang w:val="en-US" w:eastAsia="zh-CN" w:bidi="zh-CN"/>
              </w:rPr>
              <w:t>100人</w:t>
            </w:r>
            <w:r>
              <w:rPr>
                <w:rFonts w:hint="default" w:ascii="Times New Roman" w:hAnsi="Times New Roman" w:eastAsia="宋体" w:cs="Times New Roman"/>
                <w:color w:val="auto"/>
                <w:sz w:val="24"/>
                <w:szCs w:val="24"/>
                <w:highlight w:val="none"/>
                <w:lang w:val="en-US" w:eastAsia="zh-CN" w:bidi="zh-CN"/>
              </w:rPr>
              <w:t>，</w:t>
            </w:r>
            <w:r>
              <w:rPr>
                <w:rFonts w:hint="eastAsia" w:cs="Times New Roman"/>
                <w:color w:val="auto"/>
                <w:sz w:val="24"/>
                <w:szCs w:val="24"/>
                <w:highlight w:val="none"/>
                <w:lang w:val="en-US" w:eastAsia="zh-CN" w:bidi="zh-CN"/>
              </w:rPr>
              <w:t>在厂区食宿，食宿安排依托厂区现有员工宿舍楼及食堂。</w:t>
            </w:r>
            <w:r>
              <w:rPr>
                <w:rFonts w:hint="default" w:ascii="Times New Roman" w:hAnsi="Times New Roman" w:eastAsia="宋体" w:cs="Times New Roman"/>
                <w:color w:val="auto"/>
                <w:sz w:val="24"/>
                <w:szCs w:val="24"/>
                <w:highlight w:val="none"/>
                <w:lang w:val="en-US" w:eastAsia="zh-CN" w:bidi="zh-CN"/>
              </w:rPr>
              <w:t>工作制度为</w:t>
            </w:r>
            <w:r>
              <w:rPr>
                <w:rFonts w:hint="default" w:ascii="Times New Roman" w:hAnsi="Times New Roman" w:eastAsia="宋体" w:cs="Times New Roman"/>
                <w:color w:val="auto"/>
                <w:sz w:val="24"/>
                <w:szCs w:val="24"/>
                <w:highlight w:val="none"/>
                <w:lang w:val="zh-CN" w:eastAsia="zh-CN" w:bidi="zh-CN"/>
              </w:rPr>
              <w:t>年工作</w:t>
            </w:r>
            <w:r>
              <w:rPr>
                <w:rFonts w:hint="eastAsia" w:ascii="Times New Roman" w:hAnsi="Times New Roman" w:eastAsia="宋体" w:cs="Times New Roman"/>
                <w:color w:val="auto"/>
                <w:sz w:val="24"/>
                <w:szCs w:val="24"/>
                <w:highlight w:val="none"/>
                <w:lang w:val="en-US" w:eastAsia="zh-CN" w:bidi="zh-CN"/>
              </w:rPr>
              <w:t>300</w:t>
            </w:r>
            <w:r>
              <w:rPr>
                <w:rFonts w:hint="default" w:ascii="Times New Roman" w:hAnsi="Times New Roman" w:eastAsia="宋体" w:cs="Times New Roman"/>
                <w:color w:val="auto"/>
                <w:sz w:val="24"/>
                <w:szCs w:val="24"/>
                <w:highlight w:val="none"/>
                <w:lang w:val="en-US" w:eastAsia="zh-CN" w:bidi="zh-CN"/>
              </w:rPr>
              <w:t>天</w:t>
            </w:r>
            <w:r>
              <w:rPr>
                <w:rFonts w:hint="default" w:ascii="Times New Roman" w:hAnsi="Times New Roman" w:eastAsia="宋体" w:cs="Times New Roman"/>
                <w:color w:val="auto"/>
                <w:sz w:val="24"/>
                <w:szCs w:val="24"/>
                <w:highlight w:val="none"/>
                <w:lang w:val="zh-CN" w:eastAsia="zh-CN" w:bidi="zh-CN"/>
              </w:rPr>
              <w:t>，每天一班制，每班工作</w:t>
            </w:r>
            <w:r>
              <w:rPr>
                <w:rFonts w:hint="default" w:ascii="Times New Roman" w:hAnsi="Times New Roman" w:eastAsia="宋体" w:cs="Times New Roman"/>
                <w:color w:val="auto"/>
                <w:sz w:val="24"/>
                <w:szCs w:val="24"/>
                <w:highlight w:val="none"/>
                <w:lang w:val="en-US" w:eastAsia="zh-CN" w:bidi="zh-CN"/>
              </w:rPr>
              <w:t>9</w:t>
            </w:r>
            <w:r>
              <w:rPr>
                <w:rFonts w:hint="default" w:ascii="Times New Roman" w:hAnsi="Times New Roman" w:eastAsia="宋体" w:cs="Times New Roman"/>
                <w:color w:val="auto"/>
                <w:sz w:val="24"/>
                <w:szCs w:val="24"/>
                <w:highlight w:val="none"/>
                <w:lang w:val="zh-CN" w:eastAsia="zh-CN" w:bidi="zh-CN"/>
              </w:rPr>
              <w:t>小时。</w:t>
            </w:r>
          </w:p>
          <w:p w14:paraId="1FE52604">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rPr>
            </w:pPr>
            <w:r>
              <w:rPr>
                <w:rFonts w:hint="eastAsia" w:cs="Times New Roman"/>
                <w:b/>
                <w:bCs/>
                <w:color w:val="auto"/>
                <w:sz w:val="24"/>
                <w:szCs w:val="24"/>
                <w:highlight w:val="none"/>
                <w:lang w:val="en-US" w:eastAsia="zh-CN"/>
              </w:rPr>
              <w:t>7</w:t>
            </w:r>
            <w:r>
              <w:rPr>
                <w:rFonts w:hint="default" w:ascii="Times New Roman" w:hAnsi="Times New Roman" w:eastAsia="宋体" w:cs="Times New Roman"/>
                <w:b/>
                <w:bCs/>
                <w:color w:val="auto"/>
                <w:sz w:val="24"/>
                <w:szCs w:val="24"/>
                <w:highlight w:val="none"/>
                <w:lang w:val="en-US" w:eastAsia="zh-CN"/>
              </w:rPr>
              <w:t>、</w:t>
            </w:r>
            <w:r>
              <w:rPr>
                <w:rFonts w:hint="default" w:ascii="Times New Roman" w:hAnsi="Times New Roman" w:eastAsia="宋体" w:cs="Times New Roman"/>
                <w:b/>
                <w:bCs/>
                <w:color w:val="auto"/>
                <w:sz w:val="24"/>
                <w:szCs w:val="24"/>
                <w:highlight w:val="none"/>
              </w:rPr>
              <w:t>公用工程</w:t>
            </w:r>
          </w:p>
          <w:p w14:paraId="38DAF767">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kern w:val="2"/>
                <w:sz w:val="24"/>
                <w:szCs w:val="24"/>
                <w:highlight w:val="none"/>
                <w:lang w:val="zh-CN" w:eastAsia="zh-CN" w:bidi="zh-CN"/>
              </w:rPr>
              <w:t>（</w:t>
            </w:r>
            <w:r>
              <w:rPr>
                <w:rFonts w:hint="default" w:ascii="Times New Roman" w:hAnsi="Times New Roman" w:eastAsia="宋体" w:cs="Times New Roman"/>
                <w:b w:val="0"/>
                <w:bCs/>
                <w:color w:val="auto"/>
                <w:kern w:val="2"/>
                <w:sz w:val="24"/>
                <w:szCs w:val="24"/>
                <w:highlight w:val="none"/>
                <w:lang w:val="en-US" w:eastAsia="zh-CN" w:bidi="zh-CN"/>
              </w:rPr>
              <w:t>1</w:t>
            </w:r>
            <w:r>
              <w:rPr>
                <w:rFonts w:hint="default" w:ascii="Times New Roman" w:hAnsi="Times New Roman" w:eastAsia="宋体" w:cs="Times New Roman"/>
                <w:b w:val="0"/>
                <w:bCs/>
                <w:color w:val="auto"/>
                <w:kern w:val="2"/>
                <w:sz w:val="24"/>
                <w:szCs w:val="24"/>
                <w:highlight w:val="none"/>
                <w:lang w:val="zh-CN" w:eastAsia="zh-CN" w:bidi="zh-CN"/>
              </w:rPr>
              <w:t>）供电：</w:t>
            </w:r>
            <w:r>
              <w:rPr>
                <w:rFonts w:hint="eastAsia" w:cs="Times New Roman"/>
                <w:b w:val="0"/>
                <w:bCs/>
                <w:color w:val="auto"/>
                <w:kern w:val="2"/>
                <w:sz w:val="24"/>
                <w:szCs w:val="24"/>
                <w:highlight w:val="none"/>
                <w:lang w:val="en-US" w:eastAsia="zh-CN" w:bidi="zh-CN"/>
              </w:rPr>
              <w:t>改扩建</w:t>
            </w:r>
            <w:r>
              <w:rPr>
                <w:rFonts w:hint="default" w:ascii="Times New Roman" w:hAnsi="Times New Roman" w:eastAsia="宋体" w:cs="Times New Roman"/>
                <w:b w:val="0"/>
                <w:bCs/>
                <w:color w:val="auto"/>
                <w:kern w:val="2"/>
                <w:sz w:val="24"/>
                <w:szCs w:val="24"/>
                <w:highlight w:val="none"/>
                <w:lang w:val="zh-CN" w:eastAsia="zh-CN" w:bidi="zh-CN"/>
              </w:rPr>
              <w:t>项目用电由园区供电系统供</w:t>
            </w:r>
            <w:r>
              <w:rPr>
                <w:rFonts w:hint="default" w:ascii="Times New Roman" w:hAnsi="Times New Roman" w:eastAsia="宋体" w:cs="Times New Roman"/>
                <w:b w:val="0"/>
                <w:bCs/>
                <w:color w:val="auto"/>
                <w:kern w:val="2"/>
                <w:sz w:val="24"/>
                <w:szCs w:val="24"/>
                <w:highlight w:val="none"/>
                <w:lang w:val="en-US" w:eastAsia="zh-CN" w:bidi="zh-CN"/>
              </w:rPr>
              <w:t>电</w:t>
            </w:r>
            <w:r>
              <w:rPr>
                <w:rFonts w:hint="default" w:ascii="Times New Roman" w:hAnsi="Times New Roman" w:eastAsia="宋体" w:cs="Times New Roman"/>
                <w:b w:val="0"/>
                <w:bCs/>
                <w:color w:val="auto"/>
                <w:kern w:val="2"/>
                <w:sz w:val="24"/>
                <w:szCs w:val="24"/>
                <w:highlight w:val="none"/>
                <w:lang w:val="zh-CN" w:eastAsia="zh-CN" w:bidi="zh-CN"/>
              </w:rPr>
              <w:t>，供电能力充足，可以满足项目生产用电。</w:t>
            </w:r>
          </w:p>
          <w:p w14:paraId="2ACE67B7">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spacing w:val="1"/>
                <w:kern w:val="2"/>
                <w:sz w:val="24"/>
                <w:szCs w:val="24"/>
                <w:highlight w:val="none"/>
                <w:lang w:val="zh-CN" w:eastAsia="zh-CN" w:bidi="zh-CN"/>
              </w:rPr>
              <w:t>（</w:t>
            </w:r>
            <w:r>
              <w:rPr>
                <w:rFonts w:hint="default" w:ascii="Times New Roman" w:hAnsi="Times New Roman" w:eastAsia="宋体" w:cs="Times New Roman"/>
                <w:b w:val="0"/>
                <w:bCs/>
                <w:color w:val="auto"/>
                <w:spacing w:val="1"/>
                <w:kern w:val="2"/>
                <w:sz w:val="24"/>
                <w:szCs w:val="24"/>
                <w:highlight w:val="none"/>
                <w:lang w:val="en-US" w:eastAsia="zh-CN" w:bidi="zh-CN"/>
              </w:rPr>
              <w:t>2</w:t>
            </w:r>
            <w:r>
              <w:rPr>
                <w:rFonts w:hint="default" w:ascii="Times New Roman" w:hAnsi="Times New Roman" w:eastAsia="宋体" w:cs="Times New Roman"/>
                <w:b w:val="0"/>
                <w:bCs/>
                <w:color w:val="auto"/>
                <w:spacing w:val="1"/>
                <w:kern w:val="2"/>
                <w:sz w:val="24"/>
                <w:szCs w:val="24"/>
                <w:highlight w:val="none"/>
                <w:lang w:val="zh-CN" w:eastAsia="zh-CN" w:bidi="zh-CN"/>
              </w:rPr>
              <w:t>）给水：</w:t>
            </w:r>
            <w:r>
              <w:rPr>
                <w:rFonts w:hint="eastAsia" w:cs="Times New Roman"/>
                <w:b w:val="0"/>
                <w:bCs/>
                <w:color w:val="auto"/>
                <w:spacing w:val="1"/>
                <w:kern w:val="2"/>
                <w:sz w:val="24"/>
                <w:szCs w:val="24"/>
                <w:highlight w:val="none"/>
                <w:lang w:val="en-US" w:eastAsia="zh-CN" w:bidi="zh-CN"/>
              </w:rPr>
              <w:t>改扩建</w:t>
            </w:r>
            <w:r>
              <w:rPr>
                <w:rFonts w:hint="default" w:ascii="Times New Roman" w:hAnsi="Times New Roman" w:eastAsia="宋体" w:cs="Times New Roman"/>
                <w:b w:val="0"/>
                <w:bCs/>
                <w:color w:val="auto"/>
                <w:kern w:val="2"/>
                <w:sz w:val="24"/>
                <w:szCs w:val="24"/>
                <w:highlight w:val="none"/>
                <w:lang w:val="zh-CN" w:eastAsia="zh-CN" w:bidi="zh-CN"/>
              </w:rPr>
              <w:t>项目用水由</w:t>
            </w:r>
            <w:r>
              <w:rPr>
                <w:rFonts w:hint="default" w:ascii="Times New Roman" w:hAnsi="Times New Roman" w:eastAsia="宋体" w:cs="Times New Roman"/>
                <w:b w:val="0"/>
                <w:bCs/>
                <w:color w:val="auto"/>
                <w:kern w:val="2"/>
                <w:sz w:val="24"/>
                <w:szCs w:val="24"/>
                <w:highlight w:val="none"/>
                <w:lang w:val="en-US" w:eastAsia="zh-CN" w:bidi="zh-CN"/>
              </w:rPr>
              <w:t>园区供水系统</w:t>
            </w:r>
            <w:r>
              <w:rPr>
                <w:rFonts w:hint="default" w:ascii="Times New Roman" w:hAnsi="Times New Roman" w:eastAsia="宋体" w:cs="Times New Roman"/>
                <w:b w:val="0"/>
                <w:bCs/>
                <w:color w:val="auto"/>
                <w:kern w:val="2"/>
                <w:sz w:val="24"/>
                <w:szCs w:val="24"/>
                <w:highlight w:val="none"/>
                <w:lang w:val="zh-CN" w:eastAsia="zh-CN" w:bidi="zh-CN"/>
              </w:rPr>
              <w:t>供水。</w:t>
            </w:r>
          </w:p>
          <w:p w14:paraId="562B8031">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eastAsia" w:cs="Times New Roman"/>
                <w:color w:val="auto"/>
                <w:sz w:val="24"/>
                <w:szCs w:val="24"/>
                <w:highlight w:val="none"/>
                <w:lang w:val="en-US" w:eastAsia="zh-CN"/>
              </w:rPr>
              <w:t>生活</w:t>
            </w:r>
            <w:r>
              <w:rPr>
                <w:rFonts w:hint="default" w:ascii="Times New Roman" w:hAnsi="Times New Roman" w:eastAsia="宋体" w:cs="Times New Roman"/>
                <w:color w:val="auto"/>
                <w:sz w:val="24"/>
                <w:szCs w:val="24"/>
                <w:highlight w:val="none"/>
                <w:lang w:val="en-US" w:eastAsia="zh-CN"/>
              </w:rPr>
              <w:t>用</w:t>
            </w:r>
            <w:r>
              <w:rPr>
                <w:rFonts w:hint="default" w:ascii="Times New Roman" w:hAnsi="Times New Roman" w:eastAsia="宋体" w:cs="Times New Roman"/>
                <w:color w:val="auto"/>
                <w:sz w:val="24"/>
                <w:szCs w:val="24"/>
                <w:highlight w:val="none"/>
              </w:rPr>
              <w:t>水</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改扩建</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提升设备自动化，减少用工，建成后</w:t>
            </w:r>
            <w:r>
              <w:rPr>
                <w:rFonts w:hint="default" w:ascii="Times New Roman" w:hAnsi="Times New Roman" w:eastAsia="宋体" w:cs="Times New Roman"/>
                <w:color w:val="auto"/>
                <w:sz w:val="24"/>
                <w:szCs w:val="24"/>
                <w:highlight w:val="none"/>
                <w:lang w:val="en-US" w:eastAsia="zh-CN"/>
              </w:rPr>
              <w:t>劳动定员</w:t>
            </w:r>
            <w:r>
              <w:rPr>
                <w:rFonts w:hint="eastAsia" w:cs="Times New Roman"/>
                <w:color w:val="auto"/>
                <w:sz w:val="24"/>
                <w:szCs w:val="24"/>
                <w:highlight w:val="none"/>
                <w:lang w:val="en-US" w:eastAsia="zh-CN"/>
              </w:rPr>
              <w:t>为10</w:t>
            </w:r>
            <w:r>
              <w:rPr>
                <w:rFonts w:hint="default" w:ascii="Times New Roman" w:hAnsi="Times New Roman" w:eastAsia="宋体" w:cs="Times New Roman"/>
                <w:color w:val="auto"/>
                <w:sz w:val="24"/>
                <w:szCs w:val="24"/>
                <w:highlight w:val="none"/>
                <w:lang w:val="en-US" w:eastAsia="zh-CN"/>
              </w:rPr>
              <w:t>0人，</w:t>
            </w:r>
            <w:bookmarkStart w:id="8" w:name="OLE_LINK12"/>
            <w:r>
              <w:rPr>
                <w:rFonts w:hint="default" w:ascii="Times New Roman" w:hAnsi="Times New Roman" w:eastAsia="宋体" w:cs="Times New Roman"/>
                <w:color w:val="auto"/>
                <w:kern w:val="2"/>
                <w:sz w:val="24"/>
                <w:szCs w:val="24"/>
                <w:lang w:val="en-US" w:eastAsia="zh-CN" w:bidi="ar-SA"/>
              </w:rPr>
              <w:t>参照江西省人民政府关于印发《生活及服务业用水定额第 2 部分：服务业、居民生活和建筑业》的通知（赣府发</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2024</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17号）中</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城</w:t>
            </w:r>
            <w:r>
              <w:rPr>
                <w:rFonts w:hint="eastAsia" w:cs="Times New Roman"/>
                <w:color w:val="auto"/>
                <w:kern w:val="2"/>
                <w:sz w:val="24"/>
                <w:szCs w:val="24"/>
                <w:lang w:val="en-US" w:eastAsia="zh-CN" w:bidi="ar-SA"/>
              </w:rPr>
              <w:t>镇</w:t>
            </w:r>
            <w:r>
              <w:rPr>
                <w:rFonts w:hint="default" w:ascii="Times New Roman" w:hAnsi="Times New Roman" w:eastAsia="宋体" w:cs="Times New Roman"/>
                <w:color w:val="auto"/>
                <w:kern w:val="2"/>
                <w:sz w:val="24"/>
                <w:szCs w:val="24"/>
                <w:lang w:val="en-US" w:eastAsia="zh-CN" w:bidi="ar-SA"/>
              </w:rPr>
              <w:t>居民生活用水定额</w:t>
            </w:r>
            <w:r>
              <w:rPr>
                <w:rFonts w:hint="eastAsia" w:cs="Times New Roman"/>
                <w:color w:val="auto"/>
                <w:kern w:val="2"/>
                <w:sz w:val="24"/>
                <w:szCs w:val="24"/>
                <w:lang w:val="en-US" w:eastAsia="zh-CN" w:bidi="ar-SA"/>
              </w:rPr>
              <w:t>为</w:t>
            </w:r>
            <w:r>
              <w:rPr>
                <w:rFonts w:hint="default" w:ascii="Times New Roman" w:hAnsi="Times New Roman" w:eastAsia="宋体" w:cs="Times New Roman"/>
                <w:color w:val="auto"/>
                <w:kern w:val="2"/>
                <w:sz w:val="24"/>
                <w:szCs w:val="24"/>
                <w:lang w:val="en-US" w:eastAsia="zh-CN" w:bidi="ar-SA"/>
              </w:rPr>
              <w:t>160L/人</w:t>
            </w:r>
            <w:r>
              <w:rPr>
                <w:rFonts w:hint="eastAsia"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d</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w:t>
            </w:r>
            <w:bookmarkEnd w:id="8"/>
            <w:r>
              <w:rPr>
                <w:rFonts w:hint="default" w:ascii="Times New Roman" w:hAnsi="Times New Roman" w:eastAsia="宋体" w:cs="Times New Roman"/>
                <w:color w:val="auto"/>
                <w:sz w:val="24"/>
                <w:szCs w:val="24"/>
                <w:highlight w:val="none"/>
                <w:lang w:val="en-US" w:eastAsia="zh-CN"/>
              </w:rPr>
              <w:t>则</w:t>
            </w:r>
            <w:r>
              <w:rPr>
                <w:rFonts w:hint="default" w:ascii="Times New Roman" w:hAnsi="Times New Roman" w:eastAsia="宋体" w:cs="Times New Roman"/>
                <w:color w:val="auto"/>
                <w:sz w:val="24"/>
                <w:szCs w:val="24"/>
                <w:highlight w:val="none"/>
              </w:rPr>
              <w:t>生活用水量为</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4800</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w:t>
            </w:r>
          </w:p>
          <w:p w14:paraId="0068BA80">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超声波清洗用水：利用超声波在液体中产生的空化效应，较彻底清洗掉工件表面粘附的油污，通过添加适当的超声波清洗剂，可以迅速地对工件表面实现高清洁度的处理。根据业主提供的资料，产生的清洗废水一周更换一次，每次约为8t，</w:t>
            </w:r>
            <w:r>
              <w:rPr>
                <w:rFonts w:ascii="Times New Roman" w:hAnsi="Times New Roman" w:cs="Times New Roman"/>
                <w:color w:val="auto"/>
                <w:sz w:val="24"/>
                <w:szCs w:val="32"/>
              </w:rPr>
              <w:t>污水排放系数为0.8，</w:t>
            </w:r>
            <w:r>
              <w:rPr>
                <w:rFonts w:hint="eastAsia" w:cs="Times New Roman"/>
                <w:b w:val="0"/>
                <w:bCs/>
                <w:color w:val="auto"/>
                <w:kern w:val="2"/>
                <w:sz w:val="24"/>
                <w:szCs w:val="24"/>
                <w:highlight w:val="none"/>
                <w:lang w:val="en-US" w:eastAsia="zh-CN" w:bidi="ar-SA"/>
              </w:rPr>
              <w:t>则每周需添加新鲜水10t，则超声波清洗用水量为429m</w:t>
            </w:r>
            <w:r>
              <w:rPr>
                <w:rFonts w:hint="eastAsia" w:cs="Times New Roman"/>
                <w:b w:val="0"/>
                <w:bCs/>
                <w:color w:val="auto"/>
                <w:kern w:val="2"/>
                <w:sz w:val="24"/>
                <w:szCs w:val="24"/>
                <w:highlight w:val="none"/>
                <w:vertAlign w:val="superscript"/>
                <w:lang w:val="en-US" w:eastAsia="zh-CN" w:bidi="ar-SA"/>
              </w:rPr>
              <w:t>3</w:t>
            </w:r>
            <w:r>
              <w:rPr>
                <w:rFonts w:hint="eastAsia" w:cs="Times New Roman"/>
                <w:b w:val="0"/>
                <w:bCs/>
                <w:color w:val="auto"/>
                <w:kern w:val="2"/>
                <w:sz w:val="24"/>
                <w:szCs w:val="24"/>
                <w:highlight w:val="none"/>
                <w:lang w:val="en-US" w:eastAsia="zh-CN" w:bidi="ar-SA"/>
              </w:rPr>
              <w:t>/a。</w:t>
            </w:r>
          </w:p>
          <w:p w14:paraId="72F894F4">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cs="Times New Roman"/>
                <w:color w:val="0000FF"/>
                <w:sz w:val="24"/>
                <w:szCs w:val="24"/>
                <w:highlight w:val="none"/>
                <w:lang w:eastAsia="zh-CN"/>
              </w:rPr>
            </w:pPr>
            <w:r>
              <w:rPr>
                <w:rFonts w:hint="eastAsia" w:cs="Times New Roman"/>
                <w:b w:val="0"/>
                <w:bCs/>
                <w:color w:val="0000FF"/>
                <w:kern w:val="2"/>
                <w:sz w:val="24"/>
                <w:szCs w:val="24"/>
                <w:highlight w:val="none"/>
                <w:lang w:val="en-US" w:eastAsia="zh-CN" w:bidi="ar-SA"/>
              </w:rPr>
              <w:t>地面清洗用水：</w:t>
            </w:r>
            <w:r>
              <w:rPr>
                <w:rFonts w:hint="default" w:ascii="Times New Roman" w:hAnsi="Times New Roman" w:cs="Times New Roman"/>
                <w:color w:val="0000FF"/>
                <w:sz w:val="24"/>
                <w:szCs w:val="24"/>
                <w:highlight w:val="none"/>
              </w:rPr>
              <w:t>项目生产车间每日清洗一次，清洗用水量约为</w:t>
            </w:r>
            <w:r>
              <w:rPr>
                <w:rFonts w:hint="eastAsia" w:ascii="Times New Roman" w:hAnsi="Times New Roman" w:cs="Times New Roman"/>
                <w:color w:val="0000FF"/>
                <w:sz w:val="24"/>
                <w:szCs w:val="24"/>
                <w:highlight w:val="none"/>
                <w:lang w:val="en-US" w:eastAsia="zh-CN"/>
              </w:rPr>
              <w:t>0.3</w:t>
            </w:r>
            <w:r>
              <w:rPr>
                <w:rFonts w:hint="default" w:ascii="Times New Roman" w:hAnsi="Times New Roman" w:cs="Times New Roman"/>
                <w:color w:val="0000FF"/>
                <w:sz w:val="24"/>
                <w:szCs w:val="24"/>
                <w:highlight w:val="none"/>
              </w:rPr>
              <w:t>L/m</w:t>
            </w:r>
            <w:r>
              <w:rPr>
                <w:rFonts w:hint="default" w:ascii="Times New Roman" w:hAnsi="Times New Roman" w:cs="Times New Roman"/>
                <w:color w:val="0000FF"/>
                <w:sz w:val="24"/>
                <w:szCs w:val="24"/>
                <w:highlight w:val="none"/>
                <w:vertAlign w:val="superscript"/>
              </w:rPr>
              <w:t>2</w:t>
            </w:r>
            <w:r>
              <w:rPr>
                <w:rFonts w:hint="default" w:ascii="Times New Roman" w:hAnsi="Times New Roman" w:cs="Times New Roman"/>
                <w:color w:val="0000FF"/>
                <w:sz w:val="24"/>
                <w:szCs w:val="24"/>
                <w:highlight w:val="none"/>
              </w:rPr>
              <w:t>，生产车间面积共计约</w:t>
            </w:r>
            <w:r>
              <w:rPr>
                <w:rFonts w:hint="eastAsia" w:cs="Times New Roman"/>
                <w:color w:val="0000FF"/>
                <w:sz w:val="24"/>
                <w:szCs w:val="24"/>
                <w:highlight w:val="none"/>
                <w:lang w:val="en-US" w:eastAsia="zh-CN"/>
              </w:rPr>
              <w:t>11695</w:t>
            </w:r>
            <w:r>
              <w:rPr>
                <w:rFonts w:hint="default" w:ascii="Times New Roman" w:hAnsi="Times New Roman" w:cs="Times New Roman"/>
                <w:color w:val="0000FF"/>
                <w:sz w:val="24"/>
                <w:szCs w:val="24"/>
                <w:highlight w:val="none"/>
              </w:rPr>
              <w:t>m</w:t>
            </w:r>
            <w:r>
              <w:rPr>
                <w:rFonts w:hint="default" w:ascii="Times New Roman" w:hAnsi="Times New Roman" w:cs="Times New Roman"/>
                <w:color w:val="0000FF"/>
                <w:sz w:val="24"/>
                <w:szCs w:val="24"/>
                <w:highlight w:val="none"/>
                <w:vertAlign w:val="superscript"/>
              </w:rPr>
              <w:t>2</w:t>
            </w:r>
            <w:r>
              <w:rPr>
                <w:rFonts w:hint="default" w:ascii="Times New Roman" w:hAnsi="Times New Roman" w:cs="Times New Roman"/>
                <w:color w:val="0000FF"/>
                <w:sz w:val="24"/>
                <w:szCs w:val="24"/>
                <w:highlight w:val="none"/>
              </w:rPr>
              <w:t>，则车间地面清洗用水量为</w:t>
            </w:r>
            <w:r>
              <w:rPr>
                <w:rFonts w:hint="eastAsia" w:cs="Times New Roman"/>
                <w:color w:val="0000FF"/>
                <w:sz w:val="24"/>
                <w:szCs w:val="24"/>
                <w:highlight w:val="none"/>
                <w:lang w:val="en-US" w:eastAsia="zh-CN"/>
              </w:rPr>
              <w:t>3.51</w:t>
            </w:r>
            <w:r>
              <w:rPr>
                <w:rFonts w:hint="default" w:ascii="Times New Roman" w:hAnsi="Times New Roman" w:cs="Times New Roman"/>
                <w:color w:val="0000FF"/>
                <w:sz w:val="24"/>
                <w:highlight w:val="none"/>
              </w:rPr>
              <w:t>m</w:t>
            </w:r>
            <w:r>
              <w:rPr>
                <w:rFonts w:hint="default" w:ascii="Times New Roman" w:hAnsi="Times New Roman" w:cs="Times New Roman"/>
                <w:color w:val="0000FF"/>
                <w:sz w:val="24"/>
                <w:highlight w:val="none"/>
                <w:vertAlign w:val="superscript"/>
              </w:rPr>
              <w:t>3</w:t>
            </w:r>
            <w:r>
              <w:rPr>
                <w:rFonts w:hint="default" w:ascii="Times New Roman" w:hAnsi="Times New Roman" w:cs="Times New Roman"/>
                <w:color w:val="0000FF"/>
                <w:sz w:val="24"/>
                <w:szCs w:val="24"/>
                <w:highlight w:val="none"/>
              </w:rPr>
              <w:t>/d，</w:t>
            </w:r>
            <w:r>
              <w:rPr>
                <w:rFonts w:hint="eastAsia" w:cs="Times New Roman"/>
                <w:b w:val="0"/>
                <w:bCs/>
                <w:color w:val="0000FF"/>
                <w:kern w:val="2"/>
                <w:sz w:val="24"/>
                <w:szCs w:val="24"/>
                <w:highlight w:val="none"/>
                <w:lang w:val="en-US" w:eastAsia="zh-CN" w:bidi="ar-SA"/>
              </w:rPr>
              <w:t>地面清洗废水经沉淀池沉淀后回用，损耗系数按0.8计，则需增加新鲜水0.7</w:t>
            </w:r>
            <w:r>
              <w:rPr>
                <w:rFonts w:hint="default" w:ascii="Times New Roman" w:hAnsi="Times New Roman" w:cs="Times New Roman"/>
                <w:color w:val="0000FF"/>
                <w:sz w:val="24"/>
                <w:highlight w:val="none"/>
              </w:rPr>
              <w:t>m</w:t>
            </w:r>
            <w:r>
              <w:rPr>
                <w:rFonts w:hint="default" w:ascii="Times New Roman" w:hAnsi="Times New Roman" w:cs="Times New Roman"/>
                <w:color w:val="0000FF"/>
                <w:sz w:val="24"/>
                <w:highlight w:val="none"/>
                <w:vertAlign w:val="superscript"/>
              </w:rPr>
              <w:t>3</w:t>
            </w:r>
            <w:r>
              <w:rPr>
                <w:rFonts w:hint="default" w:ascii="Times New Roman" w:hAnsi="Times New Roman" w:cs="Times New Roman"/>
                <w:color w:val="0000FF"/>
                <w:sz w:val="24"/>
                <w:szCs w:val="24"/>
                <w:highlight w:val="none"/>
              </w:rPr>
              <w:t>/d，</w:t>
            </w:r>
            <w:r>
              <w:rPr>
                <w:rFonts w:hint="eastAsia" w:ascii="Times New Roman" w:hAnsi="Times New Roman" w:cs="Times New Roman"/>
                <w:color w:val="0000FF"/>
                <w:sz w:val="24"/>
                <w:szCs w:val="24"/>
                <w:highlight w:val="none"/>
                <w:lang w:val="en-US" w:eastAsia="zh-CN"/>
              </w:rPr>
              <w:t>210m</w:t>
            </w:r>
            <w:r>
              <w:rPr>
                <w:rFonts w:hint="eastAsia" w:ascii="Times New Roman" w:hAnsi="Times New Roman" w:cs="Times New Roman"/>
                <w:color w:val="0000FF"/>
                <w:sz w:val="24"/>
                <w:szCs w:val="24"/>
                <w:highlight w:val="none"/>
                <w:vertAlign w:val="superscript"/>
                <w:lang w:val="en-US" w:eastAsia="zh-CN"/>
              </w:rPr>
              <w:t>3</w:t>
            </w:r>
            <w:r>
              <w:rPr>
                <w:rFonts w:hint="eastAsia" w:ascii="Times New Roman" w:hAnsi="Times New Roman" w:cs="Times New Roman"/>
                <w:color w:val="0000FF"/>
                <w:sz w:val="24"/>
                <w:szCs w:val="24"/>
                <w:highlight w:val="none"/>
                <w:lang w:val="en-US" w:eastAsia="zh-CN"/>
              </w:rPr>
              <w:t>/a。</w:t>
            </w:r>
          </w:p>
          <w:p w14:paraId="7AAE3616">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cs="Times New Roman"/>
                <w:color w:val="0000FF"/>
                <w:sz w:val="24"/>
                <w:szCs w:val="24"/>
                <w:highlight w:val="none"/>
                <w:lang w:val="en-US" w:eastAsia="zh-CN"/>
              </w:rPr>
            </w:pPr>
            <w:r>
              <w:rPr>
                <w:rFonts w:hint="default" w:ascii="Times New Roman" w:hAnsi="Times New Roman" w:eastAsia="宋体" w:cs="Times New Roman"/>
                <w:color w:val="0000FF"/>
                <w:sz w:val="24"/>
                <w:szCs w:val="24"/>
                <w:lang w:val="en-US" w:eastAsia="zh-CN"/>
              </w:rPr>
              <w:t>绿化用水</w:t>
            </w:r>
            <w:r>
              <w:rPr>
                <w:rFonts w:hint="eastAsia" w:ascii="Times New Roman" w:hAnsi="Times New Roman" w:eastAsia="宋体" w:cs="Times New Roman"/>
                <w:color w:val="0000FF"/>
                <w:sz w:val="24"/>
                <w:szCs w:val="24"/>
                <w:lang w:val="en-US" w:eastAsia="zh-CN"/>
              </w:rPr>
              <w:t>：项目绿化面积为8600</w:t>
            </w:r>
            <w:r>
              <w:rPr>
                <w:rFonts w:hint="default" w:ascii="Times New Roman" w:hAnsi="Times New Roman" w:cs="Times New Roman"/>
                <w:color w:val="0000FF"/>
                <w:sz w:val="24"/>
                <w:szCs w:val="24"/>
                <w:highlight w:val="none"/>
              </w:rPr>
              <w:t>m</w:t>
            </w:r>
            <w:r>
              <w:rPr>
                <w:rFonts w:hint="default" w:ascii="Times New Roman" w:hAnsi="Times New Roman" w:cs="Times New Roman"/>
                <w:color w:val="0000FF"/>
                <w:sz w:val="24"/>
                <w:szCs w:val="24"/>
                <w:highlight w:val="none"/>
                <w:vertAlign w:val="superscript"/>
              </w:rPr>
              <w:t>2</w:t>
            </w:r>
            <w:r>
              <w:rPr>
                <w:rFonts w:hint="default" w:ascii="Times New Roman" w:hAnsi="Times New Roman" w:cs="Times New Roman"/>
                <w:color w:val="0000FF"/>
                <w:sz w:val="24"/>
                <w:szCs w:val="24"/>
                <w:highlight w:val="none"/>
              </w:rPr>
              <w:t>，</w:t>
            </w:r>
            <w:r>
              <w:rPr>
                <w:rFonts w:hint="eastAsia" w:ascii="Times New Roman" w:hAnsi="Times New Roman" w:cs="Times New Roman"/>
                <w:color w:val="0000FF"/>
                <w:sz w:val="24"/>
                <w:szCs w:val="24"/>
                <w:highlight w:val="none"/>
                <w:lang w:val="en-US" w:eastAsia="zh-CN"/>
              </w:rPr>
              <w:t>根据《建筑给水排水设计标准》（GB50015-2019）：“</w:t>
            </w:r>
            <w:r>
              <w:rPr>
                <w:rFonts w:ascii="Arial" w:hAnsi="Arial" w:eastAsia="宋体" w:cs="Arial"/>
                <w:i w:val="0"/>
                <w:iCs w:val="0"/>
                <w:caps w:val="0"/>
                <w:color w:val="0000FF"/>
                <w:spacing w:val="0"/>
                <w:sz w:val="24"/>
                <w:szCs w:val="24"/>
                <w:shd w:val="clear" w:fill="FFFFFF"/>
              </w:rPr>
              <w:t>绿化浇灌用水定额应根据气候条件、植物种类、土壤理化性状、浇灌方式和管理制度等因素综合确定。</w:t>
            </w:r>
            <w:r>
              <w:rPr>
                <w:rFonts w:hint="default" w:ascii="Arial" w:hAnsi="Arial" w:eastAsia="宋体" w:cs="Arial"/>
                <w:i w:val="0"/>
                <w:iCs w:val="0"/>
                <w:caps w:val="0"/>
                <w:color w:val="0000FF"/>
                <w:spacing w:val="0"/>
                <w:sz w:val="24"/>
                <w:szCs w:val="24"/>
                <w:shd w:val="clear" w:fill="FFFFFF"/>
              </w:rPr>
              <w:t>当无相关资料时，小区绿化浇灌用水定额可按浇灌面</w:t>
            </w:r>
            <w:r>
              <w:rPr>
                <w:rFonts w:hint="default" w:ascii="Times New Roman" w:hAnsi="Times New Roman" w:eastAsia="宋体" w:cs="Times New Roman"/>
                <w:i w:val="0"/>
                <w:iCs w:val="0"/>
                <w:caps w:val="0"/>
                <w:color w:val="0000FF"/>
                <w:spacing w:val="0"/>
                <w:sz w:val="24"/>
                <w:szCs w:val="24"/>
                <w:shd w:val="clear" w:fill="FFFFFF"/>
              </w:rPr>
              <w:t>积1.0～3.0L</w:t>
            </w:r>
            <w:r>
              <w:rPr>
                <w:rFonts w:hint="eastAsia" w:ascii="Times New Roman" w:hAnsi="Times New Roman" w:eastAsia="宋体" w:cs="Times New Roman"/>
                <w:i w:val="0"/>
                <w:iCs w:val="0"/>
                <w:caps w:val="0"/>
                <w:color w:val="0000FF"/>
                <w:spacing w:val="0"/>
                <w:sz w:val="24"/>
                <w:szCs w:val="24"/>
                <w:shd w:val="clear" w:fill="FFFFFF"/>
                <w:lang w:eastAsia="zh-CN"/>
              </w:rPr>
              <w:t>/</w:t>
            </w:r>
            <w:r>
              <w:rPr>
                <w:rFonts w:hint="default" w:ascii="Times New Roman" w:hAnsi="Times New Roman" w:eastAsia="宋体" w:cs="Times New Roman"/>
                <w:i w:val="0"/>
                <w:iCs w:val="0"/>
                <w:caps w:val="0"/>
                <w:color w:val="0000FF"/>
                <w:spacing w:val="0"/>
                <w:sz w:val="24"/>
                <w:szCs w:val="24"/>
                <w:shd w:val="clear" w:fill="FFFFFF"/>
              </w:rPr>
              <w:t>(m</w:t>
            </w:r>
            <w:r>
              <w:rPr>
                <w:rFonts w:hint="default" w:ascii="Times New Roman" w:hAnsi="Times New Roman" w:eastAsia="宋体" w:cs="Times New Roman"/>
                <w:i w:val="0"/>
                <w:iCs w:val="0"/>
                <w:caps w:val="0"/>
                <w:color w:val="0000FF"/>
                <w:spacing w:val="0"/>
                <w:sz w:val="24"/>
                <w:szCs w:val="24"/>
                <w:shd w:val="clear" w:fill="FFFFFF"/>
                <w:vertAlign w:val="superscript"/>
              </w:rPr>
              <w:t>2</w:t>
            </w:r>
            <w:r>
              <w:rPr>
                <w:rFonts w:hint="eastAsia" w:ascii="Times New Roman" w:hAnsi="Times New Roman" w:eastAsia="宋体" w:cs="Times New Roman"/>
                <w:i w:val="0"/>
                <w:iCs w:val="0"/>
                <w:caps w:val="0"/>
                <w:color w:val="0000FF"/>
                <w:spacing w:val="0"/>
                <w:sz w:val="24"/>
                <w:szCs w:val="24"/>
                <w:shd w:val="clear" w:fill="FFFFFF"/>
                <w:lang w:val="en-US" w:eastAsia="zh-CN"/>
              </w:rPr>
              <w:t>·</w:t>
            </w:r>
            <w:r>
              <w:rPr>
                <w:rFonts w:hint="default" w:ascii="Times New Roman" w:hAnsi="Times New Roman" w:eastAsia="宋体" w:cs="Times New Roman"/>
                <w:i w:val="0"/>
                <w:iCs w:val="0"/>
                <w:caps w:val="0"/>
                <w:color w:val="0000FF"/>
                <w:spacing w:val="0"/>
                <w:sz w:val="24"/>
                <w:szCs w:val="24"/>
                <w:shd w:val="clear" w:fill="FFFFFF"/>
              </w:rPr>
              <w:t>d)计算</w:t>
            </w:r>
            <w:r>
              <w:rPr>
                <w:rFonts w:hint="default" w:ascii="Arial" w:hAnsi="Arial" w:eastAsia="宋体" w:cs="Arial"/>
                <w:i w:val="0"/>
                <w:iCs w:val="0"/>
                <w:caps w:val="0"/>
                <w:color w:val="0000FF"/>
                <w:spacing w:val="0"/>
                <w:sz w:val="24"/>
                <w:szCs w:val="24"/>
                <w:shd w:val="clear" w:fill="FFFFFF"/>
              </w:rPr>
              <w:t>。</w:t>
            </w:r>
            <w:r>
              <w:rPr>
                <w:rFonts w:hint="eastAsia" w:ascii="Arial" w:hAnsi="Arial" w:eastAsia="宋体" w:cs="Arial"/>
                <w:i w:val="0"/>
                <w:iCs w:val="0"/>
                <w:caps w:val="0"/>
                <w:color w:val="0000FF"/>
                <w:spacing w:val="0"/>
                <w:sz w:val="24"/>
                <w:szCs w:val="24"/>
                <w:shd w:val="clear" w:fill="FFFFFF"/>
                <w:lang w:eastAsia="zh-CN"/>
              </w:rPr>
              <w:t>”</w:t>
            </w:r>
            <w:r>
              <w:rPr>
                <w:rFonts w:hint="eastAsia" w:ascii="Arial" w:hAnsi="Arial" w:eastAsia="宋体" w:cs="Arial"/>
                <w:i w:val="0"/>
                <w:iCs w:val="0"/>
                <w:caps w:val="0"/>
                <w:color w:val="0000FF"/>
                <w:spacing w:val="0"/>
                <w:sz w:val="24"/>
                <w:szCs w:val="24"/>
                <w:shd w:val="clear" w:fill="FFFFFF"/>
                <w:lang w:val="en-US" w:eastAsia="zh-CN"/>
              </w:rPr>
              <w:t>本项目</w:t>
            </w:r>
            <w:r>
              <w:rPr>
                <w:rFonts w:hint="eastAsia" w:ascii="Times New Roman" w:hAnsi="Times New Roman" w:cs="Times New Roman"/>
                <w:color w:val="0000FF"/>
                <w:sz w:val="24"/>
                <w:szCs w:val="24"/>
                <w:highlight w:val="none"/>
                <w:lang w:val="en-US" w:eastAsia="zh-CN"/>
              </w:rPr>
              <w:t>取2L/（</w:t>
            </w:r>
            <w:r>
              <w:rPr>
                <w:rFonts w:hint="default" w:ascii="Times New Roman" w:hAnsi="Times New Roman" w:cs="Times New Roman"/>
                <w:color w:val="0000FF"/>
                <w:sz w:val="24"/>
                <w:szCs w:val="24"/>
                <w:highlight w:val="none"/>
              </w:rPr>
              <w:t>m</w:t>
            </w:r>
            <w:r>
              <w:rPr>
                <w:rFonts w:hint="default" w:ascii="Times New Roman" w:hAnsi="Times New Roman" w:cs="Times New Roman"/>
                <w:color w:val="0000FF"/>
                <w:sz w:val="24"/>
                <w:szCs w:val="24"/>
                <w:highlight w:val="none"/>
                <w:vertAlign w:val="superscript"/>
              </w:rPr>
              <w:t>2</w:t>
            </w:r>
            <w:r>
              <w:rPr>
                <w:rFonts w:hint="eastAsia" w:ascii="Times New Roman" w:hAnsi="Times New Roman" w:cs="Times New Roman"/>
                <w:color w:val="0000FF"/>
                <w:sz w:val="24"/>
                <w:szCs w:val="24"/>
                <w:highlight w:val="none"/>
                <w:vertAlign w:val="baseline"/>
                <w:lang w:val="en-US" w:eastAsia="zh-CN"/>
              </w:rPr>
              <w:t>·d</w:t>
            </w:r>
            <w:r>
              <w:rPr>
                <w:rFonts w:hint="eastAsia" w:ascii="Times New Roman" w:hAnsi="Times New Roman" w:cs="Times New Roman"/>
                <w:color w:val="0000FF"/>
                <w:sz w:val="24"/>
                <w:szCs w:val="24"/>
                <w:highlight w:val="none"/>
                <w:lang w:val="en-US" w:eastAsia="zh-CN"/>
              </w:rPr>
              <w:t>），则项目绿化用水量为17.2</w:t>
            </w:r>
            <w:r>
              <w:rPr>
                <w:rFonts w:hint="default" w:ascii="Times New Roman" w:hAnsi="Times New Roman" w:cs="Times New Roman"/>
                <w:color w:val="0000FF"/>
                <w:sz w:val="24"/>
                <w:highlight w:val="none"/>
              </w:rPr>
              <w:t>m</w:t>
            </w:r>
            <w:r>
              <w:rPr>
                <w:rFonts w:hint="default" w:ascii="Times New Roman" w:hAnsi="Times New Roman" w:cs="Times New Roman"/>
                <w:color w:val="0000FF"/>
                <w:sz w:val="24"/>
                <w:highlight w:val="none"/>
                <w:vertAlign w:val="superscript"/>
              </w:rPr>
              <w:t>3</w:t>
            </w:r>
            <w:r>
              <w:rPr>
                <w:rFonts w:hint="default" w:ascii="Times New Roman" w:hAnsi="Times New Roman" w:cs="Times New Roman"/>
                <w:color w:val="0000FF"/>
                <w:sz w:val="24"/>
                <w:szCs w:val="24"/>
                <w:highlight w:val="none"/>
              </w:rPr>
              <w:t>/d，</w:t>
            </w:r>
            <w:r>
              <w:rPr>
                <w:rFonts w:hint="eastAsia" w:ascii="Times New Roman" w:hAnsi="Times New Roman" w:cs="Times New Roman"/>
                <w:color w:val="0000FF"/>
                <w:sz w:val="24"/>
                <w:szCs w:val="24"/>
                <w:highlight w:val="none"/>
                <w:lang w:val="en-US" w:eastAsia="zh-CN"/>
              </w:rPr>
              <w:t>5160</w:t>
            </w:r>
            <w:r>
              <w:rPr>
                <w:rFonts w:hint="default" w:ascii="Times New Roman" w:hAnsi="Times New Roman" w:cs="Times New Roman"/>
                <w:color w:val="0000FF"/>
                <w:sz w:val="24"/>
                <w:highlight w:val="none"/>
              </w:rPr>
              <w:t>m</w:t>
            </w:r>
            <w:r>
              <w:rPr>
                <w:rFonts w:hint="default" w:ascii="Times New Roman" w:hAnsi="Times New Roman" w:cs="Times New Roman"/>
                <w:color w:val="0000FF"/>
                <w:sz w:val="24"/>
                <w:highlight w:val="none"/>
                <w:vertAlign w:val="superscript"/>
              </w:rPr>
              <w:t>3</w:t>
            </w:r>
            <w:r>
              <w:rPr>
                <w:rFonts w:hint="default" w:ascii="Times New Roman" w:hAnsi="Times New Roman" w:cs="Times New Roman"/>
                <w:color w:val="0000FF"/>
                <w:sz w:val="24"/>
                <w:szCs w:val="24"/>
                <w:highlight w:val="none"/>
              </w:rPr>
              <w:t>/</w:t>
            </w:r>
            <w:r>
              <w:rPr>
                <w:rFonts w:hint="default" w:ascii="Times New Roman" w:hAnsi="Times New Roman" w:cs="Times New Roman"/>
                <w:color w:val="0000FF"/>
                <w:sz w:val="24"/>
                <w:szCs w:val="24"/>
                <w:highlight w:val="none"/>
                <w:lang w:val="en-US" w:eastAsia="zh-CN"/>
              </w:rPr>
              <w:t>a</w:t>
            </w:r>
            <w:r>
              <w:rPr>
                <w:rFonts w:hint="eastAsia" w:ascii="Times New Roman" w:hAnsi="Times New Roman" w:cs="Times New Roman"/>
                <w:color w:val="0000FF"/>
                <w:sz w:val="24"/>
                <w:szCs w:val="24"/>
                <w:highlight w:val="none"/>
                <w:lang w:val="en-US" w:eastAsia="zh-CN"/>
              </w:rPr>
              <w:t>。</w:t>
            </w:r>
          </w:p>
          <w:p w14:paraId="6AFC808F">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综上所述，本项目用水量合计为13170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a</w:t>
            </w:r>
            <w:r>
              <w:rPr>
                <w:rFonts w:hint="eastAsia" w:cs="Times New Roman"/>
                <w:color w:val="auto"/>
                <w:sz w:val="24"/>
                <w:szCs w:val="24"/>
                <w:highlight w:val="none"/>
                <w:lang w:val="en-US" w:eastAsia="zh-CN"/>
              </w:rPr>
              <w:t>。</w:t>
            </w:r>
          </w:p>
          <w:p w14:paraId="1FBA5ED1">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（3）排水</w:t>
            </w:r>
          </w:p>
          <w:p w14:paraId="7C69A90F">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生活污水</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改扩建</w:t>
            </w:r>
            <w:r>
              <w:rPr>
                <w:rFonts w:hint="default" w:ascii="Times New Roman" w:hAnsi="Times New Roman" w:eastAsia="宋体" w:cs="Times New Roman"/>
                <w:color w:val="auto"/>
                <w:sz w:val="24"/>
                <w:szCs w:val="24"/>
                <w:highlight w:val="none"/>
              </w:rPr>
              <w:t>项目劳动定员</w:t>
            </w:r>
            <w:r>
              <w:rPr>
                <w:rFonts w:hint="eastAsia"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0人</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生</w:t>
            </w:r>
            <w:r>
              <w:rPr>
                <w:rFonts w:hint="default" w:ascii="Times New Roman" w:hAnsi="Times New Roman" w:eastAsia="宋体" w:cs="Times New Roman"/>
                <w:color w:val="auto"/>
                <w:sz w:val="24"/>
                <w:szCs w:val="24"/>
                <w:highlight w:val="none"/>
              </w:rPr>
              <w:t>活用水量为</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4800</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/a，产污系数</w:t>
            </w:r>
            <w:r>
              <w:rPr>
                <w:rFonts w:hint="eastAsia" w:ascii="Times New Roman" w:hAnsi="Times New Roman" w:cs="Times New Roman"/>
                <w:color w:val="auto"/>
                <w:sz w:val="24"/>
                <w:szCs w:val="24"/>
                <w:highlight w:val="none"/>
                <w:lang w:val="en-US" w:eastAsia="zh-CN"/>
              </w:rPr>
              <w:t>按</w:t>
            </w:r>
            <w:r>
              <w:rPr>
                <w:rFonts w:hint="default" w:ascii="Times New Roman" w:hAnsi="Times New Roman" w:eastAsia="宋体" w:cs="Times New Roman"/>
                <w:color w:val="auto"/>
                <w:sz w:val="24"/>
                <w:szCs w:val="24"/>
                <w:highlight w:val="none"/>
              </w:rPr>
              <w:t>0.8</w:t>
            </w:r>
            <w:r>
              <w:rPr>
                <w:rFonts w:hint="eastAsia" w:ascii="Times New Roman" w:hAnsi="Times New Roman" w:cs="Times New Roman"/>
                <w:color w:val="auto"/>
                <w:sz w:val="24"/>
                <w:szCs w:val="24"/>
                <w:highlight w:val="none"/>
                <w:lang w:val="en-US" w:eastAsia="zh-CN"/>
              </w:rPr>
              <w:t>计</w:t>
            </w:r>
            <w:r>
              <w:rPr>
                <w:rFonts w:hint="default" w:ascii="Times New Roman" w:hAnsi="Times New Roman" w:eastAsia="宋体" w:cs="Times New Roman"/>
                <w:color w:val="auto"/>
                <w:sz w:val="24"/>
                <w:szCs w:val="24"/>
                <w:highlight w:val="none"/>
              </w:rPr>
              <w:t>，则生活污水产生量为</w:t>
            </w:r>
            <w:r>
              <w:rPr>
                <w:rFonts w:hint="eastAsia" w:cs="Times New Roman"/>
                <w:color w:val="auto"/>
                <w:sz w:val="24"/>
                <w:szCs w:val="24"/>
                <w:highlight w:val="none"/>
                <w:lang w:val="en-US" w:eastAsia="zh-CN"/>
              </w:rPr>
              <w:t>12.</w:t>
            </w:r>
            <w:r>
              <w:rPr>
                <w:rFonts w:hint="default"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3840</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w:t>
            </w:r>
            <w:r>
              <w:rPr>
                <w:rFonts w:hint="eastAsia" w:ascii="Times New Roman" w:hAnsi="Times New Roman" w:cs="Times New Roman"/>
                <w:color w:val="auto"/>
                <w:sz w:val="24"/>
                <w:szCs w:val="24"/>
                <w:highlight w:val="none"/>
                <w:lang w:val="en-US" w:eastAsia="zh-CN"/>
              </w:rPr>
              <w:t>生活污水经原</w:t>
            </w:r>
            <w:r>
              <w:rPr>
                <w:rFonts w:hint="eastAsia" w:cs="Times New Roman"/>
                <w:color w:val="auto"/>
                <w:sz w:val="24"/>
                <w:szCs w:val="24"/>
                <w:highlight w:val="none"/>
                <w:lang w:val="en-US" w:eastAsia="zh-CN"/>
              </w:rPr>
              <w:t>隔油池+化粪池预处理</w:t>
            </w:r>
            <w:r>
              <w:rPr>
                <w:rFonts w:hint="eastAsia" w:ascii="Times New Roman" w:hAnsi="Times New Roman" w:eastAsia="宋体" w:cs="Times New Roman"/>
                <w:color w:val="auto"/>
                <w:sz w:val="24"/>
                <w:szCs w:val="24"/>
                <w:highlight w:val="none"/>
                <w:lang w:val="en-US" w:eastAsia="zh-CN"/>
              </w:rPr>
              <w:t>达到高安市工业园污水处理厂接管标准后</w:t>
            </w:r>
            <w:r>
              <w:rPr>
                <w:rFonts w:hint="default" w:ascii="Times New Roman" w:hAnsi="Times New Roman" w:eastAsia="宋体" w:cs="Times New Roman"/>
                <w:b w:val="0"/>
                <w:bCs/>
                <w:color w:val="auto"/>
                <w:kern w:val="2"/>
                <w:sz w:val="24"/>
                <w:szCs w:val="24"/>
                <w:highlight w:val="none"/>
                <w:lang w:val="en-US" w:eastAsia="zh-CN" w:bidi="ar-SA"/>
              </w:rPr>
              <w:t>排入高安市工业园污水</w:t>
            </w:r>
            <w:r>
              <w:rPr>
                <w:rFonts w:hint="eastAsia" w:ascii="Times New Roman" w:hAnsi="Times New Roman" w:eastAsia="宋体" w:cs="Times New Roman"/>
                <w:b w:val="0"/>
                <w:bCs/>
                <w:color w:val="auto"/>
                <w:kern w:val="2"/>
                <w:sz w:val="24"/>
                <w:szCs w:val="24"/>
                <w:highlight w:val="none"/>
                <w:lang w:val="en-US" w:eastAsia="zh-CN" w:bidi="ar-SA"/>
              </w:rPr>
              <w:t>处理厂进行深度处理，达到</w:t>
            </w:r>
            <w:r>
              <w:rPr>
                <w:rFonts w:hint="default" w:ascii="Times New Roman" w:hAnsi="Times New Roman" w:eastAsia="宋体" w:cs="Times New Roman"/>
                <w:b w:val="0"/>
                <w:bCs/>
                <w:color w:val="auto"/>
                <w:kern w:val="2"/>
                <w:sz w:val="24"/>
                <w:szCs w:val="24"/>
                <w:highlight w:val="none"/>
                <w:lang w:val="en-US" w:eastAsia="zh-CN" w:bidi="ar-SA"/>
              </w:rPr>
              <w:t>《城镇污水处理厂污染物排放标准》（GB18918-2002）一级A标准后排放</w:t>
            </w:r>
            <w:r>
              <w:rPr>
                <w:rFonts w:hint="eastAsia" w:ascii="Times New Roman" w:hAnsi="Times New Roman" w:eastAsia="宋体" w:cs="Times New Roman"/>
                <w:b w:val="0"/>
                <w:bCs/>
                <w:color w:val="auto"/>
                <w:kern w:val="2"/>
                <w:sz w:val="24"/>
                <w:szCs w:val="24"/>
                <w:highlight w:val="none"/>
                <w:lang w:val="en-US" w:eastAsia="zh-CN" w:bidi="ar-SA"/>
              </w:rPr>
              <w:t>。</w:t>
            </w:r>
          </w:p>
          <w:p w14:paraId="45CFF8F1">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eastAsia="宋体"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清洗废水：根据业主提供的资料，超声波清洗水一周更换一次，废水产生量为8t/周，约为1.14</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eastAsia" w:cs="Times New Roman"/>
                <w:b w:val="0"/>
                <w:bCs/>
                <w:color w:val="auto"/>
                <w:kern w:val="2"/>
                <w:sz w:val="24"/>
                <w:szCs w:val="24"/>
                <w:highlight w:val="none"/>
                <w:lang w:val="en-US" w:eastAsia="zh-CN" w:bidi="ar-SA"/>
              </w:rPr>
              <w:t>/d，342.86</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因清洗废水中总磷含量较高，则需采用一体化污水处理设施进行处理达到高安市工业园污水处理厂接管标准后</w:t>
            </w:r>
            <w:r>
              <w:rPr>
                <w:rFonts w:hint="default" w:ascii="Times New Roman" w:hAnsi="Times New Roman" w:eastAsia="宋体" w:cs="Times New Roman"/>
                <w:b w:val="0"/>
                <w:bCs/>
                <w:color w:val="auto"/>
                <w:kern w:val="2"/>
                <w:sz w:val="24"/>
                <w:szCs w:val="24"/>
                <w:highlight w:val="none"/>
                <w:lang w:val="en-US" w:eastAsia="zh-CN" w:bidi="ar-SA"/>
              </w:rPr>
              <w:t>排入高安市工业园污水厂，处理达《城镇污水处理厂污染物排放标准》（GB18918-2002）一级A标准后排放</w:t>
            </w:r>
            <w:r>
              <w:rPr>
                <w:rFonts w:hint="eastAsia" w:ascii="Times New Roman" w:hAnsi="Times New Roman" w:eastAsia="宋体" w:cs="Times New Roman"/>
                <w:b w:val="0"/>
                <w:bCs/>
                <w:color w:val="auto"/>
                <w:kern w:val="2"/>
                <w:sz w:val="24"/>
                <w:szCs w:val="24"/>
                <w:highlight w:val="none"/>
                <w:lang w:val="en-US" w:eastAsia="zh-CN" w:bidi="ar-SA"/>
              </w:rPr>
              <w:t>。</w:t>
            </w:r>
          </w:p>
          <w:p w14:paraId="15DD44CE">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地面清洗废水：地面清洗用水</w:t>
            </w:r>
            <w:r>
              <w:rPr>
                <w:rFonts w:hint="default" w:ascii="Times New Roman" w:hAnsi="Times New Roman" w:cs="Times New Roman"/>
                <w:color w:val="auto"/>
                <w:sz w:val="24"/>
                <w:szCs w:val="24"/>
                <w:highlight w:val="none"/>
              </w:rPr>
              <w:t>量为</w:t>
            </w:r>
            <w:r>
              <w:rPr>
                <w:rFonts w:hint="eastAsia" w:cs="Times New Roman"/>
                <w:color w:val="auto"/>
                <w:sz w:val="24"/>
                <w:szCs w:val="24"/>
                <w:highlight w:val="none"/>
                <w:lang w:val="en-US" w:eastAsia="zh-CN"/>
              </w:rPr>
              <w:t>3.51</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/d，</w:t>
            </w:r>
            <w:r>
              <w:rPr>
                <w:rFonts w:hint="eastAsia" w:cs="Times New Roman"/>
                <w:color w:val="auto"/>
                <w:sz w:val="24"/>
                <w:szCs w:val="24"/>
                <w:highlight w:val="none"/>
                <w:lang w:val="en-US" w:eastAsia="zh-CN"/>
              </w:rPr>
              <w:t>1052.55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eastAsia="zh-CN"/>
              </w:rPr>
              <w:t>。</w:t>
            </w:r>
            <w:r>
              <w:rPr>
                <w:rFonts w:hint="eastAsia" w:cs="Times New Roman"/>
                <w:b w:val="0"/>
                <w:bCs/>
                <w:color w:val="auto"/>
                <w:kern w:val="2"/>
                <w:sz w:val="24"/>
                <w:szCs w:val="24"/>
                <w:highlight w:val="none"/>
                <w:lang w:val="en-US" w:eastAsia="zh-CN" w:bidi="ar-SA"/>
              </w:rPr>
              <w:t>产污系数按0.8计，则地面清洗废水产生量为2.81</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/d，</w:t>
            </w:r>
            <w:r>
              <w:rPr>
                <w:rFonts w:hint="eastAsia" w:cs="Times New Roman"/>
                <w:color w:val="auto"/>
                <w:sz w:val="24"/>
                <w:szCs w:val="24"/>
                <w:highlight w:val="none"/>
                <w:lang w:val="en-US" w:eastAsia="zh-CN"/>
              </w:rPr>
              <w:t>1052.55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a</w:t>
            </w:r>
            <w:r>
              <w:rPr>
                <w:rFonts w:hint="default" w:ascii="Times New Roman" w:hAnsi="Times New Roman" w:eastAsia="宋体" w:cs="Times New Roman"/>
                <w:b w:val="0"/>
                <w:bCs/>
                <w:color w:val="auto"/>
                <w:kern w:val="2"/>
                <w:sz w:val="24"/>
                <w:szCs w:val="24"/>
                <w:highlight w:val="none"/>
                <w:lang w:val="en-US" w:eastAsia="zh-CN" w:bidi="ar-SA"/>
              </w:rPr>
              <w:t>。</w:t>
            </w:r>
            <w:r>
              <w:rPr>
                <w:rFonts w:hint="eastAsia" w:cs="Times New Roman"/>
                <w:b w:val="0"/>
                <w:bCs/>
                <w:color w:val="auto"/>
                <w:kern w:val="2"/>
                <w:sz w:val="24"/>
                <w:szCs w:val="24"/>
                <w:highlight w:val="none"/>
                <w:lang w:val="en-US" w:eastAsia="zh-CN" w:bidi="ar-SA"/>
              </w:rPr>
              <w:t>地面清洗废水经沉淀池沉淀后回用，沉淀池底部污泥定期清理。</w:t>
            </w:r>
          </w:p>
          <w:p w14:paraId="5599C826">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object>
                <v:shape id="_x0000_i1025" o:spt="75" type="#_x0000_t75" style="height:223.45pt;width:397pt;" o:ole="t" filled="f" o:preferrelative="t" stroked="f" coordsize="21600,21600">
                  <v:path/>
                  <v:fill on="f" focussize="0,0"/>
                  <v:stroke on="f"/>
                  <v:imagedata r:id="rId10" o:title=""/>
                  <o:lock v:ext="edit" aspectratio="f"/>
                  <w10:wrap type="none"/>
                  <w10:anchorlock/>
                </v:shape>
                <o:OLEObject Type="Embed" ProgID="Visio.Drawing.15" ShapeID="_x0000_i1025" DrawAspect="Content" ObjectID="_1468075725" r:id="rId9">
                  <o:LockedField>false</o:LockedField>
                </o:OLEObject>
              </w:object>
            </w:r>
          </w:p>
          <w:p w14:paraId="034BD415">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0000FF"/>
                <w:sz w:val="21"/>
                <w:szCs w:val="21"/>
                <w:highlight w:val="none"/>
                <w:lang w:val="en-US" w:eastAsia="zh-CN" w:bidi="zh-CN"/>
              </w:rPr>
            </w:pPr>
            <w:r>
              <w:rPr>
                <w:rFonts w:hint="default" w:ascii="Times New Roman" w:hAnsi="Times New Roman" w:eastAsia="宋体" w:cs="Times New Roman"/>
                <w:b/>
                <w:bCs/>
                <w:color w:val="0000FF"/>
                <w:sz w:val="21"/>
                <w:szCs w:val="21"/>
                <w:highlight w:val="none"/>
                <w:lang w:val="en-US" w:eastAsia="zh-CN" w:bidi="zh-CN"/>
              </w:rPr>
              <w:t xml:space="preserve">图2-1 </w:t>
            </w:r>
            <w:r>
              <w:rPr>
                <w:rFonts w:hint="eastAsia" w:cs="Times New Roman"/>
                <w:b/>
                <w:bCs/>
                <w:color w:val="0000FF"/>
                <w:sz w:val="21"/>
                <w:szCs w:val="21"/>
                <w:highlight w:val="none"/>
                <w:lang w:val="en-US" w:eastAsia="zh-CN" w:bidi="zh-CN"/>
              </w:rPr>
              <w:t>改扩建</w:t>
            </w:r>
            <w:r>
              <w:rPr>
                <w:rFonts w:hint="default" w:ascii="Times New Roman" w:hAnsi="Times New Roman" w:eastAsia="宋体" w:cs="Times New Roman"/>
                <w:b/>
                <w:bCs/>
                <w:color w:val="0000FF"/>
                <w:sz w:val="21"/>
                <w:szCs w:val="21"/>
                <w:highlight w:val="none"/>
                <w:lang w:val="en-US" w:eastAsia="zh-CN" w:bidi="zh-CN"/>
              </w:rPr>
              <w:t>项目水平衡图（单位：m³/</w:t>
            </w:r>
            <w:r>
              <w:rPr>
                <w:rFonts w:hint="eastAsia" w:cs="Times New Roman"/>
                <w:b/>
                <w:bCs/>
                <w:color w:val="0000FF"/>
                <w:sz w:val="21"/>
                <w:szCs w:val="21"/>
                <w:highlight w:val="none"/>
                <w:lang w:val="en-US" w:eastAsia="zh-CN" w:bidi="zh-CN"/>
              </w:rPr>
              <w:t>d</w:t>
            </w:r>
            <w:r>
              <w:rPr>
                <w:rFonts w:hint="default" w:ascii="Times New Roman" w:hAnsi="Times New Roman" w:eastAsia="宋体" w:cs="Times New Roman"/>
                <w:b/>
                <w:bCs/>
                <w:color w:val="0000FF"/>
                <w:sz w:val="21"/>
                <w:szCs w:val="21"/>
                <w:highlight w:val="none"/>
                <w:lang w:val="en-US" w:eastAsia="zh-CN" w:bidi="zh-CN"/>
              </w:rPr>
              <w:t>）</w:t>
            </w:r>
          </w:p>
          <w:p w14:paraId="317D53C1">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auto"/>
                <w:sz w:val="21"/>
                <w:szCs w:val="21"/>
                <w:highlight w:val="none"/>
                <w:lang w:val="en-US" w:eastAsia="zh-CN" w:bidi="zh-CN"/>
              </w:rPr>
            </w:pPr>
          </w:p>
          <w:p w14:paraId="67F213AB">
            <w:pPr>
              <w:keepNext w:val="0"/>
              <w:keepLines w:val="0"/>
              <w:pageBreakBefore w:val="0"/>
              <w:widowControl w:val="0"/>
              <w:numPr>
                <w:ilvl w:val="0"/>
                <w:numId w:val="7"/>
              </w:numPr>
              <w:kinsoku/>
              <w:wordWrap/>
              <w:overflowPunct/>
              <w:topLinePunct w:val="0"/>
              <w:autoSpaceDE/>
              <w:autoSpaceDN/>
              <w:bidi w:val="0"/>
              <w:adjustRightInd/>
              <w:snapToGrid/>
              <w:spacing w:before="157" w:beforeLines="50" w:line="240" w:lineRule="auto"/>
              <w:ind w:left="0" w:leftChars="0" w:firstLine="0" w:firstLineChars="0"/>
              <w:jc w:val="center"/>
              <w:textAlignment w:val="auto"/>
              <w:rPr>
                <w:rFonts w:hint="default" w:ascii="Times New Roman" w:hAnsi="Times New Roman" w:eastAsia="宋体" w:cs="Times New Roman"/>
                <w:b/>
                <w:bCs/>
                <w:color w:val="0000FF"/>
                <w:kern w:val="0"/>
                <w:sz w:val="21"/>
                <w:szCs w:val="21"/>
                <w:highlight w:val="none"/>
                <w:lang w:val="en"/>
              </w:rPr>
            </w:pPr>
            <w:r>
              <w:rPr>
                <w:rFonts w:hint="default" w:ascii="Times New Roman" w:hAnsi="Times New Roman" w:eastAsia="宋体" w:cs="Times New Roman"/>
                <w:b/>
                <w:bCs/>
                <w:color w:val="0000FF"/>
                <w:kern w:val="0"/>
                <w:sz w:val="21"/>
                <w:szCs w:val="21"/>
                <w:highlight w:val="none"/>
                <w:lang w:val="en-US" w:eastAsia="zh-CN"/>
              </w:rPr>
              <w:t>本</w:t>
            </w:r>
            <w:r>
              <w:rPr>
                <w:rFonts w:hint="eastAsia" w:cs="Times New Roman"/>
                <w:b/>
                <w:bCs/>
                <w:color w:val="0000FF"/>
                <w:kern w:val="0"/>
                <w:sz w:val="21"/>
                <w:szCs w:val="21"/>
                <w:highlight w:val="none"/>
                <w:lang w:val="en-US" w:eastAsia="zh-CN"/>
              </w:rPr>
              <w:t>改扩建</w:t>
            </w:r>
            <w:r>
              <w:rPr>
                <w:rFonts w:hint="default" w:ascii="Times New Roman" w:hAnsi="Times New Roman" w:eastAsia="宋体" w:cs="Times New Roman"/>
                <w:b/>
                <w:bCs/>
                <w:color w:val="0000FF"/>
                <w:kern w:val="0"/>
                <w:sz w:val="21"/>
                <w:szCs w:val="21"/>
                <w:highlight w:val="none"/>
                <w:lang w:val="en-US" w:eastAsia="zh-CN"/>
              </w:rPr>
              <w:t>项目建成后全厂</w:t>
            </w:r>
            <w:r>
              <w:rPr>
                <w:rFonts w:hint="default" w:ascii="Times New Roman" w:hAnsi="Times New Roman" w:eastAsia="宋体" w:cs="Times New Roman"/>
                <w:b/>
                <w:bCs/>
                <w:color w:val="0000FF"/>
                <w:kern w:val="0"/>
                <w:sz w:val="21"/>
                <w:szCs w:val="21"/>
                <w:highlight w:val="none"/>
                <w:lang w:val="en"/>
              </w:rPr>
              <w:t>水平衡表</w:t>
            </w:r>
            <w:r>
              <w:rPr>
                <w:rFonts w:hint="eastAsia" w:cs="Times New Roman"/>
                <w:b/>
                <w:bCs/>
                <w:color w:val="0000FF"/>
                <w:kern w:val="0"/>
                <w:sz w:val="21"/>
                <w:szCs w:val="21"/>
                <w:highlight w:val="none"/>
                <w:lang w:val="en-US" w:eastAsia="zh-CN"/>
              </w:rPr>
              <w:t xml:space="preserve">  </w:t>
            </w:r>
            <w:r>
              <w:rPr>
                <w:rFonts w:hint="default" w:ascii="Times New Roman" w:hAnsi="Times New Roman" w:eastAsia="宋体" w:cs="Times New Roman"/>
                <w:b/>
                <w:bCs/>
                <w:color w:val="0000FF"/>
                <w:kern w:val="0"/>
                <w:sz w:val="21"/>
                <w:szCs w:val="21"/>
                <w:highlight w:val="none"/>
                <w:lang w:val="en"/>
              </w:rPr>
              <w:t>（</w:t>
            </w:r>
            <w:r>
              <w:rPr>
                <w:rFonts w:hint="eastAsia" w:cs="Times New Roman"/>
                <w:b/>
                <w:bCs/>
                <w:color w:val="0000FF"/>
                <w:kern w:val="0"/>
                <w:sz w:val="21"/>
                <w:szCs w:val="21"/>
                <w:highlight w:val="none"/>
                <w:lang w:val="en-US" w:eastAsia="zh-CN"/>
              </w:rPr>
              <w:t>单位：</w:t>
            </w:r>
            <w:r>
              <w:rPr>
                <w:rFonts w:hint="default" w:ascii="Times New Roman" w:hAnsi="Times New Roman" w:eastAsia="宋体" w:cs="Times New Roman"/>
                <w:b/>
                <w:bCs/>
                <w:color w:val="0000FF"/>
                <w:kern w:val="0"/>
                <w:sz w:val="21"/>
                <w:szCs w:val="21"/>
                <w:highlight w:val="none"/>
                <w:lang w:val="en"/>
              </w:rPr>
              <w:t>m</w:t>
            </w:r>
            <w:r>
              <w:rPr>
                <w:rFonts w:hint="default" w:ascii="Times New Roman" w:hAnsi="Times New Roman" w:eastAsia="宋体" w:cs="Times New Roman"/>
                <w:b/>
                <w:bCs/>
                <w:color w:val="0000FF"/>
                <w:kern w:val="0"/>
                <w:sz w:val="21"/>
                <w:szCs w:val="21"/>
                <w:highlight w:val="none"/>
                <w:vertAlign w:val="superscript"/>
                <w:lang w:val="en"/>
              </w:rPr>
              <w:t>3</w:t>
            </w:r>
            <w:r>
              <w:rPr>
                <w:rFonts w:hint="default" w:ascii="Times New Roman" w:hAnsi="Times New Roman" w:eastAsia="宋体" w:cs="Times New Roman"/>
                <w:b/>
                <w:bCs/>
                <w:color w:val="0000FF"/>
                <w:kern w:val="0"/>
                <w:sz w:val="21"/>
                <w:szCs w:val="21"/>
                <w:highlight w:val="none"/>
                <w:lang w:val="en"/>
              </w:rPr>
              <w:t>/</w:t>
            </w:r>
            <w:r>
              <w:rPr>
                <w:rFonts w:hint="eastAsia" w:cs="Times New Roman"/>
                <w:b/>
                <w:bCs/>
                <w:color w:val="0000FF"/>
                <w:kern w:val="0"/>
                <w:sz w:val="21"/>
                <w:szCs w:val="21"/>
                <w:highlight w:val="none"/>
                <w:lang w:val="en-US" w:eastAsia="zh-CN"/>
              </w:rPr>
              <w:t>d</w:t>
            </w:r>
            <w:r>
              <w:rPr>
                <w:rFonts w:hint="default" w:ascii="Times New Roman" w:hAnsi="Times New Roman" w:eastAsia="宋体" w:cs="Times New Roman"/>
                <w:b/>
                <w:bCs/>
                <w:color w:val="0000FF"/>
                <w:kern w:val="0"/>
                <w:sz w:val="21"/>
                <w:szCs w:val="21"/>
                <w:highlight w:val="none"/>
                <w:lang w:val="en"/>
              </w:rPr>
              <w:t>）</w:t>
            </w:r>
          </w:p>
          <w:tbl>
            <w:tblPr>
              <w:tblStyle w:val="33"/>
              <w:tblW w:w="496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1154"/>
              <w:gridCol w:w="1020"/>
              <w:gridCol w:w="930"/>
              <w:gridCol w:w="1065"/>
              <w:gridCol w:w="960"/>
              <w:gridCol w:w="1005"/>
            </w:tblGrid>
            <w:tr w14:paraId="6A528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vMerge w:val="restart"/>
                  <w:noWrap w:val="0"/>
                  <w:vAlign w:val="center"/>
                </w:tcPr>
                <w:p w14:paraId="018834DA">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default" w:ascii="Times New Roman" w:hAnsi="Times New Roman" w:eastAsia="宋体" w:cs="Times New Roman"/>
                      <w:b/>
                      <w:color w:val="0000FF"/>
                      <w:sz w:val="21"/>
                      <w:szCs w:val="21"/>
                    </w:rPr>
                    <w:t>用水项目</w:t>
                  </w:r>
                </w:p>
              </w:tc>
              <w:tc>
                <w:tcPr>
                  <w:tcW w:w="1967" w:type="pct"/>
                  <w:gridSpan w:val="3"/>
                  <w:noWrap w:val="0"/>
                  <w:vAlign w:val="center"/>
                </w:tcPr>
                <w:p w14:paraId="55DA8B57">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eastAsia" w:ascii="Times New Roman" w:hAnsi="Times New Roman" w:eastAsia="宋体" w:cs="Times New Roman"/>
                      <w:b/>
                      <w:color w:val="0000FF"/>
                      <w:sz w:val="21"/>
                      <w:szCs w:val="21"/>
                      <w:lang w:val="en-US" w:eastAsia="zh-CN"/>
                    </w:rPr>
                    <w:t>给水</w:t>
                  </w:r>
                </w:p>
              </w:tc>
              <w:tc>
                <w:tcPr>
                  <w:tcW w:w="1920" w:type="pct"/>
                  <w:gridSpan w:val="3"/>
                  <w:noWrap w:val="0"/>
                  <w:vAlign w:val="center"/>
                </w:tcPr>
                <w:p w14:paraId="6753B8DB">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eastAsia" w:ascii="Times New Roman" w:hAnsi="Times New Roman" w:eastAsia="宋体" w:cs="Times New Roman"/>
                      <w:b/>
                      <w:color w:val="0000FF"/>
                      <w:sz w:val="21"/>
                      <w:szCs w:val="21"/>
                      <w:lang w:val="en-US" w:eastAsia="zh-CN"/>
                    </w:rPr>
                    <w:t>排水</w:t>
                  </w:r>
                </w:p>
              </w:tc>
            </w:tr>
            <w:tr w14:paraId="40F14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vMerge w:val="continue"/>
                  <w:noWrap w:val="0"/>
                  <w:vAlign w:val="center"/>
                </w:tcPr>
                <w:p w14:paraId="1A870B14">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p>
              </w:tc>
              <w:tc>
                <w:tcPr>
                  <w:tcW w:w="731" w:type="pct"/>
                  <w:noWrap w:val="0"/>
                  <w:vAlign w:val="center"/>
                </w:tcPr>
                <w:p w14:paraId="526A6B6F">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default" w:ascii="Times New Roman" w:hAnsi="Times New Roman" w:eastAsia="宋体" w:cs="Times New Roman"/>
                      <w:b/>
                      <w:color w:val="0000FF"/>
                      <w:sz w:val="21"/>
                      <w:szCs w:val="21"/>
                    </w:rPr>
                    <w:t>总用水量</w:t>
                  </w:r>
                </w:p>
              </w:tc>
              <w:tc>
                <w:tcPr>
                  <w:tcW w:w="646" w:type="pct"/>
                  <w:noWrap w:val="0"/>
                  <w:vAlign w:val="center"/>
                </w:tcPr>
                <w:p w14:paraId="0F502AF5">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default" w:ascii="Times New Roman" w:hAnsi="Times New Roman" w:eastAsia="宋体" w:cs="Times New Roman"/>
                      <w:b/>
                      <w:color w:val="0000FF"/>
                      <w:sz w:val="21"/>
                      <w:szCs w:val="21"/>
                    </w:rPr>
                    <w:t>新鲜水</w:t>
                  </w:r>
                </w:p>
              </w:tc>
              <w:tc>
                <w:tcPr>
                  <w:tcW w:w="589" w:type="pct"/>
                  <w:noWrap w:val="0"/>
                  <w:vAlign w:val="center"/>
                </w:tcPr>
                <w:p w14:paraId="39449D78">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lang w:val="en-US" w:eastAsia="zh-CN"/>
                    </w:rPr>
                  </w:pPr>
                  <w:r>
                    <w:rPr>
                      <w:rFonts w:hint="eastAsia" w:ascii="Times New Roman" w:hAnsi="Times New Roman" w:eastAsia="宋体" w:cs="Times New Roman"/>
                      <w:b/>
                      <w:color w:val="0000FF"/>
                      <w:sz w:val="21"/>
                      <w:szCs w:val="21"/>
                      <w:lang w:val="en-US" w:eastAsia="zh-CN"/>
                    </w:rPr>
                    <w:t>回用</w:t>
                  </w:r>
                </w:p>
              </w:tc>
              <w:tc>
                <w:tcPr>
                  <w:tcW w:w="674" w:type="pct"/>
                  <w:noWrap w:val="0"/>
                  <w:vAlign w:val="center"/>
                </w:tcPr>
                <w:p w14:paraId="6A1909CD">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default" w:ascii="Times New Roman" w:hAnsi="Times New Roman" w:eastAsia="宋体" w:cs="Times New Roman"/>
                      <w:b/>
                      <w:color w:val="0000FF"/>
                      <w:sz w:val="21"/>
                      <w:szCs w:val="21"/>
                    </w:rPr>
                    <w:t>损耗</w:t>
                  </w:r>
                </w:p>
              </w:tc>
              <w:tc>
                <w:tcPr>
                  <w:tcW w:w="608" w:type="pct"/>
                  <w:noWrap w:val="0"/>
                  <w:vAlign w:val="center"/>
                </w:tcPr>
                <w:p w14:paraId="1C8CBCA2">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0000FF"/>
                      <w:sz w:val="21"/>
                      <w:szCs w:val="21"/>
                    </w:rPr>
                  </w:pPr>
                  <w:r>
                    <w:rPr>
                      <w:rFonts w:hint="default" w:ascii="Times New Roman" w:hAnsi="Times New Roman" w:eastAsia="宋体" w:cs="Times New Roman"/>
                      <w:b/>
                      <w:color w:val="0000FF"/>
                      <w:sz w:val="21"/>
                      <w:szCs w:val="21"/>
                    </w:rPr>
                    <w:t>废水</w:t>
                  </w:r>
                </w:p>
              </w:tc>
              <w:tc>
                <w:tcPr>
                  <w:tcW w:w="636" w:type="pct"/>
                  <w:noWrap w:val="0"/>
                  <w:vAlign w:val="center"/>
                </w:tcPr>
                <w:p w14:paraId="52181E53">
                  <w:pPr>
                    <w:pStyle w:val="126"/>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color w:val="0000FF"/>
                      <w:sz w:val="21"/>
                      <w:szCs w:val="21"/>
                      <w:lang w:eastAsia="zh-CN"/>
                    </w:rPr>
                  </w:pPr>
                  <w:r>
                    <w:rPr>
                      <w:rFonts w:hint="eastAsia" w:ascii="Times New Roman" w:hAnsi="Times New Roman" w:eastAsia="宋体" w:cs="Times New Roman"/>
                      <w:b/>
                      <w:color w:val="0000FF"/>
                      <w:sz w:val="21"/>
                      <w:szCs w:val="21"/>
                      <w:lang w:val="en-US" w:eastAsia="zh-CN"/>
                    </w:rPr>
                    <w:t>回用</w:t>
                  </w:r>
                </w:p>
              </w:tc>
            </w:tr>
            <w:tr w14:paraId="16423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noWrap w:val="0"/>
                  <w:vAlign w:val="center"/>
                </w:tcPr>
                <w:p w14:paraId="76A1B525">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lang w:eastAsia="zh-CN"/>
                    </w:rPr>
                    <w:t>生活</w:t>
                  </w:r>
                  <w:r>
                    <w:rPr>
                      <w:rFonts w:hint="default" w:ascii="Times New Roman" w:hAnsi="Times New Roman" w:eastAsia="宋体" w:cs="Times New Roman"/>
                      <w:color w:val="0000FF"/>
                      <w:sz w:val="21"/>
                      <w:szCs w:val="21"/>
                    </w:rPr>
                    <w:t>用水</w:t>
                  </w:r>
                </w:p>
              </w:tc>
              <w:tc>
                <w:tcPr>
                  <w:tcW w:w="731" w:type="pct"/>
                  <w:noWrap w:val="0"/>
                  <w:vAlign w:val="center"/>
                </w:tcPr>
                <w:p w14:paraId="6D707BB8">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16</w:t>
                  </w:r>
                </w:p>
              </w:tc>
              <w:tc>
                <w:tcPr>
                  <w:tcW w:w="646" w:type="pct"/>
                  <w:noWrap w:val="0"/>
                  <w:vAlign w:val="center"/>
                </w:tcPr>
                <w:p w14:paraId="7F732441">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16</w:t>
                  </w:r>
                </w:p>
              </w:tc>
              <w:tc>
                <w:tcPr>
                  <w:tcW w:w="589" w:type="pct"/>
                  <w:noWrap w:val="0"/>
                  <w:vAlign w:val="center"/>
                </w:tcPr>
                <w:p w14:paraId="1DEB516C">
                  <w:pPr>
                    <w:keepNext w:val="0"/>
                    <w:keepLines w:val="0"/>
                    <w:widowControl/>
                    <w:suppressLineNumbers w:val="0"/>
                    <w:jc w:val="center"/>
                    <w:textAlignment w:val="center"/>
                    <w:rPr>
                      <w:rFonts w:hint="default" w:cs="Times New Roman"/>
                      <w:color w:val="0000FF"/>
                      <w:sz w:val="21"/>
                      <w:szCs w:val="21"/>
                      <w:lang w:val="en-US" w:eastAsia="zh-CN"/>
                    </w:rPr>
                  </w:pPr>
                  <w:r>
                    <w:rPr>
                      <w:rFonts w:hint="eastAsia" w:cs="Times New Roman"/>
                      <w:color w:val="0000FF"/>
                      <w:sz w:val="21"/>
                      <w:szCs w:val="21"/>
                      <w:lang w:val="en-US" w:eastAsia="zh-CN"/>
                    </w:rPr>
                    <w:t>0</w:t>
                  </w:r>
                </w:p>
              </w:tc>
              <w:tc>
                <w:tcPr>
                  <w:tcW w:w="674" w:type="pct"/>
                  <w:noWrap w:val="0"/>
                  <w:vAlign w:val="center"/>
                </w:tcPr>
                <w:p w14:paraId="1573FEF4">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3.2</w:t>
                  </w:r>
                </w:p>
              </w:tc>
              <w:tc>
                <w:tcPr>
                  <w:tcW w:w="608" w:type="pct"/>
                  <w:noWrap w:val="0"/>
                  <w:vAlign w:val="center"/>
                </w:tcPr>
                <w:p w14:paraId="68963F19">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12.8</w:t>
                  </w:r>
                </w:p>
              </w:tc>
              <w:tc>
                <w:tcPr>
                  <w:tcW w:w="636" w:type="pct"/>
                  <w:noWrap w:val="0"/>
                  <w:vAlign w:val="center"/>
                </w:tcPr>
                <w:p w14:paraId="62E5C376">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0</w:t>
                  </w:r>
                </w:p>
              </w:tc>
            </w:tr>
            <w:tr w14:paraId="2FFE1C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1112" w:type="pct"/>
                  <w:noWrap w:val="0"/>
                  <w:vAlign w:val="center"/>
                </w:tcPr>
                <w:p w14:paraId="1B44E614">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超声波清洗</w:t>
                  </w:r>
                  <w:r>
                    <w:rPr>
                      <w:rFonts w:hint="default" w:ascii="Times New Roman" w:hAnsi="Times New Roman" w:eastAsia="宋体" w:cs="Times New Roman"/>
                      <w:color w:val="0000FF"/>
                      <w:sz w:val="21"/>
                      <w:szCs w:val="21"/>
                      <w:lang w:val="en-US" w:eastAsia="zh-CN"/>
                    </w:rPr>
                    <w:t>用水</w:t>
                  </w:r>
                </w:p>
              </w:tc>
              <w:tc>
                <w:tcPr>
                  <w:tcW w:w="731" w:type="pct"/>
                  <w:noWrap w:val="0"/>
                  <w:vAlign w:val="center"/>
                </w:tcPr>
                <w:p w14:paraId="1E5531C1">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1.43</w:t>
                  </w:r>
                </w:p>
              </w:tc>
              <w:tc>
                <w:tcPr>
                  <w:tcW w:w="646" w:type="pct"/>
                  <w:noWrap w:val="0"/>
                  <w:vAlign w:val="center"/>
                </w:tcPr>
                <w:p w14:paraId="7F06D8E4">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1.43</w:t>
                  </w:r>
                </w:p>
              </w:tc>
              <w:tc>
                <w:tcPr>
                  <w:tcW w:w="589" w:type="pct"/>
                  <w:noWrap w:val="0"/>
                  <w:vAlign w:val="center"/>
                </w:tcPr>
                <w:p w14:paraId="5ED6E8F5">
                  <w:pPr>
                    <w:keepNext w:val="0"/>
                    <w:keepLines w:val="0"/>
                    <w:widowControl/>
                    <w:suppressLineNumbers w:val="0"/>
                    <w:jc w:val="center"/>
                    <w:textAlignment w:val="center"/>
                    <w:rPr>
                      <w:rFonts w:hint="default" w:cs="Times New Roman"/>
                      <w:color w:val="0000FF"/>
                      <w:sz w:val="21"/>
                      <w:szCs w:val="21"/>
                      <w:lang w:val="en-US" w:eastAsia="zh-CN"/>
                    </w:rPr>
                  </w:pPr>
                  <w:r>
                    <w:rPr>
                      <w:rFonts w:hint="eastAsia" w:cs="Times New Roman"/>
                      <w:color w:val="0000FF"/>
                      <w:sz w:val="21"/>
                      <w:szCs w:val="21"/>
                      <w:lang w:val="en-US" w:eastAsia="zh-CN"/>
                    </w:rPr>
                    <w:t>0</w:t>
                  </w:r>
                </w:p>
              </w:tc>
              <w:tc>
                <w:tcPr>
                  <w:tcW w:w="674" w:type="pct"/>
                  <w:noWrap w:val="0"/>
                  <w:vAlign w:val="center"/>
                </w:tcPr>
                <w:p w14:paraId="013E4AF5">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0.29</w:t>
                  </w:r>
                </w:p>
              </w:tc>
              <w:tc>
                <w:tcPr>
                  <w:tcW w:w="608" w:type="pct"/>
                  <w:noWrap w:val="0"/>
                  <w:vAlign w:val="center"/>
                </w:tcPr>
                <w:p w14:paraId="085A52E2">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1.14</w:t>
                  </w:r>
                </w:p>
              </w:tc>
              <w:tc>
                <w:tcPr>
                  <w:tcW w:w="636" w:type="pct"/>
                  <w:noWrap w:val="0"/>
                  <w:vAlign w:val="center"/>
                </w:tcPr>
                <w:p w14:paraId="5B4C90EC">
                  <w:pPr>
                    <w:keepNext w:val="0"/>
                    <w:keepLines w:val="0"/>
                    <w:widowControl/>
                    <w:suppressLineNumbers w:val="0"/>
                    <w:jc w:val="center"/>
                    <w:textAlignment w:val="center"/>
                    <w:rPr>
                      <w:rFonts w:hint="default" w:ascii="Times New Roman" w:hAnsi="Times New Roman" w:eastAsia="宋体" w:cs="Times New Roman"/>
                      <w:color w:val="0000FF"/>
                      <w:kern w:val="2"/>
                      <w:position w:val="-10"/>
                      <w:sz w:val="21"/>
                      <w:szCs w:val="21"/>
                      <w:lang w:val="en-US" w:eastAsia="zh-CN" w:bidi="ar-SA"/>
                    </w:rPr>
                  </w:pPr>
                  <w:r>
                    <w:rPr>
                      <w:rFonts w:hint="eastAsia" w:cs="Times New Roman"/>
                      <w:color w:val="0000FF"/>
                      <w:sz w:val="21"/>
                      <w:szCs w:val="21"/>
                      <w:lang w:val="en-US" w:eastAsia="zh-CN"/>
                    </w:rPr>
                    <w:t>0</w:t>
                  </w:r>
                </w:p>
              </w:tc>
            </w:tr>
            <w:tr w14:paraId="61A6A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noWrap w:val="0"/>
                  <w:vAlign w:val="center"/>
                </w:tcPr>
                <w:p w14:paraId="38DD2C1C">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eastAsia="zh-CN"/>
                    </w:rPr>
                  </w:pPr>
                  <w:r>
                    <w:rPr>
                      <w:rFonts w:hint="eastAsia" w:ascii="Times New Roman" w:hAnsi="Times New Roman" w:eastAsia="宋体" w:cs="Times New Roman"/>
                      <w:color w:val="0000FF"/>
                      <w:sz w:val="21"/>
                      <w:szCs w:val="21"/>
                      <w:lang w:val="en-US" w:eastAsia="zh-CN"/>
                    </w:rPr>
                    <w:t>地面</w:t>
                  </w:r>
                  <w:r>
                    <w:rPr>
                      <w:rFonts w:hint="default" w:ascii="Times New Roman" w:hAnsi="Times New Roman" w:eastAsia="宋体" w:cs="Times New Roman"/>
                      <w:color w:val="0000FF"/>
                      <w:sz w:val="21"/>
                      <w:szCs w:val="21"/>
                      <w:lang w:eastAsia="zh-CN"/>
                    </w:rPr>
                    <w:t>清</w:t>
                  </w:r>
                  <w:r>
                    <w:rPr>
                      <w:rFonts w:hint="eastAsia" w:ascii="Times New Roman" w:hAnsi="Times New Roman" w:eastAsia="宋体" w:cs="Times New Roman"/>
                      <w:color w:val="0000FF"/>
                      <w:sz w:val="21"/>
                      <w:szCs w:val="21"/>
                      <w:lang w:val="en-US" w:eastAsia="zh-CN"/>
                    </w:rPr>
                    <w:t>洗</w:t>
                  </w:r>
                  <w:r>
                    <w:rPr>
                      <w:rFonts w:hint="default" w:ascii="Times New Roman" w:hAnsi="Times New Roman" w:eastAsia="宋体" w:cs="Times New Roman"/>
                      <w:color w:val="0000FF"/>
                      <w:sz w:val="21"/>
                      <w:szCs w:val="21"/>
                      <w:lang w:eastAsia="zh-CN"/>
                    </w:rPr>
                    <w:t>用水</w:t>
                  </w:r>
                </w:p>
              </w:tc>
              <w:tc>
                <w:tcPr>
                  <w:tcW w:w="731" w:type="pct"/>
                  <w:noWrap w:val="0"/>
                  <w:vAlign w:val="center"/>
                </w:tcPr>
                <w:p w14:paraId="6D26BC73">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3.51</w:t>
                  </w:r>
                </w:p>
              </w:tc>
              <w:tc>
                <w:tcPr>
                  <w:tcW w:w="646" w:type="pct"/>
                  <w:noWrap w:val="0"/>
                  <w:vAlign w:val="center"/>
                </w:tcPr>
                <w:p w14:paraId="40F7EA3D">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0.7</w:t>
                  </w:r>
                </w:p>
              </w:tc>
              <w:tc>
                <w:tcPr>
                  <w:tcW w:w="589" w:type="pct"/>
                  <w:noWrap w:val="0"/>
                  <w:vAlign w:val="center"/>
                </w:tcPr>
                <w:p w14:paraId="4CD8DEA3">
                  <w:pPr>
                    <w:pageBreakBefore w:val="0"/>
                    <w:widowControl w:val="0"/>
                    <w:kinsoku/>
                    <w:wordWrap/>
                    <w:overflowPunct/>
                    <w:topLinePunct w:val="0"/>
                    <w:autoSpaceDE/>
                    <w:autoSpaceDN/>
                    <w:bidi w:val="0"/>
                    <w:adjustRightInd/>
                    <w:snapToGrid/>
                    <w:jc w:val="center"/>
                    <w:textAlignment w:val="auto"/>
                    <w:rPr>
                      <w:rFonts w:hint="default" w:cs="Times New Roman"/>
                      <w:color w:val="0000FF"/>
                      <w:sz w:val="21"/>
                      <w:szCs w:val="21"/>
                      <w:lang w:val="en-US" w:eastAsia="zh-CN"/>
                    </w:rPr>
                  </w:pPr>
                  <w:r>
                    <w:rPr>
                      <w:rFonts w:hint="eastAsia" w:cs="Times New Roman"/>
                      <w:color w:val="0000FF"/>
                      <w:sz w:val="21"/>
                      <w:szCs w:val="21"/>
                      <w:lang w:val="en-US" w:eastAsia="zh-CN"/>
                    </w:rPr>
                    <w:t>2.81</w:t>
                  </w:r>
                </w:p>
              </w:tc>
              <w:tc>
                <w:tcPr>
                  <w:tcW w:w="674" w:type="pct"/>
                  <w:noWrap w:val="0"/>
                  <w:vAlign w:val="center"/>
                </w:tcPr>
                <w:p w14:paraId="2AECB626">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0.7</w:t>
                  </w:r>
                </w:p>
              </w:tc>
              <w:tc>
                <w:tcPr>
                  <w:tcW w:w="608" w:type="pct"/>
                  <w:noWrap w:val="0"/>
                  <w:vAlign w:val="center"/>
                </w:tcPr>
                <w:p w14:paraId="161F7312">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w:t>
                  </w:r>
                </w:p>
              </w:tc>
              <w:tc>
                <w:tcPr>
                  <w:tcW w:w="636" w:type="pct"/>
                  <w:noWrap w:val="0"/>
                  <w:vAlign w:val="center"/>
                </w:tcPr>
                <w:p w14:paraId="0D8FFAF6">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2.81</w:t>
                  </w:r>
                </w:p>
              </w:tc>
            </w:tr>
            <w:tr w14:paraId="60270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noWrap w:val="0"/>
                  <w:vAlign w:val="center"/>
                </w:tcPr>
                <w:p w14:paraId="57B441A6">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绿化用水</w:t>
                  </w:r>
                </w:p>
              </w:tc>
              <w:tc>
                <w:tcPr>
                  <w:tcW w:w="731" w:type="pct"/>
                  <w:noWrap w:val="0"/>
                  <w:vAlign w:val="center"/>
                </w:tcPr>
                <w:p w14:paraId="571F0655">
                  <w:pPr>
                    <w:pageBreakBefore w:val="0"/>
                    <w:widowControl w:val="0"/>
                    <w:kinsoku/>
                    <w:wordWrap/>
                    <w:overflowPunct/>
                    <w:topLinePunct w:val="0"/>
                    <w:autoSpaceDE/>
                    <w:autoSpaceDN/>
                    <w:bidi w:val="0"/>
                    <w:adjustRightInd/>
                    <w:snapToGrid/>
                    <w:jc w:val="center"/>
                    <w:textAlignment w:val="auto"/>
                    <w:rPr>
                      <w:rFonts w:hint="default" w:cs="Times New Roman"/>
                      <w:color w:val="0000FF"/>
                      <w:sz w:val="21"/>
                      <w:szCs w:val="21"/>
                      <w:lang w:val="en-US" w:eastAsia="zh-CN"/>
                    </w:rPr>
                  </w:pPr>
                  <w:r>
                    <w:rPr>
                      <w:rFonts w:hint="eastAsia" w:cs="Times New Roman"/>
                      <w:color w:val="0000FF"/>
                      <w:sz w:val="21"/>
                      <w:szCs w:val="21"/>
                      <w:lang w:val="en-US" w:eastAsia="zh-CN"/>
                    </w:rPr>
                    <w:t>17.2</w:t>
                  </w:r>
                </w:p>
              </w:tc>
              <w:tc>
                <w:tcPr>
                  <w:tcW w:w="646" w:type="pct"/>
                  <w:noWrap w:val="0"/>
                  <w:vAlign w:val="center"/>
                </w:tcPr>
                <w:p w14:paraId="46D47201">
                  <w:pPr>
                    <w:pageBreakBefore w:val="0"/>
                    <w:widowControl w:val="0"/>
                    <w:kinsoku/>
                    <w:wordWrap/>
                    <w:overflowPunct/>
                    <w:topLinePunct w:val="0"/>
                    <w:autoSpaceDE/>
                    <w:autoSpaceDN/>
                    <w:bidi w:val="0"/>
                    <w:adjustRightInd/>
                    <w:snapToGrid/>
                    <w:jc w:val="center"/>
                    <w:textAlignment w:val="auto"/>
                    <w:rPr>
                      <w:rFonts w:hint="default" w:cs="Times New Roman"/>
                      <w:color w:val="0000FF"/>
                      <w:sz w:val="21"/>
                      <w:szCs w:val="21"/>
                      <w:lang w:val="en-US" w:eastAsia="zh-CN"/>
                    </w:rPr>
                  </w:pPr>
                  <w:r>
                    <w:rPr>
                      <w:rFonts w:hint="eastAsia" w:cs="Times New Roman"/>
                      <w:color w:val="0000FF"/>
                      <w:sz w:val="21"/>
                      <w:szCs w:val="21"/>
                      <w:lang w:val="en-US" w:eastAsia="zh-CN"/>
                    </w:rPr>
                    <w:t>17.2</w:t>
                  </w:r>
                </w:p>
              </w:tc>
              <w:tc>
                <w:tcPr>
                  <w:tcW w:w="589" w:type="pct"/>
                  <w:noWrap w:val="0"/>
                  <w:vAlign w:val="center"/>
                </w:tcPr>
                <w:p w14:paraId="526577B3">
                  <w:pPr>
                    <w:pageBreakBefore w:val="0"/>
                    <w:widowControl w:val="0"/>
                    <w:kinsoku/>
                    <w:wordWrap/>
                    <w:overflowPunct/>
                    <w:topLinePunct w:val="0"/>
                    <w:autoSpaceDE/>
                    <w:autoSpaceDN/>
                    <w:bidi w:val="0"/>
                    <w:adjustRightInd/>
                    <w:snapToGrid/>
                    <w:jc w:val="center"/>
                    <w:textAlignment w:val="auto"/>
                    <w:rPr>
                      <w:rFonts w:hint="default" w:cs="Times New Roman"/>
                      <w:color w:val="0000FF"/>
                      <w:sz w:val="21"/>
                      <w:szCs w:val="21"/>
                      <w:lang w:val="en-US" w:eastAsia="zh-CN"/>
                    </w:rPr>
                  </w:pPr>
                  <w:r>
                    <w:rPr>
                      <w:rFonts w:hint="eastAsia" w:cs="Times New Roman"/>
                      <w:color w:val="0000FF"/>
                      <w:sz w:val="21"/>
                      <w:szCs w:val="21"/>
                      <w:lang w:val="en-US" w:eastAsia="zh-CN"/>
                    </w:rPr>
                    <w:t>0</w:t>
                  </w:r>
                </w:p>
              </w:tc>
              <w:tc>
                <w:tcPr>
                  <w:tcW w:w="674" w:type="pct"/>
                  <w:noWrap w:val="0"/>
                  <w:vAlign w:val="center"/>
                </w:tcPr>
                <w:p w14:paraId="3253D593">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17.2</w:t>
                  </w:r>
                </w:p>
              </w:tc>
              <w:tc>
                <w:tcPr>
                  <w:tcW w:w="608" w:type="pct"/>
                  <w:noWrap w:val="0"/>
                  <w:vAlign w:val="center"/>
                </w:tcPr>
                <w:p w14:paraId="79A50C09">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w:t>
                  </w:r>
                </w:p>
              </w:tc>
              <w:tc>
                <w:tcPr>
                  <w:tcW w:w="636" w:type="pct"/>
                  <w:noWrap w:val="0"/>
                  <w:vAlign w:val="center"/>
                </w:tcPr>
                <w:p w14:paraId="1810544E">
                  <w:pPr>
                    <w:pageBreakBefore w:val="0"/>
                    <w:widowControl w:val="0"/>
                    <w:kinsoku/>
                    <w:wordWrap/>
                    <w:overflowPunct/>
                    <w:topLinePunct w:val="0"/>
                    <w:autoSpaceDE/>
                    <w:autoSpaceDN/>
                    <w:bidi w:val="0"/>
                    <w:adjustRightInd/>
                    <w:snapToGrid/>
                    <w:jc w:val="center"/>
                    <w:textAlignment w:val="auto"/>
                    <w:rPr>
                      <w:rFonts w:hint="default" w:cs="Times New Roman"/>
                      <w:color w:val="0000FF"/>
                      <w:sz w:val="21"/>
                      <w:szCs w:val="21"/>
                      <w:lang w:val="en-US" w:eastAsia="zh-CN"/>
                    </w:rPr>
                  </w:pPr>
                  <w:r>
                    <w:rPr>
                      <w:rFonts w:hint="eastAsia" w:cs="Times New Roman"/>
                      <w:color w:val="0000FF"/>
                      <w:sz w:val="21"/>
                      <w:szCs w:val="21"/>
                      <w:lang w:val="en-US" w:eastAsia="zh-CN"/>
                    </w:rPr>
                    <w:t>0</w:t>
                  </w:r>
                </w:p>
              </w:tc>
            </w:tr>
            <w:tr w14:paraId="54D37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2" w:type="pct"/>
                  <w:noWrap w:val="0"/>
                  <w:vAlign w:val="center"/>
                </w:tcPr>
                <w:p w14:paraId="2AAD6F75">
                  <w:pPr>
                    <w:pStyle w:val="126"/>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eastAsia="zh-CN"/>
                    </w:rPr>
                  </w:pPr>
                  <w:r>
                    <w:rPr>
                      <w:rFonts w:hint="default" w:ascii="Times New Roman" w:hAnsi="Times New Roman" w:eastAsia="宋体" w:cs="Times New Roman"/>
                      <w:color w:val="0000FF"/>
                      <w:sz w:val="21"/>
                      <w:szCs w:val="21"/>
                      <w:lang w:eastAsia="zh-CN"/>
                    </w:rPr>
                    <w:t>合计</w:t>
                  </w:r>
                </w:p>
              </w:tc>
              <w:tc>
                <w:tcPr>
                  <w:tcW w:w="1154" w:type="dxa"/>
                  <w:noWrap w:val="0"/>
                  <w:vAlign w:val="center"/>
                </w:tcPr>
                <w:p w14:paraId="46EAD9E5">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3</w:t>
                  </w:r>
                  <w:r>
                    <w:rPr>
                      <w:rFonts w:hint="eastAsia" w:cs="Times New Roman"/>
                      <w:i w:val="0"/>
                      <w:iCs w:val="0"/>
                      <w:color w:val="0000FF"/>
                      <w:kern w:val="0"/>
                      <w:sz w:val="21"/>
                      <w:szCs w:val="21"/>
                      <w:u w:val="none"/>
                      <w:lang w:val="en-US" w:eastAsia="zh-CN" w:bidi="ar"/>
                    </w:rPr>
                    <w:t>8</w:t>
                  </w:r>
                  <w:r>
                    <w:rPr>
                      <w:rFonts w:hint="default" w:ascii="Times New Roman" w:hAnsi="Times New Roman" w:eastAsia="宋体" w:cs="Times New Roman"/>
                      <w:i w:val="0"/>
                      <w:iCs w:val="0"/>
                      <w:color w:val="0000FF"/>
                      <w:kern w:val="0"/>
                      <w:sz w:val="21"/>
                      <w:szCs w:val="21"/>
                      <w:u w:val="none"/>
                      <w:lang w:val="en-US" w:eastAsia="zh-CN" w:bidi="ar"/>
                    </w:rPr>
                    <w:t>.</w:t>
                  </w:r>
                  <w:r>
                    <w:rPr>
                      <w:rFonts w:hint="eastAsia" w:cs="Times New Roman"/>
                      <w:i w:val="0"/>
                      <w:iCs w:val="0"/>
                      <w:color w:val="0000FF"/>
                      <w:kern w:val="0"/>
                      <w:sz w:val="21"/>
                      <w:szCs w:val="21"/>
                      <w:u w:val="none"/>
                      <w:lang w:val="en-US" w:eastAsia="zh-CN" w:bidi="ar"/>
                    </w:rPr>
                    <w:t>14</w:t>
                  </w:r>
                </w:p>
              </w:tc>
              <w:tc>
                <w:tcPr>
                  <w:tcW w:w="1020" w:type="dxa"/>
                  <w:noWrap w:val="0"/>
                  <w:vAlign w:val="center"/>
                </w:tcPr>
                <w:p w14:paraId="4ABB3912">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35.33</w:t>
                  </w:r>
                </w:p>
              </w:tc>
              <w:tc>
                <w:tcPr>
                  <w:tcW w:w="930" w:type="dxa"/>
                  <w:noWrap w:val="0"/>
                  <w:vAlign w:val="center"/>
                </w:tcPr>
                <w:p w14:paraId="3515FA5F">
                  <w:pPr>
                    <w:keepNext w:val="0"/>
                    <w:keepLines w:val="0"/>
                    <w:widowControl/>
                    <w:suppressLineNumbers w:val="0"/>
                    <w:jc w:val="center"/>
                    <w:textAlignment w:val="center"/>
                    <w:rPr>
                      <w:rFonts w:hint="eastAsia"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2.81</w:t>
                  </w:r>
                </w:p>
              </w:tc>
              <w:tc>
                <w:tcPr>
                  <w:tcW w:w="1065" w:type="dxa"/>
                  <w:noWrap w:val="0"/>
                  <w:vAlign w:val="center"/>
                </w:tcPr>
                <w:p w14:paraId="235B2D00">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21.39</w:t>
                  </w:r>
                </w:p>
              </w:tc>
              <w:tc>
                <w:tcPr>
                  <w:tcW w:w="960" w:type="dxa"/>
                  <w:noWrap w:val="0"/>
                  <w:vAlign w:val="center"/>
                </w:tcPr>
                <w:p w14:paraId="5C481A61">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13.94</w:t>
                  </w:r>
                </w:p>
              </w:tc>
              <w:tc>
                <w:tcPr>
                  <w:tcW w:w="1005" w:type="dxa"/>
                  <w:noWrap w:val="0"/>
                  <w:vAlign w:val="center"/>
                </w:tcPr>
                <w:p w14:paraId="19D7B310">
                  <w:pPr>
                    <w:keepNext w:val="0"/>
                    <w:keepLines w:val="0"/>
                    <w:widowControl/>
                    <w:suppressLineNumbers w:val="0"/>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2.81</w:t>
                  </w:r>
                </w:p>
              </w:tc>
            </w:tr>
            <w:tr w14:paraId="22612F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7"/>
                  <w:noWrap w:val="0"/>
                  <w:vAlign w:val="center"/>
                </w:tcPr>
                <w:p w14:paraId="52D0B300">
                  <w:pPr>
                    <w:pStyle w:val="126"/>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b w:val="0"/>
                      <w:bCs/>
                      <w:color w:val="0000FF"/>
                      <w:kern w:val="2"/>
                      <w:sz w:val="21"/>
                      <w:szCs w:val="21"/>
                      <w:highlight w:val="none"/>
                      <w:lang w:val="en-US" w:eastAsia="zh-CN" w:bidi="ar-SA"/>
                    </w:rPr>
                    <w:t>注：厂区</w:t>
                  </w:r>
                  <w:r>
                    <w:rPr>
                      <w:rFonts w:hint="eastAsia" w:ascii="Times New Roman" w:hAnsi="Times New Roman" w:eastAsia="宋体" w:cs="Times New Roman"/>
                      <w:b w:val="0"/>
                      <w:bCs/>
                      <w:color w:val="0000FF"/>
                      <w:kern w:val="2"/>
                      <w:sz w:val="21"/>
                      <w:szCs w:val="21"/>
                      <w:highlight w:val="none"/>
                      <w:lang w:val="en-US" w:eastAsia="zh-CN" w:bidi="ar-SA"/>
                    </w:rPr>
                    <w:t>设有化粪池，原项目生活污水产生量为</w:t>
                  </w:r>
                  <w:r>
                    <w:rPr>
                      <w:rFonts w:hint="eastAsia" w:ascii="Times New Roman" w:hAnsi="Times New Roman" w:eastAsia="宋体" w:cs="Times New Roman"/>
                      <w:color w:val="0000FF"/>
                      <w:sz w:val="21"/>
                      <w:szCs w:val="21"/>
                      <w:highlight w:val="none"/>
                      <w:lang w:val="en-US" w:eastAsia="zh-CN"/>
                    </w:rPr>
                    <w:t>13.33</w:t>
                  </w:r>
                  <w:r>
                    <w:rPr>
                      <w:rFonts w:hint="default" w:ascii="Times New Roman" w:hAnsi="Times New Roman" w:cs="Times New Roman"/>
                      <w:color w:val="0000FF"/>
                      <w:sz w:val="21"/>
                      <w:szCs w:val="21"/>
                      <w:highlight w:val="none"/>
                    </w:rPr>
                    <w:t>m</w:t>
                  </w:r>
                  <w:r>
                    <w:rPr>
                      <w:rFonts w:hint="default" w:ascii="Times New Roman" w:hAnsi="Times New Roman" w:cs="Times New Roman"/>
                      <w:color w:val="0000FF"/>
                      <w:sz w:val="21"/>
                      <w:szCs w:val="21"/>
                      <w:highlight w:val="none"/>
                      <w:vertAlign w:val="superscript"/>
                    </w:rPr>
                    <w:t>3</w:t>
                  </w:r>
                  <w:r>
                    <w:rPr>
                      <w:rFonts w:hint="default" w:ascii="Times New Roman" w:hAnsi="Times New Roman" w:cs="Times New Roman"/>
                      <w:color w:val="0000FF"/>
                      <w:sz w:val="21"/>
                      <w:szCs w:val="21"/>
                      <w:highlight w:val="none"/>
                    </w:rPr>
                    <w:t>/d</w:t>
                  </w:r>
                  <w:r>
                    <w:rPr>
                      <w:rFonts w:hint="default" w:ascii="Times New Roman" w:hAnsi="Times New Roman" w:eastAsia="宋体" w:cs="Times New Roman"/>
                      <w:b w:val="0"/>
                      <w:bCs/>
                      <w:color w:val="0000FF"/>
                      <w:kern w:val="2"/>
                      <w:sz w:val="21"/>
                      <w:szCs w:val="21"/>
                      <w:highlight w:val="none"/>
                      <w:lang w:val="en-US" w:eastAsia="zh-CN" w:bidi="ar-SA"/>
                    </w:rPr>
                    <w:t>，本</w:t>
                  </w:r>
                  <w:r>
                    <w:rPr>
                      <w:rFonts w:hint="eastAsia" w:ascii="Times New Roman" w:hAnsi="Times New Roman" w:eastAsia="宋体" w:cs="Times New Roman"/>
                      <w:b w:val="0"/>
                      <w:bCs/>
                      <w:color w:val="0000FF"/>
                      <w:kern w:val="2"/>
                      <w:sz w:val="21"/>
                      <w:szCs w:val="21"/>
                      <w:highlight w:val="none"/>
                      <w:lang w:val="en-US" w:eastAsia="zh-CN" w:bidi="ar-SA"/>
                    </w:rPr>
                    <w:t>改扩建</w:t>
                  </w:r>
                  <w:r>
                    <w:rPr>
                      <w:rFonts w:hint="default" w:ascii="Times New Roman" w:hAnsi="Times New Roman" w:eastAsia="宋体" w:cs="Times New Roman"/>
                      <w:b w:val="0"/>
                      <w:bCs/>
                      <w:color w:val="0000FF"/>
                      <w:kern w:val="2"/>
                      <w:sz w:val="21"/>
                      <w:szCs w:val="21"/>
                      <w:highlight w:val="none"/>
                      <w:lang w:val="en-US" w:eastAsia="zh-CN" w:bidi="ar-SA"/>
                    </w:rPr>
                    <w:t>项目建成后全厂需进入</w:t>
                  </w:r>
                  <w:r>
                    <w:rPr>
                      <w:rFonts w:hint="eastAsia" w:ascii="Times New Roman" w:hAnsi="Times New Roman" w:eastAsia="宋体" w:cs="Times New Roman"/>
                      <w:b w:val="0"/>
                      <w:bCs/>
                      <w:color w:val="0000FF"/>
                      <w:kern w:val="2"/>
                      <w:sz w:val="21"/>
                      <w:szCs w:val="21"/>
                      <w:highlight w:val="none"/>
                      <w:lang w:val="en-US" w:eastAsia="zh-CN" w:bidi="ar-SA"/>
                    </w:rPr>
                    <w:t>化粪池</w:t>
                  </w:r>
                  <w:r>
                    <w:rPr>
                      <w:rFonts w:hint="default" w:ascii="Times New Roman" w:hAnsi="Times New Roman" w:eastAsia="宋体" w:cs="Times New Roman"/>
                      <w:b w:val="0"/>
                      <w:bCs/>
                      <w:color w:val="0000FF"/>
                      <w:kern w:val="2"/>
                      <w:sz w:val="21"/>
                      <w:szCs w:val="21"/>
                      <w:highlight w:val="none"/>
                      <w:lang w:val="en-US" w:eastAsia="zh-CN" w:bidi="ar-SA"/>
                    </w:rPr>
                    <w:t>处理的废水量为</w:t>
                  </w:r>
                  <w:r>
                    <w:rPr>
                      <w:rFonts w:hint="eastAsia" w:ascii="Times New Roman" w:hAnsi="Times New Roman" w:eastAsia="宋体" w:cs="Times New Roman"/>
                      <w:b w:val="0"/>
                      <w:bCs/>
                      <w:color w:val="0000FF"/>
                      <w:kern w:val="2"/>
                      <w:sz w:val="21"/>
                      <w:szCs w:val="21"/>
                      <w:highlight w:val="none"/>
                      <w:lang w:val="en-US" w:eastAsia="zh-CN" w:bidi="ar-SA"/>
                    </w:rPr>
                    <w:t>12.8</w:t>
                  </w:r>
                  <w:r>
                    <w:rPr>
                      <w:rFonts w:hint="default" w:ascii="Times New Roman" w:hAnsi="Times New Roman" w:cs="Times New Roman"/>
                      <w:color w:val="0000FF"/>
                      <w:sz w:val="21"/>
                      <w:szCs w:val="21"/>
                      <w:highlight w:val="none"/>
                    </w:rPr>
                    <w:t>m</w:t>
                  </w:r>
                  <w:r>
                    <w:rPr>
                      <w:rFonts w:hint="default" w:ascii="Times New Roman" w:hAnsi="Times New Roman" w:cs="Times New Roman"/>
                      <w:color w:val="0000FF"/>
                      <w:sz w:val="21"/>
                      <w:szCs w:val="21"/>
                      <w:highlight w:val="none"/>
                      <w:vertAlign w:val="superscript"/>
                    </w:rPr>
                    <w:t>3</w:t>
                  </w:r>
                  <w:r>
                    <w:rPr>
                      <w:rFonts w:hint="default" w:ascii="Times New Roman" w:hAnsi="Times New Roman" w:cs="Times New Roman"/>
                      <w:color w:val="0000FF"/>
                      <w:sz w:val="21"/>
                      <w:szCs w:val="21"/>
                      <w:highlight w:val="none"/>
                    </w:rPr>
                    <w:t>/d</w:t>
                  </w:r>
                  <w:r>
                    <w:rPr>
                      <w:rFonts w:hint="default" w:ascii="Times New Roman" w:hAnsi="Times New Roman" w:eastAsia="宋体" w:cs="Times New Roman"/>
                      <w:b w:val="0"/>
                      <w:bCs/>
                      <w:color w:val="0000FF"/>
                      <w:kern w:val="2"/>
                      <w:sz w:val="21"/>
                      <w:szCs w:val="21"/>
                      <w:highlight w:val="none"/>
                      <w:lang w:val="en-US" w:eastAsia="zh-CN" w:bidi="ar-SA"/>
                    </w:rPr>
                    <w:t>，占</w:t>
                  </w:r>
                  <w:r>
                    <w:rPr>
                      <w:rFonts w:hint="eastAsia" w:ascii="Times New Roman" w:hAnsi="Times New Roman" w:eastAsia="宋体" w:cs="Times New Roman"/>
                      <w:b w:val="0"/>
                      <w:bCs/>
                      <w:color w:val="0000FF"/>
                      <w:kern w:val="2"/>
                      <w:sz w:val="21"/>
                      <w:szCs w:val="21"/>
                      <w:highlight w:val="none"/>
                      <w:lang w:val="en-US" w:eastAsia="zh-CN" w:bidi="ar-SA"/>
                    </w:rPr>
                    <w:t>化粪池处理</w:t>
                  </w:r>
                  <w:r>
                    <w:rPr>
                      <w:rFonts w:hint="default" w:ascii="Times New Roman" w:hAnsi="Times New Roman" w:eastAsia="宋体" w:cs="Times New Roman"/>
                      <w:b w:val="0"/>
                      <w:bCs/>
                      <w:color w:val="0000FF"/>
                      <w:kern w:val="2"/>
                      <w:sz w:val="21"/>
                      <w:szCs w:val="21"/>
                      <w:highlight w:val="none"/>
                      <w:lang w:val="en-US" w:eastAsia="zh-CN" w:bidi="ar-SA"/>
                    </w:rPr>
                    <w:t>容量的</w:t>
                  </w:r>
                  <w:r>
                    <w:rPr>
                      <w:rFonts w:hint="eastAsia" w:ascii="Times New Roman" w:hAnsi="Times New Roman" w:eastAsia="宋体" w:cs="Times New Roman"/>
                      <w:b w:val="0"/>
                      <w:bCs/>
                      <w:color w:val="0000FF"/>
                      <w:kern w:val="2"/>
                      <w:sz w:val="21"/>
                      <w:szCs w:val="21"/>
                      <w:highlight w:val="none"/>
                      <w:lang w:val="en-US" w:eastAsia="zh-CN" w:bidi="ar-SA"/>
                    </w:rPr>
                    <w:t>96</w:t>
                  </w:r>
                  <w:r>
                    <w:rPr>
                      <w:rFonts w:hint="default" w:ascii="Times New Roman" w:hAnsi="Times New Roman" w:eastAsia="宋体" w:cs="Times New Roman"/>
                      <w:b w:val="0"/>
                      <w:bCs/>
                      <w:color w:val="0000FF"/>
                      <w:kern w:val="2"/>
                      <w:sz w:val="21"/>
                      <w:szCs w:val="21"/>
                      <w:highlight w:val="none"/>
                      <w:lang w:val="en-US" w:eastAsia="zh-CN" w:bidi="ar-SA"/>
                    </w:rPr>
                    <w:t>%，处理可行。且生活污水经</w:t>
                  </w:r>
                  <w:r>
                    <w:rPr>
                      <w:rFonts w:hint="eastAsia" w:ascii="Times New Roman" w:hAnsi="Times New Roman" w:eastAsia="宋体" w:cs="Times New Roman"/>
                      <w:b w:val="0"/>
                      <w:bCs/>
                      <w:color w:val="0000FF"/>
                      <w:kern w:val="2"/>
                      <w:sz w:val="21"/>
                      <w:szCs w:val="21"/>
                      <w:highlight w:val="none"/>
                      <w:lang w:val="en-US" w:eastAsia="zh-CN" w:bidi="ar-SA"/>
                    </w:rPr>
                    <w:t>隔油池+化粪池预处理后进入</w:t>
                  </w:r>
                  <w:r>
                    <w:rPr>
                      <w:rFonts w:hint="default" w:ascii="Times New Roman" w:hAnsi="Times New Roman" w:eastAsia="宋体" w:cs="Times New Roman"/>
                      <w:b w:val="0"/>
                      <w:bCs/>
                      <w:color w:val="0000FF"/>
                      <w:kern w:val="2"/>
                      <w:sz w:val="21"/>
                      <w:szCs w:val="21"/>
                      <w:highlight w:val="none"/>
                      <w:lang w:val="en-US" w:eastAsia="zh-CN" w:bidi="ar-SA"/>
                    </w:rPr>
                    <w:t>高安市</w:t>
                  </w:r>
                  <w:r>
                    <w:rPr>
                      <w:rFonts w:hint="eastAsia" w:ascii="Times New Roman" w:hAnsi="Times New Roman" w:eastAsia="宋体" w:cs="Times New Roman"/>
                      <w:b w:val="0"/>
                      <w:bCs/>
                      <w:color w:val="0000FF"/>
                      <w:kern w:val="2"/>
                      <w:sz w:val="21"/>
                      <w:szCs w:val="21"/>
                      <w:highlight w:val="none"/>
                      <w:lang w:val="en-US" w:eastAsia="zh-CN" w:bidi="ar-SA"/>
                    </w:rPr>
                    <w:t>工业园</w:t>
                  </w:r>
                  <w:r>
                    <w:rPr>
                      <w:rFonts w:hint="default" w:ascii="Times New Roman" w:hAnsi="Times New Roman" w:eastAsia="宋体" w:cs="Times New Roman"/>
                      <w:b w:val="0"/>
                      <w:bCs/>
                      <w:color w:val="0000FF"/>
                      <w:kern w:val="2"/>
                      <w:sz w:val="21"/>
                      <w:szCs w:val="21"/>
                      <w:highlight w:val="none"/>
                      <w:lang w:val="en-US" w:eastAsia="zh-CN" w:bidi="ar-SA"/>
                    </w:rPr>
                    <w:t>污水处理厂处理，对水环境影响较小。</w:t>
                  </w:r>
                </w:p>
              </w:tc>
            </w:tr>
          </w:tbl>
          <w:p w14:paraId="1B1C7A77">
            <w:pPr>
              <w:keepNext w:val="0"/>
              <w:keepLines w:val="0"/>
              <w:pageBreakBefore w:val="0"/>
              <w:widowControl w:val="0"/>
              <w:numPr>
                <w:ilvl w:val="0"/>
                <w:numId w:val="0"/>
              </w:numPr>
              <w:kinsoku/>
              <w:wordWrap/>
              <w:overflowPunct/>
              <w:topLinePunct w:val="0"/>
              <w:autoSpaceDE w:val="0"/>
              <w:autoSpaceDN w:val="0"/>
              <w:bidi w:val="0"/>
              <w:adjustRightInd/>
              <w:snapToGrid/>
              <w:spacing w:before="241" w:after="0" w:line="360" w:lineRule="auto"/>
              <w:ind w:leftChars="0" w:right="0" w:rightChars="0" w:firstLine="482" w:firstLineChars="200"/>
              <w:jc w:val="left"/>
              <w:textAlignment w:val="auto"/>
              <w:rPr>
                <w:rFonts w:hint="default" w:ascii="Times New Roman" w:hAnsi="Times New Roman" w:eastAsia="宋体" w:cs="Times New Roman"/>
                <w:b/>
                <w:bCs/>
                <w:color w:val="0000FF"/>
                <w:sz w:val="24"/>
                <w:szCs w:val="24"/>
                <w:highlight w:val="none"/>
                <w:lang w:val="en-US" w:eastAsia="zh-CN" w:bidi="zh-CN"/>
              </w:rPr>
            </w:pPr>
            <w:r>
              <w:rPr>
                <w:rFonts w:hint="eastAsia" w:cs="Times New Roman"/>
                <w:b/>
                <w:bCs/>
                <w:color w:val="0000FF"/>
                <w:sz w:val="24"/>
                <w:szCs w:val="24"/>
                <w:highlight w:val="none"/>
                <w:lang w:val="en-US" w:eastAsia="zh-CN" w:bidi="zh-CN"/>
              </w:rPr>
              <w:t>8、平面布置合理性分析</w:t>
            </w:r>
          </w:p>
          <w:p w14:paraId="1CEB00D1">
            <w:pPr>
              <w:keepNext w:val="0"/>
              <w:keepLines w:val="0"/>
              <w:widowControl/>
              <w:suppressLineNumbers w:val="0"/>
              <w:spacing w:line="360" w:lineRule="auto"/>
              <w:ind w:firstLine="480" w:firstLineChars="200"/>
              <w:jc w:val="left"/>
              <w:rPr>
                <w:rFonts w:hint="eastAsia" w:ascii="宋体" w:hAnsi="宋体"/>
                <w:snapToGrid w:val="0"/>
                <w:color w:val="auto"/>
                <w:kern w:val="18"/>
                <w:sz w:val="24"/>
              </w:rPr>
            </w:pPr>
            <w:r>
              <w:rPr>
                <w:rFonts w:hint="eastAsia" w:ascii="Times New Roman" w:hAnsi="Times New Roman" w:cs="Times New Roman"/>
                <w:color w:val="0000FF"/>
                <w:sz w:val="24"/>
                <w:szCs w:val="24"/>
                <w:highlight w:val="none"/>
                <w:lang w:val="en-US" w:eastAsia="zh-CN"/>
              </w:rPr>
              <w:t>本项目位于</w:t>
            </w:r>
            <w:r>
              <w:rPr>
                <w:rFonts w:hint="default" w:ascii="Times New Roman" w:hAnsi="Times New Roman" w:cs="Times New Roman"/>
                <w:color w:val="0000FF"/>
                <w:sz w:val="24"/>
                <w:szCs w:val="24"/>
                <w:highlight w:val="none"/>
                <w:lang w:eastAsia="zh-CN"/>
              </w:rPr>
              <w:t>江西高安高新技术产业园</w:t>
            </w:r>
            <w:r>
              <w:rPr>
                <w:rFonts w:hint="eastAsia" w:cs="Times New Roman"/>
                <w:color w:val="0000FF"/>
                <w:sz w:val="24"/>
                <w:szCs w:val="24"/>
                <w:highlight w:val="none"/>
                <w:lang w:val="en-US" w:eastAsia="zh-CN"/>
              </w:rPr>
              <w:t>区</w:t>
            </w:r>
            <w:r>
              <w:rPr>
                <w:rFonts w:hint="eastAsia" w:ascii="Times New Roman" w:hAnsi="Times New Roman" w:eastAsia="宋体" w:cs="Times New Roman"/>
                <w:color w:val="0000FF"/>
                <w:sz w:val="24"/>
                <w:highlight w:val="none"/>
                <w:lang w:eastAsia="zh-CN"/>
              </w:rPr>
              <w:t>新世纪</w:t>
            </w:r>
            <w:r>
              <w:rPr>
                <w:rFonts w:hint="eastAsia" w:cs="Times New Roman"/>
                <w:color w:val="0000FF"/>
                <w:sz w:val="24"/>
                <w:highlight w:val="none"/>
                <w:lang w:val="en-US" w:eastAsia="zh-CN"/>
              </w:rPr>
              <w:t>产</w:t>
            </w:r>
            <w:r>
              <w:rPr>
                <w:rFonts w:hint="eastAsia" w:ascii="Times New Roman" w:hAnsi="Times New Roman" w:eastAsia="宋体" w:cs="Times New Roman"/>
                <w:color w:val="0000FF"/>
                <w:sz w:val="24"/>
                <w:highlight w:val="none"/>
                <w:lang w:eastAsia="zh-CN"/>
              </w:rPr>
              <w:t>业园</w:t>
            </w:r>
            <w:r>
              <w:rPr>
                <w:rFonts w:hint="eastAsia" w:ascii="Times New Roman" w:hAnsi="Times New Roman" w:cs="Times New Roman"/>
                <w:color w:val="0000FF"/>
                <w:sz w:val="24"/>
                <w:szCs w:val="24"/>
                <w:highlight w:val="none"/>
                <w:lang w:val="en-US" w:eastAsia="zh-CN"/>
              </w:rPr>
              <w:t>，</w:t>
            </w:r>
            <w:r>
              <w:rPr>
                <w:rFonts w:hint="eastAsia" w:ascii="宋体" w:hAnsi="宋体"/>
                <w:snapToGrid w:val="0"/>
                <w:color w:val="0000FF"/>
                <w:kern w:val="18"/>
                <w:sz w:val="24"/>
              </w:rPr>
              <w:t>根据业主提供的资料，本项目依地块情况设计总平面布置，</w:t>
            </w:r>
            <w:r>
              <w:rPr>
                <w:rFonts w:hint="eastAsia" w:ascii="Times New Roman" w:hAnsi="Times New Roman" w:cs="Times New Roman"/>
                <w:color w:val="0000FF"/>
                <w:sz w:val="24"/>
                <w:szCs w:val="24"/>
                <w:highlight w:val="none"/>
                <w:lang w:val="en-US" w:eastAsia="zh-CN"/>
              </w:rPr>
              <w:t>项目办公区、生活区与生产区等相对独立，便于管理，也减少了生产加工对办公区的影响。厂房1#~5#位于厂区大门入口右侧、办公楼及宿舍位于厂区大门入口左侧。物料流转较为清晰、便捷。本项目通过合理布置，消防设施完善，项目总体布局能按功能分区，使功能区有机结合，达到功能互补</w:t>
            </w:r>
            <w:r>
              <w:rPr>
                <w:rFonts w:hint="eastAsia" w:ascii="宋体" w:hAnsi="宋体"/>
                <w:snapToGrid w:val="0"/>
                <w:color w:val="0000FF"/>
                <w:kern w:val="18"/>
                <w:sz w:val="24"/>
              </w:rPr>
              <w:t>，且生活办公区避开生产区的主导风向的下</w:t>
            </w:r>
            <w:r>
              <w:rPr>
                <w:rFonts w:hint="eastAsia" w:ascii="宋体" w:hAnsi="宋体"/>
                <w:snapToGrid w:val="0"/>
                <w:color w:val="0000FF"/>
                <w:kern w:val="18"/>
                <w:sz w:val="24"/>
                <w:lang w:val="en-US" w:eastAsia="zh-CN"/>
              </w:rPr>
              <w:t>风</w:t>
            </w:r>
            <w:r>
              <w:rPr>
                <w:rFonts w:hint="eastAsia" w:ascii="宋体" w:hAnsi="宋体"/>
                <w:snapToGrid w:val="0"/>
                <w:color w:val="0000FF"/>
                <w:kern w:val="18"/>
                <w:sz w:val="24"/>
              </w:rPr>
              <w:t>向，总体布局上将生产污染中产生的废气和噪声对生活区的影响降到最小。</w:t>
            </w:r>
          </w:p>
          <w:p w14:paraId="7AD61E41">
            <w:pPr>
              <w:keepNext w:val="0"/>
              <w:keepLines w:val="0"/>
              <w:widowControl/>
              <w:suppressLineNumbers w:val="0"/>
              <w:spacing w:line="360" w:lineRule="auto"/>
              <w:ind w:firstLine="480" w:firstLineChars="200"/>
              <w:jc w:val="left"/>
              <w:rPr>
                <w:rFonts w:hint="eastAsia"/>
                <w:color w:val="0000FF"/>
                <w:sz w:val="24"/>
                <w:highlight w:val="none"/>
                <w:lang w:eastAsia="zh-CN"/>
              </w:rPr>
            </w:pPr>
            <w:r>
              <w:rPr>
                <w:rFonts w:hint="eastAsia"/>
                <w:color w:val="0000FF"/>
                <w:sz w:val="24"/>
                <w:highlight w:val="none"/>
                <w:lang w:eastAsia="zh-CN"/>
              </w:rPr>
              <w:t>综上，从环保角度来看，项目平面布置较为合理。</w:t>
            </w:r>
          </w:p>
          <w:p w14:paraId="1E6E5235">
            <w:pPr>
              <w:keepNext w:val="0"/>
              <w:keepLines w:val="0"/>
              <w:widowControl/>
              <w:suppressLineNumbers w:val="0"/>
              <w:spacing w:line="360" w:lineRule="auto"/>
              <w:ind w:firstLine="480" w:firstLineChars="200"/>
              <w:jc w:val="left"/>
              <w:rPr>
                <w:rFonts w:hint="eastAsia"/>
                <w:color w:val="0000FF"/>
                <w:sz w:val="24"/>
                <w:highlight w:val="none"/>
                <w:lang w:eastAsia="zh-CN"/>
              </w:rPr>
            </w:pPr>
          </w:p>
          <w:p w14:paraId="02B503E5">
            <w:pPr>
              <w:keepNext w:val="0"/>
              <w:keepLines w:val="0"/>
              <w:widowControl/>
              <w:suppressLineNumbers w:val="0"/>
              <w:spacing w:line="360" w:lineRule="auto"/>
              <w:ind w:firstLine="480" w:firstLineChars="200"/>
              <w:jc w:val="left"/>
              <w:rPr>
                <w:rFonts w:hint="eastAsia"/>
                <w:color w:val="0000FF"/>
                <w:sz w:val="24"/>
                <w:highlight w:val="none"/>
                <w:lang w:eastAsia="zh-CN"/>
              </w:rPr>
            </w:pPr>
          </w:p>
          <w:p w14:paraId="01F6BFEF">
            <w:pPr>
              <w:keepNext w:val="0"/>
              <w:keepLines w:val="0"/>
              <w:widowControl/>
              <w:suppressLineNumbers w:val="0"/>
              <w:spacing w:line="360" w:lineRule="auto"/>
              <w:ind w:firstLine="480" w:firstLineChars="200"/>
              <w:jc w:val="left"/>
              <w:rPr>
                <w:rFonts w:hint="eastAsia" w:ascii="宋体" w:hAnsi="宋体"/>
                <w:snapToGrid w:val="0"/>
                <w:color w:val="0000FF"/>
                <w:kern w:val="18"/>
                <w:sz w:val="24"/>
              </w:rPr>
            </w:pPr>
          </w:p>
          <w:p w14:paraId="28C44663">
            <w:pPr>
              <w:widowControl w:val="0"/>
              <w:numPr>
                <w:ilvl w:val="0"/>
                <w:numId w:val="0"/>
              </w:numPr>
              <w:autoSpaceDE w:val="0"/>
              <w:autoSpaceDN w:val="0"/>
              <w:spacing w:before="1" w:after="0" w:line="360" w:lineRule="auto"/>
              <w:ind w:leftChars="0" w:right="0" w:rightChars="0" w:firstLine="480" w:firstLineChars="200"/>
              <w:jc w:val="left"/>
              <w:rPr>
                <w:rFonts w:hint="default" w:ascii="Times New Roman" w:hAnsi="Times New Roman" w:eastAsia="宋体" w:cs="Times New Roman"/>
                <w:color w:val="auto"/>
                <w:sz w:val="24"/>
                <w:szCs w:val="24"/>
                <w:highlight w:val="none"/>
                <w:lang w:val="en-US" w:eastAsia="zh-CN" w:bidi="zh-CN"/>
              </w:rPr>
            </w:pPr>
          </w:p>
        </w:tc>
      </w:tr>
      <w:tr w14:paraId="0074B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8" w:hRule="atLeast"/>
          <w:jc w:val="center"/>
        </w:trPr>
        <w:tc>
          <w:tcPr>
            <w:tcW w:w="824" w:type="dxa"/>
            <w:noWrap w:val="0"/>
            <w:vAlign w:val="center"/>
          </w:tcPr>
          <w:p w14:paraId="701DD80B">
            <w:pPr>
              <w:pStyle w:val="29"/>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工艺流程和产排污环节</w:t>
            </w:r>
          </w:p>
        </w:tc>
        <w:tc>
          <w:tcPr>
            <w:tcW w:w="8175" w:type="dxa"/>
            <w:gridSpan w:val="2"/>
            <w:noWrap w:val="0"/>
            <w:vAlign w:val="top"/>
          </w:tcPr>
          <w:p w14:paraId="29E4FEEE">
            <w:pPr>
              <w:keepNext w:val="0"/>
              <w:keepLines w:val="0"/>
              <w:pageBreakBefore w:val="0"/>
              <w:widowControl w:val="0"/>
              <w:numPr>
                <w:ilvl w:val="0"/>
                <w:numId w:val="0"/>
              </w:numPr>
              <w:kinsoku/>
              <w:wordWrap/>
              <w:overflowPunct/>
              <w:topLinePunct w:val="0"/>
              <w:autoSpaceDE w:val="0"/>
              <w:autoSpaceDN w:val="0"/>
              <w:bidi w:val="0"/>
              <w:adjustRightInd/>
              <w:snapToGrid/>
              <w:spacing w:before="157" w:beforeLines="50" w:after="0" w:line="360" w:lineRule="auto"/>
              <w:ind w:right="0" w:rightChars="0" w:firstLine="482" w:firstLineChars="200"/>
              <w:jc w:val="left"/>
              <w:textAlignment w:val="auto"/>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一、施工期工艺流程简述</w:t>
            </w:r>
          </w:p>
          <w:p w14:paraId="4A566425">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val="0"/>
                <w:bCs w:val="0"/>
                <w:color w:val="auto"/>
                <w:sz w:val="24"/>
                <w:szCs w:val="24"/>
                <w:highlight w:val="none"/>
                <w:lang w:val="en-US" w:eastAsia="zh-CN" w:bidi="zh-CN"/>
              </w:rPr>
              <w:t>本改</w:t>
            </w:r>
            <w:r>
              <w:rPr>
                <w:rFonts w:hint="eastAsia" w:cs="Times New Roman"/>
                <w:b w:val="0"/>
                <w:bCs w:val="0"/>
                <w:color w:val="auto"/>
                <w:sz w:val="24"/>
                <w:szCs w:val="24"/>
                <w:highlight w:val="none"/>
                <w:lang w:val="en-US" w:eastAsia="zh-CN" w:bidi="zh-CN"/>
              </w:rPr>
              <w:t>扩建</w:t>
            </w:r>
            <w:r>
              <w:rPr>
                <w:rFonts w:hint="default" w:ascii="Times New Roman" w:hAnsi="Times New Roman" w:eastAsia="宋体" w:cs="Times New Roman"/>
                <w:b w:val="0"/>
                <w:bCs w:val="0"/>
                <w:color w:val="auto"/>
                <w:sz w:val="24"/>
                <w:szCs w:val="24"/>
                <w:highlight w:val="none"/>
                <w:lang w:val="en-US" w:eastAsia="zh-CN" w:bidi="zh-CN"/>
              </w:rPr>
              <w:t>项目利用现有厂房进行建设，</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r>
              <w:rPr>
                <w:rFonts w:hint="default" w:ascii="Times New Roman" w:hAnsi="Times New Roman" w:eastAsia="宋体" w:cs="Times New Roman"/>
                <w:b w:val="0"/>
                <w:bCs w:val="0"/>
                <w:color w:val="auto"/>
                <w:sz w:val="24"/>
                <w:szCs w:val="24"/>
                <w:highlight w:val="none"/>
                <w:lang w:val="en-US" w:eastAsia="zh-CN" w:bidi="zh-CN"/>
              </w:rPr>
              <w:t>。</w:t>
            </w:r>
          </w:p>
          <w:p w14:paraId="1C2A02E0">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二、营运期生产工艺流程</w:t>
            </w:r>
          </w:p>
          <w:p w14:paraId="43FE6BD4">
            <w:pPr>
              <w:widowControl w:val="0"/>
              <w:numPr>
                <w:ilvl w:val="0"/>
                <w:numId w:val="0"/>
              </w:numPr>
              <w:spacing w:line="360" w:lineRule="auto"/>
              <w:ind w:leftChars="0" w:firstLine="48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4"/>
                <w:highlight w:val="none"/>
                <w:lang w:val="en-US" w:eastAsia="zh-CN"/>
              </w:rPr>
              <w:t>本项目为</w:t>
            </w:r>
            <w:r>
              <w:rPr>
                <w:rFonts w:hint="eastAsia" w:cs="Times New Roman"/>
                <w:color w:val="auto"/>
                <w:sz w:val="24"/>
                <w:highlight w:val="none"/>
                <w:lang w:val="en-US" w:eastAsia="zh-CN"/>
              </w:rPr>
              <w:t>江西瑞鼎精密传动有限公司AB/AF/AD行星减速机改扩建项目</w:t>
            </w:r>
            <w:r>
              <w:rPr>
                <w:rFonts w:hint="default" w:ascii="Times New Roman" w:hAnsi="Times New Roman" w:eastAsia="宋体" w:cs="Times New Roman"/>
                <w:color w:val="auto"/>
                <w:sz w:val="24"/>
                <w:highlight w:val="none"/>
                <w:lang w:val="en-US" w:eastAsia="zh-CN"/>
              </w:rPr>
              <w:t>，改</w:t>
            </w:r>
            <w:r>
              <w:rPr>
                <w:rFonts w:hint="eastAsia" w:cs="Times New Roman"/>
                <w:color w:val="auto"/>
                <w:sz w:val="24"/>
                <w:highlight w:val="none"/>
                <w:lang w:val="en-US" w:eastAsia="zh-CN"/>
              </w:rPr>
              <w:t>扩建</w:t>
            </w:r>
            <w:r>
              <w:rPr>
                <w:rFonts w:hint="default" w:ascii="Times New Roman" w:hAnsi="Times New Roman" w:eastAsia="宋体" w:cs="Times New Roman"/>
                <w:color w:val="auto"/>
                <w:sz w:val="24"/>
                <w:highlight w:val="none"/>
                <w:lang w:val="en-US" w:eastAsia="zh-CN"/>
              </w:rPr>
              <w:t>后</w:t>
            </w:r>
            <w:r>
              <w:rPr>
                <w:rFonts w:hint="eastAsia" w:cs="Times New Roman"/>
                <w:color w:val="auto"/>
                <w:sz w:val="24"/>
                <w:highlight w:val="none"/>
                <w:lang w:val="en-US" w:eastAsia="zh-CN"/>
              </w:rPr>
              <w:t>新增行星减速机，年产量为20万台</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原环评生产工艺流程为：</w:t>
            </w:r>
            <w:r>
              <w:rPr>
                <w:rFonts w:hint="eastAsia" w:cs="Times New Roman"/>
                <w:b w:val="0"/>
                <w:bCs w:val="0"/>
                <w:color w:val="auto"/>
                <w:sz w:val="24"/>
                <w:highlight w:val="none"/>
                <w:lang w:val="en-US" w:eastAsia="zh-CN"/>
              </w:rPr>
              <w:t>原</w:t>
            </w:r>
            <w:r>
              <w:rPr>
                <w:rFonts w:hint="default" w:ascii="Times New Roman" w:hAnsi="Times New Roman" w:eastAsia="宋体" w:cs="Times New Roman"/>
                <w:b w:val="0"/>
                <w:bCs w:val="0"/>
                <w:color w:val="auto"/>
                <w:sz w:val="24"/>
                <w:highlight w:val="none"/>
                <w:lang w:val="en-US" w:eastAsia="zh-CN"/>
              </w:rPr>
              <w:t>料→</w:t>
            </w:r>
            <w:r>
              <w:rPr>
                <w:rFonts w:hint="eastAsia" w:cs="Times New Roman"/>
                <w:b w:val="0"/>
                <w:bCs w:val="0"/>
                <w:color w:val="auto"/>
                <w:sz w:val="24"/>
                <w:highlight w:val="none"/>
                <w:lang w:val="en-US" w:eastAsia="zh-CN"/>
              </w:rPr>
              <w:t>线切割加工毛坯</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机加工</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研磨清洗</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烘干</w:t>
            </w:r>
            <w:r>
              <w:rPr>
                <w:rFonts w:hint="default" w:ascii="Times New Roman" w:hAnsi="Times New Roman" w:eastAsia="宋体" w:cs="Times New Roman"/>
                <w:b w:val="0"/>
                <w:bCs w:val="0"/>
                <w:color w:val="auto"/>
                <w:sz w:val="24"/>
                <w:highlight w:val="none"/>
                <w:lang w:val="en-US" w:eastAsia="zh-CN"/>
              </w:rPr>
              <w:t>→包装入库；根据建设单位提供资料，本改</w:t>
            </w:r>
            <w:r>
              <w:rPr>
                <w:rFonts w:hint="eastAsia" w:cs="Times New Roman"/>
                <w:b w:val="0"/>
                <w:bCs w:val="0"/>
                <w:color w:val="auto"/>
                <w:sz w:val="24"/>
                <w:highlight w:val="none"/>
                <w:lang w:val="en-US" w:eastAsia="zh-CN"/>
              </w:rPr>
              <w:t>扩建</w:t>
            </w:r>
            <w:r>
              <w:rPr>
                <w:rFonts w:hint="default" w:ascii="Times New Roman" w:hAnsi="Times New Roman" w:eastAsia="宋体" w:cs="Times New Roman"/>
                <w:b w:val="0"/>
                <w:bCs w:val="0"/>
                <w:color w:val="auto"/>
                <w:sz w:val="24"/>
                <w:highlight w:val="none"/>
                <w:lang w:val="en-US" w:eastAsia="zh-CN"/>
              </w:rPr>
              <w:t>项目用磨齿及拉齿工艺替换原来插齿工艺</w:t>
            </w:r>
            <w:r>
              <w:rPr>
                <w:rFonts w:hint="eastAsia" w:ascii="Times New Roman" w:hAnsi="Times New Roman" w:eastAsia="宋体" w:cs="Times New Roman"/>
                <w:b w:val="0"/>
                <w:bCs w:val="0"/>
                <w:color w:val="auto"/>
                <w:sz w:val="24"/>
                <w:highlight w:val="none"/>
                <w:lang w:val="en-US" w:eastAsia="zh-CN"/>
              </w:rPr>
              <w:t>，提升减速机的精度</w:t>
            </w:r>
            <w:r>
              <w:rPr>
                <w:rFonts w:hint="default" w:ascii="Times New Roman" w:hAnsi="Times New Roman" w:eastAsia="宋体" w:cs="Times New Roman"/>
                <w:b w:val="0"/>
                <w:bCs w:val="0"/>
                <w:color w:val="auto"/>
                <w:sz w:val="24"/>
                <w:highlight w:val="none"/>
                <w:lang w:val="en-US" w:eastAsia="zh-CN"/>
              </w:rPr>
              <w:t>。生产工艺流程</w:t>
            </w:r>
            <w:r>
              <w:rPr>
                <w:rFonts w:hint="eastAsia" w:cs="Times New Roman"/>
                <w:b w:val="0"/>
                <w:bCs w:val="0"/>
                <w:color w:val="auto"/>
                <w:sz w:val="24"/>
                <w:highlight w:val="none"/>
                <w:lang w:val="en-US" w:eastAsia="zh-CN"/>
              </w:rPr>
              <w:t>为</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抛瓦</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CNC加工</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齿轮加工</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清洗</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喷漆</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组装</w:t>
            </w:r>
            <w:r>
              <w:rPr>
                <w:rFonts w:hint="default"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color w:val="auto"/>
                <w:kern w:val="2"/>
                <w:sz w:val="24"/>
                <w:szCs w:val="24"/>
                <w:highlight w:val="none"/>
                <w:lang w:val="en-US" w:eastAsia="zh-CN" w:bidi="ar-SA"/>
              </w:rPr>
              <w:t>包装</w:t>
            </w:r>
            <w:r>
              <w:rPr>
                <w:rFonts w:hint="eastAsia" w:ascii="Times New Roman" w:hAnsi="Times New Roman" w:eastAsia="宋体" w:cs="Times New Roman"/>
                <w:b w:val="0"/>
                <w:bCs/>
                <w:color w:val="auto"/>
                <w:kern w:val="2"/>
                <w:sz w:val="24"/>
                <w:szCs w:val="24"/>
                <w:highlight w:val="none"/>
                <w:lang w:val="en-US" w:eastAsia="zh-CN" w:bidi="ar-SA"/>
              </w:rPr>
              <w:t>。</w:t>
            </w:r>
          </w:p>
          <w:p w14:paraId="4088CE5E">
            <w:pPr>
              <w:widowControl w:val="0"/>
              <w:numPr>
                <w:ilvl w:val="0"/>
                <w:numId w:val="0"/>
              </w:numPr>
              <w:spacing w:line="360" w:lineRule="auto"/>
              <w:ind w:leftChars="0" w:firstLine="480" w:firstLineChars="200"/>
              <w:jc w:val="both"/>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改扩建项目工艺流程：</w:t>
            </w:r>
          </w:p>
          <w:p w14:paraId="30FE75B1">
            <w:pPr>
              <w:widowControl w:val="0"/>
              <w:autoSpaceDE w:val="0"/>
              <w:autoSpaceDN w:val="0"/>
              <w:spacing w:before="1" w:after="0" w:line="360" w:lineRule="auto"/>
              <w:ind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object>
                <v:shape id="_x0000_i1026" o:spt="75" type="#_x0000_t75" style="height:315pt;width:307.8pt;" o:ole="t" filled="f" o:preferrelative="t" stroked="f" coordsize="21600,21600">
                  <v:path/>
                  <v:fill on="f" focussize="0,0"/>
                  <v:stroke on="f"/>
                  <v:imagedata r:id="rId12" o:title=""/>
                  <o:lock v:ext="edit" aspectratio="f"/>
                  <w10:wrap type="none"/>
                  <w10:anchorlock/>
                </v:shape>
                <o:OLEObject Type="Embed" ProgID="Visio.Drawing.15" ShapeID="_x0000_i1026" DrawAspect="Content" ObjectID="_1468075726" r:id="rId11">
                  <o:LockedField>false</o:LockedField>
                </o:OLEObject>
              </w:object>
            </w:r>
          </w:p>
          <w:p w14:paraId="4EE6B556">
            <w:pPr>
              <w:widowControl w:val="0"/>
              <w:autoSpaceDE w:val="0"/>
              <w:autoSpaceDN w:val="0"/>
              <w:spacing w:before="1" w:after="0" w:line="360" w:lineRule="auto"/>
              <w:ind w:right="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 xml:space="preserve">图2-3  </w:t>
            </w:r>
            <w:r>
              <w:rPr>
                <w:rFonts w:hint="eastAsia" w:cs="Times New Roman"/>
                <w:b/>
                <w:bCs/>
                <w:color w:val="auto"/>
                <w:sz w:val="21"/>
                <w:szCs w:val="21"/>
                <w:highlight w:val="none"/>
                <w:lang w:val="en-US" w:eastAsia="zh-CN" w:bidi="zh-CN"/>
              </w:rPr>
              <w:t>改扩建项目</w:t>
            </w:r>
            <w:r>
              <w:rPr>
                <w:rFonts w:hint="default" w:ascii="Times New Roman" w:hAnsi="Times New Roman" w:eastAsia="宋体" w:cs="Times New Roman"/>
                <w:b/>
                <w:bCs/>
                <w:color w:val="auto"/>
                <w:sz w:val="21"/>
                <w:szCs w:val="21"/>
                <w:highlight w:val="none"/>
                <w:lang w:val="en-US" w:eastAsia="zh-CN" w:bidi="zh-CN"/>
              </w:rPr>
              <w:t>生产工艺流程及产污环节示意图</w:t>
            </w:r>
          </w:p>
          <w:p w14:paraId="05F6C95A">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p>
          <w:p w14:paraId="43202667">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工艺流程说明：</w:t>
            </w:r>
          </w:p>
          <w:p w14:paraId="7B0F543F">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①</w:t>
            </w:r>
            <w:r>
              <w:rPr>
                <w:rFonts w:hint="eastAsia" w:cs="Times New Roman"/>
                <w:b/>
                <w:bCs w:val="0"/>
                <w:color w:val="auto"/>
                <w:sz w:val="24"/>
                <w:szCs w:val="24"/>
                <w:highlight w:val="none"/>
                <w:lang w:val="en-US" w:eastAsia="zh-CN"/>
              </w:rPr>
              <w:t>抛瓦</w:t>
            </w:r>
            <w:r>
              <w:rPr>
                <w:rFonts w:hint="default" w:ascii="Times New Roman" w:hAnsi="Times New Roman" w:eastAsia="宋体" w:cs="Times New Roman"/>
                <w:b/>
                <w:bCs w:val="0"/>
                <w:color w:val="auto"/>
                <w:sz w:val="24"/>
                <w:szCs w:val="24"/>
                <w:highlight w:val="none"/>
                <w:lang w:val="en-US" w:eastAsia="zh-CN"/>
              </w:rPr>
              <w:t>：</w:t>
            </w:r>
            <w:r>
              <w:rPr>
                <w:rFonts w:hint="eastAsia" w:cs="Times New Roman"/>
                <w:b w:val="0"/>
                <w:bCs/>
                <w:color w:val="0000FF"/>
                <w:sz w:val="24"/>
                <w:szCs w:val="24"/>
                <w:highlight w:val="none"/>
                <w:lang w:val="en-US" w:eastAsia="zh-CN"/>
              </w:rPr>
              <w:t>将外购原材料放置在抛丸机中，</w:t>
            </w:r>
            <w:r>
              <w:rPr>
                <w:rFonts w:hint="default" w:ascii="Times New Roman" w:hAnsi="Times New Roman" w:eastAsia="宋体" w:cs="Times New Roman"/>
                <w:b w:val="0"/>
                <w:bCs/>
                <w:color w:val="0000FF"/>
                <w:sz w:val="24"/>
                <w:szCs w:val="24"/>
                <w:highlight w:val="none"/>
                <w:lang w:val="en-US" w:eastAsia="zh-CN"/>
              </w:rPr>
              <w:t>通过抛丸</w:t>
            </w:r>
            <w:r>
              <w:rPr>
                <w:rFonts w:hint="eastAsia" w:cs="Times New Roman"/>
                <w:b w:val="0"/>
                <w:bCs/>
                <w:color w:val="0000FF"/>
                <w:sz w:val="24"/>
                <w:szCs w:val="24"/>
                <w:highlight w:val="none"/>
                <w:lang w:val="en-US" w:eastAsia="zh-CN"/>
              </w:rPr>
              <w:t>机</w:t>
            </w:r>
            <w:r>
              <w:rPr>
                <w:rFonts w:hint="default" w:ascii="Times New Roman" w:hAnsi="Times New Roman" w:eastAsia="宋体" w:cs="Times New Roman"/>
                <w:b w:val="0"/>
                <w:bCs/>
                <w:color w:val="0000FF"/>
                <w:sz w:val="24"/>
                <w:szCs w:val="24"/>
                <w:highlight w:val="none"/>
                <w:lang w:val="en-US" w:eastAsia="zh-CN"/>
              </w:rPr>
              <w:t>的弹丸抛射作用，去除钢材表面氧化皮、锈层及污物，并形成一定粗糙度，同时结合工艺参数控制实现高效、低耗、高质量的除锈处理。</w:t>
            </w:r>
          </w:p>
          <w:p w14:paraId="6C739249">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w:t>
            </w:r>
            <w:r>
              <w:rPr>
                <w:rFonts w:hint="default" w:cs="Times New Roman"/>
                <w:bCs/>
                <w:color w:val="auto"/>
                <w:sz w:val="24"/>
                <w:szCs w:val="24"/>
                <w:highlight w:val="none"/>
                <w:lang w:val="en-US" w:eastAsia="zh-CN"/>
              </w:rPr>
              <w:t>会</w:t>
            </w:r>
            <w:r>
              <w:rPr>
                <w:rFonts w:hint="default" w:ascii="Times New Roman" w:hAnsi="Times New Roman" w:eastAsia="宋体" w:cs="Times New Roman"/>
                <w:bCs/>
                <w:color w:val="auto"/>
                <w:sz w:val="24"/>
                <w:szCs w:val="24"/>
                <w:highlight w:val="none"/>
                <w:lang w:val="en-US" w:eastAsia="zh-CN"/>
              </w:rPr>
              <w:t>产生</w:t>
            </w:r>
            <w:r>
              <w:rPr>
                <w:rFonts w:hint="default" w:cs="Times New Roman"/>
                <w:bCs/>
                <w:color w:val="auto"/>
                <w:sz w:val="24"/>
                <w:szCs w:val="24"/>
                <w:highlight w:val="none"/>
                <w:lang w:val="en-US" w:eastAsia="zh-CN"/>
              </w:rPr>
              <w:t>金属粉尘G1</w:t>
            </w:r>
            <w:r>
              <w:rPr>
                <w:rFonts w:hint="eastAsia" w:cs="Times New Roman"/>
                <w:bCs/>
                <w:color w:val="auto"/>
                <w:sz w:val="24"/>
                <w:szCs w:val="24"/>
                <w:highlight w:val="none"/>
                <w:lang w:val="en-US" w:eastAsia="zh-CN"/>
              </w:rPr>
              <w:t>、沉降金属粉尘S1</w:t>
            </w:r>
            <w:r>
              <w:rPr>
                <w:rFonts w:hint="default" w:cs="Times New Roman"/>
                <w:bCs/>
                <w:color w:val="auto"/>
                <w:sz w:val="24"/>
                <w:szCs w:val="24"/>
                <w:highlight w:val="none"/>
                <w:lang w:val="en-US" w:eastAsia="zh-CN"/>
              </w:rPr>
              <w:t>和噪声</w:t>
            </w:r>
            <w:r>
              <w:rPr>
                <w:rFonts w:hint="default" w:ascii="Times New Roman" w:hAnsi="Times New Roman" w:eastAsia="宋体" w:cs="Times New Roman"/>
                <w:bCs/>
                <w:color w:val="auto"/>
                <w:sz w:val="24"/>
                <w:szCs w:val="24"/>
                <w:highlight w:val="none"/>
                <w:lang w:val="en-US" w:eastAsia="zh-CN"/>
              </w:rPr>
              <w:t>。</w:t>
            </w:r>
          </w:p>
          <w:p w14:paraId="55099256">
            <w:pPr>
              <w:spacing w:line="360" w:lineRule="auto"/>
              <w:ind w:firstLine="482" w:firstLineChars="200"/>
              <w:rPr>
                <w:rFonts w:hint="default" w:cs="Times New Roman"/>
                <w:bCs/>
                <w:color w:val="0000FF"/>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②</w:t>
            </w:r>
            <w:r>
              <w:rPr>
                <w:rFonts w:hint="default" w:cs="Times New Roman"/>
                <w:b/>
                <w:bCs w:val="0"/>
                <w:color w:val="auto"/>
                <w:sz w:val="24"/>
                <w:szCs w:val="24"/>
                <w:highlight w:val="none"/>
                <w:lang w:val="en-US" w:eastAsia="zh-CN"/>
              </w:rPr>
              <w:t>CNC加工</w:t>
            </w:r>
            <w:r>
              <w:rPr>
                <w:rFonts w:hint="default" w:ascii="Times New Roman" w:hAnsi="Times New Roman" w:eastAsia="宋体" w:cs="Times New Roman"/>
                <w:b/>
                <w:bCs w:val="0"/>
                <w:color w:val="auto"/>
                <w:sz w:val="24"/>
                <w:szCs w:val="24"/>
                <w:highlight w:val="none"/>
                <w:lang w:val="en-US" w:eastAsia="zh-CN"/>
              </w:rPr>
              <w:t>：</w:t>
            </w:r>
            <w:r>
              <w:rPr>
                <w:rFonts w:ascii="Times New Roman" w:hAnsi="Times New Roman" w:eastAsia="宋体" w:cs="Times New Roman"/>
                <w:bCs/>
                <w:i w:val="0"/>
                <w:iCs w:val="0"/>
                <w:caps w:val="0"/>
                <w:color w:val="0000FF"/>
                <w:spacing w:val="0"/>
                <w:kern w:val="2"/>
                <w:sz w:val="24"/>
                <w:szCs w:val="24"/>
                <w:highlight w:val="none"/>
                <w:u w:val="none"/>
                <w:shd w:val="clear"/>
                <w:lang w:val="en-US" w:eastAsia="zh-CN" w:bidi="ar"/>
              </w:rPr>
              <w:fldChar w:fldCharType="begin"/>
            </w:r>
            <w:r>
              <w:rPr>
                <w:rFonts w:ascii="Times New Roman" w:hAnsi="Times New Roman" w:eastAsia="宋体" w:cs="Times New Roman"/>
                <w:bCs/>
                <w:i w:val="0"/>
                <w:iCs w:val="0"/>
                <w:caps w:val="0"/>
                <w:color w:val="0000FF"/>
                <w:spacing w:val="0"/>
                <w:kern w:val="2"/>
                <w:sz w:val="24"/>
                <w:szCs w:val="24"/>
                <w:highlight w:val="none"/>
                <w:u w:val="none"/>
                <w:shd w:val="clear"/>
                <w:lang w:val="en-US" w:eastAsia="zh-CN" w:bidi="ar"/>
              </w:rPr>
              <w:instrText xml:space="preserve"> HYPERLINK "https://zhuanlan.zhihu.com/p/1905580996839076932" \t "https://cn.bing.com/_blank" </w:instrText>
            </w:r>
            <w:r>
              <w:rPr>
                <w:rFonts w:ascii="Times New Roman" w:hAnsi="Times New Roman" w:eastAsia="宋体" w:cs="Times New Roman"/>
                <w:bCs/>
                <w:i w:val="0"/>
                <w:iCs w:val="0"/>
                <w:caps w:val="0"/>
                <w:color w:val="0000FF"/>
                <w:spacing w:val="0"/>
                <w:kern w:val="2"/>
                <w:sz w:val="24"/>
                <w:szCs w:val="24"/>
                <w:highlight w:val="none"/>
                <w:u w:val="none"/>
                <w:shd w:val="clear"/>
                <w:lang w:val="en-US" w:eastAsia="zh-CN" w:bidi="ar"/>
              </w:rPr>
              <w:fldChar w:fldCharType="separate"/>
            </w:r>
            <w:r>
              <w:rPr>
                <w:rFonts w:hint="default" w:ascii="Times New Roman" w:hAnsi="Times New Roman" w:eastAsia="宋体" w:cs="Times New Roman"/>
                <w:bCs/>
                <w:i w:val="0"/>
                <w:iCs w:val="0"/>
                <w:caps w:val="0"/>
                <w:color w:val="0000FF"/>
                <w:spacing w:val="0"/>
                <w:sz w:val="24"/>
                <w:szCs w:val="24"/>
                <w:highlight w:val="none"/>
                <w:u w:val="none"/>
                <w:shd w:val="clear"/>
              </w:rPr>
              <w:t>CNC加工（Computer Numerical Control Machining）是利用计算机程序控制机床和工具的运动，从工件上去除材料，以制造出符合设计要求的零件或产品。CNC加工的核心在于使用数字化设计模型（通常由CAD软件创建）生成机床可识别的指令（如G代码和M代码），控制切削工具在X、Y、Z轴上的运动轨迹</w:t>
            </w:r>
            <w:r>
              <w:rPr>
                <w:rFonts w:hint="default" w:ascii="Times New Roman" w:hAnsi="Times New Roman" w:eastAsia="宋体" w:cs="Times New Roman"/>
                <w:bCs/>
                <w:i w:val="0"/>
                <w:iCs w:val="0"/>
                <w:caps w:val="0"/>
                <w:color w:val="0000FF"/>
                <w:spacing w:val="0"/>
                <w:kern w:val="2"/>
                <w:sz w:val="24"/>
                <w:szCs w:val="24"/>
                <w:highlight w:val="none"/>
                <w:u w:val="none"/>
                <w:shd w:val="clear"/>
                <w:lang w:val="en-US" w:eastAsia="zh-CN" w:bidi="ar"/>
              </w:rPr>
              <w:fldChar w:fldCharType="end"/>
            </w:r>
            <w:r>
              <w:rPr>
                <w:rFonts w:hint="default" w:cs="Times New Roman"/>
                <w:bCs/>
                <w:color w:val="0000FF"/>
                <w:sz w:val="24"/>
                <w:szCs w:val="24"/>
                <w:highlight w:val="none"/>
                <w:lang w:val="en-US" w:eastAsia="zh-CN"/>
              </w:rPr>
              <w:t>。</w:t>
            </w:r>
          </w:p>
          <w:p w14:paraId="3CBE73A9">
            <w:pPr>
              <w:spacing w:line="360" w:lineRule="auto"/>
              <w:ind w:firstLine="480" w:firstLineChars="200"/>
              <w:rPr>
                <w:rFonts w:hint="default" w:ascii="Times New Roman" w:hAnsi="Times New Roman" w:eastAsia="宋体" w:cs="Times New Roman"/>
                <w:bCs/>
                <w:color w:val="0000FF"/>
                <w:sz w:val="24"/>
                <w:szCs w:val="24"/>
                <w:highlight w:val="none"/>
                <w:lang w:val="en-US" w:eastAsia="zh-CN"/>
              </w:rPr>
            </w:pPr>
            <w:r>
              <w:rPr>
                <w:rFonts w:hint="default" w:ascii="Times New Roman" w:hAnsi="Times New Roman" w:eastAsia="宋体" w:cs="Times New Roman"/>
                <w:bCs/>
                <w:color w:val="0000FF"/>
                <w:sz w:val="24"/>
                <w:szCs w:val="24"/>
                <w:highlight w:val="none"/>
                <w:lang w:val="en-US" w:eastAsia="zh-CN"/>
              </w:rPr>
              <w:t>CNC加工包括多种工艺，如铣削、车削、钻孔、铰孔和攻丝等。每种工艺都有其独特的优势和适用场景。例如，铣削适用于多面加工，而车削则侧重于旋转体的加工。</w:t>
            </w:r>
          </w:p>
          <w:p w14:paraId="29114DA8">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eastAsia" w:cs="Times New Roman"/>
                <w:bCs/>
                <w:color w:val="0000FF"/>
                <w:sz w:val="24"/>
                <w:szCs w:val="24"/>
                <w:highlight w:val="none"/>
                <w:lang w:val="en-US" w:eastAsia="zh-CN"/>
              </w:rPr>
              <w:t>将抛瓦后的材料根据设计要求，放置在CNC自动车中进行CNC加工，生产出符合要求的配件。机器切削的时候需要切削液润滑兼降温。</w:t>
            </w:r>
          </w:p>
          <w:p w14:paraId="0B7DDBF6">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w:t>
            </w:r>
            <w:r>
              <w:rPr>
                <w:rFonts w:hint="eastAsia" w:cs="Times New Roman"/>
                <w:bCs/>
                <w:color w:val="auto"/>
                <w:sz w:val="24"/>
                <w:szCs w:val="24"/>
                <w:highlight w:val="none"/>
                <w:lang w:val="en-US" w:eastAsia="zh-CN"/>
              </w:rPr>
              <w:t>金属粉尘G1，边角料S2以及废切削液S3和噪声。</w:t>
            </w:r>
          </w:p>
          <w:p w14:paraId="2020FAFE">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③</w:t>
            </w:r>
            <w:r>
              <w:rPr>
                <w:rFonts w:hint="eastAsia" w:cs="Times New Roman"/>
                <w:b/>
                <w:bCs w:val="0"/>
                <w:color w:val="auto"/>
                <w:sz w:val="24"/>
                <w:szCs w:val="24"/>
                <w:highlight w:val="none"/>
                <w:lang w:val="en-US" w:eastAsia="zh-CN"/>
              </w:rPr>
              <w:t>齿轮加工</w:t>
            </w:r>
            <w:r>
              <w:rPr>
                <w:rFonts w:hint="default" w:ascii="Times New Roman" w:hAnsi="Times New Roman" w:eastAsia="宋体" w:cs="Times New Roman"/>
                <w:b/>
                <w:bCs w:val="0"/>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使用</w:t>
            </w:r>
            <w:r>
              <w:rPr>
                <w:rFonts w:hint="eastAsia" w:cs="Times New Roman"/>
                <w:bCs/>
                <w:color w:val="auto"/>
                <w:sz w:val="24"/>
                <w:szCs w:val="24"/>
                <w:highlight w:val="none"/>
                <w:lang w:val="en-US" w:eastAsia="zh-CN"/>
              </w:rPr>
              <w:t>铣</w:t>
            </w:r>
            <w:r>
              <w:rPr>
                <w:rFonts w:hint="default" w:ascii="Times New Roman" w:hAnsi="Times New Roman" w:eastAsia="宋体" w:cs="Times New Roman"/>
                <w:bCs/>
                <w:color w:val="auto"/>
                <w:sz w:val="24"/>
                <w:szCs w:val="24"/>
                <w:highlight w:val="none"/>
                <w:lang w:val="en-US" w:eastAsia="zh-CN"/>
              </w:rPr>
              <w:t>车将外购的齿轮毛</w:t>
            </w:r>
            <w:r>
              <w:rPr>
                <w:rFonts w:hint="eastAsia" w:cs="Times New Roman"/>
                <w:bCs/>
                <w:color w:val="auto"/>
                <w:sz w:val="24"/>
                <w:szCs w:val="24"/>
                <w:highlight w:val="none"/>
                <w:lang w:val="en-US" w:eastAsia="zh-CN"/>
              </w:rPr>
              <w:t>坯</w:t>
            </w:r>
            <w:r>
              <w:rPr>
                <w:rFonts w:hint="default" w:ascii="Times New Roman" w:hAnsi="Times New Roman" w:eastAsia="宋体" w:cs="Times New Roman"/>
                <w:bCs/>
                <w:color w:val="auto"/>
                <w:sz w:val="24"/>
                <w:szCs w:val="24"/>
                <w:highlight w:val="none"/>
                <w:lang w:val="en-US" w:eastAsia="zh-CN"/>
              </w:rPr>
              <w:t>件进行精车内孔端面，然后使用数控磨齿机磨齿，线切割割键槽，人工去除毛刺，然后经齿轮测量中心检验后得到齿轮。</w:t>
            </w:r>
          </w:p>
          <w:p w14:paraId="08ACFEC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w:t>
            </w:r>
            <w:r>
              <w:rPr>
                <w:rFonts w:hint="eastAsia" w:cs="Times New Roman"/>
                <w:bCs/>
                <w:color w:val="auto"/>
                <w:sz w:val="24"/>
                <w:szCs w:val="24"/>
                <w:highlight w:val="none"/>
                <w:lang w:val="en-US" w:eastAsia="zh-CN"/>
              </w:rPr>
              <w:t>会</w:t>
            </w:r>
            <w:r>
              <w:rPr>
                <w:rFonts w:hint="default" w:ascii="Times New Roman" w:hAnsi="Times New Roman" w:eastAsia="宋体" w:cs="Times New Roman"/>
                <w:bCs/>
                <w:color w:val="auto"/>
                <w:sz w:val="24"/>
                <w:szCs w:val="24"/>
                <w:highlight w:val="none"/>
                <w:lang w:val="en-US" w:eastAsia="zh-CN"/>
              </w:rPr>
              <w:t>产生污染物</w:t>
            </w:r>
            <w:r>
              <w:rPr>
                <w:rFonts w:hint="eastAsia" w:cs="Times New Roman"/>
                <w:bCs/>
                <w:color w:val="auto"/>
                <w:sz w:val="24"/>
                <w:szCs w:val="24"/>
                <w:highlight w:val="none"/>
                <w:lang w:val="en-US" w:eastAsia="zh-CN"/>
              </w:rPr>
              <w:t>金属粉尘G1和噪声。</w:t>
            </w:r>
          </w:p>
          <w:p w14:paraId="3B05B6A6">
            <w:pPr>
              <w:spacing w:line="360" w:lineRule="auto"/>
              <w:ind w:firstLine="482" w:firstLineChars="200"/>
              <w:rPr>
                <w:rFonts w:hint="default" w:ascii="Times New Roman" w:hAnsi="Times New Roman" w:eastAsia="宋体" w:cs="Times New Roman"/>
                <w:bCs/>
                <w:color w:val="0000FF"/>
                <w:sz w:val="24"/>
                <w:szCs w:val="24"/>
                <w:highlight w:val="none"/>
                <w:lang w:val="en-US" w:eastAsia="zh-CN"/>
              </w:rPr>
            </w:pPr>
            <w:r>
              <w:rPr>
                <w:rFonts w:hint="default" w:ascii="Times New Roman" w:hAnsi="Times New Roman" w:eastAsia="宋体" w:cs="Times New Roman"/>
                <w:b/>
                <w:bCs w:val="0"/>
                <w:color w:val="0000FF"/>
                <w:sz w:val="24"/>
                <w:szCs w:val="24"/>
                <w:highlight w:val="none"/>
                <w:lang w:val="en-US" w:eastAsia="zh-CN"/>
              </w:rPr>
              <w:t>④</w:t>
            </w:r>
            <w:r>
              <w:rPr>
                <w:rFonts w:hint="eastAsia" w:cs="Times New Roman"/>
                <w:b/>
                <w:bCs w:val="0"/>
                <w:color w:val="0000FF"/>
                <w:sz w:val="24"/>
                <w:szCs w:val="24"/>
                <w:highlight w:val="none"/>
                <w:lang w:val="en-US" w:eastAsia="zh-CN"/>
              </w:rPr>
              <w:t>清洗</w:t>
            </w:r>
            <w:r>
              <w:rPr>
                <w:rFonts w:hint="default" w:ascii="Times New Roman" w:hAnsi="Times New Roman" w:eastAsia="宋体" w:cs="Times New Roman"/>
                <w:b/>
                <w:bCs w:val="0"/>
                <w:color w:val="0000FF"/>
                <w:sz w:val="24"/>
                <w:szCs w:val="24"/>
                <w:highlight w:val="none"/>
                <w:lang w:val="en-US" w:eastAsia="zh-CN"/>
              </w:rPr>
              <w:t>：</w:t>
            </w:r>
            <w:r>
              <w:rPr>
                <w:rFonts w:hint="default" w:ascii="Times New Roman" w:hAnsi="Times New Roman" w:eastAsia="宋体" w:cs="Times New Roman"/>
                <w:bCs/>
                <w:color w:val="0000FF"/>
                <w:sz w:val="24"/>
                <w:szCs w:val="24"/>
                <w:highlight w:val="none"/>
                <w:lang w:val="en-US" w:eastAsia="zh-CN"/>
              </w:rPr>
              <w:t>将工件置于洗净设备的清洗槽中进行</w:t>
            </w:r>
            <w:r>
              <w:rPr>
                <w:rFonts w:hint="eastAsia" w:cs="Times New Roman"/>
                <w:bCs/>
                <w:color w:val="0000FF"/>
                <w:sz w:val="24"/>
                <w:szCs w:val="24"/>
                <w:highlight w:val="none"/>
                <w:lang w:val="en-US" w:eastAsia="zh-CN"/>
              </w:rPr>
              <w:t>超声波</w:t>
            </w:r>
            <w:r>
              <w:rPr>
                <w:rFonts w:hint="default" w:ascii="Times New Roman" w:hAnsi="Times New Roman" w:eastAsia="宋体" w:cs="Times New Roman"/>
                <w:bCs/>
                <w:color w:val="0000FF"/>
                <w:sz w:val="24"/>
                <w:szCs w:val="24"/>
                <w:highlight w:val="none"/>
                <w:lang w:val="en-US" w:eastAsia="zh-CN"/>
              </w:rPr>
              <w:t>清洗，</w:t>
            </w:r>
            <w:r>
              <w:rPr>
                <w:rFonts w:ascii="Helvetica" w:hAnsi="Helvetica" w:eastAsia="Helvetica" w:cs="Helvetica"/>
                <w:i w:val="0"/>
                <w:iCs w:val="0"/>
                <w:caps w:val="0"/>
                <w:color w:val="0000FF"/>
                <w:spacing w:val="0"/>
                <w:sz w:val="24"/>
                <w:szCs w:val="24"/>
                <w:shd w:val="clear" w:fill="FFFFFF"/>
              </w:rPr>
              <w:t>超声波在液体中传播时产生交替的高压和低压区，低压区形成真空气泡（空化核），气泡在高压区瞬间崩溃释放冲击波，对物体表面污垢产生剥离作用。该过程伴随微射流、声流等物理效应，可深入复杂结构或盲孔内部，实现高效清洗。高频适用于精细清洗</w:t>
            </w:r>
            <w:r>
              <w:rPr>
                <w:rFonts w:hint="eastAsia" w:ascii="Helvetica" w:hAnsi="Helvetica" w:eastAsia="宋体" w:cs="Helvetica"/>
                <w:i w:val="0"/>
                <w:iCs w:val="0"/>
                <w:caps w:val="0"/>
                <w:color w:val="0000FF"/>
                <w:spacing w:val="0"/>
                <w:sz w:val="24"/>
                <w:szCs w:val="24"/>
                <w:shd w:val="clear" w:fill="FFFFFF"/>
                <w:lang w:eastAsia="zh-CN"/>
              </w:rPr>
              <w:t>，</w:t>
            </w:r>
            <w:r>
              <w:rPr>
                <w:rFonts w:hint="default" w:ascii="Helvetica" w:hAnsi="Helvetica" w:eastAsia="Helvetica" w:cs="Helvetica"/>
                <w:i w:val="0"/>
                <w:iCs w:val="0"/>
                <w:caps w:val="0"/>
                <w:color w:val="0000FF"/>
                <w:spacing w:val="0"/>
                <w:sz w:val="24"/>
                <w:szCs w:val="24"/>
                <w:shd w:val="clear" w:fill="FFFFFF"/>
              </w:rPr>
              <w:t>工作温度通常控制在</w:t>
            </w:r>
            <w:r>
              <w:rPr>
                <w:rFonts w:hint="default" w:ascii="Times New Roman" w:hAnsi="Times New Roman" w:eastAsia="Helvetica" w:cs="Times New Roman"/>
                <w:i w:val="0"/>
                <w:iCs w:val="0"/>
                <w:caps w:val="0"/>
                <w:color w:val="0000FF"/>
                <w:spacing w:val="0"/>
                <w:sz w:val="24"/>
                <w:szCs w:val="24"/>
                <w:shd w:val="clear" w:fill="FFFFFF"/>
              </w:rPr>
              <w:t>40</w:t>
            </w:r>
            <w:r>
              <w:rPr>
                <w:rFonts w:hint="eastAsia" w:eastAsia="宋体" w:cs="Times New Roman"/>
                <w:i w:val="0"/>
                <w:iCs w:val="0"/>
                <w:caps w:val="0"/>
                <w:color w:val="0000FF"/>
                <w:spacing w:val="0"/>
                <w:sz w:val="24"/>
                <w:szCs w:val="24"/>
                <w:shd w:val="clear" w:fill="FFFFFF"/>
                <w:lang w:val="en-US" w:eastAsia="zh-CN"/>
              </w:rPr>
              <w:t>~</w:t>
            </w:r>
            <w:r>
              <w:rPr>
                <w:rFonts w:hint="default" w:ascii="Times New Roman" w:hAnsi="Times New Roman" w:eastAsia="Helvetica" w:cs="Times New Roman"/>
                <w:i w:val="0"/>
                <w:iCs w:val="0"/>
                <w:caps w:val="0"/>
                <w:color w:val="0000FF"/>
                <w:spacing w:val="0"/>
                <w:sz w:val="24"/>
                <w:szCs w:val="24"/>
                <w:shd w:val="clear" w:fill="FFFFFF"/>
              </w:rPr>
              <w:t>50℃以</w:t>
            </w:r>
            <w:r>
              <w:rPr>
                <w:rFonts w:hint="default" w:ascii="Helvetica" w:hAnsi="Helvetica" w:eastAsia="Helvetica" w:cs="Helvetica"/>
                <w:i w:val="0"/>
                <w:iCs w:val="0"/>
                <w:caps w:val="0"/>
                <w:color w:val="0000FF"/>
                <w:spacing w:val="0"/>
                <w:sz w:val="24"/>
                <w:szCs w:val="24"/>
                <w:shd w:val="clear" w:fill="FFFFFF"/>
              </w:rPr>
              <w:t>优化空化效果。</w:t>
            </w:r>
            <w:r>
              <w:rPr>
                <w:rFonts w:hint="default" w:ascii="Times New Roman" w:hAnsi="Times New Roman" w:eastAsia="宋体" w:cs="Times New Roman"/>
                <w:bCs/>
                <w:color w:val="0000FF"/>
                <w:sz w:val="24"/>
                <w:szCs w:val="24"/>
                <w:highlight w:val="none"/>
                <w:lang w:val="en-US" w:eastAsia="zh-CN"/>
              </w:rPr>
              <w:t>清洗槽中加入</w:t>
            </w:r>
            <w:r>
              <w:rPr>
                <w:rFonts w:hint="eastAsia" w:cs="Times New Roman"/>
                <w:bCs/>
                <w:color w:val="0000FF"/>
                <w:sz w:val="24"/>
                <w:szCs w:val="24"/>
                <w:highlight w:val="none"/>
                <w:lang w:val="en-US" w:eastAsia="zh-CN"/>
              </w:rPr>
              <w:t>超声波</w:t>
            </w:r>
            <w:r>
              <w:rPr>
                <w:rFonts w:hint="default" w:ascii="Times New Roman" w:hAnsi="Times New Roman" w:eastAsia="宋体" w:cs="Times New Roman"/>
                <w:bCs/>
                <w:color w:val="0000FF"/>
                <w:sz w:val="24"/>
                <w:szCs w:val="24"/>
                <w:highlight w:val="none"/>
                <w:lang w:val="en-US" w:eastAsia="zh-CN"/>
              </w:rPr>
              <w:t>清洗剂和自来水（配比为1:75），清洗</w:t>
            </w:r>
            <w:r>
              <w:rPr>
                <w:rFonts w:hint="eastAsia" w:cs="Times New Roman"/>
                <w:bCs/>
                <w:color w:val="0000FF"/>
                <w:sz w:val="24"/>
                <w:szCs w:val="24"/>
                <w:highlight w:val="none"/>
                <w:lang w:val="en-US" w:eastAsia="zh-CN"/>
              </w:rPr>
              <w:t>槽每周</w:t>
            </w:r>
            <w:r>
              <w:rPr>
                <w:rFonts w:hint="default" w:ascii="Times New Roman" w:hAnsi="Times New Roman" w:eastAsia="宋体" w:cs="Times New Roman"/>
                <w:bCs/>
                <w:color w:val="0000FF"/>
                <w:sz w:val="24"/>
                <w:szCs w:val="24"/>
                <w:highlight w:val="none"/>
                <w:lang w:val="en-US" w:eastAsia="zh-CN"/>
              </w:rPr>
              <w:t>更换一次，该过程产生清洗废液。</w:t>
            </w:r>
          </w:p>
          <w:p w14:paraId="55FBEAA4">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w:t>
            </w:r>
            <w:r>
              <w:rPr>
                <w:rFonts w:hint="eastAsia" w:cs="Times New Roman"/>
                <w:bCs/>
                <w:color w:val="auto"/>
                <w:sz w:val="24"/>
                <w:szCs w:val="24"/>
                <w:highlight w:val="none"/>
                <w:lang w:val="en-US" w:eastAsia="zh-CN"/>
              </w:rPr>
              <w:t>还</w:t>
            </w:r>
            <w:r>
              <w:rPr>
                <w:rFonts w:hint="default" w:ascii="Times New Roman" w:hAnsi="Times New Roman" w:eastAsia="宋体" w:cs="Times New Roman"/>
                <w:bCs/>
                <w:color w:val="auto"/>
                <w:sz w:val="24"/>
                <w:szCs w:val="24"/>
                <w:highlight w:val="none"/>
                <w:lang w:val="en-US" w:eastAsia="zh-CN"/>
              </w:rPr>
              <w:t>会产生</w:t>
            </w:r>
            <w:r>
              <w:rPr>
                <w:rFonts w:hint="eastAsia" w:cs="Times New Roman"/>
                <w:bCs/>
                <w:color w:val="auto"/>
                <w:sz w:val="24"/>
                <w:szCs w:val="24"/>
                <w:highlight w:val="none"/>
                <w:lang w:val="en-US" w:eastAsia="zh-CN"/>
              </w:rPr>
              <w:t>污泥</w:t>
            </w:r>
            <w:r>
              <w:rPr>
                <w:rFonts w:hint="default" w:ascii="Times New Roman" w:hAnsi="Times New Roman" w:eastAsia="宋体" w:cs="Times New Roman"/>
                <w:bCs/>
                <w:color w:val="auto"/>
                <w:sz w:val="24"/>
                <w:szCs w:val="24"/>
                <w:highlight w:val="none"/>
                <w:lang w:val="en-US" w:eastAsia="zh-CN"/>
              </w:rPr>
              <w:t>，集中收集后暂存一般固废暂存间，由厂家回收处理。</w:t>
            </w:r>
          </w:p>
          <w:p w14:paraId="5A6988C6">
            <w:pPr>
              <w:pStyle w:val="7"/>
              <w:pageBreakBefore w:val="0"/>
              <w:widowControl w:val="0"/>
              <w:kinsoku/>
              <w:wordWrap/>
              <w:overflowPunct/>
              <w:topLinePunct w:val="0"/>
              <w:autoSpaceDE/>
              <w:autoSpaceDN/>
              <w:bidi w:val="0"/>
              <w:spacing w:line="360" w:lineRule="auto"/>
              <w:ind w:firstLine="482" w:firstLineChars="200"/>
              <w:jc w:val="left"/>
              <w:textAlignment w:val="auto"/>
              <w:rPr>
                <w:rFonts w:hint="eastAsia"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⑤</w:t>
            </w:r>
            <w:r>
              <w:rPr>
                <w:rFonts w:hint="eastAsia" w:cs="Times New Roman"/>
                <w:b/>
                <w:bCs w:val="0"/>
                <w:color w:val="auto"/>
                <w:sz w:val="24"/>
                <w:szCs w:val="24"/>
                <w:highlight w:val="none"/>
                <w:lang w:val="en-US" w:eastAsia="zh-CN"/>
              </w:rPr>
              <w:t>喷漆</w:t>
            </w:r>
            <w:r>
              <w:rPr>
                <w:rFonts w:hint="default" w:ascii="Times New Roman" w:hAnsi="Times New Roman" w:eastAsia="宋体" w:cs="Times New Roman"/>
                <w:b/>
                <w:bCs w:val="0"/>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喷漆主要是在工件表面喷涂</w:t>
            </w:r>
            <w:r>
              <w:rPr>
                <w:rFonts w:hint="eastAsia" w:cs="Times New Roman"/>
                <w:bCs/>
                <w:color w:val="auto"/>
                <w:sz w:val="24"/>
                <w:szCs w:val="24"/>
                <w:highlight w:val="none"/>
                <w:lang w:val="en-US" w:eastAsia="zh-CN"/>
              </w:rPr>
              <w:t>一</w:t>
            </w:r>
            <w:r>
              <w:rPr>
                <w:rFonts w:hint="default" w:ascii="Times New Roman" w:hAnsi="Times New Roman" w:eastAsia="宋体" w:cs="Times New Roman"/>
                <w:bCs/>
                <w:color w:val="auto"/>
                <w:sz w:val="24"/>
                <w:szCs w:val="24"/>
                <w:highlight w:val="none"/>
                <w:lang w:val="en-US" w:eastAsia="zh-CN"/>
              </w:rPr>
              <w:t>层油性漆，为静电喷涂。先将涂料和稀释剂进行调配（溶剂型涂料：稀释剂按5：1的比例进行调配），再进行喷漆。在密闭喷漆房喷涂，单把喷枪规格60mL/min，调漆、喷涂工序在喷漆房进行，喷房设置移门，工作时移门关闭，工件进口端设置负压风幕，工件出口端与烘道进口端紧密连接。调漆过程产生调漆废气，喷漆过程产生喷漆废气。</w:t>
            </w:r>
          </w:p>
          <w:p w14:paraId="0909E5E4">
            <w:pPr>
              <w:pStyle w:val="6"/>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color w:val="0000FF"/>
                <w:sz w:val="24"/>
                <w:szCs w:val="24"/>
                <w:highlight w:val="none"/>
                <w:lang w:val="en-US" w:eastAsia="zh-CN"/>
              </w:rPr>
            </w:pPr>
            <w:r>
              <w:rPr>
                <w:rFonts w:hint="default" w:ascii="Times New Roman" w:hAnsi="Times New Roman" w:eastAsia="宋体" w:cs="Times New Roman"/>
                <w:b w:val="0"/>
                <w:bCs/>
                <w:color w:val="0000FF"/>
                <w:sz w:val="24"/>
                <w:szCs w:val="24"/>
                <w:highlight w:val="none"/>
                <w:lang w:val="en-US" w:eastAsia="zh-CN"/>
              </w:rPr>
              <w:t>定期清洗喷枪可以确保喷涂效果均匀，延长喷枪使用寿命，避免涂料残留导致的堵塞和腐蚀。拆下喷枪的油漆罐，将剩余的涂料倒回原罐。</w:t>
            </w:r>
            <w:r>
              <w:rPr>
                <w:rFonts w:hint="default" w:ascii="Times New Roman" w:hAnsi="Times New Roman" w:eastAsia="宋体" w:cs="Times New Roman"/>
                <w:b w:val="0"/>
                <w:bCs/>
                <w:color w:val="0000FF"/>
                <w:sz w:val="24"/>
                <w:szCs w:val="24"/>
                <w:highlight w:val="none"/>
                <w:lang w:val="en-US" w:eastAsia="zh-CN"/>
              </w:rPr>
              <w:fldChar w:fldCharType="begin"/>
            </w:r>
            <w:r>
              <w:rPr>
                <w:rFonts w:hint="default" w:ascii="Times New Roman" w:hAnsi="Times New Roman" w:eastAsia="宋体" w:cs="Times New Roman"/>
                <w:b w:val="0"/>
                <w:bCs/>
                <w:color w:val="0000FF"/>
                <w:sz w:val="24"/>
                <w:szCs w:val="24"/>
                <w:highlight w:val="none"/>
                <w:lang w:val="en-US" w:eastAsia="zh-CN"/>
              </w:rPr>
              <w:instrText xml:space="preserve"> HYPERLINK "https://cp.baidu.com/landing/tscp_doc/7316540935c56157cb34ce259867bbac" \t "https://cn.bing.com/_blank" </w:instrText>
            </w:r>
            <w:r>
              <w:rPr>
                <w:rFonts w:hint="default" w:ascii="Times New Roman" w:hAnsi="Times New Roman" w:eastAsia="宋体" w:cs="Times New Roman"/>
                <w:b w:val="0"/>
                <w:bCs/>
                <w:color w:val="0000FF"/>
                <w:sz w:val="24"/>
                <w:szCs w:val="24"/>
                <w:highlight w:val="none"/>
                <w:lang w:val="en-US" w:eastAsia="zh-CN"/>
              </w:rPr>
              <w:fldChar w:fldCharType="separate"/>
            </w:r>
            <w:r>
              <w:rPr>
                <w:rFonts w:hint="default" w:ascii="Times New Roman" w:hAnsi="Times New Roman" w:eastAsia="宋体" w:cs="Times New Roman"/>
                <w:b w:val="0"/>
                <w:bCs/>
                <w:color w:val="0000FF"/>
                <w:sz w:val="24"/>
                <w:szCs w:val="24"/>
                <w:highlight w:val="none"/>
                <w:lang w:val="en-US" w:eastAsia="zh-CN"/>
              </w:rPr>
              <w:t>使用稀释剂通过喷枪喷出，冲掉大部分残余涂料，保持喷嘴朝下以避免液体回流。</w:t>
            </w:r>
            <w:r>
              <w:rPr>
                <w:rFonts w:hint="default" w:ascii="Times New Roman" w:hAnsi="Times New Roman" w:eastAsia="宋体" w:cs="Times New Roman"/>
                <w:b w:val="0"/>
                <w:bCs/>
                <w:color w:val="0000FF"/>
                <w:sz w:val="24"/>
                <w:szCs w:val="24"/>
                <w:highlight w:val="none"/>
                <w:lang w:val="en-US" w:eastAsia="zh-CN"/>
              </w:rPr>
              <w:fldChar w:fldCharType="end"/>
            </w:r>
            <w:r>
              <w:rPr>
                <w:rFonts w:hint="default" w:ascii="Times New Roman" w:hAnsi="Times New Roman" w:eastAsia="宋体" w:cs="Times New Roman"/>
                <w:b w:val="0"/>
                <w:bCs/>
                <w:color w:val="0000FF"/>
                <w:sz w:val="24"/>
                <w:szCs w:val="24"/>
                <w:highlight w:val="none"/>
                <w:lang w:val="en-US" w:eastAsia="zh-CN"/>
              </w:rPr>
              <w:t>清洗完成后，按照正确的顺序组装喷枪，确保各部件安装到位。</w:t>
            </w:r>
          </w:p>
          <w:p w14:paraId="1F2B4070">
            <w:pPr>
              <w:pStyle w:val="6"/>
              <w:pageBreakBefore w:val="0"/>
              <w:widowControl w:val="0"/>
              <w:kinsoku/>
              <w:wordWrap/>
              <w:overflowPunct/>
              <w:topLinePunct w:val="0"/>
              <w:autoSpaceDE/>
              <w:autoSpaceDN/>
              <w:bidi w:val="0"/>
              <w:spacing w:beforeLines="0" w:afterLines="0"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 w:val="0"/>
                <w:bCs w:val="0"/>
                <w:color w:val="auto"/>
                <w:sz w:val="24"/>
                <w:szCs w:val="24"/>
                <w:highlight w:val="none"/>
                <w:lang w:val="en-US" w:eastAsia="zh-CN"/>
              </w:rPr>
              <w:t>该工序</w:t>
            </w:r>
            <w:r>
              <w:rPr>
                <w:rFonts w:hint="eastAsia" w:hAnsi="Times New Roman" w:cs="Times New Roman"/>
                <w:b w:val="0"/>
                <w:bCs w:val="0"/>
                <w:color w:val="auto"/>
                <w:sz w:val="24"/>
                <w:szCs w:val="24"/>
                <w:highlight w:val="none"/>
                <w:lang w:val="en-US" w:eastAsia="zh-CN"/>
              </w:rPr>
              <w:t>会</w:t>
            </w:r>
            <w:r>
              <w:rPr>
                <w:rFonts w:hint="default" w:ascii="Times New Roman" w:hAnsi="Times New Roman" w:eastAsia="宋体" w:cs="Times New Roman"/>
                <w:b w:val="0"/>
                <w:bCs w:val="0"/>
                <w:color w:val="auto"/>
                <w:sz w:val="24"/>
                <w:szCs w:val="24"/>
                <w:highlight w:val="none"/>
                <w:lang w:val="en-US" w:eastAsia="zh-CN"/>
              </w:rPr>
              <w:t>产生</w:t>
            </w:r>
            <w:r>
              <w:rPr>
                <w:rFonts w:hint="eastAsia" w:hAnsi="Times New Roman" w:cs="Times New Roman"/>
                <w:b w:val="0"/>
                <w:bCs w:val="0"/>
                <w:color w:val="auto"/>
                <w:sz w:val="24"/>
                <w:szCs w:val="24"/>
                <w:highlight w:val="none"/>
                <w:lang w:val="en-US" w:eastAsia="zh-CN"/>
              </w:rPr>
              <w:t>调漆废气G2和喷漆废气G3，漆雾S5、废油漆桶S7和噪声</w:t>
            </w:r>
            <w:r>
              <w:rPr>
                <w:rFonts w:hint="default" w:ascii="Times New Roman" w:hAnsi="Times New Roman" w:eastAsia="宋体" w:cs="Times New Roman"/>
                <w:b w:val="0"/>
                <w:bCs w:val="0"/>
                <w:color w:val="auto"/>
                <w:sz w:val="24"/>
                <w:szCs w:val="24"/>
                <w:highlight w:val="none"/>
                <w:lang w:val="en-US" w:eastAsia="zh-CN"/>
              </w:rPr>
              <w:t>。</w:t>
            </w:r>
          </w:p>
          <w:p w14:paraId="784A3611">
            <w:pPr>
              <w:pStyle w:val="6"/>
              <w:pageBreakBefore w:val="0"/>
              <w:widowControl w:val="0"/>
              <w:kinsoku/>
              <w:wordWrap/>
              <w:overflowPunct/>
              <w:topLinePunct w:val="0"/>
              <w:autoSpaceDE/>
              <w:autoSpaceDN/>
              <w:bidi w:val="0"/>
              <w:spacing w:beforeLines="0" w:afterLines="0" w:line="360" w:lineRule="auto"/>
              <w:ind w:firstLine="482"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⑥</w:t>
            </w:r>
            <w:r>
              <w:rPr>
                <w:rFonts w:hint="eastAsia" w:hAnsi="Times New Roman" w:cs="Times New Roman"/>
                <w:b/>
                <w:bCs/>
                <w:color w:val="auto"/>
                <w:sz w:val="24"/>
                <w:szCs w:val="24"/>
                <w:lang w:val="en-US" w:eastAsia="zh-CN"/>
              </w:rPr>
              <w:t>组装</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val="0"/>
                <w:bCs w:val="0"/>
                <w:color w:val="auto"/>
                <w:sz w:val="24"/>
                <w:szCs w:val="24"/>
                <w:highlight w:val="none"/>
                <w:lang w:val="en-US" w:eastAsia="zh-CN"/>
              </w:rPr>
              <w:t>将喷涂好的工件与齿轮组装好</w:t>
            </w:r>
            <w:r>
              <w:rPr>
                <w:rFonts w:hint="default" w:ascii="Times New Roman" w:hAnsi="Times New Roman" w:eastAsia="宋体" w:cs="Times New Roman"/>
                <w:b w:val="0"/>
                <w:bCs w:val="0"/>
                <w:color w:val="auto"/>
                <w:sz w:val="24"/>
                <w:szCs w:val="24"/>
                <w:highlight w:val="none"/>
                <w:lang w:val="en-US" w:eastAsia="zh-CN"/>
              </w:rPr>
              <w:t>。</w:t>
            </w:r>
          </w:p>
          <w:p w14:paraId="12708E21">
            <w:pPr>
              <w:pStyle w:val="7"/>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w:t>
            </w:r>
            <w:r>
              <w:rPr>
                <w:rFonts w:hint="eastAsia" w:cs="Times New Roman"/>
                <w:bCs/>
                <w:color w:val="auto"/>
                <w:sz w:val="24"/>
                <w:szCs w:val="24"/>
                <w:highlight w:val="none"/>
                <w:lang w:val="en-US" w:eastAsia="zh-CN"/>
              </w:rPr>
              <w:t>不合格品S2</w:t>
            </w:r>
            <w:r>
              <w:rPr>
                <w:rFonts w:hint="default" w:ascii="Times New Roman" w:hAnsi="Times New Roman" w:eastAsia="宋体" w:cs="Times New Roman"/>
                <w:bCs/>
                <w:color w:val="auto"/>
                <w:sz w:val="24"/>
                <w:szCs w:val="24"/>
                <w:highlight w:val="none"/>
                <w:lang w:val="en-US" w:eastAsia="zh-CN"/>
              </w:rPr>
              <w:t>。</w:t>
            </w:r>
          </w:p>
          <w:p w14:paraId="117DB1B0">
            <w:pPr>
              <w:pStyle w:val="6"/>
              <w:pageBreakBefore w:val="0"/>
              <w:widowControl w:val="0"/>
              <w:kinsoku/>
              <w:wordWrap/>
              <w:overflowPunct/>
              <w:topLinePunct w:val="0"/>
              <w:autoSpaceDE/>
              <w:autoSpaceDN/>
              <w:bidi w:val="0"/>
              <w:spacing w:beforeLines="0" w:afterLines="0" w:line="360" w:lineRule="auto"/>
              <w:ind w:firstLine="482"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⑦包装入库：</w:t>
            </w:r>
            <w:r>
              <w:rPr>
                <w:rFonts w:hint="default" w:ascii="Times New Roman" w:hAnsi="Times New Roman" w:eastAsia="宋体" w:cs="Times New Roman"/>
                <w:b w:val="0"/>
                <w:bCs w:val="0"/>
                <w:color w:val="auto"/>
                <w:sz w:val="24"/>
                <w:szCs w:val="24"/>
                <w:lang w:val="en-US" w:eastAsia="zh-CN"/>
              </w:rPr>
              <w:t>对合格产品进行包装，放入仓库待售。</w:t>
            </w:r>
          </w:p>
          <w:p w14:paraId="7530CFBF">
            <w:pPr>
              <w:pStyle w:val="7"/>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该工序会产生废包装材料</w:t>
            </w:r>
            <w:r>
              <w:rPr>
                <w:rFonts w:hint="eastAsia" w:cs="Times New Roman"/>
                <w:bCs/>
                <w:color w:val="auto"/>
                <w:sz w:val="24"/>
                <w:szCs w:val="24"/>
                <w:highlight w:val="none"/>
                <w:lang w:val="en-US" w:eastAsia="zh-CN"/>
              </w:rPr>
              <w:t>S4</w:t>
            </w:r>
            <w:r>
              <w:rPr>
                <w:rFonts w:hint="default" w:ascii="Times New Roman" w:hAnsi="Times New Roman" w:eastAsia="宋体" w:cs="Times New Roman"/>
                <w:bCs/>
                <w:color w:val="auto"/>
                <w:sz w:val="24"/>
                <w:szCs w:val="24"/>
                <w:highlight w:val="none"/>
                <w:lang w:val="en-US" w:eastAsia="zh-CN"/>
              </w:rPr>
              <w:t>，集中收集后暂存一般固废暂存间，外售处理。</w:t>
            </w:r>
          </w:p>
          <w:p w14:paraId="102EDC82">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二、主要污染工序</w:t>
            </w:r>
          </w:p>
          <w:p w14:paraId="426B7D5B">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项目改</w:t>
            </w:r>
            <w:r>
              <w:rPr>
                <w:rFonts w:hint="eastAsia" w:cs="Times New Roman"/>
                <w:color w:val="auto"/>
                <w:sz w:val="24"/>
                <w:szCs w:val="24"/>
                <w:highlight w:val="none"/>
                <w:lang w:val="en-US" w:eastAsia="zh-CN" w:bidi="zh-CN"/>
              </w:rPr>
              <w:t>扩建</w:t>
            </w:r>
            <w:r>
              <w:rPr>
                <w:rFonts w:hint="default" w:ascii="Times New Roman" w:hAnsi="Times New Roman" w:eastAsia="宋体" w:cs="Times New Roman"/>
                <w:color w:val="auto"/>
                <w:sz w:val="24"/>
                <w:szCs w:val="24"/>
                <w:highlight w:val="none"/>
                <w:lang w:val="en-US" w:eastAsia="zh-CN" w:bidi="zh-CN"/>
              </w:rPr>
              <w:t>后主要产污环节及产污因子见表2-</w:t>
            </w:r>
            <w:r>
              <w:rPr>
                <w:rFonts w:hint="eastAsia" w:cs="Times New Roman"/>
                <w:color w:val="auto"/>
                <w:sz w:val="24"/>
                <w:szCs w:val="24"/>
                <w:highlight w:val="none"/>
                <w:lang w:val="en-US" w:eastAsia="zh-CN" w:bidi="zh-CN"/>
              </w:rPr>
              <w:t>8</w:t>
            </w:r>
            <w:r>
              <w:rPr>
                <w:rFonts w:hint="default" w:ascii="Times New Roman" w:hAnsi="Times New Roman" w:eastAsia="宋体" w:cs="Times New Roman"/>
                <w:color w:val="auto"/>
                <w:sz w:val="24"/>
                <w:szCs w:val="24"/>
                <w:highlight w:val="none"/>
                <w:lang w:val="en-US" w:eastAsia="zh-CN" w:bidi="zh-CN"/>
              </w:rPr>
              <w:t>。</w:t>
            </w:r>
          </w:p>
          <w:p w14:paraId="79E62C8D">
            <w:pPr>
              <w:widowControl w:val="0"/>
              <w:numPr>
                <w:ilvl w:val="0"/>
                <w:numId w:val="7"/>
              </w:numPr>
              <w:autoSpaceDE/>
              <w:autoSpaceDN/>
              <w:spacing w:before="0" w:beforeLines="0" w:after="0" w:line="240" w:lineRule="auto"/>
              <w:ind w:right="0" w:rightChars="0"/>
              <w:jc w:val="center"/>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b/>
                <w:bCs/>
                <w:color w:val="auto"/>
                <w:sz w:val="21"/>
                <w:szCs w:val="21"/>
                <w:highlight w:val="none"/>
                <w:lang w:val="en-US" w:eastAsia="zh-CN" w:bidi="zh-CN"/>
              </w:rPr>
              <w:t>主要污染工序一览表</w:t>
            </w:r>
          </w:p>
          <w:tbl>
            <w:tblPr>
              <w:tblStyle w:val="33"/>
              <w:tblW w:w="49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4"/>
              <w:gridCol w:w="1140"/>
              <w:gridCol w:w="1453"/>
              <w:gridCol w:w="1524"/>
              <w:gridCol w:w="750"/>
              <w:gridCol w:w="2691"/>
            </w:tblGrid>
            <w:tr w14:paraId="1A238F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59" w:type="pct"/>
                  <w:gridSpan w:val="2"/>
                  <w:tcBorders>
                    <w:tl2br w:val="nil"/>
                    <w:tr2bl w:val="nil"/>
                  </w:tcBorders>
                  <w:noWrap w:val="0"/>
                  <w:vAlign w:val="center"/>
                </w:tcPr>
                <w:p w14:paraId="70F3A9C2">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项目</w:t>
                  </w:r>
                </w:p>
              </w:tc>
              <w:tc>
                <w:tcPr>
                  <w:tcW w:w="914" w:type="pct"/>
                  <w:tcBorders>
                    <w:tl2br w:val="nil"/>
                    <w:tr2bl w:val="nil"/>
                  </w:tcBorders>
                  <w:noWrap w:val="0"/>
                  <w:vAlign w:val="center"/>
                </w:tcPr>
                <w:p w14:paraId="42BCB3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污染</w:t>
                  </w:r>
                  <w:r>
                    <w:rPr>
                      <w:rFonts w:hint="eastAsia" w:cs="Times New Roman"/>
                      <w:b/>
                      <w:bCs/>
                      <w:color w:val="auto"/>
                      <w:sz w:val="21"/>
                      <w:szCs w:val="21"/>
                      <w:highlight w:val="none"/>
                      <w:lang w:val="en-US" w:eastAsia="zh-CN"/>
                    </w:rPr>
                    <w:t>工序</w:t>
                  </w:r>
                </w:p>
              </w:tc>
              <w:tc>
                <w:tcPr>
                  <w:tcW w:w="959" w:type="pct"/>
                  <w:tcBorders>
                    <w:tl2br w:val="nil"/>
                    <w:tr2bl w:val="nil"/>
                  </w:tcBorders>
                  <w:noWrap w:val="0"/>
                  <w:vAlign w:val="center"/>
                </w:tcPr>
                <w:p w14:paraId="523B8F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污染物类型</w:t>
                  </w:r>
                </w:p>
              </w:tc>
              <w:tc>
                <w:tcPr>
                  <w:tcW w:w="472" w:type="pct"/>
                  <w:tcBorders>
                    <w:tl2br w:val="nil"/>
                    <w:tr2bl w:val="nil"/>
                  </w:tcBorders>
                  <w:noWrap w:val="0"/>
                  <w:vAlign w:val="center"/>
                </w:tcPr>
                <w:p w14:paraId="282388B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编号</w:t>
                  </w:r>
                </w:p>
              </w:tc>
              <w:tc>
                <w:tcPr>
                  <w:tcW w:w="1694" w:type="pct"/>
                  <w:tcBorders>
                    <w:tl2br w:val="nil"/>
                    <w:tr2bl w:val="nil"/>
                  </w:tcBorders>
                  <w:noWrap w:val="0"/>
                  <w:vAlign w:val="center"/>
                </w:tcPr>
                <w:p w14:paraId="30BA01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r>
            <w:tr w14:paraId="035FD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restart"/>
                  <w:tcBorders>
                    <w:tl2br w:val="nil"/>
                    <w:tr2bl w:val="nil"/>
                  </w:tcBorders>
                  <w:noWrap w:val="0"/>
                  <w:vAlign w:val="center"/>
                </w:tcPr>
                <w:p w14:paraId="6239C6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营</w:t>
                  </w:r>
                </w:p>
                <w:p w14:paraId="3B1C258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运</w:t>
                  </w:r>
                </w:p>
                <w:p w14:paraId="294FCD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期</w:t>
                  </w:r>
                </w:p>
              </w:tc>
              <w:tc>
                <w:tcPr>
                  <w:tcW w:w="717" w:type="pct"/>
                  <w:vMerge w:val="restart"/>
                  <w:tcBorders>
                    <w:tl2br w:val="nil"/>
                    <w:tr2bl w:val="nil"/>
                  </w:tcBorders>
                  <w:noWrap w:val="0"/>
                  <w:vAlign w:val="center"/>
                </w:tcPr>
                <w:p w14:paraId="54F7C2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w:t>
                  </w:r>
                </w:p>
              </w:tc>
              <w:tc>
                <w:tcPr>
                  <w:tcW w:w="914" w:type="pct"/>
                  <w:tcBorders>
                    <w:tl2br w:val="nil"/>
                    <w:tr2bl w:val="nil"/>
                  </w:tcBorders>
                  <w:noWrap w:val="0"/>
                  <w:vAlign w:val="center"/>
                </w:tcPr>
                <w:p w14:paraId="362E16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抛瓦、CNC加工、齿轮加工</w:t>
                  </w:r>
                </w:p>
              </w:tc>
              <w:tc>
                <w:tcPr>
                  <w:tcW w:w="959" w:type="pct"/>
                  <w:tcBorders>
                    <w:tl2br w:val="nil"/>
                    <w:tr2bl w:val="nil"/>
                  </w:tcBorders>
                  <w:noWrap w:val="0"/>
                  <w:vAlign w:val="center"/>
                </w:tcPr>
                <w:p w14:paraId="69E85D5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金属粉尘</w:t>
                  </w:r>
                </w:p>
              </w:tc>
              <w:tc>
                <w:tcPr>
                  <w:tcW w:w="472" w:type="pct"/>
                  <w:tcBorders>
                    <w:tl2br w:val="nil"/>
                    <w:tr2bl w:val="nil"/>
                  </w:tcBorders>
                  <w:noWrap w:val="0"/>
                  <w:vAlign w:val="center"/>
                </w:tcPr>
                <w:p w14:paraId="724344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G1</w:t>
                  </w:r>
                </w:p>
              </w:tc>
              <w:tc>
                <w:tcPr>
                  <w:tcW w:w="1694" w:type="pct"/>
                  <w:tcBorders>
                    <w:tl2br w:val="nil"/>
                    <w:tr2bl w:val="nil"/>
                  </w:tcBorders>
                  <w:noWrap w:val="0"/>
                  <w:vAlign w:val="center"/>
                </w:tcPr>
                <w:p w14:paraId="319E445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u w:val="none"/>
                      <w:lang w:val="en-US" w:eastAsia="zh-CN" w:bidi="ar"/>
                    </w:rPr>
                    <w:t>颗粒物</w:t>
                  </w:r>
                </w:p>
              </w:tc>
            </w:tr>
            <w:tr w14:paraId="4F7AA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0607DD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0D9A57D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tcBorders>
                    <w:tl2br w:val="nil"/>
                    <w:tr2bl w:val="nil"/>
                  </w:tcBorders>
                  <w:noWrap w:val="0"/>
                  <w:vAlign w:val="center"/>
                </w:tcPr>
                <w:p w14:paraId="3B8556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调漆</w:t>
                  </w:r>
                </w:p>
              </w:tc>
              <w:tc>
                <w:tcPr>
                  <w:tcW w:w="959" w:type="pct"/>
                  <w:tcBorders>
                    <w:tl2br w:val="nil"/>
                    <w:tr2bl w:val="nil"/>
                  </w:tcBorders>
                  <w:noWrap w:val="0"/>
                  <w:vAlign w:val="center"/>
                </w:tcPr>
                <w:p w14:paraId="2110AE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调漆</w:t>
                  </w:r>
                  <w:r>
                    <w:rPr>
                      <w:rFonts w:hint="eastAsia" w:cs="Times New Roman"/>
                      <w:i w:val="0"/>
                      <w:iCs w:val="0"/>
                      <w:color w:val="auto"/>
                      <w:kern w:val="0"/>
                      <w:sz w:val="21"/>
                      <w:szCs w:val="21"/>
                      <w:highlight w:val="none"/>
                      <w:u w:val="none"/>
                      <w:lang w:val="en-US" w:eastAsia="zh-CN" w:bidi="ar"/>
                    </w:rPr>
                    <w:t>废气</w:t>
                  </w:r>
                </w:p>
              </w:tc>
              <w:tc>
                <w:tcPr>
                  <w:tcW w:w="472" w:type="pct"/>
                  <w:tcBorders>
                    <w:tl2br w:val="nil"/>
                    <w:tr2bl w:val="nil"/>
                  </w:tcBorders>
                  <w:noWrap w:val="0"/>
                  <w:vAlign w:val="center"/>
                </w:tcPr>
                <w:p w14:paraId="402CCD61">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G2</w:t>
                  </w:r>
                </w:p>
              </w:tc>
              <w:tc>
                <w:tcPr>
                  <w:tcW w:w="1694" w:type="pct"/>
                  <w:tcBorders>
                    <w:tl2br w:val="nil"/>
                    <w:tr2bl w:val="nil"/>
                  </w:tcBorders>
                  <w:noWrap w:val="0"/>
                  <w:vAlign w:val="center"/>
                </w:tcPr>
                <w:p w14:paraId="2C752536">
                  <w:pPr>
                    <w:keepNext w:val="0"/>
                    <w:keepLines w:val="0"/>
                    <w:widowControl/>
                    <w:suppressLineNumbers w:val="0"/>
                    <w:jc w:val="left"/>
                    <w:textAlignment w:val="center"/>
                    <w:rPr>
                      <w:rFonts w:hint="default" w:ascii="Times New Roman" w:hAnsi="Times New Roman" w:eastAsia="宋体" w:cs="Times New Roman"/>
                      <w:color w:val="0000FF"/>
                      <w:szCs w:val="21"/>
                      <w:highlight w:val="none"/>
                      <w:u w:val="none"/>
                      <w:lang w:val="en-US" w:eastAsia="zh-CN" w:bidi="ar"/>
                    </w:rPr>
                  </w:pPr>
                  <w:r>
                    <w:rPr>
                      <w:rFonts w:hint="eastAsia" w:cs="Times New Roman"/>
                      <w:color w:val="0000FF"/>
                      <w:szCs w:val="21"/>
                      <w:highlight w:val="none"/>
                      <w:u w:val="none"/>
                      <w:lang w:val="en-US" w:eastAsia="zh-CN" w:bidi="ar"/>
                    </w:rPr>
                    <w:t>二甲苯、</w:t>
                  </w:r>
                  <w:r>
                    <w:rPr>
                      <w:rFonts w:hint="default" w:ascii="Times New Roman" w:hAnsi="Times New Roman" w:eastAsia="宋体" w:cs="Times New Roman"/>
                      <w:color w:val="0000FF"/>
                      <w:szCs w:val="21"/>
                      <w:highlight w:val="none"/>
                      <w:u w:val="none"/>
                      <w:lang w:val="en-US" w:eastAsia="zh-CN" w:bidi="ar"/>
                    </w:rPr>
                    <w:t>非甲烷总烃</w:t>
                  </w:r>
                  <w:r>
                    <w:rPr>
                      <w:rFonts w:hint="eastAsia" w:cs="Times New Roman"/>
                      <w:color w:val="0000FF"/>
                      <w:szCs w:val="21"/>
                      <w:highlight w:val="none"/>
                      <w:u w:val="none"/>
                      <w:lang w:val="en-US" w:eastAsia="zh-CN" w:bidi="ar"/>
                    </w:rPr>
                    <w:t>、颗粒物</w:t>
                  </w:r>
                </w:p>
              </w:tc>
            </w:tr>
            <w:tr w14:paraId="0364A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378AAC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162537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tcBorders>
                    <w:tl2br w:val="nil"/>
                    <w:tr2bl w:val="nil"/>
                  </w:tcBorders>
                  <w:noWrap w:val="0"/>
                  <w:vAlign w:val="center"/>
                </w:tcPr>
                <w:p w14:paraId="6F101C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喷漆</w:t>
                  </w:r>
                </w:p>
              </w:tc>
              <w:tc>
                <w:tcPr>
                  <w:tcW w:w="959" w:type="pct"/>
                  <w:tcBorders>
                    <w:tl2br w:val="nil"/>
                    <w:tr2bl w:val="nil"/>
                  </w:tcBorders>
                  <w:noWrap w:val="0"/>
                  <w:vAlign w:val="center"/>
                </w:tcPr>
                <w:p w14:paraId="3F5164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喷漆</w:t>
                  </w:r>
                  <w:r>
                    <w:rPr>
                      <w:rFonts w:hint="eastAsia" w:cs="Times New Roman"/>
                      <w:i w:val="0"/>
                      <w:iCs w:val="0"/>
                      <w:color w:val="auto"/>
                      <w:kern w:val="0"/>
                      <w:sz w:val="21"/>
                      <w:szCs w:val="21"/>
                      <w:highlight w:val="none"/>
                      <w:u w:val="none"/>
                      <w:lang w:val="en-US" w:eastAsia="zh-CN" w:bidi="ar"/>
                    </w:rPr>
                    <w:t>废气</w:t>
                  </w:r>
                </w:p>
              </w:tc>
              <w:tc>
                <w:tcPr>
                  <w:tcW w:w="472" w:type="pct"/>
                  <w:tcBorders>
                    <w:tl2br w:val="nil"/>
                    <w:tr2bl w:val="nil"/>
                  </w:tcBorders>
                  <w:noWrap w:val="0"/>
                  <w:vAlign w:val="center"/>
                </w:tcPr>
                <w:p w14:paraId="6123EB97">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G3</w:t>
                  </w:r>
                </w:p>
              </w:tc>
              <w:tc>
                <w:tcPr>
                  <w:tcW w:w="1694" w:type="pct"/>
                  <w:tcBorders>
                    <w:tl2br w:val="nil"/>
                    <w:tr2bl w:val="nil"/>
                  </w:tcBorders>
                  <w:noWrap w:val="0"/>
                  <w:vAlign w:val="center"/>
                </w:tcPr>
                <w:p w14:paraId="396D5F0A">
                  <w:pPr>
                    <w:keepNext w:val="0"/>
                    <w:keepLines w:val="0"/>
                    <w:widowControl/>
                    <w:suppressLineNumbers w:val="0"/>
                    <w:jc w:val="left"/>
                    <w:textAlignment w:val="center"/>
                    <w:rPr>
                      <w:rFonts w:hint="default" w:ascii="Times New Roman" w:hAnsi="Times New Roman" w:eastAsia="宋体" w:cs="Times New Roman"/>
                      <w:color w:val="0000FF"/>
                      <w:szCs w:val="21"/>
                      <w:highlight w:val="none"/>
                      <w:u w:val="none"/>
                      <w:lang w:val="en-US" w:eastAsia="zh-CN" w:bidi="ar"/>
                    </w:rPr>
                  </w:pPr>
                  <w:r>
                    <w:rPr>
                      <w:rFonts w:hint="eastAsia" w:cs="Times New Roman"/>
                      <w:color w:val="0000FF"/>
                      <w:szCs w:val="21"/>
                      <w:highlight w:val="none"/>
                      <w:u w:val="none"/>
                      <w:lang w:val="en-US" w:eastAsia="zh-CN" w:bidi="ar"/>
                    </w:rPr>
                    <w:t>二甲苯、</w:t>
                  </w:r>
                  <w:r>
                    <w:rPr>
                      <w:rFonts w:hint="default" w:ascii="Times New Roman" w:hAnsi="Times New Roman" w:eastAsia="宋体" w:cs="Times New Roman"/>
                      <w:color w:val="0000FF"/>
                      <w:szCs w:val="21"/>
                      <w:highlight w:val="none"/>
                      <w:u w:val="none"/>
                      <w:lang w:val="en-US" w:eastAsia="zh-CN" w:bidi="ar"/>
                    </w:rPr>
                    <w:t>非甲烷总烃</w:t>
                  </w:r>
                  <w:r>
                    <w:rPr>
                      <w:rFonts w:hint="eastAsia" w:cs="Times New Roman"/>
                      <w:color w:val="0000FF"/>
                      <w:szCs w:val="21"/>
                      <w:highlight w:val="none"/>
                      <w:u w:val="none"/>
                      <w:lang w:val="en-US" w:eastAsia="zh-CN" w:bidi="ar"/>
                    </w:rPr>
                    <w:t>、颗粒物</w:t>
                  </w:r>
                </w:p>
              </w:tc>
            </w:tr>
            <w:tr w14:paraId="2E462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096A8A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224BE2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tcBorders>
                    <w:tl2br w:val="nil"/>
                    <w:tr2bl w:val="nil"/>
                  </w:tcBorders>
                  <w:noWrap w:val="0"/>
                  <w:vAlign w:val="center"/>
                </w:tcPr>
                <w:p w14:paraId="428C3F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959" w:type="pct"/>
                  <w:tcBorders>
                    <w:tl2br w:val="nil"/>
                    <w:tr2bl w:val="nil"/>
                  </w:tcBorders>
                  <w:noWrap w:val="0"/>
                  <w:vAlign w:val="center"/>
                </w:tcPr>
                <w:p w14:paraId="6A8B91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食堂油烟</w:t>
                  </w:r>
                </w:p>
              </w:tc>
              <w:tc>
                <w:tcPr>
                  <w:tcW w:w="472" w:type="pct"/>
                  <w:tcBorders>
                    <w:tl2br w:val="nil"/>
                    <w:tr2bl w:val="nil"/>
                  </w:tcBorders>
                  <w:noWrap w:val="0"/>
                  <w:vAlign w:val="center"/>
                </w:tcPr>
                <w:p w14:paraId="06B223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G4</w:t>
                  </w:r>
                </w:p>
              </w:tc>
              <w:tc>
                <w:tcPr>
                  <w:tcW w:w="1694" w:type="pct"/>
                  <w:tcBorders>
                    <w:tl2br w:val="nil"/>
                    <w:tr2bl w:val="nil"/>
                  </w:tcBorders>
                  <w:noWrap w:val="0"/>
                  <w:vAlign w:val="center"/>
                </w:tcPr>
                <w:p w14:paraId="7C95B933">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饮食业油烟</w:t>
                  </w:r>
                </w:p>
              </w:tc>
            </w:tr>
            <w:tr w14:paraId="0FA1E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01579FA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restart"/>
                  <w:tcBorders>
                    <w:tl2br w:val="nil"/>
                    <w:tr2bl w:val="nil"/>
                  </w:tcBorders>
                  <w:noWrap w:val="0"/>
                  <w:vAlign w:val="center"/>
                </w:tcPr>
                <w:p w14:paraId="511E89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914" w:type="pct"/>
                  <w:tcBorders>
                    <w:tl2br w:val="nil"/>
                    <w:tr2bl w:val="nil"/>
                  </w:tcBorders>
                  <w:noWrap w:val="0"/>
                  <w:vAlign w:val="center"/>
                </w:tcPr>
                <w:p w14:paraId="7F4901E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超声波清洗</w:t>
                  </w:r>
                </w:p>
              </w:tc>
              <w:tc>
                <w:tcPr>
                  <w:tcW w:w="959" w:type="pct"/>
                  <w:tcBorders>
                    <w:tl2br w:val="nil"/>
                    <w:tr2bl w:val="nil"/>
                  </w:tcBorders>
                  <w:noWrap w:val="0"/>
                  <w:vAlign w:val="center"/>
                </w:tcPr>
                <w:p w14:paraId="347483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清洗废水</w:t>
                  </w:r>
                </w:p>
              </w:tc>
              <w:tc>
                <w:tcPr>
                  <w:tcW w:w="472" w:type="pct"/>
                  <w:tcBorders>
                    <w:tl2br w:val="nil"/>
                    <w:tr2bl w:val="nil"/>
                  </w:tcBorders>
                  <w:noWrap w:val="0"/>
                  <w:vAlign w:val="center"/>
                </w:tcPr>
                <w:p w14:paraId="045F4C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W1</w:t>
                  </w:r>
                </w:p>
              </w:tc>
              <w:tc>
                <w:tcPr>
                  <w:tcW w:w="1694" w:type="pct"/>
                  <w:tcBorders>
                    <w:tl2br w:val="nil"/>
                    <w:tr2bl w:val="nil"/>
                  </w:tcBorders>
                  <w:noWrap w:val="0"/>
                  <w:vAlign w:val="center"/>
                </w:tcPr>
                <w:p w14:paraId="133DBF0F">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eastAsia" w:ascii="Times New Roman" w:hAnsi="Times New Roman" w:eastAsia="宋体" w:cs="Times New Roman"/>
                      <w:color w:val="auto"/>
                      <w:szCs w:val="21"/>
                      <w:highlight w:val="none"/>
                      <w:u w:val="none"/>
                      <w:lang w:val="en-US" w:eastAsia="zh-CN" w:bidi="ar"/>
                    </w:rPr>
                    <w:t>pH、</w:t>
                  </w:r>
                  <w:r>
                    <w:rPr>
                      <w:rFonts w:hint="eastAsia" w:cs="Times New Roman"/>
                      <w:color w:val="auto"/>
                      <w:szCs w:val="21"/>
                      <w:highlight w:val="none"/>
                      <w:u w:val="none"/>
                      <w:lang w:val="en-US" w:eastAsia="zh-CN" w:bidi="ar"/>
                    </w:rPr>
                    <w:t>COD、</w:t>
                  </w:r>
                  <w:r>
                    <w:rPr>
                      <w:rFonts w:hint="default" w:ascii="Times New Roman" w:hAnsi="Times New Roman" w:eastAsia="宋体" w:cs="Times New Roman"/>
                      <w:color w:val="auto"/>
                      <w:szCs w:val="21"/>
                      <w:highlight w:val="none"/>
                      <w:u w:val="none"/>
                      <w:lang w:val="en-US" w:eastAsia="zh-CN" w:bidi="ar"/>
                    </w:rPr>
                    <w:t>BOD</w:t>
                  </w:r>
                  <w:r>
                    <w:rPr>
                      <w:rFonts w:hint="default" w:ascii="Times New Roman" w:hAnsi="Times New Roman" w:eastAsia="宋体" w:cs="Times New Roman"/>
                      <w:color w:val="auto"/>
                      <w:szCs w:val="21"/>
                      <w:highlight w:val="none"/>
                      <w:u w:val="none"/>
                      <w:vertAlign w:val="subscript"/>
                      <w:lang w:val="en-US" w:eastAsia="zh-CN" w:bidi="ar"/>
                    </w:rPr>
                    <w:t>5</w:t>
                  </w:r>
                  <w:r>
                    <w:rPr>
                      <w:rFonts w:hint="eastAsia" w:cs="Times New Roman"/>
                      <w:color w:val="auto"/>
                      <w:szCs w:val="21"/>
                      <w:highlight w:val="none"/>
                      <w:u w:val="none"/>
                      <w:vertAlign w:val="baseline"/>
                      <w:lang w:val="en-US" w:eastAsia="zh-CN" w:bidi="ar"/>
                    </w:rPr>
                    <w:t>、</w:t>
                  </w: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w:t>
                  </w:r>
                  <w:r>
                    <w:rPr>
                      <w:rFonts w:hint="eastAsia" w:ascii="Times New Roman" w:hAnsi="Times New Roman" w:eastAsia="宋体" w:cs="Times New Roman"/>
                      <w:color w:val="auto"/>
                      <w:szCs w:val="21"/>
                      <w:highlight w:val="none"/>
                      <w:u w:val="none"/>
                      <w:lang w:val="en-US" w:eastAsia="zh-CN" w:bidi="ar"/>
                    </w:rPr>
                    <w:t>石油类、TN、</w:t>
                  </w:r>
                  <w:r>
                    <w:rPr>
                      <w:rFonts w:hint="eastAsia" w:cs="Times New Roman"/>
                      <w:color w:val="auto"/>
                      <w:szCs w:val="21"/>
                      <w:highlight w:val="none"/>
                      <w:u w:val="none"/>
                      <w:lang w:val="en-US" w:eastAsia="zh-CN" w:bidi="ar"/>
                    </w:rPr>
                    <w:t>TP</w:t>
                  </w:r>
                </w:p>
              </w:tc>
            </w:tr>
            <w:tr w14:paraId="4A07F0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51635ED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5C877DF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tcBorders>
                    <w:tl2br w:val="nil"/>
                    <w:tr2bl w:val="nil"/>
                  </w:tcBorders>
                  <w:noWrap w:val="0"/>
                  <w:vAlign w:val="center"/>
                </w:tcPr>
                <w:p w14:paraId="758BB62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959" w:type="pct"/>
                  <w:tcBorders>
                    <w:tl2br w:val="nil"/>
                    <w:tr2bl w:val="nil"/>
                  </w:tcBorders>
                  <w:noWrap w:val="0"/>
                  <w:vAlign w:val="center"/>
                </w:tcPr>
                <w:p w14:paraId="52C894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生活污水</w:t>
                  </w:r>
                </w:p>
              </w:tc>
              <w:tc>
                <w:tcPr>
                  <w:tcW w:w="472" w:type="pct"/>
                  <w:tcBorders>
                    <w:tl2br w:val="nil"/>
                    <w:tr2bl w:val="nil"/>
                  </w:tcBorders>
                  <w:noWrap w:val="0"/>
                  <w:vAlign w:val="center"/>
                </w:tcPr>
                <w:p w14:paraId="231F74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W2</w:t>
                  </w:r>
                </w:p>
              </w:tc>
              <w:tc>
                <w:tcPr>
                  <w:tcW w:w="1694" w:type="pct"/>
                  <w:tcBorders>
                    <w:tl2br w:val="nil"/>
                    <w:tr2bl w:val="nil"/>
                  </w:tcBorders>
                  <w:noWrap w:val="0"/>
                  <w:vAlign w:val="center"/>
                </w:tcPr>
                <w:p w14:paraId="4020310F">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eastAsia" w:ascii="Times New Roman" w:hAnsi="Times New Roman" w:eastAsia="宋体" w:cs="Times New Roman"/>
                      <w:color w:val="auto"/>
                      <w:szCs w:val="21"/>
                      <w:highlight w:val="none"/>
                      <w:u w:val="none"/>
                      <w:lang w:val="en-US" w:eastAsia="zh-CN" w:bidi="ar"/>
                    </w:rPr>
                    <w:t>pH、</w:t>
                  </w:r>
                  <w:r>
                    <w:rPr>
                      <w:rFonts w:hint="default" w:ascii="Times New Roman" w:hAnsi="Times New Roman" w:eastAsia="宋体" w:cs="Times New Roman"/>
                      <w:color w:val="auto"/>
                      <w:szCs w:val="21"/>
                      <w:highlight w:val="none"/>
                      <w:u w:val="none"/>
                      <w:lang w:val="en-US" w:eastAsia="zh-CN" w:bidi="ar"/>
                    </w:rPr>
                    <w:t>COD、BOD</w:t>
                  </w:r>
                  <w:r>
                    <w:rPr>
                      <w:rFonts w:hint="default" w:ascii="Times New Roman" w:hAnsi="Times New Roman" w:eastAsia="宋体" w:cs="Times New Roman"/>
                      <w:color w:val="auto"/>
                      <w:szCs w:val="21"/>
                      <w:highlight w:val="none"/>
                      <w:u w:val="none"/>
                      <w:vertAlign w:val="subscript"/>
                      <w:lang w:val="en-US" w:eastAsia="zh-CN" w:bidi="ar"/>
                    </w:rPr>
                    <w:t>5</w:t>
                  </w:r>
                  <w:r>
                    <w:rPr>
                      <w:rFonts w:hint="eastAsia" w:cs="Times New Roman"/>
                      <w:color w:val="auto"/>
                      <w:szCs w:val="21"/>
                      <w:highlight w:val="none"/>
                      <w:u w:val="none"/>
                      <w:vertAlign w:val="baseline"/>
                      <w:lang w:val="en-US" w:eastAsia="zh-CN" w:bidi="ar"/>
                    </w:rPr>
                    <w:t>、</w:t>
                  </w: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-N、动植物油、TP</w:t>
                  </w:r>
                </w:p>
              </w:tc>
            </w:tr>
            <w:tr w14:paraId="14784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283706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tcBorders>
                    <w:tl2br w:val="nil"/>
                    <w:tr2bl w:val="nil"/>
                  </w:tcBorders>
                  <w:noWrap w:val="0"/>
                  <w:vAlign w:val="center"/>
                </w:tcPr>
                <w:p w14:paraId="37CF90F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914" w:type="pct"/>
                  <w:tcBorders>
                    <w:tl2br w:val="nil"/>
                    <w:tr2bl w:val="nil"/>
                  </w:tcBorders>
                  <w:noWrap w:val="0"/>
                  <w:vAlign w:val="center"/>
                </w:tcPr>
                <w:p w14:paraId="4D14D65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机械设备</w:t>
                  </w:r>
                </w:p>
              </w:tc>
              <w:tc>
                <w:tcPr>
                  <w:tcW w:w="959" w:type="pct"/>
                  <w:tcBorders>
                    <w:tl2br w:val="nil"/>
                    <w:tr2bl w:val="nil"/>
                  </w:tcBorders>
                  <w:noWrap w:val="0"/>
                  <w:vAlign w:val="center"/>
                </w:tcPr>
                <w:p w14:paraId="058CAB5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472" w:type="pct"/>
                  <w:tcBorders>
                    <w:tl2br w:val="nil"/>
                    <w:tr2bl w:val="nil"/>
                  </w:tcBorders>
                  <w:noWrap w:val="0"/>
                  <w:vAlign w:val="center"/>
                </w:tcPr>
                <w:p w14:paraId="5F106BF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N</w:t>
                  </w:r>
                </w:p>
              </w:tc>
              <w:tc>
                <w:tcPr>
                  <w:tcW w:w="1694" w:type="pct"/>
                  <w:tcBorders>
                    <w:tl2br w:val="nil"/>
                    <w:tr2bl w:val="nil"/>
                  </w:tcBorders>
                  <w:noWrap w:val="0"/>
                  <w:vAlign w:val="center"/>
                </w:tcPr>
                <w:p w14:paraId="7D9680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r>
            <w:tr w14:paraId="5D478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4243A48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restart"/>
                  <w:tcBorders>
                    <w:tl2br w:val="nil"/>
                    <w:tr2bl w:val="nil"/>
                  </w:tcBorders>
                  <w:noWrap w:val="0"/>
                  <w:vAlign w:val="center"/>
                </w:tcPr>
                <w:p w14:paraId="2C0B06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固体废物</w:t>
                  </w:r>
                </w:p>
              </w:tc>
              <w:tc>
                <w:tcPr>
                  <w:tcW w:w="914" w:type="pct"/>
                  <w:vMerge w:val="restart"/>
                  <w:tcBorders>
                    <w:tl2br w:val="nil"/>
                    <w:tr2bl w:val="nil"/>
                  </w:tcBorders>
                  <w:noWrap w:val="0"/>
                  <w:vAlign w:val="center"/>
                </w:tcPr>
                <w:p w14:paraId="394C14B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w:t>
                  </w:r>
                </w:p>
              </w:tc>
              <w:tc>
                <w:tcPr>
                  <w:tcW w:w="959" w:type="pct"/>
                  <w:vMerge w:val="restart"/>
                  <w:tcBorders>
                    <w:tl2br w:val="nil"/>
                    <w:tr2bl w:val="nil"/>
                  </w:tcBorders>
                  <w:noWrap w:val="0"/>
                  <w:vAlign w:val="center"/>
                </w:tcPr>
                <w:p w14:paraId="71C3B2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一般工业固废</w:t>
                  </w:r>
                </w:p>
              </w:tc>
              <w:tc>
                <w:tcPr>
                  <w:tcW w:w="472" w:type="pct"/>
                  <w:tcBorders>
                    <w:tl2br w:val="nil"/>
                    <w:tr2bl w:val="nil"/>
                  </w:tcBorders>
                  <w:noWrap w:val="0"/>
                  <w:vAlign w:val="center"/>
                </w:tcPr>
                <w:p w14:paraId="7276C3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S1</w:t>
                  </w:r>
                </w:p>
              </w:tc>
              <w:tc>
                <w:tcPr>
                  <w:tcW w:w="1694" w:type="pct"/>
                  <w:tcBorders>
                    <w:tl2br w:val="nil"/>
                    <w:tr2bl w:val="nil"/>
                  </w:tcBorders>
                  <w:noWrap w:val="0"/>
                  <w:vAlign w:val="center"/>
                </w:tcPr>
                <w:p w14:paraId="38F39FC4">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沉降金属粉尘</w:t>
                  </w:r>
                </w:p>
              </w:tc>
            </w:tr>
            <w:tr w14:paraId="16A5C3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718BA2E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54B41D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7A11BC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4178D10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noWrap w:val="0"/>
                  <w:vAlign w:val="center"/>
                </w:tcPr>
                <w:p w14:paraId="4E55BB8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S2</w:t>
                  </w:r>
                </w:p>
              </w:tc>
              <w:tc>
                <w:tcPr>
                  <w:tcW w:w="1694" w:type="pct"/>
                  <w:tcBorders>
                    <w:tl2br w:val="nil"/>
                    <w:tr2bl w:val="nil"/>
                  </w:tcBorders>
                  <w:noWrap w:val="0"/>
                  <w:vAlign w:val="center"/>
                </w:tcPr>
                <w:p w14:paraId="3A6805A0">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auto"/>
                      <w:kern w:val="2"/>
                      <w:sz w:val="21"/>
                      <w:szCs w:val="21"/>
                      <w:highlight w:val="none"/>
                      <w:lang w:val="en-US" w:eastAsia="zh-CN" w:bidi="ar-SA"/>
                    </w:rPr>
                    <w:t>边角料（含不合格品）</w:t>
                  </w:r>
                </w:p>
              </w:tc>
            </w:tr>
            <w:tr w14:paraId="586C57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532F540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6F1EA3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475797F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2247CB5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noWrap w:val="0"/>
                  <w:vAlign w:val="center"/>
                </w:tcPr>
                <w:p w14:paraId="48A1DEEF">
                  <w:pPr>
                    <w:keepNext w:val="0"/>
                    <w:keepLines w:val="0"/>
                    <w:pageBreakBefore w:val="0"/>
                    <w:widowControl w:val="0"/>
                    <w:kinsoku/>
                    <w:wordWrap/>
                    <w:overflowPunct/>
                    <w:topLinePunct w:val="0"/>
                    <w:autoSpaceDE/>
                    <w:autoSpaceDN/>
                    <w:bidi w:val="0"/>
                    <w:adjustRightInd/>
                    <w:snapToGrid/>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S4</w:t>
                  </w:r>
                </w:p>
              </w:tc>
              <w:tc>
                <w:tcPr>
                  <w:tcW w:w="1694" w:type="pct"/>
                  <w:tcBorders>
                    <w:tl2br w:val="nil"/>
                    <w:tr2bl w:val="nil"/>
                  </w:tcBorders>
                  <w:noWrap w:val="0"/>
                  <w:vAlign w:val="center"/>
                </w:tcPr>
                <w:p w14:paraId="440E268C">
                  <w:pPr>
                    <w:snapToGrid w:val="0"/>
                    <w:jc w:val="center"/>
                    <w:rPr>
                      <w:rFonts w:hint="default"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废包装材料</w:t>
                  </w:r>
                </w:p>
              </w:tc>
            </w:tr>
            <w:tr w14:paraId="6467C6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6343D82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1835501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5D0AA0F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restart"/>
                  <w:tcBorders>
                    <w:tl2br w:val="nil"/>
                    <w:tr2bl w:val="nil"/>
                  </w:tcBorders>
                  <w:noWrap w:val="0"/>
                  <w:vAlign w:val="center"/>
                </w:tcPr>
                <w:p w14:paraId="07057D0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w:t>
                  </w:r>
                </w:p>
              </w:tc>
              <w:tc>
                <w:tcPr>
                  <w:tcW w:w="472" w:type="pct"/>
                  <w:tcBorders>
                    <w:tl2br w:val="nil"/>
                    <w:tr2bl w:val="nil"/>
                  </w:tcBorders>
                  <w:noWrap w:val="0"/>
                  <w:vAlign w:val="center"/>
                </w:tcPr>
                <w:p w14:paraId="3BDA417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S3</w:t>
                  </w:r>
                </w:p>
              </w:tc>
              <w:tc>
                <w:tcPr>
                  <w:tcW w:w="1694" w:type="pct"/>
                  <w:tcBorders>
                    <w:tl2br w:val="nil"/>
                    <w:tr2bl w:val="nil"/>
                  </w:tcBorders>
                  <w:noWrap w:val="0"/>
                  <w:vAlign w:val="center"/>
                </w:tcPr>
                <w:p w14:paraId="1125F7E7">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val="en-US" w:eastAsia="zh-CN"/>
                    </w:rPr>
                    <w:t>废切削液</w:t>
                  </w:r>
                </w:p>
              </w:tc>
            </w:tr>
            <w:tr w14:paraId="0B961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7EA890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56C590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0DD15E4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35F9B35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noWrap w:val="0"/>
                  <w:vAlign w:val="center"/>
                </w:tcPr>
                <w:p w14:paraId="0B283E8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S5</w:t>
                  </w:r>
                </w:p>
              </w:tc>
              <w:tc>
                <w:tcPr>
                  <w:tcW w:w="1694" w:type="pct"/>
                  <w:tcBorders>
                    <w:tl2br w:val="nil"/>
                    <w:tr2bl w:val="nil"/>
                  </w:tcBorders>
                  <w:noWrap w:val="0"/>
                  <w:vAlign w:val="center"/>
                </w:tcPr>
                <w:p w14:paraId="47DEEC0E">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val="en-US" w:eastAsia="zh-CN"/>
                    </w:rPr>
                    <w:t>漆雾</w:t>
                  </w:r>
                </w:p>
              </w:tc>
            </w:tr>
            <w:tr w14:paraId="4E92E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287C09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380BF5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4512E90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1E809B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shd w:val="clear" w:color="auto" w:fill="auto"/>
                  <w:noWrap w:val="0"/>
                  <w:vAlign w:val="center"/>
                </w:tcPr>
                <w:p w14:paraId="0143FD6C">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S6</w:t>
                  </w:r>
                </w:p>
              </w:tc>
              <w:tc>
                <w:tcPr>
                  <w:tcW w:w="1694" w:type="pct"/>
                  <w:tcBorders>
                    <w:tl2br w:val="nil"/>
                    <w:tr2bl w:val="nil"/>
                  </w:tcBorders>
                  <w:noWrap w:val="0"/>
                  <w:vAlign w:val="center"/>
                </w:tcPr>
                <w:p w14:paraId="3F43C5C4">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w:t>
                  </w:r>
                  <w:r>
                    <w:rPr>
                      <w:rFonts w:hint="eastAsia" w:cs="Times New Roman"/>
                      <w:bCs/>
                      <w:color w:val="auto"/>
                      <w:szCs w:val="21"/>
                      <w:highlight w:val="none"/>
                      <w:lang w:val="en-US" w:eastAsia="zh-CN"/>
                    </w:rPr>
                    <w:t>油漆桶</w:t>
                  </w:r>
                </w:p>
              </w:tc>
            </w:tr>
            <w:tr w14:paraId="355A6D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66735D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558854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76A463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1B269E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shd w:val="clear" w:color="auto" w:fill="auto"/>
                  <w:noWrap w:val="0"/>
                  <w:vAlign w:val="center"/>
                </w:tcPr>
                <w:p w14:paraId="7F836B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S7</w:t>
                  </w:r>
                </w:p>
              </w:tc>
              <w:tc>
                <w:tcPr>
                  <w:tcW w:w="1694" w:type="pct"/>
                  <w:tcBorders>
                    <w:tl2br w:val="nil"/>
                    <w:tr2bl w:val="nil"/>
                  </w:tcBorders>
                  <w:noWrap w:val="0"/>
                  <w:vAlign w:val="center"/>
                </w:tcPr>
                <w:p w14:paraId="33FF93FB">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val="en-US" w:eastAsia="zh-CN"/>
                    </w:rPr>
                    <w:t>废活性炭</w:t>
                  </w:r>
                </w:p>
              </w:tc>
            </w:tr>
            <w:tr w14:paraId="50094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112CF7F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3CD1B47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vMerge w:val="continue"/>
                  <w:tcBorders>
                    <w:tl2br w:val="nil"/>
                    <w:tr2bl w:val="nil"/>
                  </w:tcBorders>
                  <w:noWrap w:val="0"/>
                  <w:vAlign w:val="center"/>
                </w:tcPr>
                <w:p w14:paraId="50F21B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59" w:type="pct"/>
                  <w:vMerge w:val="continue"/>
                  <w:tcBorders>
                    <w:tl2br w:val="nil"/>
                    <w:tr2bl w:val="nil"/>
                  </w:tcBorders>
                  <w:noWrap w:val="0"/>
                  <w:vAlign w:val="center"/>
                </w:tcPr>
                <w:p w14:paraId="4BCB16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72" w:type="pct"/>
                  <w:tcBorders>
                    <w:tl2br w:val="nil"/>
                    <w:tr2bl w:val="nil"/>
                  </w:tcBorders>
                  <w:shd w:val="clear" w:color="auto" w:fill="auto"/>
                  <w:noWrap w:val="0"/>
                  <w:vAlign w:val="center"/>
                </w:tcPr>
                <w:p w14:paraId="3875AF5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S8</w:t>
                  </w:r>
                </w:p>
              </w:tc>
              <w:tc>
                <w:tcPr>
                  <w:tcW w:w="1694" w:type="pct"/>
                  <w:tcBorders>
                    <w:tl2br w:val="nil"/>
                    <w:tr2bl w:val="nil"/>
                  </w:tcBorders>
                  <w:noWrap w:val="0"/>
                  <w:vAlign w:val="center"/>
                </w:tcPr>
                <w:p w14:paraId="02E03E25">
                  <w:pPr>
                    <w:snapToGrid w:val="0"/>
                    <w:jc w:val="left"/>
                    <w:rPr>
                      <w:rFonts w:hint="default" w:cs="Times New Roman"/>
                      <w:bCs/>
                      <w:color w:val="auto"/>
                      <w:szCs w:val="21"/>
                      <w:highlight w:val="none"/>
                      <w:lang w:val="en-US" w:eastAsia="zh-CN"/>
                    </w:rPr>
                  </w:pPr>
                  <w:r>
                    <w:rPr>
                      <w:rFonts w:hint="eastAsia" w:cs="Times New Roman"/>
                      <w:bCs/>
                      <w:color w:val="auto"/>
                      <w:szCs w:val="21"/>
                      <w:highlight w:val="none"/>
                      <w:lang w:val="en-US" w:eastAsia="zh-CN"/>
                    </w:rPr>
                    <w:t>废机油及废机油桶、废含油抹布</w:t>
                  </w:r>
                </w:p>
              </w:tc>
            </w:tr>
            <w:tr w14:paraId="60604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1" w:type="pct"/>
                  <w:vMerge w:val="continue"/>
                  <w:tcBorders>
                    <w:tl2br w:val="nil"/>
                    <w:tr2bl w:val="nil"/>
                  </w:tcBorders>
                  <w:noWrap w:val="0"/>
                  <w:vAlign w:val="center"/>
                </w:tcPr>
                <w:p w14:paraId="539617A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17" w:type="pct"/>
                  <w:vMerge w:val="continue"/>
                  <w:tcBorders>
                    <w:tl2br w:val="nil"/>
                    <w:tr2bl w:val="nil"/>
                  </w:tcBorders>
                  <w:noWrap w:val="0"/>
                  <w:vAlign w:val="center"/>
                </w:tcPr>
                <w:p w14:paraId="54ECB99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914" w:type="pct"/>
                  <w:tcBorders>
                    <w:tl2br w:val="nil"/>
                    <w:tr2bl w:val="nil"/>
                  </w:tcBorders>
                  <w:noWrap w:val="0"/>
                  <w:vAlign w:val="center"/>
                </w:tcPr>
                <w:p w14:paraId="6426305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959" w:type="pct"/>
                  <w:tcBorders>
                    <w:tl2br w:val="nil"/>
                    <w:tr2bl w:val="nil"/>
                  </w:tcBorders>
                  <w:noWrap w:val="0"/>
                  <w:vAlign w:val="center"/>
                </w:tcPr>
                <w:p w14:paraId="1ECA804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472" w:type="pct"/>
                  <w:tcBorders>
                    <w:tl2br w:val="nil"/>
                    <w:tr2bl w:val="nil"/>
                  </w:tcBorders>
                  <w:shd w:val="clear" w:color="auto" w:fill="auto"/>
                  <w:noWrap w:val="0"/>
                  <w:vAlign w:val="center"/>
                </w:tcPr>
                <w:p w14:paraId="4077C8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S9</w:t>
                  </w:r>
                </w:p>
              </w:tc>
              <w:tc>
                <w:tcPr>
                  <w:tcW w:w="1694" w:type="pct"/>
                  <w:tcBorders>
                    <w:tl2br w:val="nil"/>
                    <w:tr2bl w:val="nil"/>
                  </w:tcBorders>
                  <w:noWrap w:val="0"/>
                  <w:vAlign w:val="center"/>
                </w:tcPr>
                <w:p w14:paraId="103EC4B8">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生活垃圾</w:t>
                  </w:r>
                </w:p>
              </w:tc>
            </w:tr>
          </w:tbl>
          <w:p w14:paraId="5B635EF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p w14:paraId="7E4EBC3F">
            <w:pPr>
              <w:pStyle w:val="172"/>
              <w:keepNext/>
              <w:widowControl w:val="0"/>
              <w:kinsoku w:val="0"/>
              <w:adjustRightInd/>
              <w:ind w:firstLine="482" w:firstLineChars="200"/>
              <w:jc w:val="both"/>
              <w:rPr>
                <w:rFonts w:ascii="Times New Roman" w:hAnsi="Times New Roman" w:eastAsia="宋体" w:cs="Times New Roman"/>
                <w:b/>
                <w:color w:val="0000FF"/>
                <w:kern w:val="2"/>
              </w:rPr>
            </w:pPr>
            <w:r>
              <w:rPr>
                <w:rFonts w:hint="eastAsia" w:ascii="Times New Roman" w:hAnsi="Times New Roman" w:eastAsia="宋体" w:cs="Times New Roman"/>
                <w:b/>
                <w:color w:val="0000FF"/>
                <w:kern w:val="2"/>
              </w:rPr>
              <w:t>3、物料平衡</w:t>
            </w:r>
          </w:p>
          <w:p w14:paraId="09F9EC99">
            <w:pPr>
              <w:widowControl w:val="0"/>
              <w:numPr>
                <w:ilvl w:val="0"/>
                <w:numId w:val="7"/>
              </w:numPr>
              <w:spacing w:beforeLines="0"/>
              <w:jc w:val="center"/>
              <w:rPr>
                <w:rFonts w:ascii="Times New Roman" w:hAnsi="Times New Roman" w:cs="Times New Roman"/>
                <w:b/>
                <w:bCs/>
                <w:color w:val="0000FF"/>
                <w:sz w:val="21"/>
                <w:szCs w:val="21"/>
              </w:rPr>
            </w:pPr>
            <w:r>
              <w:rPr>
                <w:rFonts w:hint="default" w:ascii="Times New Roman" w:hAnsi="Times New Roman" w:cs="Times New Roman"/>
                <w:b/>
                <w:bCs/>
                <w:color w:val="0000FF"/>
                <w:sz w:val="21"/>
                <w:szCs w:val="21"/>
              </w:rPr>
              <w:t>钢结构物料平衡一览表（单位：t/a）</w:t>
            </w:r>
          </w:p>
          <w:tbl>
            <w:tblPr>
              <w:tblStyle w:val="33"/>
              <w:tblW w:w="483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23"/>
              <w:gridCol w:w="1370"/>
              <w:gridCol w:w="473"/>
              <w:gridCol w:w="885"/>
              <w:gridCol w:w="1381"/>
              <w:gridCol w:w="1370"/>
            </w:tblGrid>
            <w:tr w14:paraId="6CDE74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32" w:type="pct"/>
                  <w:gridSpan w:val="2"/>
                  <w:tcBorders>
                    <w:tl2br w:val="nil"/>
                    <w:tr2bl w:val="nil"/>
                  </w:tcBorders>
                  <w:vAlign w:val="center"/>
                </w:tcPr>
                <w:p w14:paraId="382282A6">
                  <w:pPr>
                    <w:pStyle w:val="171"/>
                    <w:rPr>
                      <w:rFonts w:ascii="Times New Roman" w:hAnsi="Times New Roman" w:cs="Times New Roman"/>
                      <w:b/>
                      <w:bCs/>
                      <w:color w:val="0000FF"/>
                      <w:sz w:val="21"/>
                      <w:szCs w:val="21"/>
                    </w:rPr>
                  </w:pPr>
                  <w:r>
                    <w:rPr>
                      <w:rFonts w:hint="default" w:ascii="Times New Roman" w:hAnsi="Times New Roman" w:cs="Times New Roman"/>
                      <w:b/>
                      <w:bCs/>
                      <w:color w:val="0000FF"/>
                      <w:sz w:val="21"/>
                      <w:szCs w:val="21"/>
                    </w:rPr>
                    <w:t>投入</w:t>
                  </w:r>
                </w:p>
              </w:tc>
              <w:tc>
                <w:tcPr>
                  <w:tcW w:w="2667" w:type="pct"/>
                  <w:gridSpan w:val="4"/>
                  <w:tcBorders>
                    <w:tl2br w:val="nil"/>
                    <w:tr2bl w:val="nil"/>
                  </w:tcBorders>
                  <w:vAlign w:val="center"/>
                </w:tcPr>
                <w:p w14:paraId="1618A93D">
                  <w:pPr>
                    <w:pStyle w:val="171"/>
                    <w:rPr>
                      <w:rFonts w:ascii="Times New Roman" w:hAnsi="Times New Roman" w:cs="Times New Roman"/>
                      <w:b/>
                      <w:bCs/>
                      <w:color w:val="0000FF"/>
                      <w:sz w:val="21"/>
                      <w:szCs w:val="21"/>
                    </w:rPr>
                  </w:pPr>
                  <w:r>
                    <w:rPr>
                      <w:rFonts w:hint="default" w:ascii="Times New Roman" w:hAnsi="Times New Roman" w:cs="Times New Roman"/>
                      <w:b/>
                      <w:bCs/>
                      <w:color w:val="0000FF"/>
                      <w:sz w:val="21"/>
                      <w:szCs w:val="21"/>
                    </w:rPr>
                    <w:t>产出</w:t>
                  </w:r>
                </w:p>
              </w:tc>
            </w:tr>
            <w:tr w14:paraId="51F503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443" w:type="pct"/>
                  <w:tcBorders>
                    <w:tl2br w:val="nil"/>
                    <w:tr2bl w:val="nil"/>
                  </w:tcBorders>
                  <w:shd w:val="clear" w:color="auto" w:fill="auto"/>
                  <w:vAlign w:val="center"/>
                </w:tcPr>
                <w:p w14:paraId="17F9894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ascii="Times New Roman" w:hAnsi="Times New Roman" w:cs="Times New Roman"/>
                      <w:color w:val="0000FF"/>
                      <w:kern w:val="0"/>
                      <w:sz w:val="21"/>
                      <w:szCs w:val="21"/>
                      <w:highlight w:val="none"/>
                    </w:rPr>
                  </w:pPr>
                  <w:r>
                    <w:rPr>
                      <w:rFonts w:hint="eastAsia" w:ascii="Times New Roman" w:hAnsi="Times New Roman" w:eastAsia="宋体" w:cs="Times New Roman"/>
                      <w:color w:val="0000FF"/>
                      <w:kern w:val="0"/>
                      <w:sz w:val="21"/>
                      <w:szCs w:val="21"/>
                      <w:highlight w:val="none"/>
                      <w:lang w:val="en-US" w:eastAsia="zh-CN"/>
                    </w:rPr>
                    <w:t>名称</w:t>
                  </w:r>
                </w:p>
              </w:tc>
              <w:tc>
                <w:tcPr>
                  <w:tcW w:w="889" w:type="pct"/>
                  <w:tcBorders>
                    <w:tl2br w:val="nil"/>
                    <w:tr2bl w:val="nil"/>
                  </w:tcBorders>
                  <w:vAlign w:val="center"/>
                </w:tcPr>
                <w:p w14:paraId="7249B388">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数量</w:t>
                  </w:r>
                </w:p>
              </w:tc>
              <w:tc>
                <w:tcPr>
                  <w:tcW w:w="1778" w:type="pct"/>
                  <w:gridSpan w:val="3"/>
                  <w:tcBorders>
                    <w:tl2br w:val="nil"/>
                    <w:tr2bl w:val="nil"/>
                  </w:tcBorders>
                  <w:vAlign w:val="center"/>
                </w:tcPr>
                <w:p w14:paraId="4808D142">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名称</w:t>
                  </w:r>
                </w:p>
              </w:tc>
              <w:tc>
                <w:tcPr>
                  <w:tcW w:w="889" w:type="pct"/>
                  <w:tcBorders>
                    <w:tl2br w:val="nil"/>
                    <w:tr2bl w:val="nil"/>
                  </w:tcBorders>
                  <w:vAlign w:val="center"/>
                </w:tcPr>
                <w:p w14:paraId="6F9D0C82">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数量</w:t>
                  </w:r>
                </w:p>
              </w:tc>
            </w:tr>
            <w:tr w14:paraId="07E72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658ED19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ascii="Times New Roman" w:hAnsi="Times New Roman" w:eastAsia="宋体" w:cs="Times New Roman"/>
                      <w:color w:val="0000FF"/>
                      <w:kern w:val="0"/>
                      <w:sz w:val="21"/>
                      <w:szCs w:val="21"/>
                      <w:highlight w:val="none"/>
                    </w:rPr>
                  </w:pPr>
                  <w:bookmarkStart w:id="9" w:name="_Hlk210935364"/>
                  <w:r>
                    <w:rPr>
                      <w:rFonts w:hint="default" w:ascii="Times New Roman" w:hAnsi="Times New Roman" w:eastAsia="宋体" w:cs="Times New Roman"/>
                      <w:color w:val="0000FF"/>
                      <w:kern w:val="0"/>
                      <w:sz w:val="21"/>
                      <w:szCs w:val="21"/>
                      <w:highlight w:val="none"/>
                      <w:lang w:val="en-US" w:eastAsia="zh-CN" w:bidi="ar-SA"/>
                    </w:rPr>
                    <w:t>钢材</w:t>
                  </w:r>
                  <w:r>
                    <w:rPr>
                      <w:rFonts w:hint="eastAsia" w:cs="Times New Roman"/>
                      <w:color w:val="0000FF"/>
                      <w:kern w:val="0"/>
                      <w:sz w:val="21"/>
                      <w:szCs w:val="21"/>
                      <w:highlight w:val="none"/>
                      <w:lang w:val="en-US" w:eastAsia="zh-CN" w:bidi="ar-SA"/>
                    </w:rPr>
                    <w:t>（已切割成规定形状的原料）</w:t>
                  </w:r>
                </w:p>
              </w:tc>
              <w:tc>
                <w:tcPr>
                  <w:tcW w:w="889" w:type="pct"/>
                  <w:tcBorders>
                    <w:tl2br w:val="nil"/>
                    <w:tr2bl w:val="nil"/>
                  </w:tcBorders>
                  <w:shd w:val="clear" w:color="auto" w:fill="auto"/>
                  <w:vAlign w:val="center"/>
                </w:tcPr>
                <w:p w14:paraId="00E9D6E3">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0000FF"/>
                      <w:kern w:val="0"/>
                      <w:sz w:val="21"/>
                      <w:szCs w:val="21"/>
                      <w:highlight w:val="none"/>
                    </w:rPr>
                  </w:pPr>
                  <w:r>
                    <w:rPr>
                      <w:rFonts w:hint="eastAsia" w:cs="Times New Roman"/>
                      <w:color w:val="0000FF"/>
                      <w:kern w:val="0"/>
                      <w:sz w:val="21"/>
                      <w:szCs w:val="21"/>
                      <w:highlight w:val="none"/>
                      <w:lang w:val="en-US" w:eastAsia="zh-CN" w:bidi="ar-SA"/>
                    </w:rPr>
                    <w:t>2000</w:t>
                  </w:r>
                </w:p>
              </w:tc>
              <w:tc>
                <w:tcPr>
                  <w:tcW w:w="881" w:type="pct"/>
                  <w:gridSpan w:val="2"/>
                  <w:vMerge w:val="restart"/>
                  <w:tcBorders>
                    <w:tl2br w:val="nil"/>
                    <w:tr2bl w:val="nil"/>
                  </w:tcBorders>
                  <w:vAlign w:val="center"/>
                </w:tcPr>
                <w:p w14:paraId="2CD096DA">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产品</w:t>
                  </w:r>
                </w:p>
              </w:tc>
              <w:tc>
                <w:tcPr>
                  <w:tcW w:w="896" w:type="pct"/>
                  <w:tcBorders>
                    <w:tl2br w:val="nil"/>
                    <w:tr2bl w:val="nil"/>
                  </w:tcBorders>
                  <w:vAlign w:val="center"/>
                </w:tcPr>
                <w:p w14:paraId="60FE2F95">
                  <w:pPr>
                    <w:pStyle w:val="171"/>
                    <w:rPr>
                      <w:rFonts w:hint="eastAsia"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齿轮</w:t>
                  </w:r>
                </w:p>
              </w:tc>
              <w:tc>
                <w:tcPr>
                  <w:tcW w:w="889" w:type="pct"/>
                  <w:tcBorders>
                    <w:tl2br w:val="nil"/>
                    <w:tr2bl w:val="nil"/>
                  </w:tcBorders>
                  <w:vAlign w:val="center"/>
                </w:tcPr>
                <w:p w14:paraId="18B5B2F8">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rPr>
                    <w:t>863</w:t>
                  </w:r>
                  <w:r>
                    <w:rPr>
                      <w:rFonts w:hint="eastAsia" w:ascii="Times New Roman" w:hAnsi="Times New Roman" w:cs="Times New Roman"/>
                      <w:color w:val="0000FF"/>
                      <w:sz w:val="21"/>
                      <w:szCs w:val="21"/>
                      <w:lang w:eastAsia="zh-CN"/>
                    </w:rPr>
                    <w:t>.</w:t>
                  </w:r>
                  <w:r>
                    <w:rPr>
                      <w:rFonts w:hint="eastAsia" w:ascii="Times New Roman" w:hAnsi="Times New Roman" w:cs="Times New Roman"/>
                      <w:color w:val="0000FF"/>
                      <w:sz w:val="21"/>
                      <w:szCs w:val="21"/>
                      <w:lang w:val="en-US" w:eastAsia="zh-CN"/>
                    </w:rPr>
                    <w:t>2</w:t>
                  </w:r>
                </w:p>
              </w:tc>
            </w:tr>
            <w:tr w14:paraId="6C7F8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259195D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0000FF"/>
                      <w:kern w:val="0"/>
                      <w:sz w:val="21"/>
                      <w:szCs w:val="21"/>
                      <w:highlight w:val="none"/>
                      <w:lang w:val="en-US" w:eastAsia="zh-CN" w:bidi="ar-SA"/>
                    </w:rPr>
                  </w:pPr>
                  <w:r>
                    <w:rPr>
                      <w:rFonts w:hint="eastAsia" w:cs="Times New Roman"/>
                      <w:color w:val="0000FF"/>
                      <w:kern w:val="0"/>
                      <w:sz w:val="21"/>
                      <w:szCs w:val="21"/>
                      <w:highlight w:val="none"/>
                      <w:lang w:val="en-US" w:eastAsia="zh-CN" w:bidi="ar-SA"/>
                    </w:rPr>
                    <w:t>铝材（已切割成规定形状的原料）</w:t>
                  </w:r>
                </w:p>
              </w:tc>
              <w:tc>
                <w:tcPr>
                  <w:tcW w:w="889" w:type="pct"/>
                  <w:tcBorders>
                    <w:tl2br w:val="nil"/>
                    <w:tr2bl w:val="nil"/>
                  </w:tcBorders>
                  <w:shd w:val="clear" w:color="auto" w:fill="auto"/>
                  <w:vAlign w:val="center"/>
                </w:tcPr>
                <w:p w14:paraId="4ECCF4C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FF"/>
                      <w:kern w:val="0"/>
                      <w:sz w:val="21"/>
                      <w:szCs w:val="21"/>
                      <w:highlight w:val="none"/>
                      <w:lang w:val="en-US" w:eastAsia="zh-CN" w:bidi="ar-SA"/>
                    </w:rPr>
                  </w:pPr>
                  <w:r>
                    <w:rPr>
                      <w:rFonts w:hint="eastAsia" w:cs="Times New Roman"/>
                      <w:color w:val="0000FF"/>
                      <w:kern w:val="0"/>
                      <w:sz w:val="21"/>
                      <w:szCs w:val="21"/>
                      <w:highlight w:val="none"/>
                      <w:lang w:val="en-US" w:eastAsia="zh-CN" w:bidi="ar-SA"/>
                    </w:rPr>
                    <w:t>600</w:t>
                  </w:r>
                </w:p>
              </w:tc>
              <w:tc>
                <w:tcPr>
                  <w:tcW w:w="881" w:type="pct"/>
                  <w:gridSpan w:val="2"/>
                  <w:vMerge w:val="continue"/>
                  <w:tcBorders>
                    <w:tl2br w:val="nil"/>
                    <w:tr2bl w:val="nil"/>
                  </w:tcBorders>
                  <w:vAlign w:val="center"/>
                </w:tcPr>
                <w:p w14:paraId="4137CE5C">
                  <w:pPr>
                    <w:pStyle w:val="171"/>
                    <w:rPr>
                      <w:rFonts w:hint="default" w:ascii="Times New Roman" w:hAnsi="Times New Roman" w:cs="Times New Roman"/>
                      <w:color w:val="0000FF"/>
                      <w:sz w:val="21"/>
                      <w:szCs w:val="21"/>
                    </w:rPr>
                  </w:pPr>
                </w:p>
              </w:tc>
              <w:tc>
                <w:tcPr>
                  <w:tcW w:w="896" w:type="pct"/>
                  <w:tcBorders>
                    <w:tl2br w:val="nil"/>
                    <w:tr2bl w:val="nil"/>
                  </w:tcBorders>
                  <w:vAlign w:val="center"/>
                </w:tcPr>
                <w:p w14:paraId="1F77128B">
                  <w:pPr>
                    <w:pStyle w:val="171"/>
                    <w:rPr>
                      <w:rFonts w:hint="default"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行星减速机</w:t>
                  </w:r>
                </w:p>
              </w:tc>
              <w:tc>
                <w:tcPr>
                  <w:tcW w:w="889" w:type="pct"/>
                  <w:tcBorders>
                    <w:tl2br w:val="nil"/>
                    <w:tr2bl w:val="nil"/>
                  </w:tcBorders>
                  <w:vAlign w:val="center"/>
                </w:tcPr>
                <w:p w14:paraId="42EC351F">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1726.142</w:t>
                  </w:r>
                </w:p>
              </w:tc>
            </w:tr>
            <w:tr w14:paraId="02FBE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64FBDFCE">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0000FF"/>
                      <w:kern w:val="0"/>
                      <w:sz w:val="21"/>
                      <w:szCs w:val="21"/>
                      <w:highlight w:val="none"/>
                    </w:rPr>
                  </w:pPr>
                  <w:r>
                    <w:rPr>
                      <w:rFonts w:hint="default" w:ascii="Times New Roman" w:hAnsi="Times New Roman" w:eastAsia="宋体" w:cs="Times New Roman"/>
                      <w:color w:val="0000FF"/>
                      <w:kern w:val="0"/>
                      <w:sz w:val="21"/>
                      <w:szCs w:val="21"/>
                      <w:highlight w:val="none"/>
                      <w:lang w:val="en-US" w:eastAsia="zh-CN" w:bidi="ar-SA"/>
                    </w:rPr>
                    <w:t>切削</w:t>
                  </w:r>
                  <w:r>
                    <w:rPr>
                      <w:rFonts w:hint="eastAsia" w:cs="Times New Roman"/>
                      <w:color w:val="0000FF"/>
                      <w:kern w:val="0"/>
                      <w:sz w:val="21"/>
                      <w:szCs w:val="21"/>
                      <w:highlight w:val="none"/>
                      <w:lang w:val="en-US" w:eastAsia="zh-CN" w:bidi="ar-SA"/>
                    </w:rPr>
                    <w:t>液</w:t>
                  </w:r>
                  <w:r>
                    <w:rPr>
                      <w:rFonts w:hint="default" w:ascii="Times New Roman" w:hAnsi="Times New Roman" w:eastAsia="宋体" w:cs="Times New Roman"/>
                      <w:color w:val="0000FF"/>
                      <w:kern w:val="0"/>
                      <w:sz w:val="21"/>
                      <w:szCs w:val="21"/>
                      <w:highlight w:val="none"/>
                      <w:lang w:val="en-US" w:eastAsia="zh-CN" w:bidi="ar-SA"/>
                    </w:rPr>
                    <w:t>EP333</w:t>
                  </w:r>
                </w:p>
              </w:tc>
              <w:tc>
                <w:tcPr>
                  <w:tcW w:w="889" w:type="pct"/>
                  <w:tcBorders>
                    <w:tl2br w:val="nil"/>
                    <w:tr2bl w:val="nil"/>
                  </w:tcBorders>
                  <w:shd w:val="clear" w:color="auto" w:fill="auto"/>
                  <w:vAlign w:val="center"/>
                </w:tcPr>
                <w:p w14:paraId="22FFBC8A">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0000FF"/>
                      <w:kern w:val="0"/>
                      <w:sz w:val="21"/>
                      <w:szCs w:val="21"/>
                      <w:highlight w:val="none"/>
                    </w:rPr>
                  </w:pPr>
                  <w:r>
                    <w:rPr>
                      <w:rFonts w:hint="eastAsia" w:cs="Times New Roman"/>
                      <w:color w:val="0000FF"/>
                      <w:kern w:val="0"/>
                      <w:sz w:val="21"/>
                      <w:szCs w:val="21"/>
                      <w:highlight w:val="none"/>
                      <w:lang w:val="en-US" w:eastAsia="zh-CN" w:bidi="ar-SA"/>
                    </w:rPr>
                    <w:t>2.0</w:t>
                  </w:r>
                </w:p>
              </w:tc>
              <w:tc>
                <w:tcPr>
                  <w:tcW w:w="307" w:type="pct"/>
                  <w:vMerge w:val="restart"/>
                  <w:tcBorders>
                    <w:tl2br w:val="nil"/>
                    <w:tr2bl w:val="nil"/>
                  </w:tcBorders>
                  <w:vAlign w:val="center"/>
                </w:tcPr>
                <w:p w14:paraId="3C23596D">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废气</w:t>
                  </w:r>
                </w:p>
              </w:tc>
              <w:tc>
                <w:tcPr>
                  <w:tcW w:w="574" w:type="pct"/>
                  <w:vMerge w:val="restart"/>
                  <w:tcBorders>
                    <w:tl2br w:val="nil"/>
                    <w:tr2bl w:val="nil"/>
                  </w:tcBorders>
                  <w:vAlign w:val="center"/>
                </w:tcPr>
                <w:p w14:paraId="3BE55448">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有组织</w:t>
                  </w:r>
                </w:p>
              </w:tc>
              <w:tc>
                <w:tcPr>
                  <w:tcW w:w="896" w:type="pct"/>
                  <w:tcBorders>
                    <w:tl2br w:val="nil"/>
                    <w:tr2bl w:val="nil"/>
                  </w:tcBorders>
                  <w:shd w:val="clear" w:color="auto" w:fill="auto"/>
                  <w:vAlign w:val="center"/>
                </w:tcPr>
                <w:p w14:paraId="1E6AA7DC">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漆雾</w:t>
                  </w:r>
                </w:p>
              </w:tc>
              <w:tc>
                <w:tcPr>
                  <w:tcW w:w="1370" w:type="dxa"/>
                  <w:tcBorders>
                    <w:tl2br w:val="nil"/>
                    <w:tr2bl w:val="nil"/>
                  </w:tcBorders>
                  <w:shd w:val="clear" w:color="auto" w:fill="auto"/>
                  <w:vAlign w:val="center"/>
                </w:tcPr>
                <w:p w14:paraId="768C2ACA">
                  <w:pPr>
                    <w:pStyle w:val="171"/>
                    <w:rPr>
                      <w:rFonts w:ascii="Times New Roman" w:hAnsi="Times New Roman" w:cs="Times New Roman"/>
                      <w:color w:val="0000FF"/>
                      <w:sz w:val="21"/>
                      <w:szCs w:val="21"/>
                    </w:rPr>
                  </w:pPr>
                  <w:r>
                    <w:rPr>
                      <w:rFonts w:hint="eastAsia" w:eastAsia="宋体" w:cs="Times New Roman"/>
                      <w:color w:val="0000FF"/>
                      <w:kern w:val="2"/>
                      <w:sz w:val="21"/>
                      <w:szCs w:val="21"/>
                      <w:lang w:val="en-US" w:eastAsia="zh-CN" w:bidi="ar-SA"/>
                    </w:rPr>
                    <w:t>0.01</w:t>
                  </w:r>
                  <w:r>
                    <w:rPr>
                      <w:rFonts w:hint="eastAsia" w:cs="Times New Roman"/>
                      <w:color w:val="0000FF"/>
                      <w:kern w:val="2"/>
                      <w:sz w:val="21"/>
                      <w:szCs w:val="21"/>
                      <w:lang w:val="en-US" w:eastAsia="zh-CN" w:bidi="ar-SA"/>
                    </w:rPr>
                    <w:t>2</w:t>
                  </w:r>
                </w:p>
              </w:tc>
            </w:tr>
            <w:tr w14:paraId="2D2E79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431533F5">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0000FF"/>
                      <w:kern w:val="0"/>
                      <w:sz w:val="21"/>
                      <w:szCs w:val="21"/>
                      <w:highlight w:val="none"/>
                      <w:lang w:val="en-US" w:eastAsia="zh-CN" w:bidi="ar-SA"/>
                    </w:rPr>
                  </w:pPr>
                  <w:r>
                    <w:rPr>
                      <w:rFonts w:hint="eastAsia" w:cs="Times New Roman"/>
                      <w:color w:val="0000FF"/>
                      <w:kern w:val="0"/>
                      <w:sz w:val="21"/>
                      <w:szCs w:val="21"/>
                      <w:highlight w:val="none"/>
                      <w:lang w:val="en-US" w:eastAsia="zh-CN" w:bidi="ar-SA"/>
                    </w:rPr>
                    <w:t>超声波清洗剂</w:t>
                  </w:r>
                </w:p>
              </w:tc>
              <w:tc>
                <w:tcPr>
                  <w:tcW w:w="889" w:type="pct"/>
                  <w:tcBorders>
                    <w:tl2br w:val="nil"/>
                    <w:tr2bl w:val="nil"/>
                  </w:tcBorders>
                  <w:shd w:val="clear" w:color="auto" w:fill="auto"/>
                  <w:vAlign w:val="center"/>
                </w:tcPr>
                <w:p w14:paraId="7152C283">
                  <w:pPr>
                    <w:keepNext w:val="0"/>
                    <w:keepLines w:val="0"/>
                    <w:pageBreakBefore w:val="0"/>
                    <w:widowControl/>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FF"/>
                      <w:kern w:val="0"/>
                      <w:sz w:val="21"/>
                      <w:szCs w:val="21"/>
                      <w:highlight w:val="none"/>
                      <w:lang w:val="en-US" w:eastAsia="zh-CN" w:bidi="ar-SA"/>
                    </w:rPr>
                  </w:pPr>
                  <w:r>
                    <w:rPr>
                      <w:rFonts w:hint="eastAsia" w:cs="Times New Roman"/>
                      <w:color w:val="0000FF"/>
                      <w:kern w:val="0"/>
                      <w:sz w:val="21"/>
                      <w:szCs w:val="21"/>
                      <w:highlight w:val="none"/>
                      <w:lang w:val="en-US" w:eastAsia="zh-CN" w:bidi="ar-SA"/>
                    </w:rPr>
                    <w:t>0.5</w:t>
                  </w:r>
                </w:p>
              </w:tc>
              <w:tc>
                <w:tcPr>
                  <w:tcW w:w="307" w:type="pct"/>
                  <w:vMerge w:val="continue"/>
                  <w:tcBorders>
                    <w:tl2br w:val="nil"/>
                    <w:tr2bl w:val="nil"/>
                  </w:tcBorders>
                  <w:vAlign w:val="center"/>
                </w:tcPr>
                <w:p w14:paraId="35432F5B">
                  <w:pPr>
                    <w:pStyle w:val="171"/>
                    <w:rPr>
                      <w:rFonts w:hint="default" w:ascii="Times New Roman" w:hAnsi="Times New Roman" w:cs="Times New Roman"/>
                      <w:color w:val="0000FF"/>
                      <w:sz w:val="21"/>
                      <w:szCs w:val="21"/>
                    </w:rPr>
                  </w:pPr>
                </w:p>
              </w:tc>
              <w:tc>
                <w:tcPr>
                  <w:tcW w:w="574" w:type="pct"/>
                  <w:vMerge w:val="continue"/>
                  <w:tcBorders>
                    <w:tl2br w:val="nil"/>
                    <w:tr2bl w:val="nil"/>
                  </w:tcBorders>
                  <w:vAlign w:val="center"/>
                </w:tcPr>
                <w:p w14:paraId="3B452A3B">
                  <w:pPr>
                    <w:pStyle w:val="171"/>
                    <w:rPr>
                      <w:rFonts w:hint="default" w:ascii="Times New Roman" w:hAnsi="Times New Roman" w:cs="Times New Roman"/>
                      <w:color w:val="0000FF"/>
                      <w:sz w:val="21"/>
                      <w:szCs w:val="21"/>
                    </w:rPr>
                  </w:pPr>
                </w:p>
              </w:tc>
              <w:tc>
                <w:tcPr>
                  <w:tcW w:w="896" w:type="pct"/>
                  <w:tcBorders>
                    <w:tl2br w:val="nil"/>
                    <w:tr2bl w:val="nil"/>
                  </w:tcBorders>
                  <w:shd w:val="clear" w:color="auto" w:fill="auto"/>
                  <w:vAlign w:val="center"/>
                </w:tcPr>
                <w:p w14:paraId="633A88F4">
                  <w:pPr>
                    <w:pStyle w:val="171"/>
                    <w:rPr>
                      <w:rFonts w:hint="default" w:ascii="Times New Roman" w:hAnsi="Times New Roman" w:eastAsia="宋体" w:cs="Times New Roman"/>
                      <w:color w:val="0000FF"/>
                      <w:sz w:val="21"/>
                      <w:szCs w:val="21"/>
                      <w:lang w:val="en-US" w:eastAsia="zh-CN"/>
                    </w:rPr>
                  </w:pPr>
                  <w:r>
                    <w:rPr>
                      <w:rFonts w:hint="eastAsia" w:ascii="Times New Roman" w:hAnsi="Times New Roman" w:cs="Times New Roman"/>
                      <w:color w:val="0000FF"/>
                      <w:sz w:val="21"/>
                      <w:szCs w:val="21"/>
                      <w:lang w:val="en-US" w:eastAsia="zh-CN"/>
                    </w:rPr>
                    <w:t>二甲苯</w:t>
                  </w:r>
                </w:p>
              </w:tc>
              <w:tc>
                <w:tcPr>
                  <w:tcW w:w="1370" w:type="dxa"/>
                  <w:tcBorders>
                    <w:tl2br w:val="nil"/>
                    <w:tr2bl w:val="nil"/>
                  </w:tcBorders>
                  <w:shd w:val="clear" w:color="auto" w:fill="auto"/>
                  <w:vAlign w:val="center"/>
                </w:tcPr>
                <w:p w14:paraId="1ED31A2D">
                  <w:pPr>
                    <w:pStyle w:val="171"/>
                    <w:rPr>
                      <w:rFonts w:hint="default" w:ascii="Times New Roman" w:hAnsi="Times New Roman" w:cs="Times New Roman"/>
                      <w:color w:val="0000FF"/>
                      <w:sz w:val="21"/>
                      <w:szCs w:val="21"/>
                    </w:rPr>
                  </w:pPr>
                  <w:r>
                    <w:rPr>
                      <w:rFonts w:hint="eastAsia" w:eastAsia="宋体"/>
                      <w:color w:val="0000FF"/>
                      <w:szCs w:val="21"/>
                      <w:lang w:val="en-US" w:eastAsia="zh-CN"/>
                    </w:rPr>
                    <w:t>0.052</w:t>
                  </w:r>
                </w:p>
              </w:tc>
            </w:tr>
            <w:tr w14:paraId="037FCD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745D501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0000FF"/>
                      <w:kern w:val="0"/>
                      <w:sz w:val="21"/>
                      <w:szCs w:val="21"/>
                      <w:highlight w:val="none"/>
                      <w:lang w:val="en-US"/>
                    </w:rPr>
                  </w:pPr>
                  <w:r>
                    <w:rPr>
                      <w:rFonts w:hint="default" w:cs="Times New Roman"/>
                      <w:color w:val="0000FF"/>
                      <w:kern w:val="0"/>
                      <w:sz w:val="21"/>
                      <w:szCs w:val="21"/>
                      <w:highlight w:val="none"/>
                      <w:lang w:val="en-US" w:eastAsia="zh-CN" w:bidi="ar-SA"/>
                    </w:rPr>
                    <w:t>油漆</w:t>
                  </w:r>
                </w:p>
              </w:tc>
              <w:tc>
                <w:tcPr>
                  <w:tcW w:w="889" w:type="pct"/>
                  <w:tcBorders>
                    <w:tl2br w:val="nil"/>
                    <w:tr2bl w:val="nil"/>
                  </w:tcBorders>
                  <w:shd w:val="clear" w:color="auto" w:fill="auto"/>
                  <w:vAlign w:val="center"/>
                </w:tcPr>
                <w:p w14:paraId="48FE192B">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0000FF"/>
                      <w:kern w:val="0"/>
                      <w:sz w:val="21"/>
                      <w:szCs w:val="21"/>
                      <w:highlight w:val="none"/>
                    </w:rPr>
                  </w:pPr>
                  <w:r>
                    <w:rPr>
                      <w:rFonts w:hint="eastAsia" w:cs="Times New Roman"/>
                      <w:color w:val="0000FF"/>
                      <w:kern w:val="0"/>
                      <w:sz w:val="21"/>
                      <w:szCs w:val="21"/>
                      <w:highlight w:val="none"/>
                      <w:lang w:val="en-US" w:eastAsia="zh-CN" w:bidi="ar-SA"/>
                    </w:rPr>
                    <w:t>1.0</w:t>
                  </w:r>
                </w:p>
              </w:tc>
              <w:tc>
                <w:tcPr>
                  <w:tcW w:w="307" w:type="pct"/>
                  <w:vMerge w:val="continue"/>
                  <w:tcBorders>
                    <w:tl2br w:val="nil"/>
                    <w:tr2bl w:val="nil"/>
                  </w:tcBorders>
                  <w:vAlign w:val="center"/>
                </w:tcPr>
                <w:p w14:paraId="1BEF85B5">
                  <w:pPr>
                    <w:pStyle w:val="171"/>
                    <w:rPr>
                      <w:rFonts w:ascii="Times New Roman" w:hAnsi="Times New Roman" w:cs="Times New Roman"/>
                      <w:color w:val="0000FF"/>
                      <w:sz w:val="21"/>
                      <w:szCs w:val="21"/>
                    </w:rPr>
                  </w:pPr>
                </w:p>
              </w:tc>
              <w:tc>
                <w:tcPr>
                  <w:tcW w:w="574" w:type="pct"/>
                  <w:vMerge w:val="continue"/>
                  <w:tcBorders>
                    <w:tl2br w:val="nil"/>
                    <w:tr2bl w:val="nil"/>
                  </w:tcBorders>
                  <w:vAlign w:val="center"/>
                </w:tcPr>
                <w:p w14:paraId="18C3ACB6">
                  <w:pPr>
                    <w:pStyle w:val="171"/>
                    <w:rPr>
                      <w:rFonts w:ascii="Times New Roman" w:hAnsi="Times New Roman" w:cs="Times New Roman"/>
                      <w:color w:val="0000FF"/>
                      <w:sz w:val="21"/>
                      <w:szCs w:val="21"/>
                    </w:rPr>
                  </w:pPr>
                </w:p>
              </w:tc>
              <w:tc>
                <w:tcPr>
                  <w:tcW w:w="896" w:type="pct"/>
                  <w:tcBorders>
                    <w:tl2br w:val="nil"/>
                    <w:tr2bl w:val="nil"/>
                  </w:tcBorders>
                  <w:shd w:val="clear" w:color="auto" w:fill="auto"/>
                  <w:vAlign w:val="center"/>
                </w:tcPr>
                <w:p w14:paraId="0A715333">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非甲烷总烃</w:t>
                  </w:r>
                </w:p>
              </w:tc>
              <w:tc>
                <w:tcPr>
                  <w:tcW w:w="1370" w:type="dxa"/>
                  <w:tcBorders>
                    <w:tl2br w:val="nil"/>
                    <w:tr2bl w:val="nil"/>
                  </w:tcBorders>
                  <w:shd w:val="clear" w:color="auto" w:fill="auto"/>
                  <w:vAlign w:val="center"/>
                </w:tcPr>
                <w:p w14:paraId="191D6B12">
                  <w:pPr>
                    <w:pStyle w:val="171"/>
                    <w:rPr>
                      <w:rFonts w:ascii="Times New Roman" w:hAnsi="Times New Roman" w:cs="Times New Roman"/>
                      <w:color w:val="0000FF"/>
                      <w:sz w:val="21"/>
                      <w:szCs w:val="21"/>
                    </w:rPr>
                  </w:pPr>
                  <w:r>
                    <w:rPr>
                      <w:rFonts w:hint="eastAsia" w:eastAsia="宋体"/>
                      <w:color w:val="0000FF"/>
                      <w:szCs w:val="21"/>
                      <w:lang w:val="en-US" w:eastAsia="zh-CN"/>
                    </w:rPr>
                    <w:t>0.288</w:t>
                  </w:r>
                </w:p>
              </w:tc>
            </w:tr>
            <w:tr w14:paraId="42C47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683B3C6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ascii="Times New Roman" w:hAnsi="Times New Roman" w:eastAsia="宋体" w:cs="Times New Roman"/>
                      <w:color w:val="0000FF"/>
                      <w:kern w:val="0"/>
                      <w:sz w:val="21"/>
                      <w:szCs w:val="21"/>
                      <w:highlight w:val="none"/>
                    </w:rPr>
                  </w:pPr>
                  <w:r>
                    <w:rPr>
                      <w:rFonts w:hint="eastAsia" w:cs="Times New Roman"/>
                      <w:color w:val="0000FF"/>
                      <w:kern w:val="0"/>
                      <w:sz w:val="21"/>
                      <w:szCs w:val="21"/>
                      <w:highlight w:val="none"/>
                      <w:lang w:val="en-US" w:eastAsia="zh-CN" w:bidi="ar-SA"/>
                    </w:rPr>
                    <w:t>稀释剂</w:t>
                  </w:r>
                </w:p>
              </w:tc>
              <w:tc>
                <w:tcPr>
                  <w:tcW w:w="889" w:type="pct"/>
                  <w:tcBorders>
                    <w:tl2br w:val="nil"/>
                    <w:tr2bl w:val="nil"/>
                  </w:tcBorders>
                  <w:shd w:val="clear" w:color="auto" w:fill="auto"/>
                  <w:vAlign w:val="center"/>
                </w:tcPr>
                <w:p w14:paraId="767ECE1E">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0000FF"/>
                      <w:kern w:val="0"/>
                      <w:sz w:val="21"/>
                      <w:szCs w:val="21"/>
                      <w:highlight w:val="none"/>
                    </w:rPr>
                  </w:pPr>
                  <w:r>
                    <w:rPr>
                      <w:rFonts w:hint="eastAsia" w:cs="Times New Roman"/>
                      <w:color w:val="0000FF"/>
                      <w:kern w:val="0"/>
                      <w:sz w:val="21"/>
                      <w:szCs w:val="21"/>
                      <w:highlight w:val="none"/>
                      <w:lang w:val="en-US" w:eastAsia="zh-CN" w:bidi="ar-SA"/>
                    </w:rPr>
                    <w:t>0.2</w:t>
                  </w:r>
                </w:p>
              </w:tc>
              <w:tc>
                <w:tcPr>
                  <w:tcW w:w="307" w:type="pct"/>
                  <w:vMerge w:val="continue"/>
                  <w:tcBorders>
                    <w:tl2br w:val="nil"/>
                    <w:tr2bl w:val="nil"/>
                  </w:tcBorders>
                  <w:vAlign w:val="center"/>
                </w:tcPr>
                <w:p w14:paraId="7F729CFB">
                  <w:pPr>
                    <w:pStyle w:val="171"/>
                    <w:rPr>
                      <w:rFonts w:ascii="Times New Roman" w:hAnsi="Times New Roman" w:cs="Times New Roman"/>
                      <w:color w:val="0000FF"/>
                      <w:sz w:val="21"/>
                      <w:szCs w:val="21"/>
                    </w:rPr>
                  </w:pPr>
                </w:p>
              </w:tc>
              <w:tc>
                <w:tcPr>
                  <w:tcW w:w="574" w:type="pct"/>
                  <w:vMerge w:val="restart"/>
                  <w:tcBorders>
                    <w:tl2br w:val="nil"/>
                    <w:tr2bl w:val="nil"/>
                  </w:tcBorders>
                  <w:vAlign w:val="center"/>
                </w:tcPr>
                <w:p w14:paraId="32AAC010">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无组织</w:t>
                  </w:r>
                </w:p>
              </w:tc>
              <w:tc>
                <w:tcPr>
                  <w:tcW w:w="896" w:type="pct"/>
                  <w:tcBorders>
                    <w:tl2br w:val="nil"/>
                    <w:tr2bl w:val="nil"/>
                  </w:tcBorders>
                  <w:shd w:val="clear" w:color="auto" w:fill="auto"/>
                  <w:vAlign w:val="center"/>
                </w:tcPr>
                <w:p w14:paraId="41B44CDE">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漆雾</w:t>
                  </w:r>
                </w:p>
              </w:tc>
              <w:tc>
                <w:tcPr>
                  <w:tcW w:w="1370" w:type="dxa"/>
                  <w:tcBorders>
                    <w:tl2br w:val="nil"/>
                    <w:tr2bl w:val="nil"/>
                  </w:tcBorders>
                  <w:shd w:val="clear" w:color="auto" w:fill="auto"/>
                  <w:vAlign w:val="center"/>
                </w:tcPr>
                <w:p w14:paraId="73105F32">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0.0</w:t>
                  </w:r>
                  <w:r>
                    <w:rPr>
                      <w:rFonts w:hint="eastAsia" w:ascii="Times New Roman" w:hAnsi="Times New Roman" w:cs="Times New Roman"/>
                      <w:color w:val="0000FF"/>
                      <w:sz w:val="21"/>
                      <w:szCs w:val="21"/>
                      <w:lang w:eastAsia="zh-CN"/>
                    </w:rPr>
                    <w:t>1</w:t>
                  </w:r>
                  <w:r>
                    <w:rPr>
                      <w:rFonts w:hint="eastAsia" w:ascii="Times New Roman" w:hAnsi="Times New Roman" w:cs="Times New Roman"/>
                      <w:color w:val="0000FF"/>
                      <w:sz w:val="21"/>
                      <w:szCs w:val="21"/>
                      <w:lang w:val="en-US" w:eastAsia="zh-CN"/>
                    </w:rPr>
                    <w:t>4</w:t>
                  </w:r>
                </w:p>
              </w:tc>
            </w:tr>
            <w:tr w14:paraId="3ED3DB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5A90033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eastAsia" w:cs="Times New Roman"/>
                      <w:color w:val="0000FF"/>
                      <w:kern w:val="0"/>
                      <w:sz w:val="21"/>
                      <w:szCs w:val="21"/>
                      <w:highlight w:val="none"/>
                      <w:lang w:val="en-US" w:eastAsia="zh-CN" w:bidi="ar-SA"/>
                    </w:rPr>
                  </w:pPr>
                </w:p>
              </w:tc>
              <w:tc>
                <w:tcPr>
                  <w:tcW w:w="889" w:type="pct"/>
                  <w:tcBorders>
                    <w:tl2br w:val="nil"/>
                    <w:tr2bl w:val="nil"/>
                  </w:tcBorders>
                  <w:shd w:val="clear" w:color="auto" w:fill="auto"/>
                  <w:vAlign w:val="center"/>
                </w:tcPr>
                <w:p w14:paraId="783CBE96">
                  <w:pPr>
                    <w:keepNext w:val="0"/>
                    <w:keepLines w:val="0"/>
                    <w:pageBreakBefore w:val="0"/>
                    <w:widowControl/>
                    <w:kinsoku/>
                    <w:wordWrap/>
                    <w:overflowPunct/>
                    <w:topLinePunct w:val="0"/>
                    <w:autoSpaceDE/>
                    <w:autoSpaceDN/>
                    <w:bidi w:val="0"/>
                    <w:spacing w:line="240" w:lineRule="auto"/>
                    <w:jc w:val="center"/>
                    <w:textAlignment w:val="auto"/>
                    <w:rPr>
                      <w:rFonts w:hint="eastAsia" w:cs="Times New Roman"/>
                      <w:color w:val="0000FF"/>
                      <w:kern w:val="0"/>
                      <w:sz w:val="21"/>
                      <w:szCs w:val="21"/>
                      <w:highlight w:val="none"/>
                      <w:lang w:val="en-US" w:eastAsia="zh-CN" w:bidi="ar-SA"/>
                    </w:rPr>
                  </w:pPr>
                </w:p>
              </w:tc>
              <w:tc>
                <w:tcPr>
                  <w:tcW w:w="307" w:type="pct"/>
                  <w:vMerge w:val="continue"/>
                  <w:tcBorders>
                    <w:tl2br w:val="nil"/>
                    <w:tr2bl w:val="nil"/>
                  </w:tcBorders>
                  <w:vAlign w:val="center"/>
                </w:tcPr>
                <w:p w14:paraId="4E6E2467">
                  <w:pPr>
                    <w:pStyle w:val="171"/>
                    <w:rPr>
                      <w:rFonts w:ascii="Times New Roman" w:hAnsi="Times New Roman" w:cs="Times New Roman"/>
                      <w:color w:val="0000FF"/>
                      <w:sz w:val="21"/>
                      <w:szCs w:val="21"/>
                    </w:rPr>
                  </w:pPr>
                </w:p>
              </w:tc>
              <w:tc>
                <w:tcPr>
                  <w:tcW w:w="574" w:type="pct"/>
                  <w:vMerge w:val="continue"/>
                  <w:tcBorders>
                    <w:tl2br w:val="nil"/>
                    <w:tr2bl w:val="nil"/>
                  </w:tcBorders>
                  <w:vAlign w:val="center"/>
                </w:tcPr>
                <w:p w14:paraId="2F208481">
                  <w:pPr>
                    <w:pStyle w:val="171"/>
                    <w:rPr>
                      <w:rFonts w:hint="default" w:ascii="Times New Roman" w:hAnsi="Times New Roman" w:cs="Times New Roman"/>
                      <w:color w:val="0000FF"/>
                      <w:sz w:val="21"/>
                      <w:szCs w:val="21"/>
                    </w:rPr>
                  </w:pPr>
                </w:p>
              </w:tc>
              <w:tc>
                <w:tcPr>
                  <w:tcW w:w="896" w:type="pct"/>
                  <w:tcBorders>
                    <w:tl2br w:val="nil"/>
                    <w:tr2bl w:val="nil"/>
                  </w:tcBorders>
                  <w:shd w:val="clear" w:color="auto" w:fill="auto"/>
                  <w:vAlign w:val="center"/>
                </w:tcPr>
                <w:p w14:paraId="64BE5920">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二甲苯</w:t>
                  </w:r>
                </w:p>
              </w:tc>
              <w:tc>
                <w:tcPr>
                  <w:tcW w:w="1370" w:type="dxa"/>
                  <w:tcBorders>
                    <w:tl2br w:val="nil"/>
                    <w:tr2bl w:val="nil"/>
                  </w:tcBorders>
                  <w:shd w:val="clear" w:color="auto" w:fill="auto"/>
                  <w:vAlign w:val="center"/>
                </w:tcPr>
                <w:p w14:paraId="5216A7A9">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0.008</w:t>
                  </w:r>
                </w:p>
              </w:tc>
            </w:tr>
            <w:tr w14:paraId="1FBBF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443" w:type="pct"/>
                  <w:tcBorders>
                    <w:tl2br w:val="nil"/>
                    <w:tr2bl w:val="nil"/>
                  </w:tcBorders>
                  <w:shd w:val="clear" w:color="auto" w:fill="auto"/>
                  <w:vAlign w:val="center"/>
                </w:tcPr>
                <w:p w14:paraId="6780431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ascii="Times New Roman" w:hAnsi="Times New Roman" w:eastAsia="宋体" w:cs="Times New Roman"/>
                      <w:color w:val="0000FF"/>
                      <w:kern w:val="0"/>
                      <w:sz w:val="21"/>
                      <w:szCs w:val="21"/>
                      <w:highlight w:val="none"/>
                    </w:rPr>
                  </w:pPr>
                </w:p>
              </w:tc>
              <w:tc>
                <w:tcPr>
                  <w:tcW w:w="889" w:type="pct"/>
                  <w:tcBorders>
                    <w:tl2br w:val="nil"/>
                    <w:tr2bl w:val="nil"/>
                  </w:tcBorders>
                  <w:shd w:val="clear" w:color="auto" w:fill="auto"/>
                  <w:vAlign w:val="center"/>
                </w:tcPr>
                <w:p w14:paraId="601AF51C">
                  <w:pPr>
                    <w:keepNext w:val="0"/>
                    <w:keepLines w:val="0"/>
                    <w:pageBreakBefore w:val="0"/>
                    <w:widowControl/>
                    <w:kinsoku/>
                    <w:wordWrap/>
                    <w:overflowPunct/>
                    <w:topLinePunct w:val="0"/>
                    <w:autoSpaceDE/>
                    <w:autoSpaceDN/>
                    <w:bidi w:val="0"/>
                    <w:spacing w:line="240" w:lineRule="auto"/>
                    <w:jc w:val="center"/>
                    <w:textAlignment w:val="auto"/>
                    <w:rPr>
                      <w:rFonts w:ascii="Times New Roman" w:hAnsi="Times New Roman" w:eastAsia="宋体" w:cs="Times New Roman"/>
                      <w:color w:val="0000FF"/>
                      <w:kern w:val="0"/>
                      <w:sz w:val="21"/>
                      <w:szCs w:val="21"/>
                      <w:highlight w:val="none"/>
                    </w:rPr>
                  </w:pPr>
                </w:p>
              </w:tc>
              <w:tc>
                <w:tcPr>
                  <w:tcW w:w="307" w:type="pct"/>
                  <w:vMerge w:val="continue"/>
                  <w:tcBorders>
                    <w:tl2br w:val="nil"/>
                    <w:tr2bl w:val="nil"/>
                  </w:tcBorders>
                  <w:vAlign w:val="center"/>
                </w:tcPr>
                <w:p w14:paraId="3E701693">
                  <w:pPr>
                    <w:pStyle w:val="171"/>
                    <w:rPr>
                      <w:rFonts w:ascii="Times New Roman" w:hAnsi="Times New Roman" w:cs="Times New Roman"/>
                      <w:color w:val="0000FF"/>
                      <w:sz w:val="21"/>
                      <w:szCs w:val="21"/>
                    </w:rPr>
                  </w:pPr>
                </w:p>
              </w:tc>
              <w:tc>
                <w:tcPr>
                  <w:tcW w:w="574" w:type="pct"/>
                  <w:vMerge w:val="continue"/>
                  <w:tcBorders>
                    <w:tl2br w:val="nil"/>
                    <w:tr2bl w:val="nil"/>
                  </w:tcBorders>
                  <w:vAlign w:val="center"/>
                </w:tcPr>
                <w:p w14:paraId="28672C84">
                  <w:pPr>
                    <w:pStyle w:val="171"/>
                    <w:rPr>
                      <w:rFonts w:ascii="Times New Roman" w:hAnsi="Times New Roman" w:cs="Times New Roman"/>
                      <w:color w:val="0000FF"/>
                      <w:sz w:val="21"/>
                      <w:szCs w:val="21"/>
                    </w:rPr>
                  </w:pPr>
                </w:p>
              </w:tc>
              <w:tc>
                <w:tcPr>
                  <w:tcW w:w="896" w:type="pct"/>
                  <w:tcBorders>
                    <w:tl2br w:val="nil"/>
                    <w:tr2bl w:val="nil"/>
                  </w:tcBorders>
                  <w:shd w:val="clear" w:color="auto" w:fill="auto"/>
                  <w:vAlign w:val="center"/>
                </w:tcPr>
                <w:p w14:paraId="487379CC">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非甲烷总烃</w:t>
                  </w:r>
                </w:p>
              </w:tc>
              <w:tc>
                <w:tcPr>
                  <w:tcW w:w="1370" w:type="dxa"/>
                  <w:tcBorders>
                    <w:tl2br w:val="nil"/>
                    <w:tr2bl w:val="nil"/>
                  </w:tcBorders>
                  <w:shd w:val="clear" w:color="auto" w:fill="auto"/>
                  <w:vAlign w:val="center"/>
                </w:tcPr>
                <w:p w14:paraId="77D9E4CE">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0.</w:t>
                  </w:r>
                  <w:r>
                    <w:rPr>
                      <w:rFonts w:hint="eastAsia" w:ascii="Times New Roman" w:hAnsi="Times New Roman" w:cs="Times New Roman"/>
                      <w:color w:val="0000FF"/>
                      <w:sz w:val="21"/>
                      <w:szCs w:val="21"/>
                      <w:lang w:val="en-US" w:eastAsia="zh-CN"/>
                    </w:rPr>
                    <w:t>044</w:t>
                  </w:r>
                </w:p>
              </w:tc>
            </w:tr>
            <w:tr w14:paraId="46664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443" w:type="pct"/>
                  <w:tcBorders>
                    <w:tl2br w:val="nil"/>
                    <w:tr2bl w:val="nil"/>
                  </w:tcBorders>
                  <w:shd w:val="clear" w:color="auto" w:fill="auto"/>
                  <w:vAlign w:val="center"/>
                </w:tcPr>
                <w:p w14:paraId="0811A277">
                  <w:pPr>
                    <w:autoSpaceDE w:val="0"/>
                    <w:autoSpaceDN w:val="0"/>
                    <w:spacing w:before="108" w:line="210" w:lineRule="exact"/>
                    <w:jc w:val="center"/>
                    <w:rPr>
                      <w:rFonts w:ascii="Times New Roman" w:hAnsi="Times New Roman" w:eastAsia="宋体" w:cs="Times New Roman"/>
                      <w:color w:val="0000FF"/>
                      <w:sz w:val="21"/>
                      <w:szCs w:val="21"/>
                    </w:rPr>
                  </w:pPr>
                </w:p>
              </w:tc>
              <w:tc>
                <w:tcPr>
                  <w:tcW w:w="889" w:type="pct"/>
                  <w:tcBorders>
                    <w:tl2br w:val="nil"/>
                    <w:tr2bl w:val="nil"/>
                  </w:tcBorders>
                  <w:vAlign w:val="center"/>
                </w:tcPr>
                <w:p w14:paraId="314CC14F">
                  <w:pPr>
                    <w:jc w:val="center"/>
                    <w:textAlignment w:val="center"/>
                    <w:rPr>
                      <w:rFonts w:ascii="Times New Roman" w:hAnsi="Times New Roman" w:eastAsia="宋体" w:cs="Times New Roman"/>
                      <w:color w:val="0000FF"/>
                      <w:sz w:val="21"/>
                      <w:szCs w:val="21"/>
                    </w:rPr>
                  </w:pPr>
                </w:p>
              </w:tc>
              <w:tc>
                <w:tcPr>
                  <w:tcW w:w="1778" w:type="pct"/>
                  <w:gridSpan w:val="3"/>
                  <w:tcBorders>
                    <w:tl2br w:val="nil"/>
                    <w:tr2bl w:val="nil"/>
                  </w:tcBorders>
                  <w:shd w:val="clear" w:color="auto" w:fill="auto"/>
                  <w:vAlign w:val="center"/>
                </w:tcPr>
                <w:p w14:paraId="71D6EA35">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两级活性炭去除有机废气量</w:t>
                  </w:r>
                </w:p>
              </w:tc>
              <w:tc>
                <w:tcPr>
                  <w:tcW w:w="889" w:type="pct"/>
                  <w:tcBorders>
                    <w:tl2br w:val="nil"/>
                    <w:tr2bl w:val="nil"/>
                  </w:tcBorders>
                  <w:shd w:val="clear" w:color="auto" w:fill="auto"/>
                  <w:vAlign w:val="center"/>
                </w:tcPr>
                <w:p w14:paraId="061253CC">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0.131</w:t>
                  </w:r>
                </w:p>
              </w:tc>
            </w:tr>
            <w:tr w14:paraId="4480B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443" w:type="pct"/>
                  <w:tcBorders>
                    <w:tl2br w:val="nil"/>
                    <w:tr2bl w:val="nil"/>
                  </w:tcBorders>
                  <w:shd w:val="clear" w:color="auto" w:fill="auto"/>
                  <w:vAlign w:val="center"/>
                </w:tcPr>
                <w:p w14:paraId="4175C41D">
                  <w:pPr>
                    <w:autoSpaceDE w:val="0"/>
                    <w:autoSpaceDN w:val="0"/>
                    <w:spacing w:before="108" w:line="210" w:lineRule="exact"/>
                    <w:jc w:val="center"/>
                    <w:rPr>
                      <w:rFonts w:ascii="Times New Roman" w:hAnsi="Times New Roman" w:eastAsia="宋体" w:cs="Times New Roman"/>
                      <w:color w:val="0000FF"/>
                      <w:sz w:val="21"/>
                      <w:szCs w:val="21"/>
                    </w:rPr>
                  </w:pPr>
                </w:p>
              </w:tc>
              <w:tc>
                <w:tcPr>
                  <w:tcW w:w="889" w:type="pct"/>
                  <w:tcBorders>
                    <w:tl2br w:val="nil"/>
                    <w:tr2bl w:val="nil"/>
                  </w:tcBorders>
                  <w:vAlign w:val="center"/>
                </w:tcPr>
                <w:p w14:paraId="5CF80546">
                  <w:pPr>
                    <w:jc w:val="center"/>
                    <w:textAlignment w:val="center"/>
                    <w:rPr>
                      <w:rFonts w:ascii="Times New Roman" w:hAnsi="Times New Roman" w:eastAsia="宋体" w:cs="Times New Roman"/>
                      <w:color w:val="0000FF"/>
                      <w:sz w:val="21"/>
                      <w:szCs w:val="21"/>
                    </w:rPr>
                  </w:pPr>
                </w:p>
              </w:tc>
              <w:tc>
                <w:tcPr>
                  <w:tcW w:w="1778" w:type="pct"/>
                  <w:gridSpan w:val="3"/>
                  <w:tcBorders>
                    <w:tl2br w:val="nil"/>
                    <w:tr2bl w:val="nil"/>
                  </w:tcBorders>
                  <w:shd w:val="clear" w:color="auto" w:fill="auto"/>
                  <w:vAlign w:val="center"/>
                </w:tcPr>
                <w:p w14:paraId="045B2F16">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纤维过滤棉去除漆雾量</w:t>
                  </w:r>
                </w:p>
              </w:tc>
              <w:tc>
                <w:tcPr>
                  <w:tcW w:w="889" w:type="pct"/>
                  <w:tcBorders>
                    <w:tl2br w:val="nil"/>
                    <w:tr2bl w:val="nil"/>
                  </w:tcBorders>
                  <w:shd w:val="clear" w:color="auto" w:fill="auto"/>
                  <w:vAlign w:val="center"/>
                </w:tcPr>
                <w:p w14:paraId="6149D8E8">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0.1</w:t>
                  </w:r>
                  <w:r>
                    <w:rPr>
                      <w:rFonts w:hint="eastAsia" w:ascii="Times New Roman" w:hAnsi="Times New Roman" w:cs="Times New Roman"/>
                      <w:color w:val="0000FF"/>
                      <w:sz w:val="21"/>
                      <w:szCs w:val="21"/>
                      <w:lang w:val="en-US" w:eastAsia="zh-CN"/>
                    </w:rPr>
                    <w:t>0</w:t>
                  </w:r>
                  <w:r>
                    <w:rPr>
                      <w:rFonts w:hint="default" w:ascii="Times New Roman" w:hAnsi="Times New Roman" w:cs="Times New Roman"/>
                      <w:color w:val="0000FF"/>
                      <w:sz w:val="21"/>
                      <w:szCs w:val="21"/>
                    </w:rPr>
                    <w:t>9</w:t>
                  </w:r>
                </w:p>
              </w:tc>
            </w:tr>
            <w:tr w14:paraId="37E71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43" w:type="pct"/>
                  <w:tcBorders>
                    <w:tl2br w:val="nil"/>
                    <w:tr2bl w:val="nil"/>
                  </w:tcBorders>
                  <w:shd w:val="clear" w:color="auto" w:fill="auto"/>
                  <w:vAlign w:val="center"/>
                </w:tcPr>
                <w:p w14:paraId="5432721E">
                  <w:pPr>
                    <w:autoSpaceDE w:val="0"/>
                    <w:autoSpaceDN w:val="0"/>
                    <w:spacing w:before="110" w:line="208" w:lineRule="exact"/>
                    <w:jc w:val="center"/>
                    <w:rPr>
                      <w:rFonts w:ascii="Times New Roman" w:hAnsi="Times New Roman" w:eastAsia="宋体" w:cs="Times New Roman"/>
                      <w:color w:val="0000FF"/>
                      <w:sz w:val="21"/>
                      <w:szCs w:val="21"/>
                    </w:rPr>
                  </w:pPr>
                </w:p>
              </w:tc>
              <w:tc>
                <w:tcPr>
                  <w:tcW w:w="889" w:type="pct"/>
                  <w:tcBorders>
                    <w:tl2br w:val="nil"/>
                    <w:tr2bl w:val="nil"/>
                  </w:tcBorders>
                  <w:shd w:val="clear" w:color="auto" w:fill="auto"/>
                  <w:vAlign w:val="center"/>
                </w:tcPr>
                <w:p w14:paraId="62CDADEA">
                  <w:pPr>
                    <w:jc w:val="center"/>
                    <w:textAlignment w:val="center"/>
                    <w:rPr>
                      <w:rFonts w:ascii="Times New Roman" w:hAnsi="Times New Roman" w:eastAsia="宋体" w:cs="Times New Roman"/>
                      <w:color w:val="0000FF"/>
                      <w:sz w:val="21"/>
                      <w:szCs w:val="21"/>
                    </w:rPr>
                  </w:pPr>
                </w:p>
              </w:tc>
              <w:tc>
                <w:tcPr>
                  <w:tcW w:w="881" w:type="pct"/>
                  <w:gridSpan w:val="2"/>
                  <w:tcBorders>
                    <w:tl2br w:val="nil"/>
                    <w:tr2bl w:val="nil"/>
                  </w:tcBorders>
                  <w:shd w:val="clear" w:color="auto" w:fill="auto"/>
                  <w:vAlign w:val="center"/>
                </w:tcPr>
                <w:p w14:paraId="74BF068C">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自然沉降</w:t>
                  </w:r>
                </w:p>
              </w:tc>
              <w:tc>
                <w:tcPr>
                  <w:tcW w:w="896" w:type="pct"/>
                  <w:tcBorders>
                    <w:tl2br w:val="nil"/>
                    <w:tr2bl w:val="nil"/>
                  </w:tcBorders>
                  <w:shd w:val="clear" w:color="auto" w:fill="auto"/>
                  <w:vAlign w:val="center"/>
                </w:tcPr>
                <w:p w14:paraId="0C91257C">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颗粒物</w:t>
                  </w:r>
                </w:p>
              </w:tc>
              <w:tc>
                <w:tcPr>
                  <w:tcW w:w="889" w:type="pct"/>
                  <w:tcBorders>
                    <w:tl2br w:val="nil"/>
                    <w:tr2bl w:val="nil"/>
                  </w:tcBorders>
                  <w:shd w:val="clear" w:color="auto" w:fill="auto"/>
                  <w:vAlign w:val="center"/>
                </w:tcPr>
                <w:p w14:paraId="2CE0DE75">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0.2</w:t>
                  </w:r>
                </w:p>
              </w:tc>
            </w:tr>
            <w:tr w14:paraId="5B92E7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443" w:type="pct"/>
                  <w:tcBorders>
                    <w:tl2br w:val="nil"/>
                    <w:tr2bl w:val="nil"/>
                  </w:tcBorders>
                  <w:shd w:val="clear" w:color="auto" w:fill="auto"/>
                  <w:vAlign w:val="center"/>
                </w:tcPr>
                <w:p w14:paraId="47C22218">
                  <w:pPr>
                    <w:pStyle w:val="174"/>
                    <w:widowControl w:val="0"/>
                    <w:snapToGrid w:val="0"/>
                    <w:spacing w:before="0" w:line="240" w:lineRule="auto"/>
                    <w:ind w:left="0"/>
                    <w:jc w:val="center"/>
                    <w:rPr>
                      <w:rFonts w:ascii="Times New Roman" w:hAnsi="Times New Roman" w:eastAsia="宋体" w:cs="Times New Roman"/>
                      <w:bCs/>
                      <w:color w:val="0000FF"/>
                      <w:sz w:val="21"/>
                      <w:szCs w:val="21"/>
                    </w:rPr>
                  </w:pPr>
                </w:p>
              </w:tc>
              <w:tc>
                <w:tcPr>
                  <w:tcW w:w="889" w:type="pct"/>
                  <w:tcBorders>
                    <w:tl2br w:val="nil"/>
                    <w:tr2bl w:val="nil"/>
                  </w:tcBorders>
                  <w:shd w:val="clear" w:color="auto" w:fill="auto"/>
                  <w:vAlign w:val="center"/>
                </w:tcPr>
                <w:p w14:paraId="738DBBDA">
                  <w:pPr>
                    <w:jc w:val="center"/>
                    <w:textAlignment w:val="center"/>
                    <w:rPr>
                      <w:rFonts w:ascii="Times New Roman" w:hAnsi="Times New Roman" w:eastAsia="宋体" w:cs="Times New Roman"/>
                      <w:color w:val="0000FF"/>
                      <w:sz w:val="21"/>
                      <w:szCs w:val="21"/>
                    </w:rPr>
                  </w:pPr>
                </w:p>
              </w:tc>
              <w:tc>
                <w:tcPr>
                  <w:tcW w:w="1778" w:type="pct"/>
                  <w:gridSpan w:val="3"/>
                  <w:tcBorders>
                    <w:tl2br w:val="nil"/>
                    <w:tr2bl w:val="nil"/>
                  </w:tcBorders>
                  <w:vAlign w:val="center"/>
                </w:tcPr>
                <w:p w14:paraId="296FD20F">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边角料</w:t>
                  </w:r>
                </w:p>
              </w:tc>
              <w:tc>
                <w:tcPr>
                  <w:tcW w:w="889" w:type="pct"/>
                  <w:tcBorders>
                    <w:tl2br w:val="nil"/>
                    <w:tr2bl w:val="nil"/>
                  </w:tcBorders>
                  <w:vAlign w:val="center"/>
                </w:tcPr>
                <w:p w14:paraId="5A4A2E9E">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eastAsia="zh-CN"/>
                    </w:rPr>
                    <w:t>1</w:t>
                  </w:r>
                  <w:r>
                    <w:rPr>
                      <w:rFonts w:hint="eastAsia" w:ascii="Times New Roman" w:hAnsi="Times New Roman" w:cs="Times New Roman"/>
                      <w:color w:val="0000FF"/>
                      <w:sz w:val="21"/>
                      <w:szCs w:val="21"/>
                      <w:lang w:val="en-US" w:eastAsia="zh-CN"/>
                    </w:rPr>
                    <w:t>3</w:t>
                  </w:r>
                </w:p>
              </w:tc>
            </w:tr>
            <w:tr w14:paraId="7332E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443" w:type="pct"/>
                  <w:tcBorders>
                    <w:tl2br w:val="nil"/>
                    <w:tr2bl w:val="nil"/>
                  </w:tcBorders>
                  <w:shd w:val="clear" w:color="auto" w:fill="auto"/>
                  <w:vAlign w:val="center"/>
                </w:tcPr>
                <w:p w14:paraId="74011884">
                  <w:pPr>
                    <w:pStyle w:val="174"/>
                    <w:widowControl w:val="0"/>
                    <w:snapToGrid w:val="0"/>
                    <w:spacing w:before="0" w:line="240" w:lineRule="auto"/>
                    <w:ind w:left="0"/>
                    <w:jc w:val="center"/>
                    <w:rPr>
                      <w:rFonts w:ascii="Times New Roman" w:hAnsi="Times New Roman" w:eastAsia="宋体" w:cs="Times New Roman"/>
                      <w:bCs/>
                      <w:color w:val="0000FF"/>
                      <w:sz w:val="21"/>
                      <w:szCs w:val="21"/>
                    </w:rPr>
                  </w:pPr>
                </w:p>
              </w:tc>
              <w:tc>
                <w:tcPr>
                  <w:tcW w:w="889" w:type="pct"/>
                  <w:tcBorders>
                    <w:tl2br w:val="nil"/>
                    <w:tr2bl w:val="nil"/>
                  </w:tcBorders>
                  <w:shd w:val="clear" w:color="auto" w:fill="auto"/>
                  <w:vAlign w:val="center"/>
                </w:tcPr>
                <w:p w14:paraId="0DD37896">
                  <w:pPr>
                    <w:jc w:val="center"/>
                    <w:textAlignment w:val="center"/>
                    <w:rPr>
                      <w:rFonts w:ascii="Times New Roman" w:hAnsi="Times New Roman" w:eastAsia="宋体" w:cs="Times New Roman"/>
                      <w:color w:val="0000FF"/>
                      <w:sz w:val="21"/>
                      <w:szCs w:val="21"/>
                    </w:rPr>
                  </w:pPr>
                </w:p>
              </w:tc>
              <w:tc>
                <w:tcPr>
                  <w:tcW w:w="1778" w:type="pct"/>
                  <w:gridSpan w:val="3"/>
                  <w:tcBorders>
                    <w:tl2br w:val="nil"/>
                    <w:tr2bl w:val="nil"/>
                  </w:tcBorders>
                  <w:vAlign w:val="center"/>
                </w:tcPr>
                <w:p w14:paraId="59D6271A">
                  <w:pPr>
                    <w:pStyle w:val="171"/>
                    <w:rPr>
                      <w:rFonts w:hint="default" w:ascii="Times New Roman" w:hAnsi="Times New Roman" w:cs="Times New Roman"/>
                      <w:color w:val="0000FF"/>
                      <w:sz w:val="21"/>
                      <w:szCs w:val="21"/>
                    </w:rPr>
                  </w:pPr>
                  <w:r>
                    <w:rPr>
                      <w:rFonts w:hint="default" w:ascii="Times New Roman" w:hAnsi="Times New Roman" w:eastAsia="宋体" w:cs="Times New Roman"/>
                      <w:b w:val="0"/>
                      <w:bCs w:val="0"/>
                      <w:color w:val="0000FF"/>
                      <w:sz w:val="21"/>
                      <w:szCs w:val="21"/>
                      <w:highlight w:val="none"/>
                      <w:vertAlign w:val="baseline"/>
                      <w:lang w:val="en-US" w:eastAsia="zh-CN"/>
                    </w:rPr>
                    <w:t>污水处理站污泥</w:t>
                  </w:r>
                </w:p>
              </w:tc>
              <w:tc>
                <w:tcPr>
                  <w:tcW w:w="889" w:type="pct"/>
                  <w:tcBorders>
                    <w:tl2br w:val="nil"/>
                    <w:tr2bl w:val="nil"/>
                  </w:tcBorders>
                  <w:vAlign w:val="center"/>
                </w:tcPr>
                <w:p w14:paraId="3096D485">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0.5</w:t>
                  </w:r>
                </w:p>
              </w:tc>
            </w:tr>
            <w:bookmarkEnd w:id="9"/>
            <w:tr w14:paraId="10E73F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443" w:type="pct"/>
                  <w:tcBorders>
                    <w:tl2br w:val="nil"/>
                    <w:tr2bl w:val="nil"/>
                  </w:tcBorders>
                  <w:shd w:val="clear" w:color="auto" w:fill="auto"/>
                  <w:vAlign w:val="center"/>
                </w:tcPr>
                <w:p w14:paraId="4EF69493">
                  <w:pPr>
                    <w:autoSpaceDE w:val="0"/>
                    <w:autoSpaceDN w:val="0"/>
                    <w:spacing w:before="110" w:line="208" w:lineRule="exact"/>
                    <w:jc w:val="center"/>
                    <w:rPr>
                      <w:rFonts w:ascii="Times New Roman" w:hAnsi="Times New Roman" w:eastAsia="宋体" w:cs="Times New Roman"/>
                      <w:bCs/>
                      <w:color w:val="0000FF"/>
                      <w:kern w:val="0"/>
                      <w:sz w:val="21"/>
                      <w:szCs w:val="21"/>
                    </w:rPr>
                  </w:pPr>
                </w:p>
              </w:tc>
              <w:tc>
                <w:tcPr>
                  <w:tcW w:w="889" w:type="pct"/>
                  <w:tcBorders>
                    <w:tl2br w:val="nil"/>
                    <w:tr2bl w:val="nil"/>
                  </w:tcBorders>
                  <w:vAlign w:val="center"/>
                </w:tcPr>
                <w:p w14:paraId="2AB97945">
                  <w:pPr>
                    <w:pStyle w:val="171"/>
                    <w:rPr>
                      <w:rFonts w:ascii="Times New Roman" w:hAnsi="Times New Roman" w:cs="Times New Roman"/>
                      <w:color w:val="0000FF"/>
                      <w:sz w:val="21"/>
                      <w:szCs w:val="21"/>
                    </w:rPr>
                  </w:pPr>
                </w:p>
              </w:tc>
              <w:tc>
                <w:tcPr>
                  <w:tcW w:w="1778" w:type="pct"/>
                  <w:gridSpan w:val="3"/>
                  <w:tcBorders>
                    <w:tl2br w:val="nil"/>
                    <w:tr2bl w:val="nil"/>
                  </w:tcBorders>
                  <w:vAlign w:val="center"/>
                </w:tcPr>
                <w:p w14:paraId="14A70544">
                  <w:pPr>
                    <w:pStyle w:val="171"/>
                    <w:rPr>
                      <w:rFonts w:hint="eastAsia" w:ascii="Times New Roman" w:hAnsi="Times New Roman" w:cs="Times New Roman"/>
                      <w:color w:val="0000FF"/>
                      <w:sz w:val="21"/>
                      <w:szCs w:val="21"/>
                    </w:rPr>
                  </w:pPr>
                  <w:r>
                    <w:rPr>
                      <w:rFonts w:hint="default" w:ascii="Times New Roman" w:hAnsi="Times New Roman" w:cs="Times New Roman"/>
                      <w:color w:val="0000FF"/>
                      <w:sz w:val="21"/>
                      <w:szCs w:val="21"/>
                    </w:rPr>
                    <w:t>漆渣</w:t>
                  </w:r>
                  <w:r>
                    <w:rPr>
                      <w:rFonts w:hint="eastAsia" w:ascii="Times New Roman" w:hAnsi="Times New Roman" w:cs="Times New Roman"/>
                      <w:color w:val="0000FF"/>
                      <w:sz w:val="21"/>
                      <w:szCs w:val="21"/>
                      <w:lang w:eastAsia="zh-CN"/>
                    </w:rPr>
                    <w:t>（</w:t>
                  </w:r>
                  <w:r>
                    <w:rPr>
                      <w:rFonts w:hint="eastAsia" w:ascii="Times New Roman" w:hAnsi="Times New Roman" w:cs="Times New Roman"/>
                      <w:color w:val="0000FF"/>
                      <w:sz w:val="21"/>
                      <w:szCs w:val="21"/>
                      <w:lang w:val="en-US" w:eastAsia="zh-CN"/>
                    </w:rPr>
                    <w:t>即去除漆雾量</w:t>
                  </w:r>
                  <w:r>
                    <w:rPr>
                      <w:rFonts w:hint="eastAsia" w:ascii="Times New Roman" w:hAnsi="Times New Roman" w:cs="Times New Roman"/>
                      <w:color w:val="0000FF"/>
                      <w:sz w:val="21"/>
                      <w:szCs w:val="21"/>
                      <w:lang w:eastAsia="zh-CN"/>
                    </w:rPr>
                    <w:t>）</w:t>
                  </w:r>
                </w:p>
              </w:tc>
              <w:tc>
                <w:tcPr>
                  <w:tcW w:w="889" w:type="pct"/>
                  <w:tcBorders>
                    <w:tl2br w:val="nil"/>
                    <w:tr2bl w:val="nil"/>
                  </w:tcBorders>
                  <w:vAlign w:val="center"/>
                </w:tcPr>
                <w:p w14:paraId="1794E117">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0.</w:t>
                  </w:r>
                  <w:r>
                    <w:rPr>
                      <w:rFonts w:hint="eastAsia" w:ascii="Times New Roman" w:hAnsi="Times New Roman" w:cs="Times New Roman"/>
                      <w:color w:val="0000FF"/>
                      <w:sz w:val="21"/>
                      <w:szCs w:val="21"/>
                      <w:lang w:eastAsia="zh-CN"/>
                    </w:rPr>
                    <w:t>1</w:t>
                  </w:r>
                  <w:r>
                    <w:rPr>
                      <w:rFonts w:hint="eastAsia" w:ascii="Times New Roman" w:hAnsi="Times New Roman" w:cs="Times New Roman"/>
                      <w:color w:val="0000FF"/>
                      <w:sz w:val="21"/>
                      <w:szCs w:val="21"/>
                      <w:lang w:val="en-US" w:eastAsia="zh-CN"/>
                    </w:rPr>
                    <w:t>09</w:t>
                  </w:r>
                </w:p>
              </w:tc>
            </w:tr>
            <w:tr w14:paraId="7CF04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43" w:type="pct"/>
                  <w:tcBorders>
                    <w:tl2br w:val="nil"/>
                    <w:tr2bl w:val="nil"/>
                  </w:tcBorders>
                  <w:shd w:val="clear" w:color="auto" w:fill="auto"/>
                  <w:vAlign w:val="center"/>
                </w:tcPr>
                <w:p w14:paraId="52FD2C7D">
                  <w:pPr>
                    <w:pStyle w:val="174"/>
                    <w:widowControl w:val="0"/>
                    <w:snapToGrid w:val="0"/>
                    <w:spacing w:before="0" w:line="240" w:lineRule="auto"/>
                    <w:ind w:left="0"/>
                    <w:jc w:val="center"/>
                    <w:rPr>
                      <w:rFonts w:ascii="Times New Roman" w:hAnsi="Times New Roman" w:eastAsia="宋体" w:cs="Times New Roman"/>
                      <w:bCs/>
                      <w:color w:val="0000FF"/>
                      <w:sz w:val="21"/>
                      <w:szCs w:val="21"/>
                    </w:rPr>
                  </w:pPr>
                  <w:r>
                    <w:rPr>
                      <w:rFonts w:hint="default" w:ascii="Times New Roman" w:hAnsi="Times New Roman" w:eastAsia="宋体" w:cs="Times New Roman"/>
                      <w:bCs/>
                      <w:color w:val="0000FF"/>
                      <w:sz w:val="21"/>
                      <w:szCs w:val="21"/>
                    </w:rPr>
                    <w:t>合计</w:t>
                  </w:r>
                </w:p>
              </w:tc>
              <w:tc>
                <w:tcPr>
                  <w:tcW w:w="889" w:type="pct"/>
                  <w:tcBorders>
                    <w:tl2br w:val="nil"/>
                    <w:tr2bl w:val="nil"/>
                  </w:tcBorders>
                  <w:vAlign w:val="center"/>
                </w:tcPr>
                <w:p w14:paraId="096C6F84">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rPr>
                    <w:t>2603.7</w:t>
                  </w:r>
                </w:p>
              </w:tc>
              <w:tc>
                <w:tcPr>
                  <w:tcW w:w="1778" w:type="pct"/>
                  <w:gridSpan w:val="3"/>
                  <w:tcBorders>
                    <w:tl2br w:val="nil"/>
                    <w:tr2bl w:val="nil"/>
                  </w:tcBorders>
                  <w:vAlign w:val="center"/>
                </w:tcPr>
                <w:p w14:paraId="7642B050">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合计</w:t>
                  </w:r>
                </w:p>
              </w:tc>
              <w:tc>
                <w:tcPr>
                  <w:tcW w:w="889" w:type="pct"/>
                  <w:tcBorders>
                    <w:tl2br w:val="nil"/>
                    <w:tr2bl w:val="nil"/>
                  </w:tcBorders>
                  <w:vAlign w:val="center"/>
                </w:tcPr>
                <w:p w14:paraId="1EB31398">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rPr>
                    <w:t>2603.7</w:t>
                  </w:r>
                </w:p>
              </w:tc>
            </w:tr>
          </w:tbl>
          <w:p w14:paraId="5674E3A5">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val="en-US" w:eastAsia="zh-CN"/>
              </w:rPr>
            </w:pPr>
          </w:p>
          <w:p w14:paraId="164C82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p w14:paraId="2B0BDA4F">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auto"/>
                <w:sz w:val="21"/>
                <w:szCs w:val="21"/>
                <w:highlight w:val="none"/>
                <w:lang w:val="en-US" w:eastAsia="zh-CN"/>
              </w:rPr>
            </w:pPr>
          </w:p>
          <w:p w14:paraId="53078D53">
            <w:pPr>
              <w:snapToGrid w:val="0"/>
              <w:jc w:val="center"/>
              <w:rPr>
                <w:rFonts w:hint="default" w:ascii="Times New Roman" w:hAnsi="Times New Roman" w:eastAsia="宋体" w:cs="Times New Roman"/>
                <w:bCs/>
                <w:color w:val="auto"/>
                <w:szCs w:val="21"/>
                <w:highlight w:val="none"/>
                <w:lang w:val="en-US" w:eastAsia="zh-CN"/>
              </w:rPr>
            </w:pPr>
          </w:p>
          <w:p w14:paraId="1B2F8035">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1ADFCF72">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25B5562D">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B0E5710">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77C27D81">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E29A51F">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en-US" w:eastAsia="zh-CN" w:bidi="zh-CN"/>
              </w:rPr>
            </w:pPr>
          </w:p>
        </w:tc>
      </w:tr>
      <w:tr w14:paraId="6008B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38" w:hRule="atLeast"/>
          <w:jc w:val="center"/>
        </w:trPr>
        <w:tc>
          <w:tcPr>
            <w:tcW w:w="824" w:type="dxa"/>
            <w:noWrap w:val="0"/>
            <w:vAlign w:val="center"/>
          </w:tcPr>
          <w:p w14:paraId="7CB5DFC3">
            <w:pPr>
              <w:pStyle w:val="29"/>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kern w:val="2"/>
                <w:sz w:val="24"/>
                <w:szCs w:val="24"/>
                <w:highlight w:val="none"/>
              </w:rPr>
              <w:t>与项目有关的原有环境污染问题</w:t>
            </w:r>
          </w:p>
        </w:tc>
        <w:tc>
          <w:tcPr>
            <w:tcW w:w="8175" w:type="dxa"/>
            <w:gridSpan w:val="2"/>
            <w:noWrap w:val="0"/>
            <w:vAlign w:val="center"/>
          </w:tcPr>
          <w:p w14:paraId="7C5B08AB">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本项目为</w:t>
            </w:r>
            <w:r>
              <w:rPr>
                <w:rFonts w:hint="eastAsia" w:cs="Times New Roman"/>
                <w:color w:val="auto"/>
                <w:kern w:val="0"/>
                <w:sz w:val="24"/>
                <w:szCs w:val="24"/>
                <w:highlight w:val="none"/>
                <w:lang w:val="en-US" w:eastAsia="zh-CN" w:bidi="ar"/>
              </w:rPr>
              <w:t>改扩建</w:t>
            </w:r>
            <w:r>
              <w:rPr>
                <w:rFonts w:hint="default" w:ascii="Times New Roman" w:hAnsi="Times New Roman" w:eastAsia="宋体" w:cs="Times New Roman"/>
                <w:color w:val="auto"/>
                <w:kern w:val="0"/>
                <w:sz w:val="24"/>
                <w:szCs w:val="24"/>
                <w:highlight w:val="none"/>
                <w:lang w:val="en-US" w:eastAsia="zh-CN" w:bidi="ar"/>
              </w:rPr>
              <w:t>项目，利用现有</w:t>
            </w:r>
            <w:r>
              <w:rPr>
                <w:rFonts w:hint="eastAsia" w:cs="Times New Roman"/>
                <w:color w:val="auto"/>
                <w:kern w:val="0"/>
                <w:sz w:val="24"/>
                <w:szCs w:val="24"/>
                <w:highlight w:val="none"/>
                <w:lang w:val="en-US" w:eastAsia="zh-CN" w:bidi="ar"/>
              </w:rPr>
              <w:t>场地，在CNC加工车间和清洗车间之间新增喷漆房</w:t>
            </w:r>
            <w:r>
              <w:rPr>
                <w:rFonts w:hint="default" w:ascii="Times New Roman" w:hAnsi="Times New Roman" w:eastAsia="宋体" w:cs="Times New Roman"/>
                <w:color w:val="auto"/>
                <w:kern w:val="0"/>
                <w:sz w:val="24"/>
                <w:szCs w:val="24"/>
                <w:highlight w:val="none"/>
                <w:lang w:val="en-US" w:eastAsia="zh-CN" w:bidi="ar"/>
              </w:rPr>
              <w:t>。</w:t>
            </w:r>
          </w:p>
          <w:p w14:paraId="28FEE22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1、现有项目情况</w:t>
            </w:r>
          </w:p>
          <w:p w14:paraId="483340B9">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eastAsia="zh-CN"/>
              </w:rPr>
              <w:t>江西瑞鼎精密传动有限公司</w:t>
            </w:r>
            <w:r>
              <w:rPr>
                <w:rFonts w:hint="eastAsia" w:ascii="Times New Roman" w:hAnsi="Times New Roman" w:eastAsia="宋体" w:cs="Times New Roman"/>
                <w:color w:val="auto"/>
                <w:sz w:val="24"/>
                <w:highlight w:val="none"/>
                <w:lang w:val="en-US" w:eastAsia="zh-CN"/>
              </w:rPr>
              <w:t>于2012年委托广州市环境保护工程设计院有限公司</w:t>
            </w:r>
            <w:r>
              <w:rPr>
                <w:rFonts w:hint="eastAsia" w:ascii="Times New Roman" w:hAnsi="Times New Roman" w:eastAsia="宋体" w:cs="Times New Roman"/>
                <w:color w:val="auto"/>
                <w:sz w:val="24"/>
                <w:highlight w:val="none"/>
                <w:lang w:eastAsia="zh-CN"/>
              </w:rPr>
              <w:t>编制</w:t>
            </w:r>
            <w:r>
              <w:rPr>
                <w:rFonts w:hint="eastAsia" w:cs="Times New Roman"/>
                <w:color w:val="auto"/>
                <w:sz w:val="24"/>
                <w:highlight w:val="none"/>
                <w:lang w:val="en-US" w:eastAsia="zh-CN"/>
              </w:rPr>
              <w:t>了</w:t>
            </w:r>
            <w:r>
              <w:rPr>
                <w:rFonts w:hint="eastAsia" w:ascii="Times New Roman" w:hAnsi="Times New Roman" w:eastAsia="宋体" w:cs="Times New Roman"/>
                <w:color w:val="auto"/>
                <w:sz w:val="24"/>
                <w:highlight w:val="none"/>
                <w:lang w:eastAsia="zh-CN"/>
              </w:rPr>
              <w:t>《江西瑞鼎精密传动有限公司</w:t>
            </w:r>
            <w:r>
              <w:rPr>
                <w:rFonts w:hint="eastAsia" w:ascii="Times New Roman" w:hAnsi="Times New Roman" w:eastAsia="宋体" w:cs="Times New Roman"/>
                <w:color w:val="auto"/>
                <w:sz w:val="24"/>
                <w:highlight w:val="none"/>
                <w:lang w:val="en-US" w:eastAsia="zh-CN"/>
              </w:rPr>
              <w:t>年产3000万个精密齿轮、50万套减速机</w:t>
            </w:r>
            <w:r>
              <w:rPr>
                <w:rFonts w:hint="eastAsia" w:ascii="Times New Roman" w:hAnsi="Times New Roman" w:eastAsia="宋体" w:cs="Times New Roman"/>
                <w:color w:val="auto"/>
                <w:sz w:val="24"/>
                <w:highlight w:val="none"/>
                <w:lang w:eastAsia="zh-CN"/>
              </w:rPr>
              <w:t>建设项目环境影响报告表》，于201</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年</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lang w:eastAsia="zh-CN"/>
              </w:rPr>
              <w:t>月</w:t>
            </w:r>
            <w:r>
              <w:rPr>
                <w:rFonts w:hint="eastAsia" w:ascii="Times New Roman" w:hAnsi="Times New Roman" w:eastAsia="宋体" w:cs="Times New Roman"/>
                <w:color w:val="auto"/>
                <w:sz w:val="24"/>
                <w:highlight w:val="none"/>
                <w:lang w:val="en-US" w:eastAsia="zh-CN"/>
              </w:rPr>
              <w:t>17日</w:t>
            </w:r>
            <w:r>
              <w:rPr>
                <w:rFonts w:hint="eastAsia" w:ascii="Times New Roman" w:hAnsi="Times New Roman" w:eastAsia="宋体" w:cs="Times New Roman"/>
                <w:color w:val="auto"/>
                <w:sz w:val="24"/>
                <w:highlight w:val="none"/>
                <w:lang w:eastAsia="zh-CN"/>
              </w:rPr>
              <w:t>获得</w:t>
            </w:r>
            <w:r>
              <w:rPr>
                <w:rFonts w:hint="eastAsia" w:cs="Times New Roman"/>
                <w:color w:val="auto"/>
                <w:sz w:val="24"/>
                <w:highlight w:val="none"/>
                <w:lang w:val="en-US" w:eastAsia="zh-CN"/>
              </w:rPr>
              <w:t>原</w:t>
            </w:r>
            <w:r>
              <w:rPr>
                <w:rFonts w:hint="eastAsia" w:ascii="Times New Roman" w:hAnsi="Times New Roman" w:eastAsia="宋体" w:cs="Times New Roman"/>
                <w:color w:val="auto"/>
                <w:sz w:val="24"/>
                <w:highlight w:val="none"/>
                <w:lang w:val="en-US" w:eastAsia="zh-CN"/>
              </w:rPr>
              <w:t>宜春市环境保护局</w:t>
            </w:r>
            <w:r>
              <w:rPr>
                <w:rFonts w:hint="eastAsia" w:ascii="Times New Roman" w:hAnsi="Times New Roman" w:eastAsia="宋体" w:cs="Times New Roman"/>
                <w:color w:val="auto"/>
                <w:sz w:val="24"/>
                <w:highlight w:val="none"/>
                <w:lang w:eastAsia="zh-CN"/>
              </w:rPr>
              <w:t>《关于江西瑞鼎精密传动有限公司</w:t>
            </w:r>
            <w:r>
              <w:rPr>
                <w:rFonts w:hint="eastAsia" w:ascii="Times New Roman" w:hAnsi="Times New Roman" w:eastAsia="宋体" w:cs="Times New Roman"/>
                <w:color w:val="auto"/>
                <w:sz w:val="24"/>
                <w:highlight w:val="none"/>
                <w:lang w:val="en-US" w:eastAsia="zh-CN"/>
              </w:rPr>
              <w:t>年产3000万个精密齿轮、50万套减速机</w:t>
            </w:r>
            <w:r>
              <w:rPr>
                <w:rFonts w:hint="eastAsia" w:ascii="Times New Roman" w:hAnsi="Times New Roman" w:eastAsia="宋体" w:cs="Times New Roman"/>
                <w:color w:val="auto"/>
                <w:sz w:val="24"/>
                <w:highlight w:val="none"/>
                <w:lang w:eastAsia="zh-CN"/>
              </w:rPr>
              <w:t>建设项目环境影响报告表的批复》（</w:t>
            </w:r>
            <w:r>
              <w:rPr>
                <w:rFonts w:hint="eastAsia" w:ascii="Times New Roman" w:hAnsi="Times New Roman" w:eastAsia="宋体" w:cs="Times New Roman"/>
                <w:color w:val="auto"/>
                <w:sz w:val="24"/>
                <w:highlight w:val="none"/>
                <w:lang w:val="en-US" w:eastAsia="zh-CN"/>
              </w:rPr>
              <w:t>宜</w:t>
            </w:r>
            <w:r>
              <w:rPr>
                <w:rFonts w:hint="eastAsia" w:ascii="Times New Roman" w:hAnsi="Times New Roman" w:eastAsia="宋体" w:cs="Times New Roman"/>
                <w:color w:val="auto"/>
                <w:sz w:val="24"/>
                <w:highlight w:val="none"/>
                <w:lang w:eastAsia="zh-CN"/>
              </w:rPr>
              <w:t>环字[201</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228</w:t>
            </w:r>
            <w:r>
              <w:rPr>
                <w:rFonts w:hint="eastAsia" w:ascii="Times New Roman" w:hAnsi="Times New Roman" w:eastAsia="宋体" w:cs="Times New Roman"/>
                <w:color w:val="auto"/>
                <w:sz w:val="24"/>
                <w:highlight w:val="none"/>
                <w:lang w:eastAsia="zh-CN"/>
              </w:rPr>
              <w:t>号）</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32"/>
              </w:rPr>
              <w:t>01</w:t>
            </w:r>
            <w:r>
              <w:rPr>
                <w:rFonts w:hint="default"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default" w:ascii="Times New Roman" w:hAnsi="Times New Roman" w:eastAsia="宋体" w:cs="Times New Roman"/>
                <w:color w:val="auto"/>
                <w:sz w:val="24"/>
                <w:szCs w:val="32"/>
                <w:lang w:val="en-US" w:eastAsia="zh-CN"/>
              </w:rPr>
              <w:t>6</w:t>
            </w:r>
            <w:r>
              <w:rPr>
                <w:rFonts w:hint="default" w:ascii="Times New Roman" w:hAnsi="Times New Roman" w:eastAsia="宋体" w:cs="Times New Roman"/>
                <w:color w:val="auto"/>
                <w:sz w:val="24"/>
                <w:szCs w:val="32"/>
              </w:rPr>
              <w:t>月</w:t>
            </w:r>
            <w:r>
              <w:rPr>
                <w:rFonts w:hint="default" w:ascii="Times New Roman" w:hAnsi="Times New Roman" w:eastAsia="宋体" w:cs="Times New Roman"/>
                <w:color w:val="auto"/>
                <w:sz w:val="24"/>
                <w:szCs w:val="32"/>
                <w:lang w:val="en-US" w:eastAsia="zh-CN"/>
              </w:rPr>
              <w:t>委托江西省天成检测技术有限公司</w:t>
            </w:r>
            <w:r>
              <w:rPr>
                <w:rFonts w:hint="default" w:ascii="Times New Roman" w:hAnsi="Times New Roman" w:eastAsia="宋体" w:cs="Times New Roman"/>
                <w:color w:val="auto"/>
                <w:sz w:val="24"/>
                <w:szCs w:val="32"/>
              </w:rPr>
              <w:t>对</w:t>
            </w:r>
            <w:r>
              <w:rPr>
                <w:rFonts w:hint="default" w:ascii="Times New Roman" w:hAnsi="Times New Roman" w:eastAsia="宋体" w:cs="Times New Roman"/>
                <w:color w:val="auto"/>
                <w:sz w:val="24"/>
                <w:highlight w:val="none"/>
                <w:lang w:eastAsia="zh-CN"/>
              </w:rPr>
              <w:t>江西瑞鼎精密传动有限公司</w:t>
            </w:r>
            <w:r>
              <w:rPr>
                <w:rFonts w:hint="default" w:ascii="Times New Roman" w:hAnsi="Times New Roman" w:eastAsia="宋体" w:cs="Times New Roman"/>
                <w:color w:val="auto"/>
                <w:sz w:val="24"/>
                <w:highlight w:val="none"/>
                <w:lang w:val="en-US" w:eastAsia="zh-CN"/>
              </w:rPr>
              <w:t>年产3000万个精密齿轮、50万套减速机</w:t>
            </w:r>
            <w:r>
              <w:rPr>
                <w:rFonts w:hint="default" w:ascii="Times New Roman" w:hAnsi="Times New Roman" w:eastAsia="宋体" w:cs="Times New Roman"/>
                <w:color w:val="auto"/>
                <w:sz w:val="24"/>
                <w:highlight w:val="none"/>
                <w:lang w:eastAsia="zh-CN"/>
              </w:rPr>
              <w:t>建设项目</w:t>
            </w:r>
            <w:r>
              <w:rPr>
                <w:rFonts w:hint="default" w:ascii="Times New Roman" w:hAnsi="Times New Roman" w:eastAsia="宋体" w:cs="Times New Roman"/>
                <w:color w:val="auto"/>
                <w:sz w:val="24"/>
                <w:szCs w:val="32"/>
              </w:rPr>
              <w:t>进行竣工环境保护验收，并于201</w:t>
            </w:r>
            <w:r>
              <w:rPr>
                <w:rFonts w:hint="eastAsia"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eastAsia" w:ascii="Times New Roman" w:hAnsi="Times New Roman" w:eastAsia="宋体" w:cs="Times New Roman"/>
                <w:color w:val="auto"/>
                <w:sz w:val="24"/>
                <w:szCs w:val="32"/>
                <w:lang w:val="en-US" w:eastAsia="zh-CN"/>
              </w:rPr>
              <w:t>9</w:t>
            </w:r>
            <w:r>
              <w:rPr>
                <w:rFonts w:hint="default" w:ascii="Times New Roman" w:hAnsi="Times New Roman" w:eastAsia="宋体" w:cs="Times New Roman"/>
                <w:color w:val="auto"/>
                <w:sz w:val="24"/>
                <w:szCs w:val="32"/>
              </w:rPr>
              <w:t>月获得《关于</w:t>
            </w:r>
            <w:r>
              <w:rPr>
                <w:rFonts w:hint="default" w:ascii="Times New Roman" w:hAnsi="Times New Roman" w:eastAsia="宋体" w:cs="Times New Roman"/>
                <w:color w:val="auto"/>
                <w:sz w:val="24"/>
                <w:highlight w:val="none"/>
                <w:lang w:eastAsia="zh-CN"/>
              </w:rPr>
              <w:t>江西瑞鼎精密传动有限公司</w:t>
            </w:r>
            <w:r>
              <w:rPr>
                <w:rFonts w:hint="default" w:ascii="Times New Roman" w:hAnsi="Times New Roman" w:eastAsia="宋体" w:cs="Times New Roman"/>
                <w:color w:val="auto"/>
                <w:sz w:val="24"/>
                <w:highlight w:val="none"/>
                <w:lang w:val="en-US" w:eastAsia="zh-CN"/>
              </w:rPr>
              <w:t>年产3000万个精密齿轮、50万套减速机</w:t>
            </w:r>
            <w:r>
              <w:rPr>
                <w:rFonts w:hint="default" w:ascii="Times New Roman" w:hAnsi="Times New Roman" w:eastAsia="宋体" w:cs="Times New Roman"/>
                <w:color w:val="auto"/>
                <w:sz w:val="24"/>
                <w:highlight w:val="none"/>
                <w:lang w:eastAsia="zh-CN"/>
              </w:rPr>
              <w:t>建设项目</w:t>
            </w:r>
            <w:r>
              <w:rPr>
                <w:rFonts w:hint="default" w:ascii="Times New Roman" w:hAnsi="Times New Roman" w:eastAsia="宋体" w:cs="Times New Roman"/>
                <w:color w:val="auto"/>
                <w:sz w:val="24"/>
                <w:szCs w:val="32"/>
              </w:rPr>
              <w:t>竣工环境保护验收意见》（高环验字</w:t>
            </w:r>
            <w:r>
              <w:rPr>
                <w:rFonts w:hint="eastAsia" w:ascii="宋体" w:hAnsi="宋体" w:eastAsia="宋体" w:cs="宋体"/>
                <w:color w:val="auto"/>
                <w:sz w:val="24"/>
                <w:szCs w:val="32"/>
              </w:rPr>
              <w:t>〔</w:t>
            </w:r>
            <w:r>
              <w:rPr>
                <w:rFonts w:hint="default" w:ascii="Times New Roman" w:hAnsi="Times New Roman" w:eastAsia="宋体" w:cs="Times New Roman"/>
                <w:color w:val="auto"/>
                <w:sz w:val="24"/>
                <w:szCs w:val="32"/>
              </w:rPr>
              <w:t>201</w:t>
            </w:r>
            <w:r>
              <w:rPr>
                <w:rFonts w:hint="default" w:ascii="Times New Roman" w:hAnsi="Times New Roman" w:eastAsia="宋体" w:cs="Times New Roman"/>
                <w:color w:val="auto"/>
                <w:sz w:val="24"/>
                <w:szCs w:val="32"/>
                <w:lang w:val="en-US" w:eastAsia="zh-CN"/>
              </w:rPr>
              <w:t>7</w:t>
            </w:r>
            <w:r>
              <w:rPr>
                <w:rFonts w:hint="eastAsia" w:ascii="宋体" w:hAnsi="宋体" w:eastAsia="宋体" w:cs="宋体"/>
                <w:color w:val="auto"/>
                <w:sz w:val="24"/>
                <w:szCs w:val="32"/>
                <w:lang w:val="en-US" w:eastAsia="zh-CN"/>
              </w:rPr>
              <w:t>〕</w:t>
            </w:r>
            <w:r>
              <w:rPr>
                <w:rFonts w:hint="default" w:ascii="Times New Roman" w:hAnsi="Times New Roman" w:eastAsia="宋体" w:cs="Times New Roman"/>
                <w:color w:val="auto"/>
                <w:sz w:val="24"/>
                <w:szCs w:val="32"/>
                <w:lang w:val="en-US" w:eastAsia="zh-CN"/>
              </w:rPr>
              <w:t>39</w:t>
            </w:r>
            <w:r>
              <w:rPr>
                <w:rFonts w:hint="default" w:ascii="Times New Roman" w:hAnsi="Times New Roman" w:eastAsia="宋体" w:cs="Times New Roman"/>
                <w:color w:val="auto"/>
                <w:sz w:val="24"/>
                <w:szCs w:val="32"/>
              </w:rPr>
              <w:t>号）</w:t>
            </w:r>
            <w:r>
              <w:rPr>
                <w:rFonts w:hint="default" w:ascii="Times New Roman" w:hAnsi="Times New Roman" w:cs="Times New Roman"/>
                <w:bCs/>
                <w:color w:val="auto"/>
                <w:sz w:val="24"/>
                <w:szCs w:val="32"/>
              </w:rPr>
              <w:t>。</w:t>
            </w:r>
          </w:p>
          <w:p w14:paraId="039A748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eastAsia="zh-CN"/>
              </w:rPr>
            </w:pPr>
            <w:r>
              <w:rPr>
                <w:rFonts w:hint="default" w:ascii="Times New Roman" w:hAnsi="Times New Roman" w:eastAsia="宋体" w:cs="Times New Roman"/>
                <w:color w:val="auto"/>
                <w:kern w:val="0"/>
                <w:sz w:val="24"/>
                <w:szCs w:val="24"/>
                <w:highlight w:val="none"/>
                <w:lang w:val="en-US" w:eastAsia="zh-CN" w:bidi="ar"/>
              </w:rPr>
              <w:t>企业于2025-02-24完成了排污登记，有效期为202</w:t>
            </w:r>
            <w:r>
              <w:rPr>
                <w:rFonts w:hint="eastAsia" w:cs="Times New Roman"/>
                <w:color w:val="auto"/>
                <w:kern w:val="0"/>
                <w:sz w:val="24"/>
                <w:szCs w:val="24"/>
                <w:highlight w:val="none"/>
                <w:lang w:val="en-US" w:eastAsia="zh-CN" w:bidi="ar"/>
              </w:rPr>
              <w:t>5</w:t>
            </w:r>
            <w:r>
              <w:rPr>
                <w:rFonts w:hint="default" w:ascii="Times New Roman" w:hAnsi="Times New Roman" w:eastAsia="宋体" w:cs="Times New Roman"/>
                <w:color w:val="auto"/>
                <w:kern w:val="0"/>
                <w:sz w:val="24"/>
                <w:szCs w:val="24"/>
                <w:highlight w:val="none"/>
                <w:lang w:val="en-US" w:eastAsia="zh-CN" w:bidi="ar"/>
              </w:rPr>
              <w:t>年0</w:t>
            </w:r>
            <w:r>
              <w:rPr>
                <w:rFonts w:hint="eastAsia" w:cs="Times New Roman"/>
                <w:color w:val="auto"/>
                <w:kern w:val="0"/>
                <w:sz w:val="24"/>
                <w:szCs w:val="24"/>
                <w:highlight w:val="none"/>
                <w:lang w:val="en-US" w:eastAsia="zh-CN" w:bidi="ar"/>
              </w:rPr>
              <w:t>2</w:t>
            </w:r>
            <w:r>
              <w:rPr>
                <w:rFonts w:hint="default" w:ascii="Times New Roman" w:hAnsi="Times New Roman" w:eastAsia="宋体" w:cs="Times New Roman"/>
                <w:color w:val="auto"/>
                <w:kern w:val="0"/>
                <w:sz w:val="24"/>
                <w:szCs w:val="24"/>
                <w:highlight w:val="none"/>
                <w:lang w:val="en-US" w:eastAsia="zh-CN" w:bidi="ar"/>
              </w:rPr>
              <w:t>月</w:t>
            </w:r>
            <w:r>
              <w:rPr>
                <w:rFonts w:hint="eastAsia" w:cs="Times New Roman"/>
                <w:color w:val="auto"/>
                <w:kern w:val="2"/>
                <w:sz w:val="24"/>
                <w:szCs w:val="24"/>
                <w:highlight w:val="none"/>
                <w:lang w:val="en-US" w:eastAsia="zh-CN" w:bidi="ar-SA"/>
              </w:rPr>
              <w:t>24</w:t>
            </w:r>
            <w:r>
              <w:rPr>
                <w:rFonts w:hint="default" w:ascii="Times New Roman" w:hAnsi="Times New Roman" w:eastAsia="宋体" w:cs="Times New Roman"/>
                <w:color w:val="auto"/>
                <w:kern w:val="2"/>
                <w:sz w:val="24"/>
                <w:szCs w:val="24"/>
                <w:highlight w:val="none"/>
                <w:lang w:val="en-US" w:eastAsia="zh-CN" w:bidi="ar-SA"/>
              </w:rPr>
              <w:t>日至20</w:t>
            </w:r>
            <w:r>
              <w:rPr>
                <w:rFonts w:hint="eastAsia" w:cs="Times New Roman"/>
                <w:color w:val="auto"/>
                <w:kern w:val="2"/>
                <w:sz w:val="24"/>
                <w:szCs w:val="24"/>
                <w:highlight w:val="none"/>
                <w:lang w:val="en-US" w:eastAsia="zh-CN" w:bidi="ar-SA"/>
              </w:rPr>
              <w:t>30</w:t>
            </w:r>
            <w:r>
              <w:rPr>
                <w:rFonts w:hint="default" w:ascii="Times New Roman" w:hAnsi="Times New Roman" w:eastAsia="宋体" w:cs="Times New Roman"/>
                <w:color w:val="auto"/>
                <w:kern w:val="2"/>
                <w:sz w:val="24"/>
                <w:szCs w:val="24"/>
                <w:highlight w:val="none"/>
                <w:lang w:val="en-US" w:eastAsia="zh-CN" w:bidi="ar-SA"/>
              </w:rPr>
              <w:t>年0</w:t>
            </w:r>
            <w:r>
              <w:rPr>
                <w:rFonts w:hint="eastAsia" w:cs="Times New Roman"/>
                <w:color w:val="auto"/>
                <w:kern w:val="2"/>
                <w:sz w:val="24"/>
                <w:szCs w:val="24"/>
                <w:highlight w:val="none"/>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23</w:t>
            </w:r>
            <w:r>
              <w:rPr>
                <w:rFonts w:hint="default" w:ascii="Times New Roman" w:hAnsi="Times New Roman" w:eastAsia="宋体" w:cs="Times New Roman"/>
                <w:color w:val="auto"/>
                <w:kern w:val="2"/>
                <w:sz w:val="24"/>
                <w:szCs w:val="24"/>
                <w:highlight w:val="none"/>
                <w:lang w:val="en-US" w:eastAsia="zh-CN" w:bidi="ar-SA"/>
              </w:rPr>
              <w:t>，登记编号为913609005988909082001W</w:t>
            </w:r>
            <w:r>
              <w:rPr>
                <w:rFonts w:hint="default" w:ascii="Times New Roman" w:hAnsi="Times New Roman" w:eastAsia="宋体" w:cs="Times New Roman"/>
                <w:bCs/>
                <w:color w:val="auto"/>
                <w:sz w:val="24"/>
                <w:szCs w:val="24"/>
                <w:highlight w:val="none"/>
                <w:lang w:eastAsia="zh-CN"/>
              </w:rPr>
              <w:t>。</w:t>
            </w:r>
          </w:p>
          <w:p w14:paraId="36148B30">
            <w:pPr>
              <w:widowControl/>
              <w:numPr>
                <w:ilvl w:val="0"/>
                <w:numId w:val="0"/>
              </w:numPr>
              <w:autoSpaceDE/>
              <w:autoSpaceDN/>
              <w:adjustRightInd/>
              <w:spacing w:line="360" w:lineRule="auto"/>
              <w:rPr>
                <w:rFonts w:hint="eastAsia" w:ascii="Times New Roman" w:hAnsi="Times New Roman" w:cs="Times New Roman"/>
                <w:b/>
                <w:bCs w:val="0"/>
                <w:color w:val="auto"/>
                <w:sz w:val="24"/>
                <w:szCs w:val="24"/>
                <w:highlight w:val="none"/>
                <w:lang w:val="en-US" w:eastAsia="zh-CN"/>
              </w:rPr>
            </w:pPr>
            <w:r>
              <w:rPr>
                <w:rFonts w:hint="eastAsia" w:ascii="Times New Roman" w:hAnsi="Times New Roman" w:cs="Times New Roman"/>
                <w:b/>
                <w:bCs w:val="0"/>
                <w:color w:val="auto"/>
                <w:sz w:val="24"/>
                <w:szCs w:val="24"/>
                <w:highlight w:val="none"/>
                <w:lang w:val="en-US" w:eastAsia="zh-CN"/>
              </w:rPr>
              <w:t>生产工艺、污染物产排放情况及其治理措施</w:t>
            </w:r>
            <w:r>
              <w:rPr>
                <w:rFonts w:hint="eastAsia" w:cs="Times New Roman"/>
                <w:b/>
                <w:bCs w:val="0"/>
                <w:color w:val="auto"/>
                <w:sz w:val="24"/>
                <w:szCs w:val="24"/>
                <w:highlight w:val="none"/>
                <w:lang w:val="en-US" w:eastAsia="zh-CN"/>
              </w:rPr>
              <w:t>：</w:t>
            </w:r>
          </w:p>
          <w:p w14:paraId="77363BF2">
            <w:pPr>
              <w:widowControl/>
              <w:numPr>
                <w:ilvl w:val="0"/>
                <w:numId w:val="0"/>
              </w:numPr>
              <w:spacing w:line="360" w:lineRule="auto"/>
              <w:ind w:firstLine="482" w:firstLineChars="200"/>
              <w:jc w:val="left"/>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2、现有项目生产工艺</w:t>
            </w:r>
          </w:p>
          <w:p w14:paraId="109607FE">
            <w:pPr>
              <w:pStyle w:val="32"/>
              <w:ind w:left="0" w:leftChars="0" w:firstLine="0" w:firstLineChars="0"/>
              <w:rPr>
                <w:rFonts w:hint="default" w:cs="Times New Roman"/>
                <w:bCs/>
                <w:color w:val="auto"/>
                <w:sz w:val="24"/>
                <w:szCs w:val="24"/>
                <w:highlight w:val="none"/>
                <w:lang w:val="en-US" w:eastAsia="zh-CN"/>
              </w:rPr>
            </w:pPr>
            <w:r>
              <w:rPr>
                <w:rFonts w:hint="default" w:cs="Times New Roman"/>
                <w:bCs/>
                <w:color w:val="auto"/>
                <w:sz w:val="24"/>
                <w:szCs w:val="24"/>
                <w:highlight w:val="none"/>
                <w:lang w:val="en-US" w:eastAsia="zh-CN"/>
              </w:rPr>
              <w:drawing>
                <wp:inline distT="0" distB="0" distL="114300" distR="114300">
                  <wp:extent cx="5047615" cy="2221865"/>
                  <wp:effectExtent l="0" t="0" r="12065" b="3175"/>
                  <wp:docPr id="1" name="图片 1" descr="d555d4c356b006f8068e353b08e84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555d4c356b006f8068e353b08e84022"/>
                          <pic:cNvPicPr>
                            <a:picLocks noChangeAspect="1"/>
                          </pic:cNvPicPr>
                        </pic:nvPicPr>
                        <pic:blipFill>
                          <a:blip r:embed="rId13"/>
                          <a:stretch>
                            <a:fillRect/>
                          </a:stretch>
                        </pic:blipFill>
                        <pic:spPr>
                          <a:xfrm>
                            <a:off x="0" y="0"/>
                            <a:ext cx="5047615" cy="2221865"/>
                          </a:xfrm>
                          <a:prstGeom prst="rect">
                            <a:avLst/>
                          </a:prstGeom>
                        </pic:spPr>
                      </pic:pic>
                    </a:graphicData>
                  </a:graphic>
                </wp:inline>
              </w:drawing>
            </w:r>
          </w:p>
          <w:p w14:paraId="1F0C2ED6">
            <w:pPr>
              <w:pStyle w:val="32"/>
              <w:ind w:left="0" w:leftChars="0" w:firstLine="0" w:firstLineChars="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图2-</w:t>
            </w:r>
            <w:r>
              <w:rPr>
                <w:rFonts w:hint="eastAsia" w:ascii="Times New Roman" w:hAnsi="Times New Roman" w:eastAsia="宋体" w:cs="Times New Roman"/>
                <w:b/>
                <w:bCs/>
                <w:color w:val="auto"/>
                <w:sz w:val="21"/>
                <w:szCs w:val="21"/>
                <w:highlight w:val="none"/>
                <w:lang w:val="en-US" w:eastAsia="zh-CN" w:bidi="zh-CN"/>
              </w:rPr>
              <w:t>4</w:t>
            </w:r>
            <w:r>
              <w:rPr>
                <w:rFonts w:hint="default" w:ascii="Times New Roman" w:hAnsi="Times New Roman" w:eastAsia="宋体" w:cs="Times New Roman"/>
                <w:b/>
                <w:bCs/>
                <w:color w:val="auto"/>
                <w:sz w:val="21"/>
                <w:szCs w:val="21"/>
                <w:highlight w:val="none"/>
                <w:lang w:val="en-US" w:eastAsia="zh-CN" w:bidi="zh-CN"/>
              </w:rPr>
              <w:t xml:space="preserve">  </w:t>
            </w:r>
            <w:r>
              <w:rPr>
                <w:rFonts w:hint="eastAsia" w:cs="Times New Roman"/>
                <w:b/>
                <w:bCs/>
                <w:color w:val="auto"/>
                <w:sz w:val="21"/>
                <w:szCs w:val="21"/>
                <w:highlight w:val="none"/>
                <w:lang w:val="en-US" w:eastAsia="zh-CN" w:bidi="zh-CN"/>
              </w:rPr>
              <w:t>原项目</w:t>
            </w:r>
            <w:r>
              <w:rPr>
                <w:rFonts w:hint="default" w:ascii="Times New Roman" w:hAnsi="Times New Roman" w:eastAsia="宋体" w:cs="Times New Roman"/>
                <w:b/>
                <w:bCs/>
                <w:color w:val="auto"/>
                <w:sz w:val="21"/>
                <w:szCs w:val="21"/>
                <w:highlight w:val="none"/>
                <w:lang w:val="en-US" w:eastAsia="zh-CN" w:bidi="zh-CN"/>
              </w:rPr>
              <w:t>生产工艺流程及产污环节示意图</w:t>
            </w:r>
          </w:p>
          <w:p w14:paraId="3B21EE63">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本项目生产为来料加工，外购钢材、铜材先经切割线后进行一系列的机加工再进行研磨清洗，最后进行烘干并打包。</w:t>
            </w:r>
          </w:p>
          <w:p w14:paraId="4412C61D">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①</w:t>
            </w:r>
            <w:r>
              <w:rPr>
                <w:rFonts w:hint="default" w:ascii="Times New Roman" w:hAnsi="Times New Roman" w:eastAsia="宋体" w:cs="Times New Roman"/>
                <w:b w:val="0"/>
                <w:bCs w:val="0"/>
                <w:color w:val="0000FF"/>
                <w:kern w:val="0"/>
                <w:sz w:val="24"/>
                <w:szCs w:val="24"/>
                <w:highlight w:val="none"/>
                <w:lang w:val="en-US" w:eastAsia="zh-CN" w:bidi="ar"/>
              </w:rPr>
              <w:t>线切割加工毛坯：用线切割机对金属毛坯进行加工，按照图纸的尺寸让毛坯有个初步的形状。</w:t>
            </w:r>
          </w:p>
          <w:p w14:paraId="66560A24">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②</w:t>
            </w:r>
            <w:r>
              <w:rPr>
                <w:rFonts w:hint="default" w:ascii="Times New Roman" w:hAnsi="Times New Roman" w:eastAsia="宋体" w:cs="Times New Roman"/>
                <w:b w:val="0"/>
                <w:bCs w:val="0"/>
                <w:color w:val="0000FF"/>
                <w:kern w:val="0"/>
                <w:sz w:val="24"/>
                <w:szCs w:val="24"/>
                <w:highlight w:val="none"/>
                <w:lang w:val="en-US" w:eastAsia="zh-CN" w:bidi="ar"/>
              </w:rPr>
              <w:t>机加工：将上一步加工好的合格的毛坯件送入机加工车间，用CNC自动车、滚齿机、磨机、齿机对其进行一系列加工，得到成型齿轮和成型减速机。</w:t>
            </w:r>
          </w:p>
          <w:p w14:paraId="0C746455">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③</w:t>
            </w:r>
            <w:r>
              <w:rPr>
                <w:rFonts w:hint="default" w:ascii="Times New Roman" w:hAnsi="Times New Roman" w:eastAsia="宋体" w:cs="Times New Roman"/>
                <w:b w:val="0"/>
                <w:bCs w:val="0"/>
                <w:color w:val="0000FF"/>
                <w:kern w:val="0"/>
                <w:sz w:val="24"/>
                <w:szCs w:val="24"/>
                <w:highlight w:val="none"/>
                <w:lang w:val="en-US" w:eastAsia="zh-CN" w:bidi="ar"/>
              </w:rPr>
              <w:t>研磨清洗：将上一步的成型齿轮和成型减速机进行研磨清洗，使成型齿轮和成型减速机表面光滑，研磨后用清洗剂进行清洗。</w:t>
            </w:r>
          </w:p>
          <w:p w14:paraId="50EAB86F">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④</w:t>
            </w:r>
            <w:r>
              <w:rPr>
                <w:rFonts w:hint="default" w:ascii="Times New Roman" w:hAnsi="Times New Roman" w:eastAsia="宋体" w:cs="Times New Roman"/>
                <w:b w:val="0"/>
                <w:bCs w:val="0"/>
                <w:color w:val="0000FF"/>
                <w:kern w:val="0"/>
                <w:sz w:val="24"/>
                <w:szCs w:val="24"/>
                <w:highlight w:val="none"/>
                <w:lang w:val="en-US" w:eastAsia="zh-CN" w:bidi="ar"/>
              </w:rPr>
              <w:t>清洗：利用超声波在液体中产生的空化效应，较彻底清洗掉工件表面粘附的油污，通过添加适当的除油剂，可以迅速的对工件表面实现高清洁度的处理。</w:t>
            </w:r>
          </w:p>
          <w:p w14:paraId="455BA745">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⑤</w:t>
            </w:r>
            <w:r>
              <w:rPr>
                <w:rFonts w:hint="default" w:ascii="Times New Roman" w:hAnsi="Times New Roman" w:eastAsia="宋体" w:cs="Times New Roman"/>
                <w:b w:val="0"/>
                <w:bCs w:val="0"/>
                <w:color w:val="0000FF"/>
                <w:kern w:val="0"/>
                <w:sz w:val="24"/>
                <w:szCs w:val="24"/>
                <w:highlight w:val="none"/>
                <w:lang w:val="en-US" w:eastAsia="zh-CN" w:bidi="ar"/>
              </w:rPr>
              <w:t>烘干：为了防止工件清洗后锈蚀或表面有水而影响表面质量，最后对工件进行干燥，这一过程只产生含少量杂质的冷凝水。</w:t>
            </w:r>
          </w:p>
          <w:p w14:paraId="6090B2A4">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⑥</w:t>
            </w:r>
            <w:r>
              <w:rPr>
                <w:rFonts w:hint="default" w:ascii="Times New Roman" w:hAnsi="Times New Roman" w:eastAsia="宋体" w:cs="Times New Roman"/>
                <w:b w:val="0"/>
                <w:bCs w:val="0"/>
                <w:color w:val="0000FF"/>
                <w:kern w:val="0"/>
                <w:sz w:val="24"/>
                <w:szCs w:val="24"/>
                <w:highlight w:val="none"/>
                <w:lang w:val="en-US" w:eastAsia="zh-CN" w:bidi="ar"/>
              </w:rPr>
              <w:t>包装：对产品进行真空包装，以防止表面氧化。</w:t>
            </w:r>
          </w:p>
          <w:p w14:paraId="0AD2D49B">
            <w:pPr>
              <w:widowControl/>
              <w:numPr>
                <w:ilvl w:val="0"/>
                <w:numId w:val="0"/>
              </w:numPr>
              <w:spacing w:line="360" w:lineRule="auto"/>
              <w:ind w:firstLine="482" w:firstLineChars="200"/>
              <w:jc w:val="left"/>
              <w:rPr>
                <w:rFonts w:hint="default" w:ascii="Times New Roman" w:hAnsi="Times New Roman" w:eastAsia="宋体" w:cs="Times New Roman"/>
                <w:b/>
                <w:bCs/>
                <w:color w:val="0000FF"/>
                <w:kern w:val="0"/>
                <w:sz w:val="24"/>
                <w:szCs w:val="24"/>
                <w:highlight w:val="none"/>
                <w:lang w:val="en-US" w:eastAsia="zh-CN" w:bidi="ar"/>
              </w:rPr>
            </w:pPr>
            <w:r>
              <w:rPr>
                <w:rFonts w:hint="eastAsia" w:ascii="Times New Roman" w:hAnsi="Times New Roman" w:eastAsia="宋体" w:cs="Times New Roman"/>
                <w:b/>
                <w:bCs/>
                <w:color w:val="0000FF"/>
                <w:kern w:val="0"/>
                <w:sz w:val="24"/>
                <w:szCs w:val="24"/>
                <w:highlight w:val="none"/>
                <w:lang w:val="en-US" w:eastAsia="zh-CN" w:bidi="ar"/>
              </w:rPr>
              <w:t>3、现有项目主要污染物及环保设施</w:t>
            </w:r>
          </w:p>
          <w:p w14:paraId="0E2FCF59">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cs="Times New Roman"/>
                <w:b w:val="0"/>
                <w:bCs w:val="0"/>
                <w:color w:val="0000FF"/>
                <w:kern w:val="0"/>
                <w:sz w:val="24"/>
                <w:szCs w:val="24"/>
                <w:highlight w:val="none"/>
                <w:lang w:val="en-US" w:eastAsia="zh-CN" w:bidi="ar"/>
              </w:rPr>
              <w:t>（</w:t>
            </w:r>
            <w:r>
              <w:rPr>
                <w:rFonts w:hint="default" w:ascii="Times New Roman" w:hAnsi="Times New Roman" w:eastAsia="宋体" w:cs="Times New Roman"/>
                <w:b w:val="0"/>
                <w:bCs w:val="0"/>
                <w:color w:val="0000FF"/>
                <w:kern w:val="0"/>
                <w:sz w:val="24"/>
                <w:szCs w:val="24"/>
                <w:highlight w:val="none"/>
                <w:lang w:val="en-US" w:eastAsia="zh-CN" w:bidi="ar"/>
              </w:rPr>
              <w:t>1</w:t>
            </w:r>
            <w:r>
              <w:rPr>
                <w:rFonts w:hint="eastAsia" w:cs="Times New Roman"/>
                <w:b w:val="0"/>
                <w:bCs w:val="0"/>
                <w:color w:val="0000FF"/>
                <w:kern w:val="0"/>
                <w:sz w:val="24"/>
                <w:szCs w:val="24"/>
                <w:highlight w:val="none"/>
                <w:lang w:val="en-US" w:eastAsia="zh-CN" w:bidi="ar"/>
              </w:rPr>
              <w:t>）</w:t>
            </w:r>
            <w:r>
              <w:rPr>
                <w:rFonts w:hint="default" w:ascii="Times New Roman" w:hAnsi="Times New Roman" w:eastAsia="宋体" w:cs="Times New Roman"/>
                <w:b w:val="0"/>
                <w:bCs w:val="0"/>
                <w:color w:val="0000FF"/>
                <w:kern w:val="0"/>
                <w:sz w:val="24"/>
                <w:szCs w:val="24"/>
                <w:highlight w:val="none"/>
                <w:lang w:val="en-US" w:eastAsia="zh-CN" w:bidi="ar"/>
              </w:rPr>
              <w:t>废气</w:t>
            </w:r>
          </w:p>
          <w:p w14:paraId="687F133F">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项目生产过程基本无废气产生，但有少量的粉尘外排。另职工食堂会产生油烟废气。食堂油烟管道高度达15米，未安装油烟净化器。</w:t>
            </w:r>
          </w:p>
          <w:p w14:paraId="22FE69F6">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cs="Times New Roman"/>
                <w:b w:val="0"/>
                <w:bCs w:val="0"/>
                <w:color w:val="0000FF"/>
                <w:kern w:val="0"/>
                <w:sz w:val="24"/>
                <w:szCs w:val="24"/>
                <w:highlight w:val="none"/>
                <w:lang w:val="en-US" w:eastAsia="zh-CN" w:bidi="ar"/>
              </w:rPr>
              <w:t>（</w:t>
            </w:r>
            <w:r>
              <w:rPr>
                <w:rFonts w:hint="default" w:ascii="Times New Roman" w:hAnsi="Times New Roman" w:eastAsia="宋体" w:cs="Times New Roman"/>
                <w:b w:val="0"/>
                <w:bCs w:val="0"/>
                <w:color w:val="0000FF"/>
                <w:kern w:val="0"/>
                <w:sz w:val="24"/>
                <w:szCs w:val="24"/>
                <w:highlight w:val="none"/>
                <w:lang w:val="en-US" w:eastAsia="zh-CN" w:bidi="ar"/>
              </w:rPr>
              <w:t>2）废水</w:t>
            </w:r>
          </w:p>
          <w:p w14:paraId="2C88DF48">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生活污水：项目劳动定员70人，根据提供的资料可知，年工作时间300天，则生活用水量为5000m²/a，则生活污水产生量为4000m²/a，主要污染物为COD、BODs、SS、NHg-N，动植物油类。</w:t>
            </w:r>
          </w:p>
          <w:p w14:paraId="7F63DAF9">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生活污水经隔油池+化粪池+地埋式处理设施处理，处理达到《污水综合排放标准》（GB8978-1996）表4中的一级标准后，排入污水管网排入锦江。所以项目污水经有效处理后不会对周围环境造成明显不良影响。</w:t>
            </w:r>
          </w:p>
          <w:p w14:paraId="2E289190">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cs="Times New Roman"/>
                <w:b w:val="0"/>
                <w:bCs w:val="0"/>
                <w:color w:val="0000FF"/>
                <w:kern w:val="0"/>
                <w:sz w:val="24"/>
                <w:szCs w:val="24"/>
                <w:highlight w:val="none"/>
                <w:lang w:val="en-US" w:eastAsia="zh-CN" w:bidi="ar"/>
              </w:rPr>
              <w:t>（</w:t>
            </w:r>
            <w:r>
              <w:rPr>
                <w:rFonts w:hint="default" w:ascii="Times New Roman" w:hAnsi="Times New Roman" w:eastAsia="宋体" w:cs="Times New Roman"/>
                <w:b w:val="0"/>
                <w:bCs w:val="0"/>
                <w:color w:val="0000FF"/>
                <w:kern w:val="0"/>
                <w:sz w:val="24"/>
                <w:szCs w:val="24"/>
                <w:highlight w:val="none"/>
                <w:lang w:val="en-US" w:eastAsia="zh-CN" w:bidi="ar"/>
              </w:rPr>
              <w:t>3）噪声</w:t>
            </w:r>
          </w:p>
          <w:p w14:paraId="60915875">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生产中使用的滚轮机、空压机、无心磨机、离心机、平磨机、自动研磨机、桌上冲子磨机、NC车床、螺纹磨床等设备产生的噪音。噪声级在75~85dB(A)。选用低噪声型设备，设备安装消声器和橡胶隔振垫，房间墙体材料采取相应的消声、隔声、吸声等措施；加强绿化，种植高大叶茂树木，形成绿化带屏障。采取上述噪声处理措施后，再经过墙壁隔声和距离衰减后，厂界噪声能满足《工业企业厂界环境噪声排放标准》(GB12348-2008)3类标准[昼间≤65dB(A),夜间&lt;55 dB(A)]。</w:t>
            </w:r>
          </w:p>
          <w:p w14:paraId="65836D50">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（4）固体废物</w:t>
            </w:r>
          </w:p>
          <w:p w14:paraId="73296AEE">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项目固体废弃物包括生产过程边角料、金属沉淀颗粒及不合格产品和生活垃圾。</w:t>
            </w:r>
          </w:p>
          <w:p w14:paraId="133B879C">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①</w:t>
            </w:r>
            <w:r>
              <w:rPr>
                <w:rFonts w:hint="default" w:ascii="Times New Roman" w:hAnsi="Times New Roman" w:eastAsia="宋体" w:cs="Times New Roman"/>
                <w:b w:val="0"/>
                <w:bCs w:val="0"/>
                <w:color w:val="0000FF"/>
                <w:kern w:val="0"/>
                <w:sz w:val="24"/>
                <w:szCs w:val="24"/>
                <w:highlight w:val="none"/>
                <w:lang w:val="en-US" w:eastAsia="zh-CN" w:bidi="ar"/>
              </w:rPr>
              <w:t>生产废料：生产过程边角料、金属沉淀颗粒及不合格产品，产生量约2.9t/a,将其集中回收处理；</w:t>
            </w:r>
          </w:p>
          <w:p w14:paraId="47CD3034">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②</w:t>
            </w:r>
            <w:r>
              <w:rPr>
                <w:rFonts w:hint="default" w:ascii="Times New Roman" w:hAnsi="Times New Roman" w:eastAsia="宋体" w:cs="Times New Roman"/>
                <w:b w:val="0"/>
                <w:bCs w:val="0"/>
                <w:color w:val="0000FF"/>
                <w:kern w:val="0"/>
                <w:sz w:val="24"/>
                <w:szCs w:val="24"/>
                <w:highlight w:val="none"/>
                <w:lang w:val="en-US" w:eastAsia="zh-CN" w:bidi="ar"/>
              </w:rPr>
              <w:t>危险废物：生产过程中更换的切削油EP33，年生产量2.4t交由危险废物处置资质单位处置。</w:t>
            </w:r>
          </w:p>
          <w:p w14:paraId="7D38131C">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eastAsia" w:ascii="Times New Roman" w:hAnsi="Times New Roman" w:eastAsia="宋体" w:cs="Times New Roman"/>
                <w:b w:val="0"/>
                <w:bCs w:val="0"/>
                <w:color w:val="0000FF"/>
                <w:kern w:val="0"/>
                <w:sz w:val="24"/>
                <w:szCs w:val="24"/>
                <w:highlight w:val="none"/>
                <w:lang w:val="en-US" w:eastAsia="zh-CN" w:bidi="ar"/>
              </w:rPr>
              <w:t>③</w:t>
            </w:r>
            <w:r>
              <w:rPr>
                <w:rFonts w:hint="default" w:ascii="Times New Roman" w:hAnsi="Times New Roman" w:eastAsia="宋体" w:cs="Times New Roman"/>
                <w:b w:val="0"/>
                <w:bCs w:val="0"/>
                <w:color w:val="0000FF"/>
                <w:kern w:val="0"/>
                <w:sz w:val="24"/>
                <w:szCs w:val="24"/>
                <w:highlight w:val="none"/>
                <w:lang w:val="en-US" w:eastAsia="zh-CN" w:bidi="ar"/>
              </w:rPr>
              <w:t>生活垃圾：员工生活垃圾年生产21t/a，公司通过制定并实施厂区垃圾清扫、收集、清运的管理制度，保证厂区环境的优美；本项目所产生的生活垃圾经收集后，定期送往环卫部门指定垃圾填埋场处置。</w:t>
            </w:r>
          </w:p>
          <w:p w14:paraId="76C79031">
            <w:pPr>
              <w:widowControl/>
              <w:numPr>
                <w:ilvl w:val="0"/>
                <w:numId w:val="0"/>
              </w:numPr>
              <w:spacing w:line="360" w:lineRule="auto"/>
              <w:ind w:firstLine="480" w:firstLineChars="200"/>
              <w:jc w:val="left"/>
              <w:rPr>
                <w:rFonts w:hint="default" w:ascii="Times New Roman" w:hAnsi="Times New Roman" w:eastAsia="宋体" w:cs="Times New Roman"/>
                <w:b w:val="0"/>
                <w:bCs w:val="0"/>
                <w:color w:val="0000FF"/>
                <w:kern w:val="0"/>
                <w:sz w:val="24"/>
                <w:szCs w:val="24"/>
                <w:highlight w:val="none"/>
                <w:lang w:val="en-US" w:eastAsia="zh-CN" w:bidi="ar"/>
              </w:rPr>
            </w:pPr>
            <w:r>
              <w:rPr>
                <w:rFonts w:hint="default" w:ascii="Times New Roman" w:hAnsi="Times New Roman" w:eastAsia="宋体" w:cs="Times New Roman"/>
                <w:b w:val="0"/>
                <w:bCs w:val="0"/>
                <w:color w:val="0000FF"/>
                <w:kern w:val="0"/>
                <w:sz w:val="24"/>
                <w:szCs w:val="24"/>
                <w:highlight w:val="none"/>
                <w:lang w:val="en-US" w:eastAsia="zh-CN" w:bidi="ar"/>
              </w:rPr>
              <w:t>本项目固体废物不会对周围环境产生明显影响。</w:t>
            </w:r>
          </w:p>
          <w:p w14:paraId="21406D0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Cs/>
                <w:color w:val="0000FF"/>
                <w:sz w:val="24"/>
                <w:szCs w:val="24"/>
                <w:highlight w:val="none"/>
                <w:lang w:val="en-US" w:eastAsia="zh-CN"/>
              </w:rPr>
            </w:pPr>
            <w:r>
              <w:rPr>
                <w:rFonts w:hint="eastAsia" w:cs="Times New Roman"/>
                <w:b/>
                <w:bCs w:val="0"/>
                <w:color w:val="0000FF"/>
                <w:sz w:val="24"/>
                <w:szCs w:val="24"/>
                <w:highlight w:val="none"/>
                <w:lang w:val="en-US" w:eastAsia="zh-CN"/>
              </w:rPr>
              <w:t>4</w:t>
            </w:r>
            <w:r>
              <w:rPr>
                <w:rFonts w:hint="default" w:ascii="Times New Roman" w:hAnsi="Times New Roman" w:eastAsia="宋体" w:cs="Times New Roman"/>
                <w:b/>
                <w:bCs w:val="0"/>
                <w:color w:val="0000FF"/>
                <w:sz w:val="24"/>
                <w:szCs w:val="24"/>
                <w:highlight w:val="none"/>
                <w:lang w:val="en-US" w:eastAsia="zh-CN"/>
              </w:rPr>
              <w:t>、现有项目污染物产生及排放情况</w:t>
            </w:r>
          </w:p>
          <w:p w14:paraId="148B65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0000FF"/>
                <w:sz w:val="21"/>
                <w:szCs w:val="21"/>
                <w:highlight w:val="none"/>
                <w:lang w:val="en-US" w:eastAsia="zh-CN"/>
              </w:rPr>
            </w:pPr>
            <w:r>
              <w:rPr>
                <w:rFonts w:hint="default" w:ascii="Times New Roman" w:hAnsi="Times New Roman" w:eastAsia="宋体" w:cs="Times New Roman"/>
                <w:b/>
                <w:bCs w:val="0"/>
                <w:color w:val="0000FF"/>
                <w:sz w:val="21"/>
                <w:szCs w:val="21"/>
                <w:highlight w:val="none"/>
                <w:lang w:val="en-US" w:eastAsia="zh-CN"/>
              </w:rPr>
              <w:t>表2-8  现有项目污染物排放情况一览表</w:t>
            </w:r>
          </w:p>
          <w:tbl>
            <w:tblPr>
              <w:tblStyle w:val="33"/>
              <w:tblW w:w="1030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72"/>
              <w:gridCol w:w="1088"/>
              <w:gridCol w:w="2"/>
              <w:gridCol w:w="1923"/>
              <w:gridCol w:w="2"/>
              <w:gridCol w:w="1653"/>
              <w:gridCol w:w="2"/>
              <w:gridCol w:w="1601"/>
              <w:gridCol w:w="2"/>
              <w:gridCol w:w="1181"/>
              <w:gridCol w:w="2"/>
              <w:gridCol w:w="50"/>
              <w:gridCol w:w="2330"/>
            </w:tblGrid>
            <w:tr w14:paraId="167407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tcBorders>
                    <w:tl2br w:val="nil"/>
                    <w:tr2bl w:val="nil"/>
                  </w:tcBorders>
                  <w:noWrap w:val="0"/>
                  <w:vAlign w:val="center"/>
                </w:tcPr>
                <w:p w14:paraId="5364430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0000FF"/>
                      <w:kern w:val="2"/>
                      <w:sz w:val="21"/>
                      <w:szCs w:val="21"/>
                      <w:highlight w:val="none"/>
                      <w:lang w:val="en-US" w:eastAsia="zh-CN" w:bidi="ar-SA"/>
                    </w:rPr>
                  </w:pPr>
                  <w:r>
                    <w:rPr>
                      <w:rFonts w:hint="default" w:ascii="Times New Roman" w:hAnsi="Times New Roman" w:eastAsia="宋体" w:cs="Times New Roman"/>
                      <w:b/>
                      <w:bCs/>
                      <w:color w:val="0000FF"/>
                      <w:sz w:val="21"/>
                      <w:szCs w:val="21"/>
                      <w:highlight w:val="none"/>
                      <w:lang w:val="en-US" w:eastAsia="zh-CN"/>
                    </w:rPr>
                    <w:t>类别</w:t>
                  </w:r>
                </w:p>
              </w:tc>
              <w:tc>
                <w:tcPr>
                  <w:tcW w:w="934" w:type="pct"/>
                  <w:gridSpan w:val="2"/>
                  <w:tcBorders>
                    <w:tl2br w:val="nil"/>
                    <w:tr2bl w:val="nil"/>
                  </w:tcBorders>
                  <w:noWrap w:val="0"/>
                  <w:vAlign w:val="center"/>
                </w:tcPr>
                <w:p w14:paraId="71E305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0000FF"/>
                      <w:kern w:val="2"/>
                      <w:sz w:val="21"/>
                      <w:szCs w:val="21"/>
                      <w:highlight w:val="none"/>
                      <w:lang w:val="en-US" w:eastAsia="zh-CN" w:bidi="ar-SA"/>
                    </w:rPr>
                  </w:pPr>
                  <w:r>
                    <w:rPr>
                      <w:rFonts w:hint="default" w:ascii="Times New Roman" w:hAnsi="Times New Roman" w:eastAsia="宋体" w:cs="Times New Roman"/>
                      <w:b/>
                      <w:bCs/>
                      <w:color w:val="0000FF"/>
                      <w:sz w:val="21"/>
                      <w:szCs w:val="21"/>
                      <w:highlight w:val="none"/>
                      <w:lang w:val="en-US" w:eastAsia="zh-CN"/>
                    </w:rPr>
                    <w:t>污染物</w:t>
                  </w:r>
                </w:p>
              </w:tc>
              <w:tc>
                <w:tcPr>
                  <w:tcW w:w="803" w:type="pct"/>
                  <w:gridSpan w:val="2"/>
                  <w:tcBorders>
                    <w:tl2br w:val="nil"/>
                    <w:tr2bl w:val="nil"/>
                  </w:tcBorders>
                  <w:noWrap w:val="0"/>
                  <w:vAlign w:val="center"/>
                </w:tcPr>
                <w:p w14:paraId="4AC05E7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0000FF"/>
                      <w:sz w:val="21"/>
                      <w:szCs w:val="21"/>
                      <w:highlight w:val="none"/>
                      <w:lang w:val="en-US" w:eastAsia="zh-CN"/>
                    </w:rPr>
                  </w:pPr>
                  <w:r>
                    <w:rPr>
                      <w:rFonts w:hint="eastAsia" w:cs="Times New Roman"/>
                      <w:b/>
                      <w:bCs/>
                      <w:color w:val="0000FF"/>
                      <w:sz w:val="21"/>
                      <w:szCs w:val="21"/>
                      <w:highlight w:val="none"/>
                      <w:lang w:val="en-US" w:eastAsia="zh-CN"/>
                    </w:rPr>
                    <w:t>排放浓度</w:t>
                  </w:r>
                </w:p>
              </w:tc>
              <w:tc>
                <w:tcPr>
                  <w:tcW w:w="778" w:type="pct"/>
                  <w:gridSpan w:val="2"/>
                  <w:tcBorders>
                    <w:tl2br w:val="nil"/>
                    <w:tr2bl w:val="nil"/>
                  </w:tcBorders>
                  <w:noWrap w:val="0"/>
                  <w:vAlign w:val="center"/>
                </w:tcPr>
                <w:p w14:paraId="0BBC597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0000FF"/>
                      <w:kern w:val="2"/>
                      <w:sz w:val="21"/>
                      <w:szCs w:val="21"/>
                      <w:highlight w:val="none"/>
                      <w:lang w:val="en-US" w:eastAsia="zh-CN" w:bidi="ar-SA"/>
                    </w:rPr>
                  </w:pPr>
                  <w:r>
                    <w:rPr>
                      <w:rFonts w:hint="default" w:ascii="Times New Roman" w:hAnsi="Times New Roman" w:eastAsia="宋体" w:cs="Times New Roman"/>
                      <w:b/>
                      <w:bCs/>
                      <w:color w:val="0000FF"/>
                      <w:sz w:val="21"/>
                      <w:szCs w:val="21"/>
                      <w:highlight w:val="none"/>
                      <w:lang w:val="en-US" w:eastAsia="zh-CN"/>
                    </w:rPr>
                    <w:t>排放量</w:t>
                  </w:r>
                </w:p>
              </w:tc>
              <w:tc>
                <w:tcPr>
                  <w:tcW w:w="574" w:type="pct"/>
                  <w:gridSpan w:val="2"/>
                  <w:tcBorders>
                    <w:tl2br w:val="nil"/>
                    <w:tr2bl w:val="nil"/>
                  </w:tcBorders>
                  <w:noWrap w:val="0"/>
                  <w:vAlign w:val="center"/>
                </w:tcPr>
                <w:p w14:paraId="22D046B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0000FF"/>
                      <w:sz w:val="21"/>
                      <w:szCs w:val="21"/>
                      <w:highlight w:val="none"/>
                      <w:lang w:val="en-US" w:eastAsia="zh-CN"/>
                    </w:rPr>
                  </w:pPr>
                  <w:r>
                    <w:rPr>
                      <w:rFonts w:hint="eastAsia" w:cs="Times New Roman"/>
                      <w:b/>
                      <w:bCs/>
                      <w:color w:val="0000FF"/>
                      <w:sz w:val="21"/>
                      <w:szCs w:val="21"/>
                      <w:highlight w:val="none"/>
                      <w:lang w:val="en-US" w:eastAsia="zh-CN"/>
                    </w:rPr>
                    <w:t>总量</w:t>
                  </w:r>
                </w:p>
              </w:tc>
            </w:tr>
            <w:tr w14:paraId="117B71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tcBorders>
                    <w:tl2br w:val="nil"/>
                    <w:tr2bl w:val="nil"/>
                  </w:tcBorders>
                  <w:noWrap w:val="0"/>
                  <w:vAlign w:val="center"/>
                </w:tcPr>
                <w:p w14:paraId="3E71F5C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lang w:val="en-US" w:eastAsia="zh-CN"/>
                    </w:rPr>
                    <w:t>废气</w:t>
                  </w:r>
                </w:p>
              </w:tc>
              <w:tc>
                <w:tcPr>
                  <w:tcW w:w="934" w:type="pct"/>
                  <w:gridSpan w:val="2"/>
                  <w:tcBorders>
                    <w:tl2br w:val="nil"/>
                    <w:tr2bl w:val="nil"/>
                  </w:tcBorders>
                  <w:shd w:val="clear" w:color="auto" w:fill="auto"/>
                  <w:noWrap w:val="0"/>
                  <w:vAlign w:val="center"/>
                </w:tcPr>
                <w:p w14:paraId="5597D3C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default" w:ascii="Times New Roman" w:hAnsi="Times New Roman" w:eastAsia="宋体" w:cs="Times New Roman"/>
                      <w:b w:val="0"/>
                      <w:bCs w:val="0"/>
                      <w:color w:val="0000FF"/>
                      <w:kern w:val="2"/>
                      <w:sz w:val="21"/>
                      <w:szCs w:val="21"/>
                      <w:highlight w:val="none"/>
                      <w:vertAlign w:val="baseline"/>
                      <w:lang w:val="en-US" w:eastAsia="zh-CN" w:bidi="ar-SA"/>
                    </w:rPr>
                    <w:t>颗粒物</w:t>
                  </w:r>
                  <w:r>
                    <w:rPr>
                      <w:rFonts w:hint="eastAsia" w:ascii="Times New Roman" w:hAnsi="Times New Roman" w:eastAsia="宋体" w:cs="Times New Roman"/>
                      <w:b w:val="0"/>
                      <w:bCs w:val="0"/>
                      <w:color w:val="0000FF"/>
                      <w:kern w:val="2"/>
                      <w:sz w:val="21"/>
                      <w:szCs w:val="21"/>
                      <w:highlight w:val="none"/>
                      <w:vertAlign w:val="baseline"/>
                      <w:lang w:val="en-US" w:eastAsia="zh-CN" w:bidi="ar-SA"/>
                    </w:rPr>
                    <w:t>（无组织）</w:t>
                  </w:r>
                </w:p>
              </w:tc>
              <w:tc>
                <w:tcPr>
                  <w:tcW w:w="803" w:type="pct"/>
                  <w:gridSpan w:val="2"/>
                  <w:tcBorders>
                    <w:tl2br w:val="nil"/>
                    <w:tr2bl w:val="nil"/>
                  </w:tcBorders>
                  <w:shd w:val="clear" w:color="auto" w:fill="auto"/>
                  <w:noWrap w:val="0"/>
                  <w:vAlign w:val="center"/>
                </w:tcPr>
                <w:p w14:paraId="39A63AB7">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ascii="Times New Roman" w:hAnsi="Times New Roman" w:eastAsia="宋体" w:cs="Times New Roman"/>
                      <w:b w:val="0"/>
                      <w:bCs w:val="0"/>
                      <w:color w:val="0000FF"/>
                      <w:kern w:val="2"/>
                      <w:sz w:val="21"/>
                      <w:szCs w:val="21"/>
                      <w:highlight w:val="none"/>
                      <w:vertAlign w:val="baseline"/>
                      <w:lang w:val="en-US" w:eastAsia="zh-CN" w:bidi="ar-SA"/>
                    </w:rPr>
                    <w:t>0.465mg/m</w:t>
                  </w:r>
                  <w:r>
                    <w:rPr>
                      <w:rFonts w:hint="eastAsia" w:ascii="Times New Roman" w:hAnsi="Times New Roman" w:eastAsia="宋体" w:cs="Times New Roman"/>
                      <w:b w:val="0"/>
                      <w:bCs w:val="0"/>
                      <w:color w:val="0000FF"/>
                      <w:kern w:val="2"/>
                      <w:sz w:val="21"/>
                      <w:szCs w:val="21"/>
                      <w:highlight w:val="none"/>
                      <w:vertAlign w:val="superscript"/>
                      <w:lang w:val="en-US" w:eastAsia="zh-CN" w:bidi="ar-SA"/>
                    </w:rPr>
                    <w:t>3</w:t>
                  </w:r>
                </w:p>
              </w:tc>
              <w:tc>
                <w:tcPr>
                  <w:tcW w:w="778" w:type="pct"/>
                  <w:gridSpan w:val="2"/>
                  <w:tcBorders>
                    <w:tl2br w:val="nil"/>
                    <w:tr2bl w:val="nil"/>
                  </w:tcBorders>
                  <w:shd w:val="clear" w:color="auto" w:fill="auto"/>
                  <w:noWrap w:val="0"/>
                  <w:vAlign w:val="center"/>
                </w:tcPr>
                <w:p w14:paraId="56012ADE">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ascii="Times New Roman" w:hAnsi="Times New Roman" w:eastAsia="宋体" w:cs="Times New Roman"/>
                      <w:i w:val="0"/>
                      <w:iCs w:val="0"/>
                      <w:color w:val="0000FF"/>
                      <w:kern w:val="0"/>
                      <w:sz w:val="21"/>
                      <w:szCs w:val="21"/>
                      <w:highlight w:val="none"/>
                      <w:u w:val="none"/>
                      <w:lang w:val="en-US" w:eastAsia="zh-CN" w:bidi="ar"/>
                    </w:rPr>
                    <w:t>/</w:t>
                  </w:r>
                </w:p>
              </w:tc>
              <w:tc>
                <w:tcPr>
                  <w:tcW w:w="574" w:type="pct"/>
                  <w:gridSpan w:val="2"/>
                  <w:tcBorders>
                    <w:tl2br w:val="nil"/>
                    <w:tr2bl w:val="nil"/>
                  </w:tcBorders>
                  <w:shd w:val="clear" w:color="auto" w:fill="auto"/>
                  <w:noWrap w:val="0"/>
                  <w:vAlign w:val="center"/>
                </w:tcPr>
                <w:p w14:paraId="38F129FD">
                  <w:pPr>
                    <w:keepNext w:val="0"/>
                    <w:keepLines w:val="0"/>
                    <w:pageBreakBefore w:val="0"/>
                    <w:widowControl/>
                    <w:suppressLineNumbers w:val="0"/>
                    <w:kinsoku/>
                    <w:wordWrap/>
                    <w:overflowPunct/>
                    <w:topLinePunct w:val="0"/>
                    <w:bidi w:val="0"/>
                    <w:spacing w:line="240" w:lineRule="auto"/>
                    <w:jc w:val="center"/>
                    <w:textAlignment w:val="center"/>
                    <w:rPr>
                      <w:rFonts w:hint="eastAsia" w:ascii="Times New Roman" w:hAnsi="Times New Roman" w:eastAsia="宋体" w:cs="Times New Roman"/>
                      <w:i w:val="0"/>
                      <w:iCs w:val="0"/>
                      <w:color w:val="0000FF"/>
                      <w:kern w:val="0"/>
                      <w:sz w:val="21"/>
                      <w:szCs w:val="21"/>
                      <w:highlight w:val="none"/>
                      <w:u w:val="none"/>
                      <w:lang w:val="en-US" w:eastAsia="zh-CN" w:bidi="ar"/>
                    </w:rPr>
                  </w:pPr>
                </w:p>
              </w:tc>
            </w:tr>
            <w:tr w14:paraId="786FB7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restart"/>
                  <w:tcBorders>
                    <w:tl2br w:val="nil"/>
                    <w:tr2bl w:val="nil"/>
                  </w:tcBorders>
                  <w:noWrap w:val="0"/>
                  <w:vAlign w:val="center"/>
                </w:tcPr>
                <w:p w14:paraId="5D5F78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废水</w:t>
                  </w:r>
                </w:p>
              </w:tc>
              <w:tc>
                <w:tcPr>
                  <w:tcW w:w="934" w:type="pct"/>
                  <w:gridSpan w:val="2"/>
                  <w:tcBorders>
                    <w:tl2br w:val="nil"/>
                    <w:tr2bl w:val="nil"/>
                  </w:tcBorders>
                  <w:noWrap w:val="0"/>
                  <w:vAlign w:val="center"/>
                </w:tcPr>
                <w:p w14:paraId="14E077AF">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b w:val="0"/>
                      <w:bCs w:val="0"/>
                      <w:color w:val="0000FF"/>
                      <w:kern w:val="2"/>
                      <w:sz w:val="21"/>
                      <w:szCs w:val="21"/>
                      <w:highlight w:val="none"/>
                      <w:vertAlign w:val="baseline"/>
                      <w:lang w:val="en-US" w:eastAsia="zh-CN" w:bidi="ar-SA"/>
                    </w:rPr>
                    <w:t>pH</w:t>
                  </w:r>
                </w:p>
              </w:tc>
              <w:tc>
                <w:tcPr>
                  <w:tcW w:w="803" w:type="pct"/>
                  <w:gridSpan w:val="2"/>
                  <w:tcBorders>
                    <w:tl2br w:val="nil"/>
                    <w:tr2bl w:val="nil"/>
                  </w:tcBorders>
                  <w:noWrap w:val="0"/>
                  <w:vAlign w:val="center"/>
                </w:tcPr>
                <w:p w14:paraId="681C39F0">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6.65</w:t>
                  </w:r>
                </w:p>
              </w:tc>
              <w:tc>
                <w:tcPr>
                  <w:tcW w:w="778" w:type="pct"/>
                  <w:gridSpan w:val="2"/>
                  <w:tcBorders>
                    <w:tl2br w:val="nil"/>
                    <w:tr2bl w:val="nil"/>
                  </w:tcBorders>
                  <w:noWrap w:val="0"/>
                  <w:vAlign w:val="center"/>
                </w:tcPr>
                <w:p w14:paraId="144BD06C">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c>
                <w:tcPr>
                  <w:tcW w:w="574" w:type="pct"/>
                  <w:gridSpan w:val="2"/>
                  <w:tcBorders>
                    <w:tl2br w:val="nil"/>
                    <w:tr2bl w:val="nil"/>
                  </w:tcBorders>
                  <w:noWrap w:val="0"/>
                  <w:vAlign w:val="center"/>
                </w:tcPr>
                <w:p w14:paraId="41989E27">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115130D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continue"/>
                  <w:tcBorders>
                    <w:tl2br w:val="nil"/>
                    <w:tr2bl w:val="nil"/>
                  </w:tcBorders>
                  <w:noWrap w:val="0"/>
                  <w:vAlign w:val="center"/>
                </w:tcPr>
                <w:p w14:paraId="23332B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p>
              </w:tc>
              <w:tc>
                <w:tcPr>
                  <w:tcW w:w="934" w:type="pct"/>
                  <w:gridSpan w:val="2"/>
                  <w:tcBorders>
                    <w:tl2br w:val="nil"/>
                    <w:tr2bl w:val="nil"/>
                  </w:tcBorders>
                  <w:shd w:val="clear" w:color="auto" w:fill="auto"/>
                  <w:noWrap w:val="0"/>
                  <w:vAlign w:val="center"/>
                </w:tcPr>
                <w:p w14:paraId="5A1A8394">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COD</w:t>
                  </w:r>
                </w:p>
              </w:tc>
              <w:tc>
                <w:tcPr>
                  <w:tcW w:w="803" w:type="pct"/>
                  <w:gridSpan w:val="2"/>
                  <w:tcBorders>
                    <w:tl2br w:val="nil"/>
                    <w:tr2bl w:val="nil"/>
                  </w:tcBorders>
                  <w:shd w:val="clear" w:color="auto" w:fill="auto"/>
                  <w:noWrap w:val="0"/>
                  <w:vAlign w:val="center"/>
                </w:tcPr>
                <w:p w14:paraId="2F2FA606">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ascii="Times New Roman" w:hAnsi="Times New Roman" w:eastAsia="宋体" w:cs="Times New Roman"/>
                      <w:i w:val="0"/>
                      <w:iCs w:val="0"/>
                      <w:color w:val="0000FF"/>
                      <w:kern w:val="0"/>
                      <w:sz w:val="21"/>
                      <w:szCs w:val="21"/>
                      <w:highlight w:val="none"/>
                      <w:u w:val="none"/>
                      <w:lang w:val="en-US" w:eastAsia="zh-CN" w:bidi="ar"/>
                    </w:rPr>
                    <w:t>55.1</w:t>
                  </w:r>
                </w:p>
              </w:tc>
              <w:tc>
                <w:tcPr>
                  <w:tcW w:w="778" w:type="pct"/>
                  <w:gridSpan w:val="2"/>
                  <w:tcBorders>
                    <w:tl2br w:val="nil"/>
                    <w:tr2bl w:val="nil"/>
                  </w:tcBorders>
                  <w:shd w:val="clear" w:color="auto" w:fill="auto"/>
                  <w:noWrap w:val="0"/>
                  <w:vAlign w:val="center"/>
                </w:tcPr>
                <w:p w14:paraId="27BBAC35">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ascii="Times New Roman" w:hAnsi="Times New Roman" w:eastAsia="宋体" w:cs="Times New Roman"/>
                      <w:i w:val="0"/>
                      <w:iCs w:val="0"/>
                      <w:color w:val="0000FF"/>
                      <w:kern w:val="0"/>
                      <w:sz w:val="21"/>
                      <w:szCs w:val="21"/>
                      <w:highlight w:val="none"/>
                      <w:u w:val="none"/>
                      <w:lang w:val="en-US" w:eastAsia="zh-CN" w:bidi="ar"/>
                    </w:rPr>
                    <w:t>0.2204t/a</w:t>
                  </w:r>
                </w:p>
              </w:tc>
              <w:tc>
                <w:tcPr>
                  <w:tcW w:w="574" w:type="pct"/>
                  <w:gridSpan w:val="2"/>
                  <w:tcBorders>
                    <w:tl2br w:val="nil"/>
                    <w:tr2bl w:val="nil"/>
                  </w:tcBorders>
                  <w:noWrap w:val="0"/>
                  <w:vAlign w:val="center"/>
                </w:tcPr>
                <w:p w14:paraId="1B493D50">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1.8t/a</w:t>
                  </w:r>
                </w:p>
              </w:tc>
            </w:tr>
            <w:tr w14:paraId="328DF1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continue"/>
                  <w:tcBorders>
                    <w:tl2br w:val="nil"/>
                    <w:tr2bl w:val="nil"/>
                  </w:tcBorders>
                  <w:noWrap w:val="0"/>
                  <w:vAlign w:val="center"/>
                </w:tcPr>
                <w:p w14:paraId="5DA4254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tcBorders>
                    <w:tl2br w:val="nil"/>
                    <w:tr2bl w:val="nil"/>
                  </w:tcBorders>
                  <w:noWrap w:val="0"/>
                  <w:vAlign w:val="center"/>
                </w:tcPr>
                <w:p w14:paraId="4F29833C">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NH</w:t>
                  </w:r>
                  <w:r>
                    <w:rPr>
                      <w:rFonts w:hint="default" w:ascii="Times New Roman" w:hAnsi="Times New Roman" w:eastAsia="宋体" w:cs="Times New Roman"/>
                      <w:i w:val="0"/>
                      <w:iCs w:val="0"/>
                      <w:color w:val="0000FF"/>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0000FF"/>
                      <w:kern w:val="0"/>
                      <w:sz w:val="21"/>
                      <w:szCs w:val="21"/>
                      <w:highlight w:val="none"/>
                      <w:u w:val="none"/>
                      <w:lang w:val="en-US" w:eastAsia="zh-CN" w:bidi="ar"/>
                    </w:rPr>
                    <w:t>-N</w:t>
                  </w:r>
                </w:p>
              </w:tc>
              <w:tc>
                <w:tcPr>
                  <w:tcW w:w="803" w:type="pct"/>
                  <w:gridSpan w:val="2"/>
                  <w:tcBorders>
                    <w:tl2br w:val="nil"/>
                    <w:tr2bl w:val="nil"/>
                  </w:tcBorders>
                  <w:noWrap w:val="0"/>
                  <w:vAlign w:val="center"/>
                </w:tcPr>
                <w:p w14:paraId="30160B2F">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4.71</w:t>
                  </w:r>
                </w:p>
              </w:tc>
              <w:tc>
                <w:tcPr>
                  <w:tcW w:w="778" w:type="pct"/>
                  <w:gridSpan w:val="2"/>
                  <w:tcBorders>
                    <w:tl2br w:val="nil"/>
                    <w:tr2bl w:val="nil"/>
                  </w:tcBorders>
                  <w:noWrap w:val="0"/>
                  <w:vAlign w:val="center"/>
                </w:tcPr>
                <w:p w14:paraId="5374B7ED">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0.0188</w:t>
                  </w:r>
                  <w:r>
                    <w:rPr>
                      <w:rFonts w:hint="eastAsia" w:ascii="Times New Roman" w:hAnsi="Times New Roman" w:eastAsia="宋体" w:cs="Times New Roman"/>
                      <w:i w:val="0"/>
                      <w:iCs w:val="0"/>
                      <w:color w:val="0000FF"/>
                      <w:kern w:val="0"/>
                      <w:sz w:val="21"/>
                      <w:szCs w:val="21"/>
                      <w:highlight w:val="none"/>
                      <w:u w:val="none"/>
                      <w:lang w:val="en-US" w:eastAsia="zh-CN" w:bidi="ar"/>
                    </w:rPr>
                    <w:t>t/a</w:t>
                  </w:r>
                </w:p>
              </w:tc>
              <w:tc>
                <w:tcPr>
                  <w:tcW w:w="574" w:type="pct"/>
                  <w:gridSpan w:val="2"/>
                  <w:tcBorders>
                    <w:tl2br w:val="nil"/>
                    <w:tr2bl w:val="nil"/>
                  </w:tcBorders>
                  <w:noWrap w:val="0"/>
                  <w:vAlign w:val="center"/>
                </w:tcPr>
                <w:p w14:paraId="5FBFC195">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0.27t/a</w:t>
                  </w:r>
                </w:p>
              </w:tc>
            </w:tr>
            <w:tr w14:paraId="4ABCA9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continue"/>
                  <w:tcBorders>
                    <w:tl2br w:val="nil"/>
                    <w:tr2bl w:val="nil"/>
                  </w:tcBorders>
                  <w:noWrap w:val="0"/>
                  <w:vAlign w:val="center"/>
                </w:tcPr>
                <w:p w14:paraId="257357E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tcBorders>
                    <w:tl2br w:val="nil"/>
                    <w:tr2bl w:val="nil"/>
                  </w:tcBorders>
                  <w:noWrap w:val="0"/>
                  <w:vAlign w:val="center"/>
                </w:tcPr>
                <w:p w14:paraId="6435CA8E">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BOD</w:t>
                  </w:r>
                  <w:r>
                    <w:rPr>
                      <w:rFonts w:hint="eastAsia" w:cs="Times New Roman"/>
                      <w:i w:val="0"/>
                      <w:iCs w:val="0"/>
                      <w:color w:val="0000FF"/>
                      <w:kern w:val="0"/>
                      <w:sz w:val="21"/>
                      <w:szCs w:val="21"/>
                      <w:highlight w:val="none"/>
                      <w:u w:val="none"/>
                      <w:vertAlign w:val="subscript"/>
                      <w:lang w:val="en-US" w:eastAsia="zh-CN" w:bidi="ar"/>
                    </w:rPr>
                    <w:t>5</w:t>
                  </w:r>
                </w:p>
              </w:tc>
              <w:tc>
                <w:tcPr>
                  <w:tcW w:w="803" w:type="pct"/>
                  <w:gridSpan w:val="2"/>
                  <w:tcBorders>
                    <w:tl2br w:val="nil"/>
                    <w:tr2bl w:val="nil"/>
                  </w:tcBorders>
                  <w:noWrap w:val="0"/>
                  <w:vAlign w:val="center"/>
                </w:tcPr>
                <w:p w14:paraId="54E0F723">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16.2</w:t>
                  </w:r>
                </w:p>
              </w:tc>
              <w:tc>
                <w:tcPr>
                  <w:tcW w:w="778" w:type="pct"/>
                  <w:gridSpan w:val="2"/>
                  <w:tcBorders>
                    <w:tl2br w:val="nil"/>
                    <w:tr2bl w:val="nil"/>
                  </w:tcBorders>
                  <w:noWrap w:val="0"/>
                  <w:vAlign w:val="center"/>
                </w:tcPr>
                <w:p w14:paraId="7029127B">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0.0648</w:t>
                  </w:r>
                  <w:r>
                    <w:rPr>
                      <w:rFonts w:hint="eastAsia" w:ascii="Times New Roman" w:hAnsi="Times New Roman" w:eastAsia="宋体" w:cs="Times New Roman"/>
                      <w:i w:val="0"/>
                      <w:iCs w:val="0"/>
                      <w:color w:val="0000FF"/>
                      <w:kern w:val="0"/>
                      <w:sz w:val="21"/>
                      <w:szCs w:val="21"/>
                      <w:highlight w:val="none"/>
                      <w:u w:val="none"/>
                      <w:lang w:val="en-US" w:eastAsia="zh-CN" w:bidi="ar"/>
                    </w:rPr>
                    <w:t>t/a</w:t>
                  </w:r>
                </w:p>
              </w:tc>
              <w:tc>
                <w:tcPr>
                  <w:tcW w:w="574" w:type="pct"/>
                  <w:gridSpan w:val="2"/>
                  <w:tcBorders>
                    <w:tl2br w:val="nil"/>
                    <w:tr2bl w:val="nil"/>
                  </w:tcBorders>
                  <w:noWrap w:val="0"/>
                  <w:vAlign w:val="center"/>
                </w:tcPr>
                <w:p w14:paraId="515624BC">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67760E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continue"/>
                  <w:tcBorders>
                    <w:tl2br w:val="nil"/>
                    <w:tr2bl w:val="nil"/>
                  </w:tcBorders>
                  <w:noWrap w:val="0"/>
                  <w:vAlign w:val="center"/>
                </w:tcPr>
                <w:p w14:paraId="38F1BE6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tcBorders>
                    <w:tl2br w:val="nil"/>
                    <w:tr2bl w:val="nil"/>
                  </w:tcBorders>
                  <w:noWrap w:val="0"/>
                  <w:vAlign w:val="center"/>
                </w:tcPr>
                <w:p w14:paraId="0312C329">
                  <w:pPr>
                    <w:keepNext w:val="0"/>
                    <w:keepLines w:val="0"/>
                    <w:pageBreakBefore w:val="0"/>
                    <w:widowControl/>
                    <w:suppressLineNumbers w:val="0"/>
                    <w:kinsoku/>
                    <w:wordWrap/>
                    <w:overflowPunct/>
                    <w:topLinePunct w:val="0"/>
                    <w:bidi w:val="0"/>
                    <w:spacing w:line="240" w:lineRule="auto"/>
                    <w:jc w:val="center"/>
                    <w:textAlignment w:val="center"/>
                    <w:rPr>
                      <w:rFonts w:hint="default"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SS</w:t>
                  </w:r>
                </w:p>
              </w:tc>
              <w:tc>
                <w:tcPr>
                  <w:tcW w:w="803" w:type="pct"/>
                  <w:gridSpan w:val="2"/>
                  <w:tcBorders>
                    <w:tl2br w:val="nil"/>
                    <w:tr2bl w:val="nil"/>
                  </w:tcBorders>
                  <w:noWrap w:val="0"/>
                  <w:vAlign w:val="center"/>
                </w:tcPr>
                <w:p w14:paraId="6E8CA877">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54</w:t>
                  </w:r>
                </w:p>
              </w:tc>
              <w:tc>
                <w:tcPr>
                  <w:tcW w:w="778" w:type="pct"/>
                  <w:gridSpan w:val="2"/>
                  <w:tcBorders>
                    <w:tl2br w:val="nil"/>
                    <w:tr2bl w:val="nil"/>
                  </w:tcBorders>
                  <w:noWrap w:val="0"/>
                  <w:vAlign w:val="center"/>
                </w:tcPr>
                <w:p w14:paraId="0E372124">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0.216</w:t>
                  </w:r>
                  <w:r>
                    <w:rPr>
                      <w:rFonts w:hint="eastAsia" w:ascii="Times New Roman" w:hAnsi="Times New Roman" w:eastAsia="宋体" w:cs="Times New Roman"/>
                      <w:i w:val="0"/>
                      <w:iCs w:val="0"/>
                      <w:color w:val="0000FF"/>
                      <w:kern w:val="0"/>
                      <w:sz w:val="21"/>
                      <w:szCs w:val="21"/>
                      <w:highlight w:val="none"/>
                      <w:u w:val="none"/>
                      <w:lang w:val="en-US" w:eastAsia="zh-CN" w:bidi="ar"/>
                    </w:rPr>
                    <w:t>t/a</w:t>
                  </w:r>
                </w:p>
              </w:tc>
              <w:tc>
                <w:tcPr>
                  <w:tcW w:w="574" w:type="pct"/>
                  <w:gridSpan w:val="2"/>
                  <w:tcBorders>
                    <w:tl2br w:val="nil"/>
                    <w:tr2bl w:val="nil"/>
                  </w:tcBorders>
                  <w:noWrap w:val="0"/>
                  <w:vAlign w:val="center"/>
                </w:tcPr>
                <w:p w14:paraId="43BFB4B2">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7EC0E5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2"/>
                <w:wAfter w:w="1150" w:type="pct"/>
                <w:trHeight w:val="397" w:hRule="atLeast"/>
              </w:trPr>
              <w:tc>
                <w:tcPr>
                  <w:tcW w:w="758" w:type="pct"/>
                  <w:gridSpan w:val="3"/>
                  <w:vMerge w:val="continue"/>
                  <w:tcBorders>
                    <w:tl2br w:val="nil"/>
                    <w:tr2bl w:val="nil"/>
                  </w:tcBorders>
                  <w:noWrap w:val="0"/>
                  <w:vAlign w:val="center"/>
                </w:tcPr>
                <w:p w14:paraId="279BE5F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tcBorders>
                    <w:tl2br w:val="nil"/>
                    <w:tr2bl w:val="nil"/>
                  </w:tcBorders>
                  <w:noWrap w:val="0"/>
                  <w:vAlign w:val="center"/>
                </w:tcPr>
                <w:p w14:paraId="085F6054">
                  <w:pPr>
                    <w:keepNext w:val="0"/>
                    <w:keepLines w:val="0"/>
                    <w:pageBreakBefore w:val="0"/>
                    <w:widowControl/>
                    <w:suppressLineNumbers w:val="0"/>
                    <w:kinsoku/>
                    <w:wordWrap/>
                    <w:overflowPunct/>
                    <w:topLinePunct w:val="0"/>
                    <w:bidi w:val="0"/>
                    <w:spacing w:line="240" w:lineRule="auto"/>
                    <w:jc w:val="center"/>
                    <w:textAlignment w:val="center"/>
                    <w:rPr>
                      <w:rFonts w:hint="default"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动植物油</w:t>
                  </w:r>
                </w:p>
              </w:tc>
              <w:tc>
                <w:tcPr>
                  <w:tcW w:w="803" w:type="pct"/>
                  <w:gridSpan w:val="2"/>
                  <w:tcBorders>
                    <w:tl2br w:val="nil"/>
                    <w:tr2bl w:val="nil"/>
                  </w:tcBorders>
                  <w:noWrap w:val="0"/>
                  <w:vAlign w:val="center"/>
                </w:tcPr>
                <w:p w14:paraId="55EB7FF2">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0.72</w:t>
                  </w:r>
                </w:p>
              </w:tc>
              <w:tc>
                <w:tcPr>
                  <w:tcW w:w="778" w:type="pct"/>
                  <w:gridSpan w:val="2"/>
                  <w:tcBorders>
                    <w:tl2br w:val="nil"/>
                    <w:tr2bl w:val="nil"/>
                  </w:tcBorders>
                  <w:noWrap w:val="0"/>
                  <w:vAlign w:val="center"/>
                </w:tcPr>
                <w:p w14:paraId="4D4451F3">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0.0029</w:t>
                  </w:r>
                  <w:r>
                    <w:rPr>
                      <w:rFonts w:hint="eastAsia" w:ascii="Times New Roman" w:hAnsi="Times New Roman" w:eastAsia="宋体" w:cs="Times New Roman"/>
                      <w:i w:val="0"/>
                      <w:iCs w:val="0"/>
                      <w:color w:val="0000FF"/>
                      <w:kern w:val="0"/>
                      <w:sz w:val="21"/>
                      <w:szCs w:val="21"/>
                      <w:highlight w:val="none"/>
                      <w:u w:val="none"/>
                      <w:lang w:val="en-US" w:eastAsia="zh-CN" w:bidi="ar"/>
                    </w:rPr>
                    <w:t>t/a</w:t>
                  </w:r>
                </w:p>
              </w:tc>
              <w:tc>
                <w:tcPr>
                  <w:tcW w:w="574" w:type="pct"/>
                  <w:gridSpan w:val="2"/>
                  <w:tcBorders>
                    <w:tl2br w:val="nil"/>
                    <w:tr2bl w:val="nil"/>
                  </w:tcBorders>
                  <w:noWrap w:val="0"/>
                  <w:vAlign w:val="center"/>
                </w:tcPr>
                <w:p w14:paraId="3AEE61C7">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4711E4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restart"/>
                  <w:tcBorders>
                    <w:tl2br w:val="nil"/>
                    <w:tr2bl w:val="nil"/>
                  </w:tcBorders>
                  <w:noWrap w:val="0"/>
                  <w:vAlign w:val="center"/>
                </w:tcPr>
                <w:p w14:paraId="0A85C92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lang w:val="en-US" w:eastAsia="zh-CN"/>
                    </w:rPr>
                    <w:t>固废</w:t>
                  </w:r>
                </w:p>
              </w:tc>
              <w:tc>
                <w:tcPr>
                  <w:tcW w:w="528" w:type="pct"/>
                  <w:tcBorders>
                    <w:tl2br w:val="nil"/>
                    <w:tr2bl w:val="nil"/>
                  </w:tcBorders>
                  <w:noWrap w:val="0"/>
                  <w:vAlign w:val="center"/>
                </w:tcPr>
                <w:p w14:paraId="3A27A8D2">
                  <w:pPr>
                    <w:keepNext w:val="0"/>
                    <w:keepLines w:val="0"/>
                    <w:pageBreakBefore w:val="0"/>
                    <w:widowControl w:val="0"/>
                    <w:kinsoku/>
                    <w:wordWrap/>
                    <w:overflowPunct/>
                    <w:topLinePunct w:val="0"/>
                    <w:bidi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0000FF"/>
                      <w:kern w:val="21"/>
                      <w:sz w:val="21"/>
                      <w:szCs w:val="21"/>
                      <w:highlight w:val="none"/>
                      <w:lang w:val="en-US" w:eastAsia="zh-CN" w:bidi="ar-SA"/>
                    </w:rPr>
                  </w:pPr>
                  <w:r>
                    <w:rPr>
                      <w:rFonts w:hint="default" w:ascii="Times New Roman" w:hAnsi="Times New Roman" w:eastAsia="宋体" w:cs="Times New Roman"/>
                      <w:snapToGrid w:val="0"/>
                      <w:color w:val="0000FF"/>
                      <w:kern w:val="21"/>
                      <w:sz w:val="21"/>
                      <w:szCs w:val="21"/>
                      <w:highlight w:val="none"/>
                      <w:lang w:val="en-US" w:eastAsia="zh-CN" w:bidi="ar-SA"/>
                    </w:rPr>
                    <w:t>一般工业</w:t>
                  </w:r>
                </w:p>
                <w:p w14:paraId="2BC8BE06">
                  <w:pPr>
                    <w:keepNext w:val="0"/>
                    <w:keepLines w:val="0"/>
                    <w:pageBreakBefore w:val="0"/>
                    <w:widowControl w:val="0"/>
                    <w:kinsoku/>
                    <w:wordWrap/>
                    <w:overflowPunct/>
                    <w:topLinePunct w:val="0"/>
                    <w:bidi w:val="0"/>
                    <w:adjustRightInd w:val="0"/>
                    <w:snapToGrid w:val="0"/>
                    <w:spacing w:beforeLines="0" w:afterLines="0" w:line="240" w:lineRule="auto"/>
                    <w:ind w:firstLine="0" w:firstLineChars="0"/>
                    <w:jc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snapToGrid w:val="0"/>
                      <w:color w:val="0000FF"/>
                      <w:kern w:val="21"/>
                      <w:sz w:val="21"/>
                      <w:szCs w:val="21"/>
                      <w:highlight w:val="none"/>
                      <w:lang w:val="en-US" w:eastAsia="zh-CN" w:bidi="ar-SA"/>
                    </w:rPr>
                    <w:t>固体废物</w:t>
                  </w:r>
                </w:p>
              </w:tc>
              <w:tc>
                <w:tcPr>
                  <w:tcW w:w="934" w:type="pct"/>
                  <w:gridSpan w:val="2"/>
                  <w:tcBorders>
                    <w:tl2br w:val="nil"/>
                    <w:tr2bl w:val="nil"/>
                  </w:tcBorders>
                  <w:noWrap w:val="0"/>
                  <w:vAlign w:val="center"/>
                </w:tcPr>
                <w:p w14:paraId="0C02DC7D">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eastAsia" w:cs="Times New Roman"/>
                      <w:bCs/>
                      <w:color w:val="0000FF"/>
                      <w:sz w:val="21"/>
                      <w:szCs w:val="21"/>
                      <w:highlight w:val="none"/>
                      <w:lang w:val="en-US" w:eastAsia="zh-CN"/>
                    </w:rPr>
                    <w:t>沉降金属粉尘、边角料、不合格品</w:t>
                  </w:r>
                </w:p>
              </w:tc>
              <w:tc>
                <w:tcPr>
                  <w:tcW w:w="803" w:type="pct"/>
                  <w:gridSpan w:val="2"/>
                  <w:tcBorders>
                    <w:tl2br w:val="nil"/>
                    <w:tr2bl w:val="nil"/>
                  </w:tcBorders>
                  <w:noWrap w:val="0"/>
                  <w:vAlign w:val="center"/>
                </w:tcPr>
                <w:p w14:paraId="5FF5416C">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tcBorders>
                    <w:tl2br w:val="nil"/>
                    <w:tr2bl w:val="nil"/>
                  </w:tcBorders>
                  <w:noWrap w:val="0"/>
                  <w:vAlign w:val="center"/>
                </w:tcPr>
                <w:p w14:paraId="5C28A986">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i w:val="0"/>
                      <w:iCs w:val="0"/>
                      <w:color w:val="0000FF"/>
                      <w:kern w:val="0"/>
                      <w:sz w:val="21"/>
                      <w:szCs w:val="21"/>
                      <w:highlight w:val="none"/>
                      <w:u w:val="none"/>
                      <w:lang w:val="en-US" w:eastAsia="zh-CN" w:bidi="ar"/>
                    </w:rPr>
                    <w:t>2.9</w:t>
                  </w:r>
                  <w:r>
                    <w:rPr>
                      <w:rFonts w:hint="default" w:ascii="Times New Roman" w:hAnsi="Times New Roman" w:eastAsia="宋体" w:cs="Times New Roman"/>
                      <w:b w:val="0"/>
                      <w:bCs w:val="0"/>
                      <w:color w:val="0000FF"/>
                      <w:kern w:val="2"/>
                      <w:sz w:val="21"/>
                      <w:szCs w:val="21"/>
                      <w:highlight w:val="none"/>
                      <w:vertAlign w:val="baseline"/>
                      <w:lang w:val="en-US" w:eastAsia="zh-CN" w:bidi="ar-SA"/>
                    </w:rPr>
                    <w:t>t/a</w:t>
                  </w:r>
                </w:p>
              </w:tc>
              <w:tc>
                <w:tcPr>
                  <w:tcW w:w="574" w:type="pct"/>
                  <w:gridSpan w:val="2"/>
                  <w:tcBorders>
                    <w:tl2br w:val="nil"/>
                    <w:tr2bl w:val="nil"/>
                  </w:tcBorders>
                  <w:noWrap w:val="0"/>
                  <w:vAlign w:val="center"/>
                </w:tcPr>
                <w:p w14:paraId="75DE1B38">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3927AE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continue"/>
                  <w:noWrap w:val="0"/>
                  <w:vAlign w:val="center"/>
                </w:tcPr>
                <w:p w14:paraId="5878E4D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528" w:type="pct"/>
                  <w:noWrap w:val="0"/>
                  <w:vAlign w:val="center"/>
                </w:tcPr>
                <w:p w14:paraId="7F252AA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w:t>
                  </w:r>
                </w:p>
              </w:tc>
              <w:tc>
                <w:tcPr>
                  <w:tcW w:w="934" w:type="pct"/>
                  <w:gridSpan w:val="2"/>
                  <w:noWrap w:val="0"/>
                  <w:vAlign w:val="center"/>
                </w:tcPr>
                <w:p w14:paraId="3091B9A9">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生活垃圾</w:t>
                  </w:r>
                </w:p>
              </w:tc>
              <w:tc>
                <w:tcPr>
                  <w:tcW w:w="803" w:type="pct"/>
                  <w:gridSpan w:val="2"/>
                  <w:noWrap w:val="0"/>
                  <w:vAlign w:val="center"/>
                </w:tcPr>
                <w:p w14:paraId="5E587E8A">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noWrap w:val="0"/>
                  <w:vAlign w:val="center"/>
                </w:tcPr>
                <w:p w14:paraId="4E595742">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color w:val="0000FF"/>
                      <w:kern w:val="2"/>
                      <w:sz w:val="21"/>
                      <w:szCs w:val="21"/>
                      <w:highlight w:val="none"/>
                      <w:lang w:val="en-US" w:eastAsia="zh-CN" w:bidi="ar-SA"/>
                    </w:rPr>
                    <w:t>1</w:t>
                  </w:r>
                  <w:r>
                    <w:rPr>
                      <w:rFonts w:hint="default" w:ascii="Times New Roman" w:hAnsi="Times New Roman" w:eastAsia="宋体" w:cs="Times New Roman"/>
                      <w:color w:val="0000FF"/>
                      <w:kern w:val="2"/>
                      <w:sz w:val="21"/>
                      <w:szCs w:val="21"/>
                      <w:highlight w:val="none"/>
                      <w:lang w:val="en-US" w:eastAsia="zh-CN" w:bidi="ar-SA"/>
                    </w:rPr>
                    <w:t>5</w:t>
                  </w:r>
                  <w:r>
                    <w:rPr>
                      <w:rFonts w:hint="eastAsia" w:cs="Times New Roman"/>
                      <w:color w:val="0000FF"/>
                      <w:kern w:val="2"/>
                      <w:sz w:val="21"/>
                      <w:szCs w:val="21"/>
                      <w:highlight w:val="none"/>
                      <w:lang w:val="en-US" w:eastAsia="zh-CN" w:bidi="ar-SA"/>
                    </w:rPr>
                    <w:t>0</w:t>
                  </w:r>
                  <w:r>
                    <w:rPr>
                      <w:rFonts w:hint="default" w:ascii="Times New Roman" w:hAnsi="Times New Roman" w:eastAsia="宋体" w:cs="Times New Roman"/>
                      <w:color w:val="0000FF"/>
                      <w:kern w:val="2"/>
                      <w:sz w:val="21"/>
                      <w:szCs w:val="21"/>
                      <w:highlight w:val="none"/>
                      <w:lang w:val="en-US" w:eastAsia="zh-CN" w:bidi="ar-SA"/>
                    </w:rPr>
                    <w:t>t/a</w:t>
                  </w:r>
                </w:p>
              </w:tc>
              <w:tc>
                <w:tcPr>
                  <w:tcW w:w="574" w:type="pct"/>
                  <w:gridSpan w:val="2"/>
                  <w:noWrap w:val="0"/>
                  <w:vAlign w:val="center"/>
                </w:tcPr>
                <w:p w14:paraId="7D8F266D">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0000FF"/>
                      <w:kern w:val="2"/>
                      <w:sz w:val="21"/>
                      <w:szCs w:val="21"/>
                      <w:highlight w:val="none"/>
                      <w:lang w:val="en-US" w:eastAsia="zh-CN" w:bidi="ar-SA"/>
                    </w:rPr>
                  </w:pPr>
                </w:p>
              </w:tc>
            </w:tr>
            <w:tr w14:paraId="71E501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continue"/>
                  <w:noWrap w:val="0"/>
                  <w:vAlign w:val="center"/>
                </w:tcPr>
                <w:p w14:paraId="6E81919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528" w:type="pct"/>
                  <w:vMerge w:val="restart"/>
                  <w:noWrap w:val="0"/>
                  <w:vAlign w:val="center"/>
                </w:tcPr>
                <w:p w14:paraId="0EB8BFCA">
                  <w:pPr>
                    <w:keepNext w:val="0"/>
                    <w:keepLines w:val="0"/>
                    <w:pageBreakBefore w:val="0"/>
                    <w:widowControl w:val="0"/>
                    <w:kinsoku/>
                    <w:wordWrap/>
                    <w:overflowPunct/>
                    <w:topLinePunct w:val="0"/>
                    <w:bidi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0000FF"/>
                      <w:kern w:val="2"/>
                      <w:sz w:val="21"/>
                      <w:szCs w:val="21"/>
                      <w:highlight w:val="none"/>
                      <w:lang w:val="en-US" w:eastAsia="zh-CN" w:bidi="ar-SA"/>
                    </w:rPr>
                  </w:pPr>
                  <w:r>
                    <w:rPr>
                      <w:rFonts w:hint="default" w:ascii="Times New Roman" w:hAnsi="Times New Roman" w:eastAsia="宋体" w:cs="Times New Roman"/>
                      <w:b w:val="0"/>
                      <w:bCs w:val="0"/>
                      <w:color w:val="0000FF"/>
                      <w:sz w:val="21"/>
                      <w:szCs w:val="21"/>
                      <w:highlight w:val="none"/>
                      <w:lang w:eastAsia="zh-CN"/>
                    </w:rPr>
                    <w:t>危险废物</w:t>
                  </w:r>
                </w:p>
              </w:tc>
              <w:tc>
                <w:tcPr>
                  <w:tcW w:w="934" w:type="pct"/>
                  <w:gridSpan w:val="2"/>
                  <w:noWrap w:val="0"/>
                  <w:vAlign w:val="center"/>
                </w:tcPr>
                <w:p w14:paraId="590E0BA2">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eastAsia" w:cs="Times New Roman"/>
                      <w:bCs/>
                      <w:color w:val="0000FF"/>
                      <w:sz w:val="21"/>
                      <w:szCs w:val="21"/>
                      <w:highlight w:val="none"/>
                      <w:lang w:val="en-US" w:eastAsia="zh-CN"/>
                    </w:rPr>
                    <w:t>生产过程更换的废清洗油</w:t>
                  </w:r>
                </w:p>
              </w:tc>
              <w:tc>
                <w:tcPr>
                  <w:tcW w:w="803" w:type="pct"/>
                  <w:gridSpan w:val="2"/>
                  <w:noWrap w:val="0"/>
                  <w:vAlign w:val="center"/>
                </w:tcPr>
                <w:p w14:paraId="4DE4ECEE">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noWrap w:val="0"/>
                  <w:vAlign w:val="center"/>
                </w:tcPr>
                <w:p w14:paraId="5530EEAB">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i w:val="0"/>
                      <w:iCs w:val="0"/>
                      <w:color w:val="0000FF"/>
                      <w:kern w:val="0"/>
                      <w:sz w:val="21"/>
                      <w:szCs w:val="21"/>
                      <w:highlight w:val="none"/>
                      <w:u w:val="none"/>
                      <w:lang w:val="en-US" w:eastAsia="zh-CN" w:bidi="ar"/>
                    </w:rPr>
                    <w:t>2.4</w:t>
                  </w:r>
                  <w:r>
                    <w:rPr>
                      <w:rFonts w:hint="default" w:ascii="Times New Roman" w:hAnsi="Times New Roman" w:eastAsia="宋体" w:cs="Times New Roman"/>
                      <w:b w:val="0"/>
                      <w:bCs w:val="0"/>
                      <w:color w:val="0000FF"/>
                      <w:kern w:val="2"/>
                      <w:sz w:val="21"/>
                      <w:szCs w:val="21"/>
                      <w:highlight w:val="none"/>
                      <w:vertAlign w:val="baseline"/>
                      <w:lang w:val="en-US" w:eastAsia="zh-CN" w:bidi="ar-SA"/>
                    </w:rPr>
                    <w:t>t/a</w:t>
                  </w:r>
                </w:p>
              </w:tc>
              <w:tc>
                <w:tcPr>
                  <w:tcW w:w="574" w:type="pct"/>
                  <w:gridSpan w:val="2"/>
                  <w:noWrap w:val="0"/>
                  <w:vAlign w:val="center"/>
                </w:tcPr>
                <w:p w14:paraId="5B13ED5E">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26BA3A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continue"/>
                  <w:noWrap w:val="0"/>
                  <w:vAlign w:val="center"/>
                </w:tcPr>
                <w:p w14:paraId="6E0152A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528" w:type="pct"/>
                  <w:vMerge w:val="continue"/>
                  <w:noWrap w:val="0"/>
                  <w:vAlign w:val="center"/>
                </w:tcPr>
                <w:p w14:paraId="3E51A03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noWrap w:val="0"/>
                  <w:vAlign w:val="center"/>
                </w:tcPr>
                <w:p w14:paraId="7ADCDF47">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eastAsia" w:cs="Times New Roman"/>
                      <w:bCs/>
                      <w:color w:val="0000FF"/>
                      <w:sz w:val="21"/>
                      <w:szCs w:val="21"/>
                      <w:highlight w:val="none"/>
                      <w:lang w:val="en-US" w:eastAsia="zh-CN"/>
                    </w:rPr>
                    <w:t>超声波介质用水</w:t>
                  </w:r>
                </w:p>
              </w:tc>
              <w:tc>
                <w:tcPr>
                  <w:tcW w:w="803" w:type="pct"/>
                  <w:gridSpan w:val="2"/>
                  <w:noWrap w:val="0"/>
                  <w:vAlign w:val="center"/>
                </w:tcPr>
                <w:p w14:paraId="7E6C63C3">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noWrap w:val="0"/>
                  <w:vAlign w:val="center"/>
                </w:tcPr>
                <w:p w14:paraId="68366C37">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b w:val="0"/>
                      <w:bCs w:val="0"/>
                      <w:color w:val="0000FF"/>
                      <w:kern w:val="2"/>
                      <w:sz w:val="21"/>
                      <w:szCs w:val="21"/>
                      <w:highlight w:val="none"/>
                      <w:vertAlign w:val="baseline"/>
                      <w:lang w:val="en-US" w:eastAsia="zh-CN" w:bidi="ar-SA"/>
                    </w:rPr>
                    <w:t>20</w:t>
                  </w:r>
                  <w:r>
                    <w:rPr>
                      <w:rFonts w:hint="default" w:ascii="Times New Roman" w:hAnsi="Times New Roman" w:eastAsia="宋体" w:cs="Times New Roman"/>
                      <w:b w:val="0"/>
                      <w:bCs w:val="0"/>
                      <w:color w:val="0000FF"/>
                      <w:kern w:val="2"/>
                      <w:sz w:val="21"/>
                      <w:szCs w:val="21"/>
                      <w:highlight w:val="none"/>
                      <w:vertAlign w:val="baseline"/>
                      <w:lang w:val="en-US" w:eastAsia="zh-CN" w:bidi="ar-SA"/>
                    </w:rPr>
                    <w:t>t/a</w:t>
                  </w:r>
                </w:p>
              </w:tc>
              <w:tc>
                <w:tcPr>
                  <w:tcW w:w="574" w:type="pct"/>
                  <w:gridSpan w:val="2"/>
                  <w:noWrap w:val="0"/>
                  <w:vAlign w:val="center"/>
                </w:tcPr>
                <w:p w14:paraId="0417A707">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47F687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continue"/>
                  <w:noWrap w:val="0"/>
                  <w:vAlign w:val="center"/>
                </w:tcPr>
                <w:p w14:paraId="5901D9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528" w:type="pct"/>
                  <w:vMerge w:val="continue"/>
                  <w:noWrap w:val="0"/>
                  <w:vAlign w:val="center"/>
                </w:tcPr>
                <w:p w14:paraId="7541C9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noWrap w:val="0"/>
                  <w:vAlign w:val="center"/>
                </w:tcPr>
                <w:p w14:paraId="03BD46A6">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废</w:t>
                  </w:r>
                  <w:r>
                    <w:rPr>
                      <w:rFonts w:hint="eastAsia" w:cs="Times New Roman"/>
                      <w:bCs/>
                      <w:color w:val="0000FF"/>
                      <w:sz w:val="21"/>
                      <w:szCs w:val="21"/>
                      <w:highlight w:val="none"/>
                      <w:lang w:val="en-US" w:eastAsia="zh-CN"/>
                    </w:rPr>
                    <w:t>乳化液</w:t>
                  </w:r>
                </w:p>
              </w:tc>
              <w:tc>
                <w:tcPr>
                  <w:tcW w:w="803" w:type="pct"/>
                  <w:gridSpan w:val="2"/>
                  <w:noWrap w:val="0"/>
                  <w:vAlign w:val="center"/>
                </w:tcPr>
                <w:p w14:paraId="3EF3F7AD">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noWrap w:val="0"/>
                  <w:vAlign w:val="center"/>
                </w:tcPr>
                <w:p w14:paraId="34D0877B">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i w:val="0"/>
                      <w:iCs w:val="0"/>
                      <w:color w:val="0000FF"/>
                      <w:kern w:val="0"/>
                      <w:sz w:val="21"/>
                      <w:szCs w:val="21"/>
                      <w:highlight w:val="none"/>
                      <w:u w:val="none"/>
                      <w:lang w:val="en-US" w:eastAsia="zh-CN" w:bidi="ar"/>
                    </w:rPr>
                    <w:t>4</w:t>
                  </w:r>
                  <w:r>
                    <w:rPr>
                      <w:rFonts w:hint="default" w:ascii="Times New Roman" w:hAnsi="Times New Roman" w:eastAsia="宋体" w:cs="Times New Roman"/>
                      <w:b w:val="0"/>
                      <w:bCs w:val="0"/>
                      <w:color w:val="0000FF"/>
                      <w:kern w:val="2"/>
                      <w:sz w:val="21"/>
                      <w:szCs w:val="21"/>
                      <w:highlight w:val="none"/>
                      <w:vertAlign w:val="baseline"/>
                      <w:lang w:val="en-US" w:eastAsia="zh-CN" w:bidi="ar-SA"/>
                    </w:rPr>
                    <w:t>t/a</w:t>
                  </w:r>
                </w:p>
              </w:tc>
              <w:tc>
                <w:tcPr>
                  <w:tcW w:w="574" w:type="pct"/>
                  <w:gridSpan w:val="2"/>
                  <w:noWrap w:val="0"/>
                  <w:vAlign w:val="center"/>
                </w:tcPr>
                <w:p w14:paraId="76079AE5">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169389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3"/>
                <w:wAfter w:w="1150" w:type="pct"/>
                <w:trHeight w:val="397" w:hRule="atLeast"/>
              </w:trPr>
              <w:tc>
                <w:tcPr>
                  <w:tcW w:w="229" w:type="pct"/>
                  <w:vMerge w:val="continue"/>
                  <w:noWrap w:val="0"/>
                  <w:vAlign w:val="center"/>
                </w:tcPr>
                <w:p w14:paraId="7447BC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528" w:type="pct"/>
                  <w:vMerge w:val="continue"/>
                  <w:noWrap w:val="0"/>
                  <w:vAlign w:val="center"/>
                </w:tcPr>
                <w:p w14:paraId="56733A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eastAsia="zh-CN"/>
                    </w:rPr>
                  </w:pPr>
                </w:p>
              </w:tc>
              <w:tc>
                <w:tcPr>
                  <w:tcW w:w="934" w:type="pct"/>
                  <w:gridSpan w:val="2"/>
                  <w:noWrap w:val="0"/>
                  <w:vAlign w:val="center"/>
                </w:tcPr>
                <w:p w14:paraId="6F64A038">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kern w:val="2"/>
                      <w:sz w:val="21"/>
                      <w:szCs w:val="21"/>
                      <w:highlight w:val="none"/>
                      <w:lang w:val="en-US" w:eastAsia="zh-CN" w:bidi="ar-SA"/>
                    </w:rPr>
                  </w:pPr>
                  <w:r>
                    <w:rPr>
                      <w:rFonts w:hint="eastAsia" w:cs="Times New Roman"/>
                      <w:bCs/>
                      <w:color w:val="0000FF"/>
                      <w:sz w:val="21"/>
                      <w:szCs w:val="21"/>
                      <w:highlight w:val="none"/>
                      <w:lang w:val="en-US" w:eastAsia="zh-CN"/>
                    </w:rPr>
                    <w:t>带油废棉布</w:t>
                  </w:r>
                </w:p>
              </w:tc>
              <w:tc>
                <w:tcPr>
                  <w:tcW w:w="803" w:type="pct"/>
                  <w:gridSpan w:val="2"/>
                  <w:noWrap w:val="0"/>
                  <w:vAlign w:val="center"/>
                </w:tcPr>
                <w:p w14:paraId="663EDA21">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0000FF"/>
                      <w:sz w:val="21"/>
                      <w:szCs w:val="21"/>
                      <w:highlight w:val="none"/>
                    </w:rPr>
                  </w:pPr>
                </w:p>
              </w:tc>
              <w:tc>
                <w:tcPr>
                  <w:tcW w:w="778" w:type="pct"/>
                  <w:gridSpan w:val="2"/>
                  <w:noWrap w:val="0"/>
                  <w:vAlign w:val="center"/>
                </w:tcPr>
                <w:p w14:paraId="013E0EAE">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 w:val="0"/>
                      <w:bCs w:val="0"/>
                      <w:color w:val="0000FF"/>
                      <w:kern w:val="2"/>
                      <w:sz w:val="21"/>
                      <w:szCs w:val="21"/>
                      <w:highlight w:val="none"/>
                      <w:vertAlign w:val="baseline"/>
                      <w:lang w:val="en-US" w:eastAsia="zh-CN" w:bidi="ar-SA"/>
                    </w:rPr>
                  </w:pPr>
                  <w:r>
                    <w:rPr>
                      <w:rFonts w:hint="eastAsia" w:cs="Times New Roman"/>
                      <w:i w:val="0"/>
                      <w:iCs w:val="0"/>
                      <w:color w:val="0000FF"/>
                      <w:kern w:val="0"/>
                      <w:sz w:val="21"/>
                      <w:szCs w:val="21"/>
                      <w:highlight w:val="none"/>
                      <w:u w:val="none"/>
                      <w:lang w:val="en-US" w:eastAsia="zh-CN" w:bidi="ar"/>
                    </w:rPr>
                    <w:t>0.03</w:t>
                  </w:r>
                  <w:r>
                    <w:rPr>
                      <w:rFonts w:hint="default" w:ascii="Times New Roman" w:hAnsi="Times New Roman" w:eastAsia="宋体" w:cs="Times New Roman"/>
                      <w:b w:val="0"/>
                      <w:bCs w:val="0"/>
                      <w:color w:val="0000FF"/>
                      <w:kern w:val="2"/>
                      <w:sz w:val="21"/>
                      <w:szCs w:val="21"/>
                      <w:highlight w:val="none"/>
                      <w:vertAlign w:val="baseline"/>
                      <w:lang w:val="en-US" w:eastAsia="zh-CN" w:bidi="ar-SA"/>
                    </w:rPr>
                    <w:t>t/a</w:t>
                  </w:r>
                </w:p>
              </w:tc>
              <w:tc>
                <w:tcPr>
                  <w:tcW w:w="574" w:type="pct"/>
                  <w:gridSpan w:val="2"/>
                  <w:noWrap w:val="0"/>
                  <w:vAlign w:val="center"/>
                </w:tcPr>
                <w:p w14:paraId="4FDCEE7C">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r>
            <w:tr w14:paraId="3FF5AB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869" w:type="pct"/>
                  <w:gridSpan w:val="12"/>
                  <w:noWrap w:val="0"/>
                  <w:vAlign w:val="center"/>
                </w:tcPr>
                <w:p w14:paraId="1BD67F3F">
                  <w:pPr>
                    <w:keepNext w:val="0"/>
                    <w:keepLines w:val="0"/>
                    <w:widowControl/>
                    <w:suppressLineNumbers w:val="0"/>
                    <w:jc w:val="both"/>
                    <w:textAlignment w:val="center"/>
                    <w:rPr>
                      <w:rFonts w:hint="default" w:ascii="Times New Roman" w:hAnsi="Times New Roman" w:eastAsia="宋体" w:cs="Times New Roman"/>
                      <w:b w:val="0"/>
                      <w:bCs/>
                      <w:color w:val="0000FF"/>
                      <w:sz w:val="21"/>
                      <w:szCs w:val="21"/>
                      <w:highlight w:val="none"/>
                      <w:lang w:val="en-US" w:eastAsia="zh-CN"/>
                    </w:rPr>
                  </w:pPr>
                  <w:r>
                    <w:rPr>
                      <w:rFonts w:hint="default" w:ascii="Times New Roman" w:hAnsi="Times New Roman" w:eastAsia="宋体" w:cs="Times New Roman"/>
                      <w:b w:val="0"/>
                      <w:bCs/>
                      <w:color w:val="0000FF"/>
                      <w:sz w:val="21"/>
                      <w:szCs w:val="21"/>
                      <w:highlight w:val="none"/>
                      <w:lang w:val="en-US" w:eastAsia="zh-CN"/>
                    </w:rPr>
                    <w:t>注：现有项目污染物排放情况一览表为全厂现有项目污染物排放情况。</w:t>
                  </w:r>
                  <w:r>
                    <w:rPr>
                      <w:rFonts w:hint="eastAsia" w:cs="Times New Roman"/>
                      <w:b w:val="0"/>
                      <w:bCs/>
                      <w:color w:val="0000FF"/>
                      <w:sz w:val="21"/>
                      <w:szCs w:val="21"/>
                      <w:highlight w:val="none"/>
                      <w:lang w:val="en-US" w:eastAsia="zh-CN"/>
                    </w:rPr>
                    <w:t>固废为产生量，排放量为0。</w:t>
                  </w:r>
                </w:p>
              </w:tc>
              <w:tc>
                <w:tcPr>
                  <w:tcW w:w="1130" w:type="pct"/>
                  <w:noWrap w:val="0"/>
                  <w:vAlign w:val="center"/>
                </w:tcPr>
                <w:p w14:paraId="62DC79A0">
                  <w:pPr>
                    <w:keepNext w:val="0"/>
                    <w:keepLines w:val="0"/>
                    <w:widowControl/>
                    <w:suppressLineNumbers w:val="0"/>
                    <w:jc w:val="both"/>
                    <w:textAlignment w:val="center"/>
                    <w:rPr>
                      <w:rFonts w:hint="default" w:ascii="Times New Roman" w:hAnsi="Times New Roman" w:eastAsia="宋体" w:cs="Times New Roman"/>
                      <w:b w:val="0"/>
                      <w:bCs/>
                      <w:color w:val="0000FF"/>
                      <w:sz w:val="21"/>
                      <w:szCs w:val="21"/>
                      <w:highlight w:val="none"/>
                      <w:lang w:val="en-US" w:eastAsia="zh-CN"/>
                    </w:rPr>
                  </w:pPr>
                </w:p>
              </w:tc>
            </w:tr>
          </w:tbl>
          <w:p w14:paraId="6DF0CCEB">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line="360" w:lineRule="auto"/>
              <w:ind w:firstLine="482"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eastAsia" w:cs="Times New Roman"/>
                <w:b/>
                <w:bCs w:val="0"/>
                <w:color w:val="auto"/>
                <w:sz w:val="24"/>
                <w:szCs w:val="24"/>
                <w:highlight w:val="none"/>
                <w:lang w:val="en-US" w:eastAsia="zh-CN"/>
              </w:rPr>
              <w:t>5</w:t>
            </w:r>
            <w:r>
              <w:rPr>
                <w:rFonts w:hint="default" w:ascii="Times New Roman" w:hAnsi="Times New Roman" w:eastAsia="宋体" w:cs="Times New Roman"/>
                <w:b/>
                <w:bCs w:val="0"/>
                <w:color w:val="auto"/>
                <w:sz w:val="24"/>
                <w:szCs w:val="24"/>
                <w:highlight w:val="none"/>
                <w:lang w:eastAsia="zh-CN"/>
              </w:rPr>
              <w:t>、</w:t>
            </w:r>
            <w:r>
              <w:rPr>
                <w:rFonts w:hint="default" w:ascii="Times New Roman" w:hAnsi="Times New Roman" w:eastAsia="宋体" w:cs="Times New Roman"/>
                <w:b/>
                <w:bCs w:val="0"/>
                <w:color w:val="auto"/>
                <w:sz w:val="24"/>
                <w:szCs w:val="24"/>
                <w:highlight w:val="none"/>
                <w:lang w:val="en-US" w:eastAsia="zh-CN"/>
              </w:rPr>
              <w:t>现有项目环境污染问题及整改措施</w:t>
            </w:r>
          </w:p>
          <w:p w14:paraId="04D0A27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bookmarkStart w:id="10" w:name="OLE_LINK8"/>
            <w:r>
              <w:rPr>
                <w:rFonts w:hint="default" w:ascii="Times New Roman" w:hAnsi="Times New Roman" w:eastAsia="宋体" w:cs="Times New Roman"/>
                <w:bCs/>
                <w:color w:val="auto"/>
                <w:sz w:val="24"/>
                <w:szCs w:val="24"/>
                <w:highlight w:val="none"/>
                <w:lang w:val="en-US" w:eastAsia="zh-CN"/>
              </w:rPr>
              <w:t>现有项目环评手续齐全，</w:t>
            </w: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32"/>
              </w:rPr>
              <w:t>01</w:t>
            </w:r>
            <w:r>
              <w:rPr>
                <w:rFonts w:hint="default"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default" w:ascii="Times New Roman" w:hAnsi="Times New Roman" w:eastAsia="宋体" w:cs="Times New Roman"/>
                <w:color w:val="auto"/>
                <w:sz w:val="24"/>
                <w:szCs w:val="32"/>
                <w:lang w:val="en-US" w:eastAsia="zh-CN"/>
              </w:rPr>
              <w:t>6</w:t>
            </w:r>
            <w:r>
              <w:rPr>
                <w:rFonts w:hint="default" w:ascii="Times New Roman" w:hAnsi="Times New Roman" w:eastAsia="宋体" w:cs="Times New Roman"/>
                <w:color w:val="auto"/>
                <w:sz w:val="24"/>
                <w:szCs w:val="32"/>
              </w:rPr>
              <w:t>月</w:t>
            </w:r>
            <w:r>
              <w:rPr>
                <w:rFonts w:hint="eastAsia" w:cs="Times New Roman"/>
                <w:color w:val="auto"/>
                <w:sz w:val="24"/>
                <w:szCs w:val="32"/>
                <w:lang w:val="en-US" w:eastAsia="zh-CN"/>
              </w:rPr>
              <w:t>由原高安市环境保护局</w:t>
            </w:r>
            <w:r>
              <w:rPr>
                <w:rFonts w:hint="default" w:ascii="Times New Roman" w:hAnsi="Times New Roman" w:eastAsia="宋体" w:cs="Times New Roman"/>
                <w:color w:val="auto"/>
                <w:sz w:val="24"/>
                <w:highlight w:val="none"/>
                <w:lang w:val="en-US" w:eastAsia="zh-CN"/>
              </w:rPr>
              <w:t>组织</w:t>
            </w:r>
            <w:r>
              <w:rPr>
                <w:rFonts w:hint="eastAsia" w:cs="Times New Roman"/>
                <w:color w:val="auto"/>
                <w:sz w:val="24"/>
                <w:highlight w:val="none"/>
                <w:lang w:val="en-US" w:eastAsia="zh-CN"/>
              </w:rPr>
              <w:t>验收</w:t>
            </w:r>
            <w:r>
              <w:rPr>
                <w:rFonts w:hint="default" w:ascii="Times New Roman" w:hAnsi="Times New Roman" w:eastAsia="宋体" w:cs="Times New Roman"/>
                <w:color w:val="auto"/>
                <w:sz w:val="24"/>
                <w:highlight w:val="none"/>
                <w:lang w:val="en-US" w:eastAsia="zh-CN"/>
              </w:rPr>
              <w:t>并</w:t>
            </w:r>
            <w:r>
              <w:rPr>
                <w:rFonts w:hint="eastAsia" w:cs="Times New Roman"/>
                <w:color w:val="auto"/>
                <w:sz w:val="24"/>
                <w:highlight w:val="none"/>
                <w:lang w:val="en-US" w:eastAsia="zh-CN"/>
              </w:rPr>
              <w:t>获得</w:t>
            </w:r>
            <w:r>
              <w:rPr>
                <w:rFonts w:hint="default" w:ascii="Times New Roman" w:hAnsi="Times New Roman" w:eastAsia="宋体" w:cs="Times New Roman"/>
                <w:color w:val="auto"/>
                <w:sz w:val="24"/>
                <w:highlight w:val="none"/>
                <w:lang w:val="en-US" w:eastAsia="zh-CN"/>
              </w:rPr>
              <w:t>通过，</w:t>
            </w:r>
            <w:r>
              <w:rPr>
                <w:rFonts w:hint="default" w:ascii="Times New Roman" w:hAnsi="Times New Roman" w:eastAsia="宋体" w:cs="Times New Roman"/>
                <w:color w:val="auto"/>
                <w:sz w:val="24"/>
                <w:szCs w:val="32"/>
              </w:rPr>
              <w:t>于201</w:t>
            </w:r>
            <w:r>
              <w:rPr>
                <w:rFonts w:hint="eastAsia" w:ascii="Times New Roman" w:hAnsi="Times New Roman" w:eastAsia="宋体" w:cs="Times New Roman"/>
                <w:color w:val="auto"/>
                <w:sz w:val="24"/>
                <w:szCs w:val="32"/>
                <w:lang w:val="en-US" w:eastAsia="zh-CN"/>
              </w:rPr>
              <w:t>7</w:t>
            </w:r>
            <w:r>
              <w:rPr>
                <w:rFonts w:hint="default" w:ascii="Times New Roman" w:hAnsi="Times New Roman" w:eastAsia="宋体" w:cs="Times New Roman"/>
                <w:color w:val="auto"/>
                <w:sz w:val="24"/>
                <w:szCs w:val="32"/>
              </w:rPr>
              <w:t>年</w:t>
            </w:r>
            <w:r>
              <w:rPr>
                <w:rFonts w:hint="eastAsia" w:ascii="Times New Roman" w:hAnsi="Times New Roman" w:eastAsia="宋体" w:cs="Times New Roman"/>
                <w:color w:val="auto"/>
                <w:sz w:val="24"/>
                <w:szCs w:val="32"/>
                <w:lang w:val="en-US" w:eastAsia="zh-CN"/>
              </w:rPr>
              <w:t>9</w:t>
            </w:r>
            <w:r>
              <w:rPr>
                <w:rFonts w:hint="default" w:ascii="Times New Roman" w:hAnsi="Times New Roman" w:eastAsia="宋体" w:cs="Times New Roman"/>
                <w:color w:val="auto"/>
                <w:sz w:val="24"/>
                <w:szCs w:val="32"/>
              </w:rPr>
              <w:t>月获得</w:t>
            </w:r>
            <w:r>
              <w:rPr>
                <w:rFonts w:hint="eastAsia" w:cs="Times New Roman"/>
                <w:color w:val="auto"/>
                <w:sz w:val="24"/>
                <w:szCs w:val="32"/>
                <w:lang w:val="en-US" w:eastAsia="zh-CN"/>
              </w:rPr>
              <w:t>原</w:t>
            </w:r>
            <w:r>
              <w:rPr>
                <w:rFonts w:hint="default" w:ascii="Times New Roman" w:hAnsi="Times New Roman" w:eastAsia="宋体" w:cs="Times New Roman"/>
                <w:color w:val="auto"/>
                <w:sz w:val="24"/>
                <w:szCs w:val="32"/>
              </w:rPr>
              <w:t>高安市环境保护局</w:t>
            </w:r>
            <w:r>
              <w:rPr>
                <w:rFonts w:hint="eastAsia" w:ascii="Times New Roman" w:hAnsi="Times New Roman" w:eastAsia="宋体" w:cs="Times New Roman"/>
                <w:color w:val="auto"/>
                <w:sz w:val="24"/>
                <w:szCs w:val="32"/>
                <w:lang w:val="en-US" w:eastAsia="zh-CN"/>
              </w:rPr>
              <w:t>关于验收意见的函</w:t>
            </w:r>
            <w:r>
              <w:rPr>
                <w:rFonts w:hint="default" w:ascii="Times New Roman" w:hAnsi="Times New Roman" w:eastAsia="宋体" w:cs="Times New Roman"/>
                <w:color w:val="auto"/>
                <w:sz w:val="24"/>
                <w:szCs w:val="32"/>
              </w:rPr>
              <w:t>（高环验字</w:t>
            </w:r>
            <w:r>
              <w:rPr>
                <w:rFonts w:hint="eastAsia" w:ascii="宋体" w:hAnsi="宋体" w:eastAsia="宋体" w:cs="宋体"/>
                <w:color w:val="auto"/>
                <w:sz w:val="24"/>
                <w:szCs w:val="32"/>
              </w:rPr>
              <w:t>〔</w:t>
            </w:r>
            <w:r>
              <w:rPr>
                <w:rFonts w:hint="default" w:ascii="Times New Roman" w:hAnsi="Times New Roman" w:eastAsia="宋体" w:cs="Times New Roman"/>
                <w:color w:val="auto"/>
                <w:sz w:val="24"/>
                <w:szCs w:val="32"/>
              </w:rPr>
              <w:t>201</w:t>
            </w:r>
            <w:r>
              <w:rPr>
                <w:rFonts w:hint="default" w:ascii="Times New Roman" w:hAnsi="Times New Roman" w:eastAsia="宋体" w:cs="Times New Roman"/>
                <w:color w:val="auto"/>
                <w:sz w:val="24"/>
                <w:szCs w:val="32"/>
                <w:lang w:val="en-US" w:eastAsia="zh-CN"/>
              </w:rPr>
              <w:t>7</w:t>
            </w:r>
            <w:r>
              <w:rPr>
                <w:rFonts w:hint="eastAsia" w:ascii="宋体" w:hAnsi="宋体" w:eastAsia="宋体" w:cs="宋体"/>
                <w:color w:val="auto"/>
                <w:sz w:val="24"/>
                <w:szCs w:val="32"/>
                <w:lang w:val="en-US" w:eastAsia="zh-CN"/>
              </w:rPr>
              <w:t>〕</w:t>
            </w:r>
            <w:r>
              <w:rPr>
                <w:rFonts w:hint="default" w:ascii="Times New Roman" w:hAnsi="Times New Roman" w:eastAsia="宋体" w:cs="Times New Roman"/>
                <w:color w:val="auto"/>
                <w:sz w:val="24"/>
                <w:szCs w:val="32"/>
                <w:lang w:val="en-US" w:eastAsia="zh-CN"/>
              </w:rPr>
              <w:t>39</w:t>
            </w:r>
            <w:r>
              <w:rPr>
                <w:rFonts w:hint="default" w:ascii="Times New Roman" w:hAnsi="Times New Roman" w:eastAsia="宋体" w:cs="Times New Roman"/>
                <w:color w:val="auto"/>
                <w:sz w:val="24"/>
                <w:szCs w:val="32"/>
              </w:rPr>
              <w:t>号）</w:t>
            </w:r>
            <w:bookmarkEnd w:id="10"/>
            <w:r>
              <w:rPr>
                <w:rFonts w:hint="eastAsia" w:ascii="Times New Roman" w:hAnsi="Times New Roman" w:eastAsia="宋体" w:cs="Times New Roman"/>
                <w:color w:val="auto"/>
                <w:sz w:val="24"/>
                <w:szCs w:val="32"/>
                <w:lang w:eastAsia="zh-CN"/>
              </w:rPr>
              <w:t>。</w:t>
            </w:r>
            <w:r>
              <w:rPr>
                <w:rFonts w:hint="default" w:ascii="Times New Roman" w:hAnsi="Times New Roman" w:eastAsia="宋体" w:cs="Times New Roman"/>
                <w:color w:val="auto"/>
                <w:kern w:val="0"/>
                <w:sz w:val="24"/>
                <w:szCs w:val="24"/>
                <w:highlight w:val="none"/>
                <w:lang w:val="en-US" w:eastAsia="zh-CN" w:bidi="ar"/>
              </w:rPr>
              <w:t>企业</w:t>
            </w:r>
            <w:r>
              <w:rPr>
                <w:rFonts w:hint="eastAsia" w:cs="Times New Roman"/>
                <w:color w:val="auto"/>
                <w:kern w:val="0"/>
                <w:sz w:val="24"/>
                <w:szCs w:val="24"/>
                <w:highlight w:val="none"/>
                <w:lang w:val="en-US" w:eastAsia="zh-CN" w:bidi="ar"/>
              </w:rPr>
              <w:t>已</w:t>
            </w:r>
            <w:r>
              <w:rPr>
                <w:rFonts w:hint="default" w:ascii="Times New Roman" w:hAnsi="Times New Roman" w:eastAsia="宋体" w:cs="Times New Roman"/>
                <w:color w:val="auto"/>
                <w:kern w:val="0"/>
                <w:sz w:val="24"/>
                <w:szCs w:val="24"/>
                <w:highlight w:val="none"/>
                <w:lang w:val="en-US" w:eastAsia="zh-CN" w:bidi="ar"/>
              </w:rPr>
              <w:t>完成了排污登记</w:t>
            </w:r>
            <w:r>
              <w:rPr>
                <w:rFonts w:hint="default" w:ascii="Times New Roman" w:hAnsi="Times New Roman" w:eastAsia="宋体" w:cs="Times New Roman"/>
                <w:bCs/>
                <w:color w:val="auto"/>
                <w:sz w:val="24"/>
                <w:szCs w:val="24"/>
                <w:highlight w:val="none"/>
                <w:lang w:val="en-US" w:eastAsia="zh-CN"/>
              </w:rPr>
              <w:t>。</w:t>
            </w:r>
          </w:p>
          <w:p w14:paraId="38F4B6F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通过现场勘查，对照原有项目环评报告及环评批复、验收报告及验收</w:t>
            </w:r>
            <w:r>
              <w:rPr>
                <w:rFonts w:hint="eastAsia" w:cs="Times New Roman"/>
                <w:bCs/>
                <w:color w:val="auto"/>
                <w:sz w:val="24"/>
                <w:szCs w:val="24"/>
                <w:highlight w:val="none"/>
                <w:lang w:val="en-US" w:eastAsia="zh-CN"/>
              </w:rPr>
              <w:t>批复</w:t>
            </w:r>
            <w:r>
              <w:rPr>
                <w:rFonts w:hint="default" w:ascii="Times New Roman" w:hAnsi="Times New Roman" w:eastAsia="宋体" w:cs="Times New Roman"/>
                <w:bCs/>
                <w:color w:val="auto"/>
                <w:sz w:val="24"/>
                <w:szCs w:val="24"/>
                <w:highlight w:val="none"/>
                <w:lang w:val="en-US" w:eastAsia="zh-CN"/>
              </w:rPr>
              <w:t>，现有项目存在的环境问题及相应的整改措施如下：</w:t>
            </w:r>
          </w:p>
          <w:p w14:paraId="18DB7AB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1</w:t>
            </w: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未在废水排放口、废气排放口、噪声源、固废间设置环保标志牌。企业应按相关规定在废水排放口、废气排放口、噪声源、固废间设置环保标志牌。</w:t>
            </w:r>
          </w:p>
          <w:p w14:paraId="52B20F0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cs="Times New Roman"/>
                <w:bCs/>
                <w:color w:val="auto"/>
                <w:sz w:val="24"/>
                <w:szCs w:val="24"/>
                <w:highlight w:val="none"/>
                <w:lang w:val="en-US" w:eastAsia="zh-CN"/>
              </w:rPr>
            </w:pP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2</w:t>
            </w:r>
            <w:r>
              <w:rPr>
                <w:rFonts w:hint="eastAsia" w:cs="Times New Roman"/>
                <w:bCs/>
                <w:color w:val="auto"/>
                <w:sz w:val="24"/>
                <w:szCs w:val="24"/>
                <w:highlight w:val="none"/>
                <w:lang w:val="en-US" w:eastAsia="zh-CN"/>
              </w:rPr>
              <w:t>）食堂油烟未安装油烟净化器，企业应安装油烟净化器。</w:t>
            </w:r>
          </w:p>
          <w:p w14:paraId="12E57B4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3</w:t>
            </w:r>
            <w:r>
              <w:rPr>
                <w:rFonts w:hint="eastAsia" w:cs="Times New Roman"/>
                <w:bCs/>
                <w:color w:val="auto"/>
                <w:sz w:val="24"/>
                <w:szCs w:val="24"/>
                <w:highlight w:val="none"/>
                <w:lang w:val="en-US" w:eastAsia="zh-CN"/>
              </w:rPr>
              <w:t>）管网分布不明，雨污分流未做好。企业应按要求做好雨污分流</w:t>
            </w:r>
            <w:r>
              <w:rPr>
                <w:rFonts w:hint="default" w:ascii="Times New Roman" w:hAnsi="Times New Roman" w:eastAsia="宋体" w:cs="Times New Roman"/>
                <w:color w:val="auto"/>
                <w:sz w:val="24"/>
                <w:highlight w:val="none"/>
                <w:lang w:val="en-US" w:eastAsia="zh-CN"/>
              </w:rPr>
              <w:t>。</w:t>
            </w:r>
          </w:p>
          <w:p w14:paraId="0BDEC1C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eastAsia" w:cs="Times New Roman"/>
                <w:bCs/>
                <w:color w:val="auto"/>
                <w:sz w:val="24"/>
                <w:szCs w:val="24"/>
                <w:highlight w:val="none"/>
                <w:lang w:val="en-US" w:eastAsia="zh-CN"/>
              </w:rPr>
              <w:t>（4）</w:t>
            </w:r>
            <w:r>
              <w:rPr>
                <w:rFonts w:hint="default" w:ascii="Times New Roman" w:hAnsi="Times New Roman" w:eastAsia="宋体" w:cs="Times New Roman"/>
                <w:bCs/>
                <w:color w:val="auto"/>
                <w:sz w:val="24"/>
                <w:szCs w:val="24"/>
                <w:highlight w:val="none"/>
                <w:lang w:val="en-US" w:eastAsia="zh-CN"/>
              </w:rPr>
              <w:t>本评价</w:t>
            </w:r>
            <w:r>
              <w:rPr>
                <w:rFonts w:hint="eastAsia" w:cs="Times New Roman"/>
                <w:bCs/>
                <w:color w:val="auto"/>
                <w:sz w:val="24"/>
                <w:szCs w:val="24"/>
                <w:highlight w:val="none"/>
                <w:lang w:val="en-US" w:eastAsia="zh-CN"/>
              </w:rPr>
              <w:t>要求</w:t>
            </w:r>
            <w:r>
              <w:rPr>
                <w:rFonts w:hint="default" w:ascii="Times New Roman" w:hAnsi="Times New Roman" w:eastAsia="宋体" w:cs="Times New Roman"/>
                <w:bCs/>
                <w:color w:val="auto"/>
                <w:sz w:val="24"/>
                <w:szCs w:val="24"/>
                <w:highlight w:val="none"/>
                <w:lang w:val="en-US" w:eastAsia="zh-CN"/>
              </w:rPr>
              <w:t>企业之后严格按照本评价要求完善相关环保设施。</w:t>
            </w:r>
          </w:p>
        </w:tc>
      </w:tr>
    </w:tbl>
    <w:p w14:paraId="7964A02D">
      <w:pPr>
        <w:bidi w:val="0"/>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105BE2B">
      <w:pPr>
        <w:bidi w:val="0"/>
        <w:rPr>
          <w:rFonts w:hint="default" w:ascii="Times New Roman" w:hAnsi="Times New Roman" w:eastAsia="宋体" w:cs="Times New Roman"/>
          <w:color w:val="auto"/>
        </w:rPr>
      </w:pPr>
    </w:p>
    <w:p w14:paraId="5760F9B0">
      <w:pPr>
        <w:pStyle w:val="29"/>
        <w:jc w:val="center"/>
        <w:outlineLvl w:val="0"/>
        <w:rPr>
          <w:rFonts w:hint="default" w:ascii="Times New Roman" w:hAnsi="Times New Roman" w:eastAsia="宋体" w:cs="Times New Roman"/>
          <w:b/>
          <w:bCs/>
          <w:snapToGrid w:val="0"/>
          <w:color w:val="auto"/>
          <w:sz w:val="30"/>
          <w:szCs w:val="30"/>
        </w:rPr>
      </w:pPr>
      <w:bookmarkStart w:id="11" w:name="_Toc15298"/>
      <w:bookmarkStart w:id="12" w:name="_Toc16837"/>
      <w:r>
        <w:rPr>
          <w:rFonts w:hint="default" w:ascii="Times New Roman" w:hAnsi="Times New Roman" w:eastAsia="宋体" w:cs="Times New Roman"/>
          <w:b/>
          <w:bCs/>
          <w:snapToGrid w:val="0"/>
          <w:color w:val="auto"/>
          <w:sz w:val="30"/>
          <w:szCs w:val="30"/>
        </w:rPr>
        <w:t>三、区域环境质量现状、环境保护目标及评价标准</w:t>
      </w:r>
      <w:bookmarkEnd w:id="11"/>
      <w:bookmarkEnd w:id="12"/>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40A1A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800" w:type="dxa"/>
            <w:noWrap w:val="0"/>
            <w:vAlign w:val="center"/>
          </w:tcPr>
          <w:p w14:paraId="5C42D861">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区域</w:t>
            </w:r>
          </w:p>
          <w:p w14:paraId="2EABF71F">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36385DB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质量</w:t>
            </w:r>
          </w:p>
          <w:p w14:paraId="48F53FF1">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现状</w:t>
            </w:r>
          </w:p>
        </w:tc>
        <w:tc>
          <w:tcPr>
            <w:tcW w:w="8190" w:type="dxa"/>
            <w:noWrap w:val="0"/>
            <w:vAlign w:val="center"/>
          </w:tcPr>
          <w:p w14:paraId="406A510F">
            <w:pPr>
              <w:spacing w:line="360" w:lineRule="auto"/>
              <w:ind w:firstLine="482" w:firstLineChars="200"/>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val="en-US" w:eastAsia="zh-CN"/>
              </w:rPr>
              <w:t>一</w:t>
            </w:r>
            <w:r>
              <w:rPr>
                <w:rFonts w:hint="default" w:ascii="Times New Roman" w:hAnsi="Times New Roman" w:eastAsia="宋体" w:cs="Times New Roman"/>
                <w:b/>
                <w:bCs w:val="0"/>
                <w:color w:val="auto"/>
                <w:sz w:val="24"/>
                <w:szCs w:val="24"/>
                <w:highlight w:val="none"/>
                <w:lang w:eastAsia="zh-CN"/>
              </w:rPr>
              <w:t>、环境空气</w:t>
            </w:r>
          </w:p>
          <w:p w14:paraId="65066F6A">
            <w:pPr>
              <w:spacing w:line="360" w:lineRule="auto"/>
              <w:ind w:firstLine="464"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highlight w:val="none"/>
              </w:rPr>
              <w:t>根据《环境影响评价技术导则</w:t>
            </w:r>
            <w:r>
              <w:rPr>
                <w:rFonts w:hint="eastAsia" w:cs="Times New Roman"/>
                <w:color w:val="auto"/>
                <w:spacing w:val="-4"/>
                <w:sz w:val="24"/>
                <w:highlight w:val="none"/>
                <w:lang w:val="en-US" w:eastAsia="zh-CN"/>
              </w:rPr>
              <w:t xml:space="preserve">  </w:t>
            </w:r>
            <w:r>
              <w:rPr>
                <w:rFonts w:hint="default" w:ascii="Times New Roman" w:hAnsi="Times New Roman" w:eastAsia="宋体" w:cs="Times New Roman"/>
                <w:color w:val="auto"/>
                <w:spacing w:val="-7"/>
                <w:sz w:val="24"/>
                <w:highlight w:val="none"/>
              </w:rPr>
              <w:t>大气环境》</w:t>
            </w:r>
            <w:r>
              <w:rPr>
                <w:rFonts w:hint="default" w:ascii="Times New Roman" w:hAnsi="Times New Roman" w:eastAsia="宋体" w:cs="Times New Roman"/>
                <w:color w:val="auto"/>
                <w:sz w:val="24"/>
                <w:highlight w:val="none"/>
              </w:rPr>
              <w:t>（HJ 2.2-2018）</w:t>
            </w:r>
            <w:r>
              <w:rPr>
                <w:rFonts w:hint="default" w:ascii="Times New Roman" w:hAnsi="Times New Roman" w:eastAsia="宋体" w:cs="Times New Roman"/>
                <w:color w:val="auto"/>
                <w:spacing w:val="-2"/>
                <w:sz w:val="24"/>
                <w:highlight w:val="none"/>
              </w:rPr>
              <w:t>关于基本污染物环境</w:t>
            </w:r>
            <w:r>
              <w:rPr>
                <w:rFonts w:hint="default" w:ascii="Times New Roman" w:hAnsi="Times New Roman" w:eastAsia="宋体" w:cs="Times New Roman"/>
                <w:color w:val="auto"/>
                <w:spacing w:val="-1"/>
                <w:sz w:val="24"/>
                <w:highlight w:val="none"/>
              </w:rPr>
              <w:t>空气质量现状数据来源可知，项目所在区达标判断，优先采用国家或地方生态环境</w:t>
            </w:r>
            <w:r>
              <w:rPr>
                <w:rFonts w:hint="default" w:ascii="Times New Roman" w:hAnsi="Times New Roman" w:eastAsia="宋体" w:cs="Times New Roman"/>
                <w:color w:val="auto"/>
                <w:sz w:val="24"/>
                <w:highlight w:val="none"/>
              </w:rPr>
              <w:t>主管部门公开发布的评价基准年环境质量公告或环境质量报告中的数据或结论。</w:t>
            </w:r>
          </w:p>
          <w:p w14:paraId="66AF932F">
            <w:pPr>
              <w:spacing w:line="360" w:lineRule="auto"/>
              <w:ind w:firstLine="450" w:firstLineChars="200"/>
              <w:rPr>
                <w:rFonts w:hint="default" w:ascii="Times New Roman" w:hAnsi="Times New Roman" w:eastAsia="宋体" w:cs="Times New Roman"/>
                <w:b/>
                <w:bCs/>
                <w:color w:val="auto"/>
                <w:spacing w:val="-8"/>
                <w:sz w:val="24"/>
                <w:szCs w:val="24"/>
                <w:highlight w:val="none"/>
                <w:shd w:val="clear" w:color="auto" w:fill="FFFFFF"/>
              </w:rPr>
            </w:pPr>
            <w:r>
              <w:rPr>
                <w:rFonts w:hint="default" w:ascii="Times New Roman" w:hAnsi="Times New Roman" w:eastAsia="宋体" w:cs="Times New Roman"/>
                <w:b/>
                <w:bCs/>
                <w:color w:val="auto"/>
                <w:spacing w:val="-8"/>
                <w:sz w:val="24"/>
                <w:szCs w:val="24"/>
                <w:highlight w:val="none"/>
                <w:shd w:val="clear" w:color="auto" w:fill="FFFFFF"/>
              </w:rPr>
              <w:t>1、达标判定</w:t>
            </w:r>
          </w:p>
          <w:p w14:paraId="3323E839">
            <w:pPr>
              <w:spacing w:line="360" w:lineRule="auto"/>
              <w:ind w:firstLine="448" w:firstLineChars="200"/>
              <w:rPr>
                <w:rFonts w:hint="default" w:ascii="Times New Roman" w:hAnsi="Times New Roman" w:eastAsia="宋体" w:cs="Times New Roman"/>
                <w:color w:val="auto"/>
                <w:spacing w:val="-8"/>
                <w:sz w:val="24"/>
                <w:szCs w:val="24"/>
                <w:highlight w:val="none"/>
                <w:shd w:val="clear" w:color="auto" w:fill="FFFFFF"/>
                <w:lang w:val="en-US" w:eastAsia="zh-CN"/>
              </w:rPr>
            </w:pPr>
            <w:r>
              <w:rPr>
                <w:rFonts w:hint="default" w:ascii="Times New Roman" w:hAnsi="Times New Roman" w:eastAsia="宋体" w:cs="Times New Roman"/>
                <w:color w:val="auto"/>
                <w:spacing w:val="-8"/>
                <w:sz w:val="24"/>
                <w:szCs w:val="24"/>
                <w:highlight w:val="none"/>
                <w:shd w:val="clear" w:color="auto" w:fill="FFFFFF"/>
              </w:rPr>
              <w:t>根据江西省生态环境厅发布的20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年江西省各县（市、区）六项污染物浓度年均值，</w:t>
            </w:r>
            <w:r>
              <w:rPr>
                <w:rFonts w:hint="default" w:ascii="Times New Roman" w:hAnsi="Times New Roman" w:eastAsia="宋体" w:cs="Times New Roman"/>
                <w:color w:val="auto"/>
                <w:spacing w:val="-8"/>
                <w:sz w:val="24"/>
                <w:szCs w:val="24"/>
                <w:highlight w:val="none"/>
                <w:shd w:val="clear" w:color="auto" w:fill="FFFFFF"/>
                <w:lang w:eastAsia="zh-CN"/>
              </w:rPr>
              <w:t>高安市</w:t>
            </w:r>
            <w:r>
              <w:rPr>
                <w:rFonts w:hint="default" w:ascii="Times New Roman" w:hAnsi="Times New Roman" w:eastAsia="宋体" w:cs="Times New Roman"/>
                <w:color w:val="auto"/>
                <w:spacing w:val="-8"/>
                <w:sz w:val="24"/>
                <w:szCs w:val="24"/>
                <w:highlight w:val="none"/>
                <w:shd w:val="clear" w:color="auto" w:fill="FFFFFF"/>
              </w:rPr>
              <w:t>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年六项污染物浓度年均值见表</w:t>
            </w:r>
            <w:r>
              <w:rPr>
                <w:rFonts w:hint="default" w:ascii="Times New Roman" w:hAnsi="Times New Roman" w:eastAsia="宋体" w:cs="Times New Roman"/>
                <w:color w:val="auto"/>
                <w:spacing w:val="-8"/>
                <w:sz w:val="24"/>
                <w:szCs w:val="24"/>
                <w:highlight w:val="none"/>
                <w:shd w:val="clear" w:color="auto" w:fill="FFFFFF"/>
                <w:lang w:val="en-US" w:eastAsia="zh-CN"/>
              </w:rPr>
              <w:t>3-1。</w:t>
            </w:r>
          </w:p>
          <w:p w14:paraId="597E1F6A">
            <w:pPr>
              <w:adjustRightInd w:val="0"/>
              <w:snapToGrid w:val="0"/>
              <w:spacing w:line="240" w:lineRule="atLeast"/>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 xml:space="preserve">3-1 </w:t>
            </w:r>
            <w:r>
              <w:rPr>
                <w:rFonts w:hint="default" w:ascii="Times New Roman" w:hAnsi="Times New Roman" w:eastAsia="宋体" w:cs="Times New Roman"/>
                <w:b/>
                <w:color w:val="auto"/>
                <w:sz w:val="21"/>
                <w:szCs w:val="21"/>
                <w:highlight w:val="none"/>
              </w:rPr>
              <w:t xml:space="preserve"> </w:t>
            </w:r>
            <w:r>
              <w:rPr>
                <w:rFonts w:hint="default" w:ascii="Times New Roman" w:hAnsi="Times New Roman" w:eastAsia="宋体" w:cs="Times New Roman"/>
                <w:b/>
                <w:color w:val="auto"/>
                <w:sz w:val="21"/>
                <w:szCs w:val="21"/>
                <w:highlight w:val="none"/>
                <w:lang w:val="en-US" w:eastAsia="zh-CN"/>
              </w:rPr>
              <w:t>2024年高安市六项污染物浓度年均值</w:t>
            </w:r>
          </w:p>
          <w:tbl>
            <w:tblPr>
              <w:tblStyle w:val="3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725"/>
              <w:gridCol w:w="1599"/>
              <w:gridCol w:w="1514"/>
              <w:gridCol w:w="1080"/>
              <w:gridCol w:w="1137"/>
            </w:tblGrid>
            <w:tr w14:paraId="350C6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7DEB6FBA">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w:t>
                  </w:r>
                </w:p>
              </w:tc>
              <w:tc>
                <w:tcPr>
                  <w:tcW w:w="1081" w:type="pct"/>
                  <w:tcBorders>
                    <w:tl2br w:val="nil"/>
                    <w:tr2bl w:val="nil"/>
                  </w:tcBorders>
                  <w:noWrap w:val="0"/>
                  <w:vAlign w:val="center"/>
                </w:tcPr>
                <w:p w14:paraId="35D4E25A">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评价指标</w:t>
                  </w:r>
                </w:p>
              </w:tc>
              <w:tc>
                <w:tcPr>
                  <w:tcW w:w="1002" w:type="pct"/>
                  <w:tcBorders>
                    <w:tl2br w:val="nil"/>
                    <w:tr2bl w:val="nil"/>
                  </w:tcBorders>
                  <w:noWrap w:val="0"/>
                  <w:vAlign w:val="center"/>
                </w:tcPr>
                <w:p w14:paraId="0B5DF99C">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现状浓度µg/m³</w:t>
                  </w:r>
                </w:p>
              </w:tc>
              <w:tc>
                <w:tcPr>
                  <w:tcW w:w="949" w:type="pct"/>
                  <w:tcBorders>
                    <w:tl2br w:val="nil"/>
                    <w:tr2bl w:val="nil"/>
                  </w:tcBorders>
                  <w:noWrap w:val="0"/>
                  <w:vAlign w:val="center"/>
                </w:tcPr>
                <w:p w14:paraId="4373BA68">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标准值µg/m³</w:t>
                  </w:r>
                </w:p>
              </w:tc>
              <w:tc>
                <w:tcPr>
                  <w:tcW w:w="677" w:type="pct"/>
                  <w:tcBorders>
                    <w:tl2br w:val="nil"/>
                    <w:tr2bl w:val="nil"/>
                  </w:tcBorders>
                  <w:noWrap w:val="0"/>
                  <w:vAlign w:val="center"/>
                </w:tcPr>
                <w:p w14:paraId="77FE6723">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占标率%</w:t>
                  </w:r>
                </w:p>
              </w:tc>
              <w:tc>
                <w:tcPr>
                  <w:tcW w:w="712" w:type="pct"/>
                  <w:tcBorders>
                    <w:tl2br w:val="nil"/>
                    <w:tr2bl w:val="nil"/>
                  </w:tcBorders>
                  <w:noWrap w:val="0"/>
                  <w:vAlign w:val="center"/>
                </w:tcPr>
                <w:p w14:paraId="55D7D9C3">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达标情况</w:t>
                  </w:r>
                </w:p>
              </w:tc>
            </w:tr>
            <w:tr w14:paraId="7A8A6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39B942DA">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eastAsia="zh-CN"/>
                    </w:rPr>
                    <w:t>PM</w:t>
                  </w:r>
                  <w:r>
                    <w:rPr>
                      <w:rFonts w:hint="default" w:ascii="Times New Roman" w:hAnsi="Times New Roman" w:eastAsia="宋体" w:cs="Times New Roman"/>
                      <w:color w:val="auto"/>
                      <w:sz w:val="21"/>
                      <w:szCs w:val="21"/>
                      <w:highlight w:val="none"/>
                      <w:vertAlign w:val="subscript"/>
                      <w:lang w:eastAsia="zh-CN"/>
                    </w:rPr>
                    <w:t>2.5</w:t>
                  </w:r>
                </w:p>
              </w:tc>
              <w:tc>
                <w:tcPr>
                  <w:tcW w:w="1081" w:type="pct"/>
                  <w:tcBorders>
                    <w:tl2br w:val="nil"/>
                    <w:tr2bl w:val="nil"/>
                  </w:tcBorders>
                  <w:noWrap w:val="0"/>
                  <w:vAlign w:val="center"/>
                </w:tcPr>
                <w:p w14:paraId="15239633">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年平均质量浓度</w:t>
                  </w:r>
                </w:p>
              </w:tc>
              <w:tc>
                <w:tcPr>
                  <w:tcW w:w="1002" w:type="pct"/>
                  <w:tcBorders>
                    <w:tl2br w:val="nil"/>
                    <w:tr2bl w:val="nil"/>
                  </w:tcBorders>
                  <w:noWrap w:val="0"/>
                  <w:vAlign w:val="center"/>
                </w:tcPr>
                <w:p w14:paraId="1C3993DF">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23.4</w:t>
                  </w:r>
                </w:p>
              </w:tc>
              <w:tc>
                <w:tcPr>
                  <w:tcW w:w="949" w:type="pct"/>
                  <w:tcBorders>
                    <w:tl2br w:val="nil"/>
                    <w:tr2bl w:val="nil"/>
                  </w:tcBorders>
                  <w:noWrap w:val="0"/>
                  <w:vAlign w:val="center"/>
                </w:tcPr>
                <w:p w14:paraId="18D04FB2">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default" w:ascii="Times New Roman" w:hAnsi="Times New Roman" w:eastAsia="宋体" w:cs="Times New Roman"/>
                      <w:color w:val="0000FF"/>
                      <w:sz w:val="21"/>
                      <w:szCs w:val="21"/>
                      <w:highlight w:val="none"/>
                      <w:vertAlign w:val="baseline"/>
                      <w:lang w:val="en-US" w:eastAsia="zh-CN"/>
                    </w:rPr>
                    <w:t>3</w:t>
                  </w:r>
                  <w:r>
                    <w:rPr>
                      <w:rFonts w:hint="eastAsia" w:cs="Times New Roman"/>
                      <w:color w:val="0000FF"/>
                      <w:sz w:val="21"/>
                      <w:szCs w:val="21"/>
                      <w:highlight w:val="none"/>
                      <w:vertAlign w:val="baseline"/>
                      <w:lang w:val="en-US" w:eastAsia="zh-CN"/>
                    </w:rPr>
                    <w:t>0</w:t>
                  </w:r>
                </w:p>
              </w:tc>
              <w:tc>
                <w:tcPr>
                  <w:tcW w:w="677" w:type="pct"/>
                  <w:tcBorders>
                    <w:tl2br w:val="nil"/>
                    <w:tr2bl w:val="nil"/>
                  </w:tcBorders>
                  <w:noWrap w:val="0"/>
                  <w:vAlign w:val="center"/>
                </w:tcPr>
                <w:p w14:paraId="2CD422FE">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78</w:t>
                  </w:r>
                </w:p>
              </w:tc>
              <w:tc>
                <w:tcPr>
                  <w:tcW w:w="712" w:type="pct"/>
                  <w:tcBorders>
                    <w:tl2br w:val="nil"/>
                    <w:tr2bl w:val="nil"/>
                  </w:tcBorders>
                  <w:noWrap w:val="0"/>
                  <w:vAlign w:val="center"/>
                </w:tcPr>
                <w:p w14:paraId="03514CAD">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75CAF3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5954DF65">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eastAsia="zh-CN"/>
                    </w:rPr>
                    <w:t>PM</w:t>
                  </w:r>
                  <w:r>
                    <w:rPr>
                      <w:rFonts w:hint="default" w:ascii="Times New Roman" w:hAnsi="Times New Roman" w:eastAsia="宋体" w:cs="Times New Roman"/>
                      <w:color w:val="auto"/>
                      <w:sz w:val="21"/>
                      <w:szCs w:val="21"/>
                      <w:highlight w:val="none"/>
                      <w:vertAlign w:val="subscript"/>
                      <w:lang w:eastAsia="zh-CN"/>
                    </w:rPr>
                    <w:t>10</w:t>
                  </w:r>
                </w:p>
              </w:tc>
              <w:tc>
                <w:tcPr>
                  <w:tcW w:w="1081" w:type="pct"/>
                  <w:tcBorders>
                    <w:tl2br w:val="nil"/>
                    <w:tr2bl w:val="nil"/>
                  </w:tcBorders>
                  <w:noWrap w:val="0"/>
                  <w:vAlign w:val="center"/>
                </w:tcPr>
                <w:p w14:paraId="2F662E5E">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年平均质量浓度</w:t>
                  </w:r>
                </w:p>
              </w:tc>
              <w:tc>
                <w:tcPr>
                  <w:tcW w:w="1002" w:type="pct"/>
                  <w:tcBorders>
                    <w:tl2br w:val="nil"/>
                    <w:tr2bl w:val="nil"/>
                  </w:tcBorders>
                  <w:noWrap w:val="0"/>
                  <w:vAlign w:val="center"/>
                </w:tcPr>
                <w:p w14:paraId="5B59C02E">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38</w:t>
                  </w:r>
                </w:p>
              </w:tc>
              <w:tc>
                <w:tcPr>
                  <w:tcW w:w="949" w:type="pct"/>
                  <w:tcBorders>
                    <w:tl2br w:val="nil"/>
                    <w:tr2bl w:val="nil"/>
                  </w:tcBorders>
                  <w:noWrap w:val="0"/>
                  <w:vAlign w:val="center"/>
                </w:tcPr>
                <w:p w14:paraId="7208A993">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6</w:t>
                  </w:r>
                  <w:r>
                    <w:rPr>
                      <w:rFonts w:hint="default" w:ascii="Times New Roman" w:hAnsi="Times New Roman" w:eastAsia="宋体" w:cs="Times New Roman"/>
                      <w:color w:val="0000FF"/>
                      <w:sz w:val="21"/>
                      <w:szCs w:val="21"/>
                      <w:highlight w:val="none"/>
                      <w:vertAlign w:val="baseline"/>
                      <w:lang w:val="en-US" w:eastAsia="zh-CN"/>
                    </w:rPr>
                    <w:t>0</w:t>
                  </w:r>
                </w:p>
              </w:tc>
              <w:tc>
                <w:tcPr>
                  <w:tcW w:w="677" w:type="pct"/>
                  <w:tcBorders>
                    <w:tl2br w:val="nil"/>
                    <w:tr2bl w:val="nil"/>
                  </w:tcBorders>
                  <w:noWrap w:val="0"/>
                  <w:vAlign w:val="center"/>
                </w:tcPr>
                <w:p w14:paraId="79EED191">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63.33</w:t>
                  </w:r>
                </w:p>
              </w:tc>
              <w:tc>
                <w:tcPr>
                  <w:tcW w:w="712" w:type="pct"/>
                  <w:tcBorders>
                    <w:tl2br w:val="nil"/>
                    <w:tr2bl w:val="nil"/>
                  </w:tcBorders>
                  <w:noWrap w:val="0"/>
                  <w:vAlign w:val="center"/>
                </w:tcPr>
                <w:p w14:paraId="14878DE1">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达标</w:t>
                  </w:r>
                </w:p>
              </w:tc>
            </w:tr>
            <w:tr w14:paraId="30253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576" w:type="pct"/>
                  <w:tcBorders>
                    <w:tl2br w:val="nil"/>
                    <w:tr2bl w:val="nil"/>
                  </w:tcBorders>
                  <w:noWrap w:val="0"/>
                  <w:vAlign w:val="center"/>
                </w:tcPr>
                <w:p w14:paraId="6521286D">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eastAsia="zh-CN"/>
                    </w:rPr>
                    <w:t>NO</w:t>
                  </w:r>
                  <w:r>
                    <w:rPr>
                      <w:rFonts w:hint="default" w:ascii="Times New Roman" w:hAnsi="Times New Roman" w:eastAsia="宋体" w:cs="Times New Roman"/>
                      <w:color w:val="auto"/>
                      <w:sz w:val="21"/>
                      <w:szCs w:val="21"/>
                      <w:highlight w:val="none"/>
                      <w:vertAlign w:val="subscript"/>
                      <w:lang w:eastAsia="zh-CN"/>
                    </w:rPr>
                    <w:t>2</w:t>
                  </w:r>
                </w:p>
              </w:tc>
              <w:tc>
                <w:tcPr>
                  <w:tcW w:w="1081" w:type="pct"/>
                  <w:tcBorders>
                    <w:tl2br w:val="nil"/>
                    <w:tr2bl w:val="nil"/>
                  </w:tcBorders>
                  <w:noWrap w:val="0"/>
                  <w:vAlign w:val="center"/>
                </w:tcPr>
                <w:p w14:paraId="546C9C77">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年平均质量浓度</w:t>
                  </w:r>
                </w:p>
              </w:tc>
              <w:tc>
                <w:tcPr>
                  <w:tcW w:w="1002" w:type="pct"/>
                  <w:tcBorders>
                    <w:tl2br w:val="nil"/>
                    <w:tr2bl w:val="nil"/>
                  </w:tcBorders>
                  <w:noWrap w:val="0"/>
                  <w:vAlign w:val="center"/>
                </w:tcPr>
                <w:p w14:paraId="5812F582">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20</w:t>
                  </w:r>
                </w:p>
              </w:tc>
              <w:tc>
                <w:tcPr>
                  <w:tcW w:w="949" w:type="pct"/>
                  <w:tcBorders>
                    <w:tl2br w:val="nil"/>
                    <w:tr2bl w:val="nil"/>
                  </w:tcBorders>
                  <w:noWrap w:val="0"/>
                  <w:vAlign w:val="center"/>
                </w:tcPr>
                <w:p w14:paraId="2D718037">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default" w:ascii="Times New Roman" w:hAnsi="Times New Roman" w:eastAsia="宋体" w:cs="Times New Roman"/>
                      <w:color w:val="0000FF"/>
                      <w:sz w:val="21"/>
                      <w:szCs w:val="21"/>
                      <w:highlight w:val="none"/>
                      <w:vertAlign w:val="baseline"/>
                      <w:lang w:val="en-US" w:eastAsia="zh-CN"/>
                    </w:rPr>
                    <w:t>40</w:t>
                  </w:r>
                </w:p>
              </w:tc>
              <w:tc>
                <w:tcPr>
                  <w:tcW w:w="677" w:type="pct"/>
                  <w:tcBorders>
                    <w:tl2br w:val="nil"/>
                    <w:tr2bl w:val="nil"/>
                  </w:tcBorders>
                  <w:noWrap w:val="0"/>
                  <w:vAlign w:val="center"/>
                </w:tcPr>
                <w:p w14:paraId="080DC016">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50</w:t>
                  </w:r>
                </w:p>
              </w:tc>
              <w:tc>
                <w:tcPr>
                  <w:tcW w:w="712" w:type="pct"/>
                  <w:tcBorders>
                    <w:tl2br w:val="nil"/>
                    <w:tr2bl w:val="nil"/>
                  </w:tcBorders>
                  <w:noWrap w:val="0"/>
                  <w:vAlign w:val="center"/>
                </w:tcPr>
                <w:p w14:paraId="54C6FFB1">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达标</w:t>
                  </w:r>
                </w:p>
              </w:tc>
            </w:tr>
            <w:tr w14:paraId="152EA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555B95F7">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eastAsia="zh-CN"/>
                    </w:rPr>
                    <w:t>SO</w:t>
                  </w:r>
                  <w:r>
                    <w:rPr>
                      <w:rFonts w:hint="default" w:ascii="Times New Roman" w:hAnsi="Times New Roman" w:eastAsia="宋体" w:cs="Times New Roman"/>
                      <w:color w:val="auto"/>
                      <w:sz w:val="21"/>
                      <w:szCs w:val="21"/>
                      <w:highlight w:val="none"/>
                      <w:vertAlign w:val="subscript"/>
                      <w:lang w:eastAsia="zh-CN"/>
                    </w:rPr>
                    <w:t>2</w:t>
                  </w:r>
                </w:p>
              </w:tc>
              <w:tc>
                <w:tcPr>
                  <w:tcW w:w="1081" w:type="pct"/>
                  <w:tcBorders>
                    <w:tl2br w:val="nil"/>
                    <w:tr2bl w:val="nil"/>
                  </w:tcBorders>
                  <w:noWrap w:val="0"/>
                  <w:vAlign w:val="center"/>
                </w:tcPr>
                <w:p w14:paraId="16EED02B">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年平均质量浓度</w:t>
                  </w:r>
                </w:p>
              </w:tc>
              <w:tc>
                <w:tcPr>
                  <w:tcW w:w="1002" w:type="pct"/>
                  <w:tcBorders>
                    <w:tl2br w:val="nil"/>
                    <w:tr2bl w:val="nil"/>
                  </w:tcBorders>
                  <w:noWrap w:val="0"/>
                  <w:vAlign w:val="center"/>
                </w:tcPr>
                <w:p w14:paraId="43CA50F7">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11</w:t>
                  </w:r>
                </w:p>
              </w:tc>
              <w:tc>
                <w:tcPr>
                  <w:tcW w:w="949" w:type="pct"/>
                  <w:tcBorders>
                    <w:tl2br w:val="nil"/>
                    <w:tr2bl w:val="nil"/>
                  </w:tcBorders>
                  <w:noWrap w:val="0"/>
                  <w:vAlign w:val="center"/>
                </w:tcPr>
                <w:p w14:paraId="726F9736">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default" w:ascii="Times New Roman" w:hAnsi="Times New Roman" w:eastAsia="宋体" w:cs="Times New Roman"/>
                      <w:color w:val="0000FF"/>
                      <w:sz w:val="21"/>
                      <w:szCs w:val="21"/>
                      <w:highlight w:val="none"/>
                      <w:vertAlign w:val="baseline"/>
                      <w:lang w:val="en-US" w:eastAsia="zh-CN"/>
                    </w:rPr>
                    <w:t>60</w:t>
                  </w:r>
                </w:p>
              </w:tc>
              <w:tc>
                <w:tcPr>
                  <w:tcW w:w="677" w:type="pct"/>
                  <w:tcBorders>
                    <w:tl2br w:val="nil"/>
                    <w:tr2bl w:val="nil"/>
                  </w:tcBorders>
                  <w:noWrap w:val="0"/>
                  <w:vAlign w:val="center"/>
                </w:tcPr>
                <w:p w14:paraId="3826B988">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18.33</w:t>
                  </w:r>
                </w:p>
              </w:tc>
              <w:tc>
                <w:tcPr>
                  <w:tcW w:w="712" w:type="pct"/>
                  <w:tcBorders>
                    <w:tl2br w:val="nil"/>
                    <w:tr2bl w:val="nil"/>
                  </w:tcBorders>
                  <w:noWrap w:val="0"/>
                  <w:vAlign w:val="center"/>
                </w:tcPr>
                <w:p w14:paraId="22C7431A">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达标</w:t>
                  </w:r>
                </w:p>
              </w:tc>
            </w:tr>
            <w:tr w14:paraId="65342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27201E92">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pacing w:val="-8"/>
                      <w:sz w:val="21"/>
                      <w:szCs w:val="21"/>
                      <w:highlight w:val="none"/>
                      <w:shd w:val="clear" w:color="auto" w:fill="FFFFFF"/>
                      <w:lang w:eastAsia="zh-CN"/>
                    </w:rPr>
                    <w:t>CO</w:t>
                  </w:r>
                </w:p>
              </w:tc>
              <w:tc>
                <w:tcPr>
                  <w:tcW w:w="1081" w:type="pct"/>
                  <w:tcBorders>
                    <w:tl2br w:val="nil"/>
                    <w:tr2bl w:val="nil"/>
                  </w:tcBorders>
                  <w:noWrap w:val="0"/>
                  <w:vAlign w:val="center"/>
                </w:tcPr>
                <w:p w14:paraId="2334BA76">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第95百分位数日平均质量浓度</w:t>
                  </w:r>
                </w:p>
              </w:tc>
              <w:tc>
                <w:tcPr>
                  <w:tcW w:w="1002" w:type="pct"/>
                  <w:tcBorders>
                    <w:tl2br w:val="nil"/>
                    <w:tr2bl w:val="nil"/>
                  </w:tcBorders>
                  <w:noWrap w:val="0"/>
                  <w:vAlign w:val="center"/>
                </w:tcPr>
                <w:p w14:paraId="54883300">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900</w:t>
                  </w:r>
                </w:p>
              </w:tc>
              <w:tc>
                <w:tcPr>
                  <w:tcW w:w="949" w:type="pct"/>
                  <w:tcBorders>
                    <w:tl2br w:val="nil"/>
                    <w:tr2bl w:val="nil"/>
                  </w:tcBorders>
                  <w:noWrap w:val="0"/>
                  <w:vAlign w:val="center"/>
                </w:tcPr>
                <w:p w14:paraId="680E101E">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default" w:ascii="Times New Roman" w:hAnsi="Times New Roman" w:eastAsia="宋体" w:cs="Times New Roman"/>
                      <w:color w:val="0000FF"/>
                      <w:sz w:val="21"/>
                      <w:szCs w:val="21"/>
                      <w:highlight w:val="none"/>
                      <w:vertAlign w:val="baseline"/>
                      <w:lang w:val="en-US" w:eastAsia="zh-CN"/>
                    </w:rPr>
                    <w:t>4000</w:t>
                  </w:r>
                </w:p>
              </w:tc>
              <w:tc>
                <w:tcPr>
                  <w:tcW w:w="677" w:type="pct"/>
                  <w:tcBorders>
                    <w:tl2br w:val="nil"/>
                    <w:tr2bl w:val="nil"/>
                  </w:tcBorders>
                  <w:noWrap w:val="0"/>
                  <w:vAlign w:val="center"/>
                </w:tcPr>
                <w:p w14:paraId="67FE5AC4">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22.5</w:t>
                  </w:r>
                </w:p>
              </w:tc>
              <w:tc>
                <w:tcPr>
                  <w:tcW w:w="712" w:type="pct"/>
                  <w:tcBorders>
                    <w:tl2br w:val="nil"/>
                    <w:tr2bl w:val="nil"/>
                  </w:tcBorders>
                  <w:noWrap w:val="0"/>
                  <w:vAlign w:val="center"/>
                </w:tcPr>
                <w:p w14:paraId="006D39C5">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达标</w:t>
                  </w:r>
                </w:p>
              </w:tc>
            </w:tr>
            <w:tr w14:paraId="0EF0B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3C26C8E9">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eastAsia="zh-CN"/>
                    </w:rPr>
                    <w:t>O</w:t>
                  </w:r>
                  <w:r>
                    <w:rPr>
                      <w:rFonts w:hint="default" w:ascii="Times New Roman" w:hAnsi="Times New Roman" w:eastAsia="宋体" w:cs="Times New Roman"/>
                      <w:color w:val="auto"/>
                      <w:sz w:val="21"/>
                      <w:szCs w:val="21"/>
                      <w:highlight w:val="none"/>
                      <w:vertAlign w:val="subscript"/>
                      <w:lang w:eastAsia="zh-CN"/>
                    </w:rPr>
                    <w:t>3</w:t>
                  </w:r>
                </w:p>
              </w:tc>
              <w:tc>
                <w:tcPr>
                  <w:tcW w:w="1081" w:type="pct"/>
                  <w:tcBorders>
                    <w:tl2br w:val="nil"/>
                    <w:tr2bl w:val="nil"/>
                  </w:tcBorders>
                  <w:noWrap w:val="0"/>
                  <w:vAlign w:val="center"/>
                </w:tcPr>
                <w:p w14:paraId="12CD1ECD">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第90百分位数8h平均质量浓度</w:t>
                  </w:r>
                </w:p>
              </w:tc>
              <w:tc>
                <w:tcPr>
                  <w:tcW w:w="1002" w:type="pct"/>
                  <w:tcBorders>
                    <w:tl2br w:val="nil"/>
                    <w:tr2bl w:val="nil"/>
                  </w:tcBorders>
                  <w:noWrap w:val="0"/>
                  <w:vAlign w:val="center"/>
                </w:tcPr>
                <w:p w14:paraId="7CAFC2F2">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134</w:t>
                  </w:r>
                </w:p>
              </w:tc>
              <w:tc>
                <w:tcPr>
                  <w:tcW w:w="949" w:type="pct"/>
                  <w:tcBorders>
                    <w:tl2br w:val="nil"/>
                    <w:tr2bl w:val="nil"/>
                  </w:tcBorders>
                  <w:noWrap w:val="0"/>
                  <w:vAlign w:val="center"/>
                </w:tcPr>
                <w:p w14:paraId="0FECC71C">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FF"/>
                      <w:sz w:val="21"/>
                      <w:szCs w:val="21"/>
                      <w:highlight w:val="none"/>
                      <w:vertAlign w:val="baseline"/>
                      <w:lang w:val="en-US" w:eastAsia="zh-CN"/>
                    </w:rPr>
                  </w:pPr>
                  <w:r>
                    <w:rPr>
                      <w:rFonts w:hint="default" w:ascii="Times New Roman" w:hAnsi="Times New Roman" w:eastAsia="宋体" w:cs="Times New Roman"/>
                      <w:color w:val="0000FF"/>
                      <w:sz w:val="21"/>
                      <w:szCs w:val="21"/>
                      <w:highlight w:val="none"/>
                      <w:vertAlign w:val="baseline"/>
                      <w:lang w:val="en-US" w:eastAsia="zh-CN"/>
                    </w:rPr>
                    <w:t>160</w:t>
                  </w:r>
                </w:p>
              </w:tc>
              <w:tc>
                <w:tcPr>
                  <w:tcW w:w="677" w:type="pct"/>
                  <w:tcBorders>
                    <w:tl2br w:val="nil"/>
                    <w:tr2bl w:val="nil"/>
                  </w:tcBorders>
                  <w:noWrap w:val="0"/>
                  <w:vAlign w:val="center"/>
                </w:tcPr>
                <w:p w14:paraId="73AE1038">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83.75</w:t>
                  </w:r>
                </w:p>
              </w:tc>
              <w:tc>
                <w:tcPr>
                  <w:tcW w:w="712" w:type="pct"/>
                  <w:tcBorders>
                    <w:tl2br w:val="nil"/>
                    <w:tr2bl w:val="nil"/>
                  </w:tcBorders>
                  <w:noWrap w:val="0"/>
                  <w:vAlign w:val="center"/>
                </w:tcPr>
                <w:p w14:paraId="21DC5C87">
                  <w:pPr>
                    <w:pStyle w:val="7"/>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lang w:val="en-US" w:eastAsia="zh-CN"/>
                    </w:rPr>
                    <w:t>达标</w:t>
                  </w:r>
                </w:p>
              </w:tc>
            </w:tr>
          </w:tbl>
          <w:p w14:paraId="62EBCF8E">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据表3-1数据可知，20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lang w:eastAsia="zh-CN"/>
              </w:rPr>
              <w:t>年高安市全年主要空气污染物中</w:t>
            </w:r>
            <w:r>
              <w:rPr>
                <w:rFonts w:hint="default" w:ascii="Times New Roman" w:hAnsi="Times New Roman" w:eastAsia="宋体" w:cs="Times New Roman"/>
                <w:color w:val="auto"/>
                <w:sz w:val="24"/>
                <w:szCs w:val="24"/>
                <w:highlight w:val="none"/>
                <w:lang w:val="en-US" w:eastAsia="zh-CN"/>
              </w:rPr>
              <w:t>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10</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2.5</w:t>
            </w:r>
            <w:r>
              <w:rPr>
                <w:rFonts w:hint="default" w:ascii="Times New Roman" w:hAnsi="Times New Roman" w:eastAsia="宋体" w:cs="Times New Roman"/>
                <w:color w:val="auto"/>
                <w:sz w:val="24"/>
                <w:szCs w:val="24"/>
                <w:highlight w:val="none"/>
                <w:vertAlign w:val="baseline"/>
                <w:lang w:val="en-US" w:eastAsia="zh-CN"/>
              </w:rPr>
              <w:t>、CO和O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eastAsia="zh-CN"/>
              </w:rPr>
              <w:t>浓度均达到《环境空气质量标准》（</w:t>
            </w:r>
            <w:r>
              <w:rPr>
                <w:rFonts w:hint="eastAsia" w:cs="Times New Roman"/>
                <w:color w:val="auto"/>
                <w:sz w:val="24"/>
                <w:szCs w:val="24"/>
                <w:highlight w:val="none"/>
                <w:lang w:eastAsia="zh-CN"/>
              </w:rPr>
              <w:t>GB3095-2026</w:t>
            </w:r>
            <w:r>
              <w:rPr>
                <w:rFonts w:hint="default" w:ascii="Times New Roman" w:hAnsi="Times New Roman" w:eastAsia="宋体" w:cs="Times New Roman"/>
                <w:color w:val="auto"/>
                <w:sz w:val="24"/>
                <w:szCs w:val="24"/>
                <w:highlight w:val="none"/>
                <w:lang w:eastAsia="zh-CN"/>
              </w:rPr>
              <w:t>）二级标准要求</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因此，项目位于达标区，</w:t>
            </w:r>
            <w:r>
              <w:rPr>
                <w:rFonts w:hint="default" w:ascii="Times New Roman" w:hAnsi="Times New Roman" w:eastAsia="宋体" w:cs="Times New Roman"/>
                <w:color w:val="auto"/>
                <w:sz w:val="24"/>
                <w:szCs w:val="24"/>
                <w:highlight w:val="none"/>
                <w:lang w:val="en-US" w:eastAsia="zh-CN"/>
              </w:rPr>
              <w:t>环境空气质量现状良好</w:t>
            </w:r>
            <w:r>
              <w:rPr>
                <w:rFonts w:hint="default" w:ascii="Times New Roman" w:hAnsi="Times New Roman" w:eastAsia="宋体" w:cs="Times New Roman"/>
                <w:color w:val="auto"/>
                <w:sz w:val="24"/>
                <w:szCs w:val="24"/>
                <w:highlight w:val="none"/>
                <w:lang w:eastAsia="zh-CN"/>
              </w:rPr>
              <w:t>。</w:t>
            </w:r>
          </w:p>
          <w:p w14:paraId="0F535503">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2、特征污染物环境质量现状</w:t>
            </w:r>
          </w:p>
          <w:p w14:paraId="0B707654">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lang w:val="en-US" w:eastAsia="zh-CN"/>
              </w:rPr>
              <w:t>项目运营过程产生的</w:t>
            </w:r>
            <w:r>
              <w:rPr>
                <w:rFonts w:hint="eastAsia" w:cs="Times New Roman"/>
                <w:b w:val="0"/>
                <w:bCs w:val="0"/>
                <w:color w:val="auto"/>
                <w:sz w:val="24"/>
                <w:szCs w:val="24"/>
                <w:highlight w:val="none"/>
                <w:lang w:val="en-US" w:eastAsia="zh-CN"/>
              </w:rPr>
              <w:t>特征</w:t>
            </w:r>
            <w:r>
              <w:rPr>
                <w:rFonts w:hint="default" w:ascii="Times New Roman" w:hAnsi="Times New Roman" w:eastAsia="宋体" w:cs="Times New Roman"/>
                <w:b w:val="0"/>
                <w:bCs w:val="0"/>
                <w:color w:val="auto"/>
                <w:sz w:val="24"/>
                <w:szCs w:val="24"/>
                <w:highlight w:val="none"/>
                <w:lang w:val="en-US" w:eastAsia="zh-CN"/>
              </w:rPr>
              <w:t>污染物主要为非甲烷总烃，对应现状评价因子为非甲烷总烃。根据《建设项目环境影响报告表编制指南(污染影响类)》提到</w:t>
            </w:r>
            <w:r>
              <w:rPr>
                <w:rFonts w:hint="eastAsia" w:ascii="宋体" w:hAnsi="宋体" w:eastAsia="宋体" w:cs="宋体"/>
                <w:b w:val="0"/>
                <w:bCs w:val="0"/>
                <w:color w:val="auto"/>
                <w:sz w:val="24"/>
                <w:szCs w:val="24"/>
                <w:highlight w:val="none"/>
                <w:lang w:val="en-US" w:eastAsia="zh-CN"/>
              </w:rPr>
              <w:t>“排放国家、地方环境空气质量标准中有标准限值要求的特征污染物时需提供有效的现状监测数据”</w:t>
            </w:r>
            <w:r>
              <w:rPr>
                <w:rFonts w:hint="default" w:ascii="Times New Roman" w:hAnsi="Times New Roman" w:eastAsia="宋体" w:cs="Times New Roman"/>
                <w:b w:val="0"/>
                <w:bCs w:val="0"/>
                <w:color w:val="auto"/>
                <w:sz w:val="24"/>
                <w:szCs w:val="24"/>
                <w:highlight w:val="none"/>
                <w:lang w:val="en-US" w:eastAsia="zh-CN"/>
              </w:rPr>
              <w:t>，本项目的特征污染物非甲烷总烃在《环境空气质量标准》(</w:t>
            </w:r>
            <w:r>
              <w:rPr>
                <w:rFonts w:hint="eastAsia" w:cs="Times New Roman"/>
                <w:b w:val="0"/>
                <w:bCs w:val="0"/>
                <w:color w:val="auto"/>
                <w:sz w:val="24"/>
                <w:szCs w:val="24"/>
                <w:highlight w:val="none"/>
                <w:lang w:val="en-US" w:eastAsia="zh-CN"/>
              </w:rPr>
              <w:t>GB3095-2026</w:t>
            </w:r>
            <w:r>
              <w:rPr>
                <w:rFonts w:hint="default" w:ascii="Times New Roman" w:hAnsi="Times New Roman" w:eastAsia="宋体" w:cs="Times New Roman"/>
                <w:b w:val="0"/>
                <w:bCs w:val="0"/>
                <w:color w:val="auto"/>
                <w:sz w:val="24"/>
                <w:szCs w:val="24"/>
                <w:highlight w:val="none"/>
                <w:lang w:val="en-US" w:eastAsia="zh-CN"/>
              </w:rPr>
              <w:t>)中无质量标准且无地方环境空气质量标准，故展开现状监测</w:t>
            </w:r>
            <w:r>
              <w:rPr>
                <w:rFonts w:hint="default" w:ascii="Times New Roman" w:hAnsi="Times New Roman" w:eastAsia="宋体" w:cs="Times New Roman"/>
                <w:color w:val="auto"/>
                <w:kern w:val="2"/>
                <w:sz w:val="24"/>
                <w:szCs w:val="24"/>
                <w:highlight w:val="none"/>
                <w:lang w:val="en-US" w:eastAsia="zh-CN" w:bidi="ar-SA"/>
              </w:rPr>
              <w:t>。</w:t>
            </w:r>
          </w:p>
          <w:p w14:paraId="766E3F1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二</w:t>
            </w:r>
            <w:r>
              <w:rPr>
                <w:rFonts w:hint="default" w:ascii="Times New Roman" w:hAnsi="Times New Roman" w:eastAsia="宋体" w:cs="Times New Roman"/>
                <w:b/>
                <w:bCs w:val="0"/>
                <w:color w:val="auto"/>
                <w:sz w:val="24"/>
                <w:szCs w:val="24"/>
                <w:highlight w:val="none"/>
                <w:lang w:eastAsia="zh-CN"/>
              </w:rPr>
              <w:t>、地表水环境</w:t>
            </w:r>
          </w:p>
          <w:p w14:paraId="743345AF">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lang w:eastAsia="zh-CN"/>
              </w:rPr>
            </w:pPr>
            <w:bookmarkStart w:id="13" w:name="OLE_LINK5"/>
            <w:r>
              <w:rPr>
                <w:rFonts w:hint="default" w:ascii="Times New Roman" w:hAnsi="Times New Roman" w:eastAsia="宋体" w:cs="Times New Roman"/>
                <w:color w:val="auto"/>
                <w:sz w:val="24"/>
                <w:szCs w:val="24"/>
                <w:highlight w:val="none"/>
                <w:lang w:eastAsia="zh-CN"/>
              </w:rPr>
              <w:t>2025年7月江西省宜春生态环境监测中心对全市主要流域18个断面水质进行了监测，对</w:t>
            </w:r>
            <w:r>
              <w:rPr>
                <w:rFonts w:hint="eastAsia" w:cs="Times New Roman"/>
                <w:color w:val="auto"/>
                <w:sz w:val="24"/>
                <w:szCs w:val="24"/>
                <w:highlight w:val="none"/>
                <w:lang w:val="en-US" w:eastAsia="zh-CN"/>
              </w:rPr>
              <w:t>宜春</w:t>
            </w:r>
            <w:r>
              <w:rPr>
                <w:rFonts w:hint="default" w:ascii="Times New Roman" w:hAnsi="Times New Roman" w:eastAsia="宋体" w:cs="Times New Roman"/>
                <w:color w:val="auto"/>
                <w:sz w:val="24"/>
                <w:szCs w:val="24"/>
                <w:highlight w:val="none"/>
                <w:lang w:eastAsia="zh-CN"/>
              </w:rPr>
              <w:t>市范围内其他中心监测的15个断面水质数据进行了收集。监测评价指标为pH、溶解氧、高锰酸盐指数、化学需氧量、五日生化需氧量、氨氮、总磷、铜、锌、氟化物、硒、砷、汞、镉、六价铬、铅、氰化物、挥发酚、石油类、阴离子表面活性剂、硫化物共21项。监测评价标准为《地表水环境质量标准》(GB3838-2002)。2025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CN"/>
              </w:rPr>
              <w:t>月各监测断面水质结果见表</w:t>
            </w:r>
            <w:r>
              <w:rPr>
                <w:rFonts w:hint="default" w:ascii="Times New Roman" w:hAnsi="Times New Roman" w:eastAsia="宋体" w:cs="Times New Roman"/>
                <w:color w:val="auto"/>
                <w:kern w:val="0"/>
                <w:sz w:val="24"/>
                <w:highlight w:val="none"/>
                <w:lang w:val="en-US" w:eastAsia="zh-CN"/>
              </w:rPr>
              <w:t>3-2</w:t>
            </w:r>
            <w:r>
              <w:rPr>
                <w:rFonts w:hint="default" w:ascii="Times New Roman" w:hAnsi="Times New Roman" w:eastAsia="宋体" w:cs="Times New Roman"/>
                <w:color w:val="auto"/>
                <w:sz w:val="24"/>
                <w:szCs w:val="24"/>
                <w:highlight w:val="none"/>
                <w:lang w:eastAsia="zh-CN"/>
              </w:rPr>
              <w:t>。</w:t>
            </w:r>
            <w:bookmarkEnd w:id="13"/>
          </w:p>
          <w:tbl>
            <w:tblPr>
              <w:tblStyle w:val="33"/>
              <w:tblpPr w:leftFromText="180" w:rightFromText="180" w:vertAnchor="text" w:horzAnchor="page" w:tblpXSpec="center" w:tblpY="273"/>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74"/>
              <w:gridCol w:w="3559"/>
              <w:gridCol w:w="860"/>
              <w:gridCol w:w="788"/>
              <w:gridCol w:w="1026"/>
            </w:tblGrid>
            <w:tr w14:paraId="03F5B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126E2AE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序号</w:t>
                  </w:r>
                </w:p>
              </w:tc>
              <w:tc>
                <w:tcPr>
                  <w:tcW w:w="673" w:type="pct"/>
                  <w:tcBorders>
                    <w:tl2br w:val="nil"/>
                    <w:tr2bl w:val="nil"/>
                  </w:tcBorders>
                  <w:noWrap w:val="0"/>
                  <w:vAlign w:val="center"/>
                </w:tcPr>
                <w:p w14:paraId="37AF5B3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河流名称</w:t>
                  </w:r>
                </w:p>
              </w:tc>
              <w:tc>
                <w:tcPr>
                  <w:tcW w:w="2231" w:type="pct"/>
                  <w:tcBorders>
                    <w:tl2br w:val="nil"/>
                    <w:tr2bl w:val="nil"/>
                  </w:tcBorders>
                  <w:noWrap w:val="0"/>
                  <w:vAlign w:val="center"/>
                </w:tcPr>
                <w:p w14:paraId="4179162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断面名称</w:t>
                  </w:r>
                </w:p>
              </w:tc>
              <w:tc>
                <w:tcPr>
                  <w:tcW w:w="539" w:type="pct"/>
                  <w:tcBorders>
                    <w:tl2br w:val="nil"/>
                    <w:tr2bl w:val="nil"/>
                  </w:tcBorders>
                  <w:noWrap w:val="0"/>
                  <w:vAlign w:val="center"/>
                </w:tcPr>
                <w:p w14:paraId="7605BEB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执行标准</w:t>
                  </w:r>
                </w:p>
              </w:tc>
              <w:tc>
                <w:tcPr>
                  <w:tcW w:w="494" w:type="pct"/>
                  <w:tcBorders>
                    <w:tl2br w:val="nil"/>
                    <w:tr2bl w:val="nil"/>
                  </w:tcBorders>
                  <w:noWrap w:val="0"/>
                  <w:vAlign w:val="center"/>
                </w:tcPr>
                <w:p w14:paraId="7D6D9E1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水质类别</w:t>
                  </w:r>
                </w:p>
              </w:tc>
              <w:tc>
                <w:tcPr>
                  <w:tcW w:w="643" w:type="pct"/>
                  <w:tcBorders>
                    <w:tl2br w:val="nil"/>
                    <w:tr2bl w:val="nil"/>
                  </w:tcBorders>
                  <w:noWrap w:val="0"/>
                  <w:vAlign w:val="center"/>
                </w:tcPr>
                <w:p w14:paraId="2B2F154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超标因子</w:t>
                  </w:r>
                </w:p>
              </w:tc>
            </w:tr>
            <w:tr w14:paraId="30D8E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58C0D5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w:t>
                  </w:r>
                </w:p>
              </w:tc>
              <w:tc>
                <w:tcPr>
                  <w:tcW w:w="673" w:type="pct"/>
                  <w:tcBorders>
                    <w:tl2br w:val="nil"/>
                    <w:tr2bl w:val="nil"/>
                  </w:tcBorders>
                  <w:noWrap w:val="0"/>
                  <w:vAlign w:val="center"/>
                </w:tcPr>
                <w:p w14:paraId="6C2A40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tcBorders>
                    <w:tl2br w:val="nil"/>
                    <w:tr2bl w:val="nil"/>
                  </w:tcBorders>
                  <w:noWrap w:val="0"/>
                  <w:vAlign w:val="center"/>
                </w:tcPr>
                <w:p w14:paraId="65D4D5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万载枣木村（省考、省控、县界）</w:t>
                  </w:r>
                </w:p>
              </w:tc>
              <w:tc>
                <w:tcPr>
                  <w:tcW w:w="539" w:type="pct"/>
                  <w:tcBorders>
                    <w:tl2br w:val="nil"/>
                    <w:tr2bl w:val="nil"/>
                  </w:tcBorders>
                  <w:noWrap w:val="0"/>
                  <w:vAlign w:val="center"/>
                </w:tcPr>
                <w:p w14:paraId="203685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tcBorders>
                    <w:tl2br w:val="nil"/>
                    <w:tr2bl w:val="nil"/>
                  </w:tcBorders>
                  <w:noWrap w:val="0"/>
                  <w:vAlign w:val="center"/>
                </w:tcPr>
                <w:p w14:paraId="3F874C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tcBorders>
                    <w:tl2br w:val="nil"/>
                    <w:tr2bl w:val="nil"/>
                  </w:tcBorders>
                  <w:noWrap w:val="0"/>
                  <w:vAlign w:val="center"/>
                </w:tcPr>
                <w:p w14:paraId="69C891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0D4CC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73A112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w:t>
                  </w:r>
                </w:p>
              </w:tc>
              <w:tc>
                <w:tcPr>
                  <w:tcW w:w="673" w:type="pct"/>
                  <w:noWrap w:val="0"/>
                  <w:vAlign w:val="center"/>
                </w:tcPr>
                <w:p w14:paraId="68DD57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09A63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left"/>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上高徐家渡（省考、省控、县界、长江经济带）</w:t>
                  </w:r>
                </w:p>
              </w:tc>
              <w:tc>
                <w:tcPr>
                  <w:tcW w:w="539" w:type="pct"/>
                  <w:noWrap w:val="0"/>
                  <w:vAlign w:val="center"/>
                </w:tcPr>
                <w:p w14:paraId="4CE217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noWrap w:val="0"/>
                  <w:vAlign w:val="center"/>
                </w:tcPr>
                <w:p w14:paraId="22F40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0EE703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649FC9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6A6CA0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w:t>
                  </w:r>
                </w:p>
              </w:tc>
              <w:tc>
                <w:tcPr>
                  <w:tcW w:w="673" w:type="pct"/>
                  <w:noWrap w:val="0"/>
                  <w:vAlign w:val="center"/>
                </w:tcPr>
                <w:p w14:paraId="1AF73D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74EB5A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上高凌江大桥（省考、省控、县界、长江经济带）</w:t>
                  </w:r>
                </w:p>
              </w:tc>
              <w:tc>
                <w:tcPr>
                  <w:tcW w:w="539" w:type="pct"/>
                  <w:noWrap w:val="0"/>
                  <w:vAlign w:val="center"/>
                </w:tcPr>
                <w:p w14:paraId="06C658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noWrap w:val="0"/>
                  <w:vAlign w:val="center"/>
                </w:tcPr>
                <w:p w14:paraId="376841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614DE2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BB3F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408EB6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4</w:t>
                  </w:r>
                </w:p>
              </w:tc>
              <w:tc>
                <w:tcPr>
                  <w:tcW w:w="673" w:type="pct"/>
                  <w:noWrap w:val="0"/>
                  <w:vAlign w:val="center"/>
                </w:tcPr>
                <w:p w14:paraId="2EC1E0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7342DF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均车村（省考、省控、县界、长江经济带）</w:t>
                  </w:r>
                </w:p>
              </w:tc>
              <w:tc>
                <w:tcPr>
                  <w:tcW w:w="539" w:type="pct"/>
                  <w:noWrap w:val="0"/>
                  <w:vAlign w:val="center"/>
                </w:tcPr>
                <w:p w14:paraId="255E6C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3C9B99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262B82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47E52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7FC307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5</w:t>
                  </w:r>
                </w:p>
              </w:tc>
              <w:tc>
                <w:tcPr>
                  <w:tcW w:w="673" w:type="pct"/>
                  <w:noWrap w:val="0"/>
                  <w:vAlign w:val="center"/>
                </w:tcPr>
                <w:p w14:paraId="7C6EBD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3984D6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高安市青州村（国考、国控、市界）</w:t>
                  </w:r>
                </w:p>
              </w:tc>
              <w:tc>
                <w:tcPr>
                  <w:tcW w:w="539" w:type="pct"/>
                  <w:noWrap w:val="0"/>
                  <w:vAlign w:val="center"/>
                </w:tcPr>
                <w:p w14:paraId="6118C5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bookmarkStart w:id="14" w:name="OLE_LINK6"/>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bookmarkEnd w:id="14"/>
                </w:p>
              </w:tc>
              <w:tc>
                <w:tcPr>
                  <w:tcW w:w="494" w:type="pct"/>
                  <w:noWrap w:val="0"/>
                  <w:vAlign w:val="center"/>
                </w:tcPr>
                <w:p w14:paraId="6F4EDF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643" w:type="pct"/>
                  <w:noWrap w:val="0"/>
                  <w:vAlign w:val="center"/>
                </w:tcPr>
                <w:p w14:paraId="47F529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4E59C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2F7E3D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6</w:t>
                  </w:r>
                </w:p>
              </w:tc>
              <w:tc>
                <w:tcPr>
                  <w:tcW w:w="673" w:type="pct"/>
                  <w:noWrap w:val="0"/>
                  <w:vAlign w:val="center"/>
                </w:tcPr>
                <w:p w14:paraId="29DA72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6D3699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锦江江口（省考、省控）</w:t>
                  </w:r>
                </w:p>
              </w:tc>
              <w:tc>
                <w:tcPr>
                  <w:tcW w:w="539" w:type="pct"/>
                  <w:noWrap w:val="0"/>
                  <w:vAlign w:val="center"/>
                </w:tcPr>
                <w:p w14:paraId="6B2DC0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3185A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643" w:type="pct"/>
                  <w:noWrap w:val="0"/>
                  <w:vAlign w:val="center"/>
                </w:tcPr>
                <w:p w14:paraId="232680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5F53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0F7EE0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7</w:t>
                  </w:r>
                </w:p>
              </w:tc>
              <w:tc>
                <w:tcPr>
                  <w:tcW w:w="673" w:type="pct"/>
                  <w:noWrap w:val="0"/>
                  <w:vAlign w:val="center"/>
                </w:tcPr>
                <w:p w14:paraId="0990C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5455A2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良田村（国考、国控、县界）</w:t>
                  </w:r>
                </w:p>
              </w:tc>
              <w:tc>
                <w:tcPr>
                  <w:tcW w:w="539" w:type="pct"/>
                  <w:noWrap w:val="0"/>
                  <w:vAlign w:val="center"/>
                </w:tcPr>
                <w:p w14:paraId="54C5AF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4F3EF5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3F83C1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bl>
          <w:p w14:paraId="4D7EAB3C">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3-2</w:t>
            </w:r>
            <w:r>
              <w:rPr>
                <w:rFonts w:hint="default" w:ascii="Times New Roman" w:hAnsi="Times New Roman" w:eastAsia="宋体" w:cs="Times New Roman"/>
                <w:b/>
                <w:bCs/>
                <w:color w:val="auto"/>
                <w:sz w:val="21"/>
                <w:szCs w:val="21"/>
                <w:highlight w:val="none"/>
              </w:rPr>
              <w:t xml:space="preserve">  20</w:t>
            </w:r>
            <w:r>
              <w:rPr>
                <w:rFonts w:hint="default" w:ascii="Times New Roman" w:hAnsi="Times New Roman" w:eastAsia="宋体" w:cs="Times New Roman"/>
                <w:b/>
                <w:bCs/>
                <w:color w:val="auto"/>
                <w:sz w:val="21"/>
                <w:szCs w:val="21"/>
                <w:highlight w:val="none"/>
                <w:lang w:val="en-US" w:eastAsia="zh-CN"/>
              </w:rPr>
              <w:t>25</w:t>
            </w:r>
            <w:r>
              <w:rPr>
                <w:rFonts w:hint="default" w:ascii="Times New Roman" w:hAnsi="Times New Roman" w:eastAsia="宋体" w:cs="Times New Roman"/>
                <w:b/>
                <w:bCs/>
                <w:color w:val="auto"/>
                <w:sz w:val="21"/>
                <w:szCs w:val="21"/>
                <w:highlight w:val="none"/>
              </w:rPr>
              <w:t>年</w:t>
            </w:r>
            <w:r>
              <w:rPr>
                <w:rFonts w:hint="default" w:ascii="Times New Roman" w:hAnsi="Times New Roman" w:eastAsia="宋体" w:cs="Times New Roman"/>
                <w:b/>
                <w:bCs/>
                <w:color w:val="auto"/>
                <w:sz w:val="21"/>
                <w:szCs w:val="21"/>
                <w:highlight w:val="none"/>
                <w:lang w:val="en-US" w:eastAsia="zh-CN"/>
              </w:rPr>
              <w:t>7</w:t>
            </w:r>
            <w:r>
              <w:rPr>
                <w:rFonts w:hint="default" w:ascii="Times New Roman" w:hAnsi="Times New Roman" w:eastAsia="宋体" w:cs="Times New Roman"/>
                <w:b/>
                <w:bCs/>
                <w:color w:val="auto"/>
                <w:sz w:val="21"/>
                <w:szCs w:val="21"/>
                <w:highlight w:val="none"/>
              </w:rPr>
              <w:t>月各断面水质监测评价结果一览表</w:t>
            </w:r>
          </w:p>
          <w:p w14:paraId="257016E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sz w:val="24"/>
                <w:highlight w:val="none"/>
                <w:lang w:val="en-US" w:eastAsia="zh-CN"/>
              </w:rPr>
              <w:t>从监测结果来看，项目所在地表水体锦江</w:t>
            </w:r>
            <w:r>
              <w:rPr>
                <w:rFonts w:hint="eastAsia" w:cs="Times New Roman"/>
                <w:color w:val="auto"/>
                <w:sz w:val="24"/>
                <w:highlight w:val="none"/>
                <w:lang w:val="en-US" w:eastAsia="zh-CN"/>
              </w:rPr>
              <w:t>水质</w:t>
            </w:r>
            <w:r>
              <w:rPr>
                <w:rFonts w:hint="default" w:ascii="Times New Roman" w:hAnsi="Times New Roman" w:eastAsia="宋体" w:cs="Times New Roman"/>
                <w:color w:val="auto"/>
                <w:sz w:val="24"/>
                <w:highlight w:val="none"/>
                <w:lang w:val="en-US" w:eastAsia="zh-CN"/>
              </w:rPr>
              <w:t>达到《地表水环境质量标准》(GB3838-2002)Ⅲ类标准要求，地表水环境质量现状良好</w:t>
            </w:r>
            <w:r>
              <w:rPr>
                <w:rFonts w:hint="default" w:ascii="Times New Roman" w:hAnsi="Times New Roman" w:eastAsia="宋体" w:cs="Times New Roman"/>
                <w:color w:val="auto"/>
                <w:kern w:val="0"/>
                <w:sz w:val="24"/>
                <w:szCs w:val="20"/>
                <w:highlight w:val="none"/>
              </w:rPr>
              <w:t>。</w:t>
            </w:r>
          </w:p>
          <w:p w14:paraId="6099F69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三、声环境</w:t>
            </w:r>
          </w:p>
          <w:p w14:paraId="7DAD9970">
            <w:pPr>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cs="Times New Roman"/>
                <w:color w:val="auto"/>
                <w:sz w:val="24"/>
                <w:lang w:val="en-US" w:eastAsia="zh-CN"/>
              </w:rPr>
              <w:t>距</w:t>
            </w:r>
            <w:r>
              <w:rPr>
                <w:rFonts w:ascii="Times New Roman" w:hAnsi="Times New Roman" w:cs="Times New Roman"/>
                <w:color w:val="auto"/>
                <w:sz w:val="24"/>
              </w:rPr>
              <w:t>本项目厂界50米范围内无声环境保护目标，根据《建设项目环境影响报告表编制技术指南（污染影响类）（试行）》要求，可不需开展声环境现状监测。</w:t>
            </w:r>
          </w:p>
          <w:p w14:paraId="495EB3C1">
            <w:pPr>
              <w:numPr>
                <w:ilvl w:val="0"/>
                <w:numId w:val="0"/>
              </w:numPr>
              <w:spacing w:line="360" w:lineRule="auto"/>
              <w:ind w:firstLine="482" w:firstLineChars="200"/>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四、生态环境</w:t>
            </w:r>
          </w:p>
          <w:p w14:paraId="6DE8F753">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项目位于</w:t>
            </w:r>
            <w:r>
              <w:rPr>
                <w:rFonts w:hint="default" w:ascii="Times New Roman" w:hAnsi="Times New Roman" w:cs="Times New Roman"/>
                <w:color w:val="auto"/>
                <w:sz w:val="24"/>
                <w:szCs w:val="24"/>
                <w:highlight w:val="none"/>
                <w:lang w:eastAsia="zh-CN"/>
              </w:rPr>
              <w:t>江西高安高新技术产业园</w:t>
            </w:r>
            <w:r>
              <w:rPr>
                <w:rFonts w:hint="eastAsia" w:cs="Times New Roman"/>
                <w:color w:val="auto"/>
                <w:sz w:val="24"/>
                <w:szCs w:val="24"/>
                <w:highlight w:val="none"/>
                <w:lang w:val="en-US" w:eastAsia="zh-CN"/>
              </w:rPr>
              <w:t>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建设项目不涉及生态环境保护目标，项目周边无风景名胜区和文物古迹等特殊保护对象。</w:t>
            </w:r>
          </w:p>
          <w:p w14:paraId="1E2DAEC9">
            <w:pPr>
              <w:adjustRightInd w:val="0"/>
              <w:snapToGri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五</w:t>
            </w:r>
            <w:r>
              <w:rPr>
                <w:rFonts w:hint="default" w:ascii="Times New Roman" w:hAnsi="Times New Roman" w:eastAsia="宋体" w:cs="Times New Roman"/>
                <w:b/>
                <w:bCs/>
                <w:color w:val="auto"/>
                <w:sz w:val="24"/>
                <w:highlight w:val="none"/>
              </w:rPr>
              <w:t>、</w:t>
            </w:r>
            <w:r>
              <w:rPr>
                <w:rFonts w:hint="default" w:ascii="Times New Roman" w:hAnsi="Times New Roman" w:eastAsia="宋体" w:cs="Times New Roman"/>
                <w:b/>
                <w:bCs/>
                <w:color w:val="auto"/>
                <w:sz w:val="24"/>
                <w:highlight w:val="none"/>
                <w:lang w:val="en-US" w:eastAsia="zh-CN"/>
              </w:rPr>
              <w:t>土壤和地下水</w:t>
            </w:r>
          </w:p>
          <w:p w14:paraId="687CEA20">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根据《建设项目环境影响报告表编制技术指南（污染影响类）（试行）》</w:t>
            </w:r>
          </w:p>
          <w:p w14:paraId="6C3C13E4">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highlight w:val="none"/>
                <w:lang w:val="en-US" w:eastAsia="zh-CN"/>
              </w:rPr>
              <w:t>（环办环评</w:t>
            </w:r>
            <w:r>
              <w:rPr>
                <w:rFonts w:hint="eastAsia" w:ascii="宋体" w:hAnsi="宋体" w:eastAsia="宋体" w:cs="宋体"/>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2020</w:t>
            </w:r>
            <w:r>
              <w:rPr>
                <w:rFonts w:hint="eastAsia" w:ascii="宋体" w:hAnsi="宋体" w:eastAsia="宋体" w:cs="宋体"/>
                <w:color w:val="auto"/>
                <w:kern w:val="0"/>
                <w:sz w:val="24"/>
                <w:highlight w:val="none"/>
                <w:lang w:val="en-US" w:eastAsia="zh-CN"/>
              </w:rPr>
              <w:t>〕</w:t>
            </w:r>
            <w:r>
              <w:rPr>
                <w:rFonts w:hint="default" w:ascii="Times New Roman" w:hAnsi="Times New Roman" w:eastAsia="宋体" w:cs="Times New Roman"/>
                <w:color w:val="auto"/>
                <w:kern w:val="0"/>
                <w:sz w:val="24"/>
                <w:highlight w:val="none"/>
                <w:lang w:val="en-US" w:eastAsia="zh-CN"/>
              </w:rPr>
              <w:t>33号）中关于地下水环境质量现状评价要求，原则上不开展</w:t>
            </w:r>
            <w:r>
              <w:rPr>
                <w:rFonts w:hint="default" w:ascii="Times New Roman" w:hAnsi="Times New Roman" w:eastAsia="宋体" w:cs="Times New Roman"/>
                <w:b w:val="0"/>
                <w:bCs w:val="0"/>
                <w:color w:val="auto"/>
                <w:kern w:val="0"/>
                <w:sz w:val="24"/>
                <w:highlight w:val="none"/>
                <w:lang w:val="en-US" w:eastAsia="zh-CN"/>
              </w:rPr>
              <w:t>土壤和地下水</w:t>
            </w:r>
            <w:r>
              <w:rPr>
                <w:rFonts w:hint="default" w:ascii="Times New Roman" w:hAnsi="Times New Roman" w:eastAsia="宋体" w:cs="Times New Roman"/>
                <w:color w:val="auto"/>
                <w:kern w:val="0"/>
                <w:sz w:val="24"/>
                <w:highlight w:val="none"/>
                <w:lang w:val="en-US" w:eastAsia="zh-CN"/>
              </w:rPr>
              <w:t>环境质量现状调查</w:t>
            </w:r>
            <w:r>
              <w:rPr>
                <w:rFonts w:hint="default" w:ascii="Times New Roman" w:hAnsi="Times New Roman" w:eastAsia="宋体" w:cs="Times New Roman"/>
                <w:color w:val="auto"/>
                <w:sz w:val="24"/>
                <w:highlight w:val="none"/>
                <w:lang w:eastAsia="zh-CN"/>
              </w:rPr>
              <w:t>。</w:t>
            </w:r>
          </w:p>
        </w:tc>
      </w:tr>
      <w:tr w14:paraId="29323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00" w:type="dxa"/>
            <w:noWrap w:val="0"/>
            <w:vAlign w:val="center"/>
          </w:tcPr>
          <w:p w14:paraId="568D4A0B">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7B9B6D5A">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保护</w:t>
            </w:r>
          </w:p>
          <w:p w14:paraId="6679BDBE">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目标</w:t>
            </w:r>
          </w:p>
        </w:tc>
        <w:tc>
          <w:tcPr>
            <w:tcW w:w="8190" w:type="dxa"/>
            <w:noWrap w:val="0"/>
            <w:vAlign w:val="center"/>
          </w:tcPr>
          <w:p w14:paraId="1CDBCBA4">
            <w:pPr>
              <w:widowControl w:val="0"/>
              <w:adjustRightInd w:val="0"/>
              <w:snapToGrid w:val="0"/>
              <w:spacing w:line="360" w:lineRule="auto"/>
              <w:ind w:firstLine="482" w:firstLineChars="200"/>
              <w:jc w:val="both"/>
              <w:rPr>
                <w:rFonts w:ascii="Times New Roman" w:hAnsi="Times New Roman" w:eastAsia="宋体" w:cs="Times New Roman"/>
                <w:b/>
                <w:color w:val="auto"/>
                <w:sz w:val="24"/>
              </w:rPr>
            </w:pPr>
            <w:r>
              <w:rPr>
                <w:rFonts w:ascii="Times New Roman" w:hAnsi="Times New Roman" w:eastAsia="宋体" w:cs="Times New Roman"/>
                <w:b/>
                <w:color w:val="auto"/>
                <w:sz w:val="24"/>
              </w:rPr>
              <w:t>1、大气环境保护目标</w:t>
            </w:r>
          </w:p>
          <w:p w14:paraId="4688DF11">
            <w:pPr>
              <w:widowControl w:val="0"/>
              <w:adjustRightInd w:val="0"/>
              <w:snapToGrid w:val="0"/>
              <w:spacing w:line="360" w:lineRule="auto"/>
              <w:ind w:firstLine="480" w:firstLineChars="200"/>
              <w:jc w:val="both"/>
              <w:rPr>
                <w:rFonts w:ascii="Times New Roman" w:hAnsi="Times New Roman" w:eastAsia="宋体" w:cs="Times New Roman"/>
                <w:bCs/>
                <w:color w:val="auto"/>
                <w:sz w:val="24"/>
              </w:rPr>
            </w:pPr>
            <w:r>
              <w:rPr>
                <w:rFonts w:hint="eastAsia" w:ascii="Times New Roman" w:hAnsi="Times New Roman" w:eastAsia="宋体" w:cs="Times New Roman"/>
                <w:bCs/>
                <w:color w:val="auto"/>
                <w:sz w:val="24"/>
              </w:rPr>
              <w:t>本项目</w:t>
            </w:r>
            <w:bookmarkStart w:id="15" w:name="OLE_LINK68"/>
            <w:bookmarkStart w:id="16" w:name="OLE_LINK69"/>
            <w:r>
              <w:rPr>
                <w:rFonts w:hint="eastAsia" w:ascii="Times New Roman" w:hAnsi="Times New Roman" w:eastAsia="宋体" w:cs="Times New Roman"/>
                <w:bCs/>
                <w:color w:val="auto"/>
                <w:sz w:val="24"/>
              </w:rPr>
              <w:t>大气评价范围</w:t>
            </w:r>
            <w:r>
              <w:rPr>
                <w:rFonts w:hint="eastAsia" w:cs="Times New Roman"/>
                <w:bCs/>
                <w:color w:val="auto"/>
                <w:sz w:val="24"/>
                <w:lang w:eastAsia="zh-CN"/>
              </w:rPr>
              <w:t>（</w:t>
            </w:r>
            <w:r>
              <w:rPr>
                <w:rFonts w:hint="eastAsia" w:cs="Times New Roman"/>
                <w:bCs/>
                <w:color w:val="auto"/>
                <w:sz w:val="24"/>
                <w:lang w:val="en-US" w:eastAsia="zh-CN"/>
              </w:rPr>
              <w:t>500m</w:t>
            </w:r>
            <w:r>
              <w:rPr>
                <w:rFonts w:hint="eastAsia" w:cs="Times New Roman"/>
                <w:bCs/>
                <w:color w:val="auto"/>
                <w:sz w:val="24"/>
                <w:lang w:eastAsia="zh-CN"/>
              </w:rPr>
              <w:t>）</w:t>
            </w:r>
            <w:r>
              <w:rPr>
                <w:rFonts w:hint="eastAsia" w:ascii="Times New Roman" w:hAnsi="Times New Roman" w:eastAsia="宋体" w:cs="Times New Roman"/>
                <w:bCs/>
                <w:color w:val="auto"/>
                <w:sz w:val="24"/>
              </w:rPr>
              <w:t>内无敏</w:t>
            </w:r>
            <w:bookmarkEnd w:id="15"/>
            <w:bookmarkEnd w:id="16"/>
            <w:r>
              <w:rPr>
                <w:rFonts w:hint="eastAsia" w:ascii="Times New Roman" w:hAnsi="Times New Roman" w:eastAsia="宋体" w:cs="Times New Roman"/>
                <w:bCs/>
                <w:color w:val="auto"/>
                <w:sz w:val="24"/>
              </w:rPr>
              <w:t>感点。</w:t>
            </w:r>
          </w:p>
          <w:p w14:paraId="75FA8068">
            <w:pPr>
              <w:widowControl w:val="0"/>
              <w:adjustRightInd w:val="0"/>
              <w:snapToGrid w:val="0"/>
              <w:spacing w:line="360" w:lineRule="auto"/>
              <w:ind w:firstLine="482" w:firstLineChars="200"/>
              <w:jc w:val="both"/>
              <w:rPr>
                <w:rFonts w:ascii="Times New Roman" w:hAnsi="Times New Roman" w:eastAsia="宋体" w:cs="Times New Roman"/>
                <w:b/>
                <w:color w:val="auto"/>
                <w:sz w:val="24"/>
              </w:rPr>
            </w:pPr>
            <w:r>
              <w:rPr>
                <w:rFonts w:ascii="Times New Roman" w:hAnsi="Times New Roman" w:eastAsia="宋体" w:cs="Times New Roman"/>
                <w:b/>
                <w:color w:val="auto"/>
                <w:sz w:val="24"/>
              </w:rPr>
              <w:t>2、地表水环境保护目标</w:t>
            </w:r>
          </w:p>
          <w:p w14:paraId="467F5471">
            <w:pPr>
              <w:widowControl w:val="0"/>
              <w:adjustRightInd w:val="0"/>
              <w:snapToGrid w:val="0"/>
              <w:spacing w:line="360" w:lineRule="auto"/>
              <w:ind w:firstLine="480" w:firstLineChars="200"/>
              <w:jc w:val="both"/>
              <w:rPr>
                <w:rFonts w:ascii="Times New Roman" w:hAnsi="Times New Roman" w:eastAsia="宋体" w:cs="Times New Roman"/>
                <w:color w:val="auto"/>
              </w:rPr>
            </w:pPr>
            <w:r>
              <w:rPr>
                <w:rFonts w:ascii="Times New Roman" w:hAnsi="Times New Roman" w:cs="Times New Roman"/>
                <w:color w:val="auto"/>
                <w:sz w:val="24"/>
              </w:rPr>
              <w:t>地表水环境保护目标如表3-</w:t>
            </w:r>
            <w:r>
              <w:rPr>
                <w:rFonts w:hint="eastAsia" w:ascii="Times New Roman" w:hAnsi="Times New Roman" w:cs="Times New Roman"/>
                <w:color w:val="auto"/>
                <w:sz w:val="24"/>
                <w:lang w:val="en-US" w:eastAsia="zh-CN"/>
              </w:rPr>
              <w:t>3</w:t>
            </w:r>
            <w:r>
              <w:rPr>
                <w:rFonts w:hint="eastAsia" w:cs="Times New Roman"/>
                <w:color w:val="auto"/>
                <w:sz w:val="24"/>
                <w:lang w:val="en-US" w:eastAsia="zh-CN"/>
              </w:rPr>
              <w:t>。</w:t>
            </w:r>
          </w:p>
          <w:p w14:paraId="54F162E9">
            <w:pPr>
              <w:autoSpaceDE w:val="0"/>
              <w:autoSpaceDN w:val="0"/>
              <w:spacing w:line="240" w:lineRule="auto"/>
              <w:ind w:left="0" w:leftChars="0" w:firstLine="0" w:firstLineChars="0"/>
              <w:jc w:val="center"/>
              <w:rPr>
                <w:rFonts w:hint="default" w:ascii="Times New Roman" w:hAnsi="Times New Roman" w:eastAsia="宋体" w:cs="Times New Roman"/>
                <w:b/>
                <w:color w:val="auto"/>
                <w:sz w:val="21"/>
                <w:szCs w:val="21"/>
                <w:highlight w:val="none"/>
                <w:lang w:val="zh-CN"/>
              </w:rPr>
            </w:pPr>
            <w:r>
              <w:rPr>
                <w:rFonts w:hint="default" w:ascii="Times New Roman" w:hAnsi="Times New Roman" w:eastAsia="宋体" w:cs="Times New Roman"/>
                <w:b/>
                <w:color w:val="auto"/>
                <w:sz w:val="21"/>
                <w:szCs w:val="21"/>
                <w:highlight w:val="none"/>
                <w:lang w:val="zh-CN"/>
              </w:rPr>
              <w:t>表3-</w:t>
            </w:r>
            <w:r>
              <w:rPr>
                <w:rFonts w:hint="eastAsia" w:ascii="Times New Roman" w:hAnsi="Times New Roman" w:eastAsia="宋体" w:cs="Times New Roman"/>
                <w:b/>
                <w:color w:val="auto"/>
                <w:sz w:val="21"/>
                <w:szCs w:val="21"/>
                <w:highlight w:val="none"/>
                <w:lang w:val="en-US" w:eastAsia="zh-CN"/>
              </w:rPr>
              <w:t xml:space="preserve">3  </w:t>
            </w:r>
            <w:r>
              <w:rPr>
                <w:rFonts w:hint="default" w:ascii="Times New Roman" w:hAnsi="Times New Roman" w:eastAsia="宋体" w:cs="Times New Roman"/>
                <w:b/>
                <w:color w:val="auto"/>
                <w:sz w:val="21"/>
                <w:szCs w:val="21"/>
                <w:highlight w:val="none"/>
                <w:lang w:val="zh-CN"/>
              </w:rPr>
              <w:t>项目地表水环境保护目标</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67"/>
              <w:gridCol w:w="1379"/>
              <w:gridCol w:w="595"/>
              <w:gridCol w:w="418"/>
              <w:gridCol w:w="753"/>
              <w:gridCol w:w="1182"/>
              <w:gridCol w:w="1142"/>
              <w:gridCol w:w="1638"/>
            </w:tblGrid>
            <w:tr w14:paraId="3CC7F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8" w:hRule="atLeast"/>
                <w:jc w:val="center"/>
              </w:trPr>
              <w:tc>
                <w:tcPr>
                  <w:tcW w:w="544" w:type="pct"/>
                  <w:vMerge w:val="restart"/>
                  <w:tcBorders>
                    <w:tl2br w:val="nil"/>
                    <w:tr2bl w:val="nil"/>
                  </w:tcBorders>
                  <w:vAlign w:val="center"/>
                </w:tcPr>
                <w:p w14:paraId="7C54B374">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环境要素</w:t>
                  </w:r>
                </w:p>
              </w:tc>
              <w:tc>
                <w:tcPr>
                  <w:tcW w:w="865" w:type="pct"/>
                  <w:vMerge w:val="restart"/>
                  <w:tcBorders>
                    <w:tl2br w:val="nil"/>
                    <w:tr2bl w:val="nil"/>
                  </w:tcBorders>
                  <w:vAlign w:val="center"/>
                </w:tcPr>
                <w:p w14:paraId="469A3DE9">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环境保护对象名称</w:t>
                  </w:r>
                </w:p>
              </w:tc>
              <w:tc>
                <w:tcPr>
                  <w:tcW w:w="635" w:type="pct"/>
                  <w:gridSpan w:val="2"/>
                  <w:tcBorders>
                    <w:tl2br w:val="nil"/>
                    <w:tr2bl w:val="nil"/>
                  </w:tcBorders>
                  <w:vAlign w:val="center"/>
                </w:tcPr>
                <w:p w14:paraId="32A3B0FF">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坐标</w:t>
                  </w:r>
                </w:p>
              </w:tc>
              <w:tc>
                <w:tcPr>
                  <w:tcW w:w="472" w:type="pct"/>
                  <w:vMerge w:val="restart"/>
                  <w:tcBorders>
                    <w:tl2br w:val="nil"/>
                    <w:tr2bl w:val="nil"/>
                  </w:tcBorders>
                  <w:vAlign w:val="center"/>
                </w:tcPr>
                <w:p w14:paraId="244FC0FD">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方位</w:t>
                  </w:r>
                </w:p>
              </w:tc>
              <w:tc>
                <w:tcPr>
                  <w:tcW w:w="741" w:type="pct"/>
                  <w:vMerge w:val="restart"/>
                  <w:tcBorders>
                    <w:tl2br w:val="nil"/>
                    <w:tr2bl w:val="nil"/>
                  </w:tcBorders>
                  <w:vAlign w:val="center"/>
                </w:tcPr>
                <w:p w14:paraId="7F5B9872">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距厂界最近距离</w:t>
                  </w:r>
                </w:p>
              </w:tc>
              <w:tc>
                <w:tcPr>
                  <w:tcW w:w="716" w:type="pct"/>
                  <w:vMerge w:val="restart"/>
                  <w:tcBorders>
                    <w:tl2br w:val="nil"/>
                    <w:tr2bl w:val="nil"/>
                  </w:tcBorders>
                  <w:vAlign w:val="center"/>
                </w:tcPr>
                <w:p w14:paraId="62CEB970">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规模</w:t>
                  </w:r>
                </w:p>
              </w:tc>
              <w:tc>
                <w:tcPr>
                  <w:tcW w:w="1023" w:type="pct"/>
                  <w:vMerge w:val="restart"/>
                  <w:tcBorders>
                    <w:tl2br w:val="nil"/>
                    <w:tr2bl w:val="nil"/>
                  </w:tcBorders>
                  <w:vAlign w:val="center"/>
                </w:tcPr>
                <w:p w14:paraId="10BB1046">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环境功能</w:t>
                  </w:r>
                </w:p>
              </w:tc>
            </w:tr>
            <w:tr w14:paraId="18E2B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44" w:type="pct"/>
                  <w:vMerge w:val="continue"/>
                  <w:tcBorders>
                    <w:tl2br w:val="nil"/>
                    <w:tr2bl w:val="nil"/>
                  </w:tcBorders>
                  <w:vAlign w:val="center"/>
                </w:tcPr>
                <w:p w14:paraId="64912711">
                  <w:pPr>
                    <w:widowControl w:val="0"/>
                    <w:adjustRightInd w:val="0"/>
                    <w:snapToGrid w:val="0"/>
                    <w:spacing w:line="240" w:lineRule="auto"/>
                    <w:jc w:val="center"/>
                    <w:rPr>
                      <w:rFonts w:ascii="Times New Roman" w:hAnsi="Times New Roman" w:eastAsia="宋体" w:cs="Times New Roman"/>
                      <w:color w:val="auto"/>
                      <w:sz w:val="21"/>
                      <w:szCs w:val="21"/>
                    </w:rPr>
                  </w:pPr>
                </w:p>
              </w:tc>
              <w:tc>
                <w:tcPr>
                  <w:tcW w:w="865" w:type="pct"/>
                  <w:vMerge w:val="continue"/>
                  <w:tcBorders>
                    <w:tl2br w:val="nil"/>
                    <w:tr2bl w:val="nil"/>
                  </w:tcBorders>
                  <w:vAlign w:val="center"/>
                </w:tcPr>
                <w:p w14:paraId="383A8D9D">
                  <w:pPr>
                    <w:widowControl w:val="0"/>
                    <w:adjustRightInd w:val="0"/>
                    <w:snapToGrid w:val="0"/>
                    <w:spacing w:line="240" w:lineRule="auto"/>
                    <w:jc w:val="center"/>
                    <w:rPr>
                      <w:rFonts w:ascii="Times New Roman" w:hAnsi="Times New Roman" w:eastAsia="宋体" w:cs="Times New Roman"/>
                      <w:color w:val="auto"/>
                      <w:sz w:val="21"/>
                      <w:szCs w:val="21"/>
                    </w:rPr>
                  </w:pPr>
                </w:p>
              </w:tc>
              <w:tc>
                <w:tcPr>
                  <w:tcW w:w="373" w:type="pct"/>
                  <w:tcBorders>
                    <w:tl2br w:val="nil"/>
                    <w:tr2bl w:val="nil"/>
                  </w:tcBorders>
                  <w:vAlign w:val="center"/>
                </w:tcPr>
                <w:p w14:paraId="071D461B">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X</w:t>
                  </w:r>
                </w:p>
              </w:tc>
              <w:tc>
                <w:tcPr>
                  <w:tcW w:w="262" w:type="pct"/>
                  <w:tcBorders>
                    <w:tl2br w:val="nil"/>
                    <w:tr2bl w:val="nil"/>
                  </w:tcBorders>
                  <w:vAlign w:val="center"/>
                </w:tcPr>
                <w:p w14:paraId="45B16AD0">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Y</w:t>
                  </w:r>
                </w:p>
              </w:tc>
              <w:tc>
                <w:tcPr>
                  <w:tcW w:w="472" w:type="pct"/>
                  <w:vMerge w:val="continue"/>
                  <w:tcBorders>
                    <w:tl2br w:val="nil"/>
                    <w:tr2bl w:val="nil"/>
                  </w:tcBorders>
                  <w:vAlign w:val="center"/>
                </w:tcPr>
                <w:p w14:paraId="0F3E4E4E">
                  <w:pPr>
                    <w:widowControl w:val="0"/>
                    <w:adjustRightInd w:val="0"/>
                    <w:snapToGrid w:val="0"/>
                    <w:spacing w:line="240" w:lineRule="auto"/>
                    <w:jc w:val="center"/>
                    <w:rPr>
                      <w:rFonts w:ascii="Times New Roman" w:hAnsi="Times New Roman" w:eastAsia="宋体" w:cs="Times New Roman"/>
                      <w:color w:val="auto"/>
                      <w:sz w:val="21"/>
                      <w:szCs w:val="21"/>
                    </w:rPr>
                  </w:pPr>
                </w:p>
              </w:tc>
              <w:tc>
                <w:tcPr>
                  <w:tcW w:w="741" w:type="pct"/>
                  <w:vMerge w:val="continue"/>
                  <w:tcBorders>
                    <w:tl2br w:val="nil"/>
                    <w:tr2bl w:val="nil"/>
                  </w:tcBorders>
                  <w:vAlign w:val="center"/>
                </w:tcPr>
                <w:p w14:paraId="3AED4EE1">
                  <w:pPr>
                    <w:widowControl w:val="0"/>
                    <w:adjustRightInd w:val="0"/>
                    <w:snapToGrid w:val="0"/>
                    <w:spacing w:line="240" w:lineRule="auto"/>
                    <w:jc w:val="center"/>
                    <w:rPr>
                      <w:rFonts w:ascii="Times New Roman" w:hAnsi="Times New Roman" w:eastAsia="宋体" w:cs="Times New Roman"/>
                      <w:color w:val="auto"/>
                      <w:sz w:val="21"/>
                      <w:szCs w:val="21"/>
                    </w:rPr>
                  </w:pPr>
                </w:p>
              </w:tc>
              <w:tc>
                <w:tcPr>
                  <w:tcW w:w="716" w:type="pct"/>
                  <w:vMerge w:val="continue"/>
                  <w:tcBorders>
                    <w:tl2br w:val="nil"/>
                    <w:tr2bl w:val="nil"/>
                  </w:tcBorders>
                  <w:vAlign w:val="center"/>
                </w:tcPr>
                <w:p w14:paraId="1E7EEFF5">
                  <w:pPr>
                    <w:widowControl w:val="0"/>
                    <w:adjustRightInd w:val="0"/>
                    <w:snapToGrid w:val="0"/>
                    <w:spacing w:line="240" w:lineRule="auto"/>
                    <w:jc w:val="center"/>
                    <w:rPr>
                      <w:rFonts w:ascii="Times New Roman" w:hAnsi="Times New Roman" w:eastAsia="宋体" w:cs="Times New Roman"/>
                      <w:color w:val="auto"/>
                      <w:sz w:val="21"/>
                      <w:szCs w:val="21"/>
                    </w:rPr>
                  </w:pPr>
                </w:p>
              </w:tc>
              <w:tc>
                <w:tcPr>
                  <w:tcW w:w="1023" w:type="pct"/>
                  <w:vMerge w:val="continue"/>
                  <w:tcBorders>
                    <w:tl2br w:val="nil"/>
                    <w:tr2bl w:val="nil"/>
                  </w:tcBorders>
                  <w:vAlign w:val="center"/>
                </w:tcPr>
                <w:p w14:paraId="348D9164">
                  <w:pPr>
                    <w:widowControl w:val="0"/>
                    <w:adjustRightInd w:val="0"/>
                    <w:snapToGrid w:val="0"/>
                    <w:spacing w:line="240" w:lineRule="auto"/>
                    <w:jc w:val="center"/>
                    <w:rPr>
                      <w:rFonts w:ascii="Times New Roman" w:hAnsi="Times New Roman" w:eastAsia="宋体" w:cs="Times New Roman"/>
                      <w:color w:val="auto"/>
                      <w:sz w:val="21"/>
                      <w:szCs w:val="21"/>
                    </w:rPr>
                  </w:pPr>
                </w:p>
              </w:tc>
            </w:tr>
            <w:tr w14:paraId="007DD4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544" w:type="pct"/>
                  <w:vMerge w:val="restart"/>
                  <w:tcBorders>
                    <w:tl2br w:val="nil"/>
                    <w:tr2bl w:val="nil"/>
                  </w:tcBorders>
                  <w:vAlign w:val="center"/>
                </w:tcPr>
                <w:p w14:paraId="7A2D1B24">
                  <w:pPr>
                    <w:topLinePunct/>
                    <w:autoSpaceDE w:val="0"/>
                    <w:spacing w:line="240" w:lineRule="auto"/>
                    <w:jc w:val="center"/>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地表水</w:t>
                  </w:r>
                  <w:r>
                    <w:rPr>
                      <w:rFonts w:ascii="Times New Roman" w:hAnsi="Times New Roman" w:eastAsia="宋体" w:cs="Times New Roman"/>
                      <w:color w:val="auto"/>
                      <w:sz w:val="21"/>
                      <w:szCs w:val="21"/>
                      <w:lang w:val="zh-CN"/>
                    </w:rPr>
                    <w:t>环境</w:t>
                  </w:r>
                </w:p>
              </w:tc>
              <w:tc>
                <w:tcPr>
                  <w:tcW w:w="865" w:type="pct"/>
                  <w:tcBorders>
                    <w:tl2br w:val="nil"/>
                    <w:tr2bl w:val="nil"/>
                  </w:tcBorders>
                  <w:vAlign w:val="center"/>
                </w:tcPr>
                <w:p w14:paraId="77CC2677">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锦江</w:t>
                  </w:r>
                </w:p>
              </w:tc>
              <w:tc>
                <w:tcPr>
                  <w:tcW w:w="373" w:type="pct"/>
                  <w:tcBorders>
                    <w:tl2br w:val="nil"/>
                    <w:tr2bl w:val="nil"/>
                  </w:tcBorders>
                  <w:vAlign w:val="center"/>
                </w:tcPr>
                <w:p w14:paraId="284B218D">
                  <w:pPr>
                    <w:widowControl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c>
                <w:tcPr>
                  <w:tcW w:w="262" w:type="pct"/>
                  <w:tcBorders>
                    <w:tl2br w:val="nil"/>
                    <w:tr2bl w:val="nil"/>
                  </w:tcBorders>
                  <w:vAlign w:val="center"/>
                </w:tcPr>
                <w:p w14:paraId="11DA152A">
                  <w:pPr>
                    <w:widowControl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c>
                <w:tcPr>
                  <w:tcW w:w="472" w:type="pct"/>
                  <w:tcBorders>
                    <w:tl2br w:val="nil"/>
                    <w:tr2bl w:val="nil"/>
                  </w:tcBorders>
                  <w:vAlign w:val="center"/>
                </w:tcPr>
                <w:p w14:paraId="6CCE749D">
                  <w:pPr>
                    <w:widowControl w:val="0"/>
                    <w:snapToGrid w:val="0"/>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南</w:t>
                  </w:r>
                </w:p>
              </w:tc>
              <w:tc>
                <w:tcPr>
                  <w:tcW w:w="741" w:type="pct"/>
                  <w:tcBorders>
                    <w:tl2br w:val="nil"/>
                    <w:tr2bl w:val="nil"/>
                  </w:tcBorders>
                  <w:vAlign w:val="center"/>
                </w:tcPr>
                <w:p w14:paraId="64BC10FC">
                  <w:pPr>
                    <w:widowControl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3431</w:t>
                  </w:r>
                </w:p>
              </w:tc>
              <w:tc>
                <w:tcPr>
                  <w:tcW w:w="716" w:type="pct"/>
                  <w:tcBorders>
                    <w:tl2br w:val="nil"/>
                    <w:tr2bl w:val="nil"/>
                  </w:tcBorders>
                  <w:vAlign w:val="center"/>
                </w:tcPr>
                <w:p w14:paraId="6E7AD577">
                  <w:pPr>
                    <w:widowControl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中河</w:t>
                  </w:r>
                </w:p>
              </w:tc>
              <w:tc>
                <w:tcPr>
                  <w:tcW w:w="1023" w:type="pct"/>
                  <w:vMerge w:val="restart"/>
                  <w:tcBorders>
                    <w:tl2br w:val="nil"/>
                    <w:tr2bl w:val="nil"/>
                  </w:tcBorders>
                  <w:vAlign w:val="center"/>
                </w:tcPr>
                <w:p w14:paraId="72B3AFE7">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w:t>
                  </w:r>
                  <w:r>
                    <w:rPr>
                      <w:rFonts w:ascii="Times New Roman" w:hAnsi="Times New Roman" w:eastAsia="宋体" w:cs="Times New Roman"/>
                      <w:color w:val="auto"/>
                      <w:sz w:val="21"/>
                      <w:szCs w:val="21"/>
                    </w:rPr>
                    <w:t>GB3838-2002</w:t>
                  </w:r>
                  <w:r>
                    <w:rPr>
                      <w:rFonts w:ascii="Times New Roman" w:hAnsi="Times New Roman" w:cs="Times New Roman"/>
                      <w:color w:val="auto"/>
                      <w:sz w:val="21"/>
                      <w:szCs w:val="21"/>
                    </w:rPr>
                    <w:t>）III</w:t>
                  </w:r>
                  <w:r>
                    <w:rPr>
                      <w:rFonts w:ascii="Times New Roman" w:hAnsi="Times New Roman" w:eastAsia="宋体" w:cs="Times New Roman"/>
                      <w:color w:val="auto"/>
                      <w:sz w:val="21"/>
                      <w:szCs w:val="21"/>
                    </w:rPr>
                    <w:t>类</w:t>
                  </w:r>
                </w:p>
              </w:tc>
            </w:tr>
            <w:tr w14:paraId="239A3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1" w:hRule="atLeast"/>
                <w:jc w:val="center"/>
              </w:trPr>
              <w:tc>
                <w:tcPr>
                  <w:tcW w:w="544" w:type="pct"/>
                  <w:vMerge w:val="continue"/>
                  <w:tcBorders>
                    <w:tl2br w:val="nil"/>
                    <w:tr2bl w:val="nil"/>
                  </w:tcBorders>
                  <w:vAlign w:val="center"/>
                </w:tcPr>
                <w:p w14:paraId="491E3D2E">
                  <w:pPr>
                    <w:topLinePunct/>
                    <w:autoSpaceDE w:val="0"/>
                    <w:spacing w:line="240" w:lineRule="auto"/>
                    <w:jc w:val="center"/>
                    <w:textAlignment w:val="center"/>
                    <w:rPr>
                      <w:rFonts w:ascii="Times New Roman" w:hAnsi="Times New Roman" w:eastAsia="宋体" w:cs="Times New Roman"/>
                      <w:color w:val="auto"/>
                      <w:sz w:val="21"/>
                      <w:szCs w:val="21"/>
                    </w:rPr>
                  </w:pPr>
                </w:p>
              </w:tc>
              <w:tc>
                <w:tcPr>
                  <w:tcW w:w="865" w:type="pct"/>
                  <w:tcBorders>
                    <w:tl2br w:val="nil"/>
                    <w:tr2bl w:val="nil"/>
                  </w:tcBorders>
                  <w:vAlign w:val="center"/>
                </w:tcPr>
                <w:p w14:paraId="1CCD70F2">
                  <w:pPr>
                    <w:spacing w:line="240" w:lineRule="auto"/>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丰城市隍城饮用水取水口</w:t>
                  </w:r>
                </w:p>
              </w:tc>
              <w:tc>
                <w:tcPr>
                  <w:tcW w:w="373" w:type="pct"/>
                  <w:tcBorders>
                    <w:tl2br w:val="nil"/>
                    <w:tr2bl w:val="nil"/>
                  </w:tcBorders>
                  <w:vAlign w:val="center"/>
                </w:tcPr>
                <w:p w14:paraId="1F19B56D">
                  <w:pPr>
                    <w:widowControl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c>
                <w:tcPr>
                  <w:tcW w:w="262" w:type="pct"/>
                  <w:tcBorders>
                    <w:tl2br w:val="nil"/>
                    <w:tr2bl w:val="nil"/>
                  </w:tcBorders>
                  <w:vAlign w:val="center"/>
                </w:tcPr>
                <w:p w14:paraId="59247AF8">
                  <w:pPr>
                    <w:widowControl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c>
                <w:tcPr>
                  <w:tcW w:w="472" w:type="pct"/>
                  <w:tcBorders>
                    <w:tl2br w:val="nil"/>
                    <w:tr2bl w:val="nil"/>
                  </w:tcBorders>
                  <w:vAlign w:val="center"/>
                </w:tcPr>
                <w:p w14:paraId="654DA636">
                  <w:pPr>
                    <w:widowControl w:val="0"/>
                    <w:snapToGrid w:val="0"/>
                    <w:spacing w:line="240" w:lineRule="auto"/>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东南</w:t>
                  </w:r>
                </w:p>
              </w:tc>
              <w:tc>
                <w:tcPr>
                  <w:tcW w:w="741" w:type="pct"/>
                  <w:tcBorders>
                    <w:tl2br w:val="nil"/>
                    <w:tr2bl w:val="nil"/>
                  </w:tcBorders>
                  <w:vAlign w:val="center"/>
                </w:tcPr>
                <w:p w14:paraId="4F993485">
                  <w:pPr>
                    <w:widowControl w:val="0"/>
                    <w:snapToGrid w:val="0"/>
                    <w:spacing w:line="240" w:lineRule="auto"/>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285000</w:t>
                  </w:r>
                </w:p>
              </w:tc>
              <w:tc>
                <w:tcPr>
                  <w:tcW w:w="716" w:type="pct"/>
                  <w:tcBorders>
                    <w:tl2br w:val="nil"/>
                    <w:tr2bl w:val="nil"/>
                  </w:tcBorders>
                  <w:vAlign w:val="center"/>
                </w:tcPr>
                <w:p w14:paraId="4E3CA78A">
                  <w:pPr>
                    <w:widowControl w:val="0"/>
                    <w:snapToGrid w:val="0"/>
                    <w:spacing w:line="240" w:lineRule="auto"/>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0.5万m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/d</w:t>
                  </w:r>
                </w:p>
              </w:tc>
              <w:tc>
                <w:tcPr>
                  <w:tcW w:w="1023" w:type="pct"/>
                  <w:vMerge w:val="continue"/>
                  <w:tcBorders>
                    <w:tl2br w:val="nil"/>
                    <w:tr2bl w:val="nil"/>
                  </w:tcBorders>
                  <w:vAlign w:val="center"/>
                </w:tcPr>
                <w:p w14:paraId="330EAF87">
                  <w:pPr>
                    <w:widowControl w:val="0"/>
                    <w:adjustRightInd w:val="0"/>
                    <w:snapToGrid w:val="0"/>
                    <w:spacing w:line="240" w:lineRule="auto"/>
                    <w:jc w:val="center"/>
                    <w:rPr>
                      <w:rFonts w:ascii="Times New Roman" w:hAnsi="Times New Roman" w:cs="Times New Roman"/>
                      <w:color w:val="auto"/>
                      <w:sz w:val="21"/>
                      <w:szCs w:val="21"/>
                    </w:rPr>
                  </w:pPr>
                </w:p>
              </w:tc>
            </w:tr>
            <w:tr w14:paraId="04C43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000" w:type="pct"/>
                  <w:gridSpan w:val="8"/>
                  <w:tcBorders>
                    <w:tl2br w:val="nil"/>
                    <w:tr2bl w:val="nil"/>
                  </w:tcBorders>
                  <w:vAlign w:val="center"/>
                </w:tcPr>
                <w:p w14:paraId="7F6E3A52">
                  <w:pPr>
                    <w:widowControl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注：此处相对坐标以厂区中心点地理坐标（</w:t>
                  </w:r>
                  <w:r>
                    <w:rPr>
                      <w:rFonts w:hint="eastAsia" w:ascii="Times New Roman" w:hAnsi="Times New Roman" w:eastAsia="宋体" w:cs="Times New Roman"/>
                      <w:color w:val="auto"/>
                      <w:sz w:val="21"/>
                      <w:szCs w:val="21"/>
                      <w:lang w:eastAsia="zh-CN"/>
                    </w:rPr>
                    <w:t>E115°23′48.689″，N28°28′2.974″</w:t>
                  </w:r>
                  <w:r>
                    <w:rPr>
                      <w:rFonts w:ascii="Times New Roman" w:hAnsi="Times New Roman" w:eastAsia="宋体" w:cs="Times New Roman"/>
                      <w:color w:val="auto"/>
                      <w:sz w:val="21"/>
                      <w:szCs w:val="21"/>
                    </w:rPr>
                    <w:t>）为原点（0，0），正东为X轴正方向，正北为Y轴正方向建立直角坐标系</w:t>
                  </w:r>
                  <w:r>
                    <w:rPr>
                      <w:rFonts w:hint="eastAsia" w:ascii="Times New Roman" w:hAnsi="Times New Roman" w:eastAsia="宋体" w:cs="Times New Roman"/>
                      <w:color w:val="auto"/>
                      <w:sz w:val="21"/>
                      <w:szCs w:val="21"/>
                    </w:rPr>
                    <w:t>。</w:t>
                  </w:r>
                </w:p>
              </w:tc>
            </w:tr>
          </w:tbl>
          <w:p w14:paraId="762E4A0C">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jc w:val="both"/>
              <w:textAlignment w:val="auto"/>
              <w:rPr>
                <w:rFonts w:ascii="Times New Roman" w:hAnsi="Times New Roman" w:eastAsia="宋体" w:cs="Times New Roman"/>
                <w:b/>
                <w:color w:val="auto"/>
                <w:sz w:val="24"/>
              </w:rPr>
            </w:pPr>
            <w:r>
              <w:rPr>
                <w:rFonts w:ascii="Times New Roman" w:hAnsi="Times New Roman" w:eastAsia="宋体" w:cs="Times New Roman"/>
                <w:b/>
                <w:color w:val="auto"/>
                <w:sz w:val="24"/>
              </w:rPr>
              <w:t>3、声环境保护目标</w:t>
            </w:r>
          </w:p>
          <w:p w14:paraId="5D5102E4">
            <w:pPr>
              <w:widowControl/>
              <w:snapToGrid w:val="0"/>
              <w:spacing w:line="360" w:lineRule="auto"/>
              <w:ind w:firstLine="480" w:firstLineChars="200"/>
              <w:jc w:val="both"/>
              <w:rPr>
                <w:rFonts w:ascii="Times New Roman" w:hAnsi="Times New Roman" w:cs="Times New Roman"/>
                <w:color w:val="auto"/>
                <w:sz w:val="24"/>
              </w:rPr>
            </w:pPr>
            <w:r>
              <w:rPr>
                <w:rFonts w:ascii="Times New Roman" w:hAnsi="Times New Roman" w:cs="Times New Roman"/>
                <w:color w:val="auto"/>
                <w:sz w:val="24"/>
              </w:rPr>
              <w:t>根据现场踏勘结果情况，本项目厂界外50m范围内无声环境保护目标。</w:t>
            </w:r>
          </w:p>
          <w:p w14:paraId="21F42D02">
            <w:pPr>
              <w:widowControl w:val="0"/>
              <w:adjustRightInd w:val="0"/>
              <w:snapToGrid w:val="0"/>
              <w:spacing w:line="360" w:lineRule="auto"/>
              <w:ind w:firstLine="482" w:firstLineChars="200"/>
              <w:jc w:val="both"/>
              <w:rPr>
                <w:rFonts w:ascii="Times New Roman" w:hAnsi="Times New Roman" w:cs="Times New Roman"/>
                <w:color w:val="auto"/>
                <w:sz w:val="24"/>
              </w:rPr>
            </w:pPr>
            <w:r>
              <w:rPr>
                <w:rFonts w:ascii="Times New Roman" w:hAnsi="Times New Roman" w:eastAsia="宋体" w:cs="Times New Roman"/>
                <w:b/>
                <w:color w:val="auto"/>
                <w:sz w:val="24"/>
              </w:rPr>
              <w:t>4、地下水环境保护目标</w:t>
            </w:r>
          </w:p>
          <w:p w14:paraId="1C5B39FB">
            <w:pPr>
              <w:widowControl/>
              <w:snapToGrid w:val="0"/>
              <w:spacing w:line="360" w:lineRule="auto"/>
              <w:ind w:firstLine="480" w:firstLineChars="200"/>
              <w:jc w:val="both"/>
              <w:rPr>
                <w:rFonts w:ascii="Times New Roman" w:hAnsi="Times New Roman" w:cs="Times New Roman"/>
                <w:color w:val="auto"/>
                <w:sz w:val="24"/>
              </w:rPr>
            </w:pPr>
            <w:r>
              <w:rPr>
                <w:rFonts w:ascii="Times New Roman" w:hAnsi="Times New Roman" w:cs="Times New Roman"/>
                <w:color w:val="auto"/>
                <w:sz w:val="24"/>
              </w:rPr>
              <w:t>本项目厂界外500m范围内无地下水集中式饮用水源和热水、矿泉水、温泉等特殊地下水资源。</w:t>
            </w:r>
          </w:p>
          <w:p w14:paraId="7B4B4385">
            <w:pPr>
              <w:widowControl w:val="0"/>
              <w:adjustRightInd w:val="0"/>
              <w:snapToGrid w:val="0"/>
              <w:spacing w:line="360" w:lineRule="auto"/>
              <w:ind w:firstLine="482" w:firstLineChars="200"/>
              <w:jc w:val="both"/>
              <w:rPr>
                <w:rFonts w:ascii="Times New Roman" w:hAnsi="Times New Roman" w:eastAsia="宋体" w:cs="Times New Roman"/>
                <w:b/>
                <w:color w:val="auto"/>
                <w:sz w:val="24"/>
              </w:rPr>
            </w:pPr>
            <w:r>
              <w:rPr>
                <w:rFonts w:ascii="Times New Roman" w:hAnsi="Times New Roman" w:eastAsia="宋体" w:cs="Times New Roman"/>
                <w:b/>
                <w:color w:val="auto"/>
                <w:sz w:val="24"/>
              </w:rPr>
              <w:t>5、生态环境保护目标</w:t>
            </w:r>
          </w:p>
          <w:p w14:paraId="5F42124E">
            <w:pPr>
              <w:numPr>
                <w:ilvl w:val="0"/>
                <w:numId w:val="0"/>
              </w:numPr>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bidi="ar-SA"/>
              </w:rPr>
            </w:pPr>
            <w:r>
              <w:rPr>
                <w:rFonts w:ascii="Times New Roman" w:hAnsi="Times New Roman" w:cs="Times New Roman"/>
                <w:color w:val="auto"/>
                <w:sz w:val="24"/>
              </w:rPr>
              <w:t>本项目位于</w:t>
            </w:r>
            <w:r>
              <w:rPr>
                <w:rFonts w:hint="eastAsia" w:ascii="Times New Roman" w:hAnsi="Times New Roman" w:cs="Times New Roman"/>
                <w:color w:val="auto"/>
                <w:sz w:val="24"/>
              </w:rPr>
              <w:t>江西高安高新技术产业园区新世纪</w:t>
            </w:r>
            <w:r>
              <w:rPr>
                <w:rFonts w:hint="eastAsia" w:cs="Times New Roman"/>
                <w:color w:val="auto"/>
                <w:sz w:val="24"/>
                <w:lang w:val="en-US" w:eastAsia="zh-CN"/>
              </w:rPr>
              <w:t>产业园</w:t>
            </w:r>
            <w:r>
              <w:rPr>
                <w:rFonts w:ascii="Times New Roman" w:hAnsi="Times New Roman" w:cs="Times New Roman"/>
                <w:color w:val="auto"/>
                <w:sz w:val="24"/>
              </w:rPr>
              <w:t>，不在工业园外新增用地，无需开展生态环境保护目标调查。本项目所在区域周边附近无自然保护区、世界文化和自然遗产地、风景名胜区、森林公园、地质公园、重要湿地等生态敏感区</w:t>
            </w:r>
            <w:r>
              <w:rPr>
                <w:rFonts w:hint="eastAsia" w:ascii="Times New Roman" w:hAnsi="Times New Roman" w:cs="Times New Roman"/>
                <w:color w:val="auto"/>
                <w:sz w:val="24"/>
              </w:rPr>
              <w:t>，工业园</w:t>
            </w:r>
            <w:r>
              <w:rPr>
                <w:rFonts w:ascii="Times New Roman" w:hAnsi="Times New Roman" w:cs="Times New Roman"/>
                <w:color w:val="auto"/>
                <w:sz w:val="24"/>
              </w:rPr>
              <w:t>规划范围无自然保护区、湿地公园、森林公园、珍稀野生动植物、古树名木。</w:t>
            </w:r>
          </w:p>
          <w:p w14:paraId="375AAFB7">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六、土壤环境</w:t>
            </w:r>
          </w:p>
          <w:p w14:paraId="0291B3F2">
            <w:pPr>
              <w:numPr>
                <w:ilvl w:val="0"/>
                <w:numId w:val="0"/>
              </w:numPr>
              <w:spacing w:line="360" w:lineRule="auto"/>
              <w:ind w:firstLine="480" w:firstLineChars="20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 w:val="24"/>
                <w:highlight w:val="none"/>
                <w:lang w:val="en-US"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eastAsia" w:cs="Times New Roman"/>
                <w:color w:val="auto"/>
                <w:sz w:val="24"/>
                <w:szCs w:val="24"/>
                <w:highlight w:val="none"/>
                <w:lang w:val="en-US" w:eastAsia="zh-CN"/>
              </w:rPr>
              <w:t>区</w:t>
            </w:r>
            <w:r>
              <w:rPr>
                <w:rFonts w:hint="default" w:ascii="Times New Roman" w:hAnsi="Times New Roman" w:eastAsia="宋体" w:cs="Times New Roman"/>
                <w:color w:val="auto"/>
                <w:sz w:val="24"/>
                <w:highlight w:val="none"/>
                <w:lang w:val="en-US" w:eastAsia="zh-CN"/>
              </w:rPr>
              <w:t>，用地性质为工业用地，</w:t>
            </w:r>
            <w:r>
              <w:rPr>
                <w:rFonts w:hint="default" w:ascii="Times New Roman" w:hAnsi="Times New Roman" w:eastAsia="宋体" w:cs="Times New Roman"/>
                <w:color w:val="auto"/>
                <w:kern w:val="0"/>
                <w:sz w:val="24"/>
                <w:highlight w:val="none"/>
                <w:lang w:val="en-US" w:eastAsia="zh-CN"/>
              </w:rPr>
              <w:t>项目土壤环境保护目标为项目用地范围及周边土壤</w:t>
            </w:r>
            <w:r>
              <w:rPr>
                <w:rFonts w:hint="default" w:ascii="Times New Roman" w:hAnsi="Times New Roman" w:eastAsia="宋体" w:cs="Times New Roman"/>
                <w:color w:val="auto"/>
                <w:sz w:val="24"/>
                <w:highlight w:val="none"/>
                <w:lang w:val="en-US" w:eastAsia="zh-CN"/>
              </w:rPr>
              <w:t>。</w:t>
            </w:r>
          </w:p>
        </w:tc>
      </w:tr>
      <w:tr w14:paraId="360FD1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800" w:type="dxa"/>
            <w:noWrap w:val="0"/>
            <w:tcMar>
              <w:left w:w="28" w:type="dxa"/>
              <w:right w:w="28" w:type="dxa"/>
            </w:tcMar>
            <w:vAlign w:val="center"/>
          </w:tcPr>
          <w:p w14:paraId="785D461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污染</w:t>
            </w:r>
          </w:p>
          <w:p w14:paraId="192A999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物排</w:t>
            </w:r>
          </w:p>
          <w:p w14:paraId="3BFD2DE8">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放控</w:t>
            </w:r>
          </w:p>
          <w:p w14:paraId="19F24847">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制标</w:t>
            </w:r>
          </w:p>
          <w:p w14:paraId="54A51FD6">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准</w:t>
            </w:r>
          </w:p>
        </w:tc>
        <w:tc>
          <w:tcPr>
            <w:tcW w:w="8190" w:type="dxa"/>
            <w:noWrap w:val="0"/>
            <w:vAlign w:val="center"/>
          </w:tcPr>
          <w:p w14:paraId="20C00881">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一</w:t>
            </w:r>
            <w:r>
              <w:rPr>
                <w:rFonts w:hint="default" w:ascii="Times New Roman" w:hAnsi="Times New Roman" w:eastAsia="宋体" w:cs="Times New Roman"/>
                <w:b/>
                <w:color w:val="auto"/>
                <w:sz w:val="24"/>
                <w:szCs w:val="24"/>
                <w:highlight w:val="none"/>
              </w:rPr>
              <w:t>、废水</w:t>
            </w:r>
          </w:p>
          <w:p w14:paraId="27CE4411">
            <w:pPr>
              <w:widowControl w:val="0"/>
              <w:autoSpaceDE w:val="0"/>
              <w:autoSpaceDN w:val="0"/>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bCs/>
                <w:color w:val="auto"/>
                <w:sz w:val="24"/>
                <w:highlight w:val="none"/>
                <w:lang w:val="en-US" w:eastAsia="zh-CN"/>
              </w:rPr>
              <w:t>项目生产废水</w:t>
            </w:r>
            <w:r>
              <w:rPr>
                <w:rFonts w:hint="eastAsia" w:ascii="Times New Roman" w:hAnsi="Times New Roman" w:eastAsia="宋体" w:cs="Times New Roman"/>
                <w:bCs/>
                <w:color w:val="auto"/>
                <w:sz w:val="24"/>
                <w:highlight w:val="none"/>
                <w:lang w:val="en-US" w:eastAsia="zh-CN"/>
              </w:rPr>
              <w:t>经一体化污水处理设施处理达到</w:t>
            </w:r>
            <w:r>
              <w:rPr>
                <w:rFonts w:hint="default" w:ascii="Times New Roman" w:hAnsi="Times New Roman" w:eastAsia="宋体" w:cs="Times New Roman"/>
                <w:bCs/>
                <w:color w:val="auto"/>
                <w:sz w:val="24"/>
                <w:highlight w:val="none"/>
                <w:lang w:val="en-US" w:eastAsia="zh-CN"/>
              </w:rPr>
              <w:t>高安市工业园污水</w:t>
            </w:r>
            <w:r>
              <w:rPr>
                <w:rFonts w:hint="eastAsia" w:ascii="Times New Roman" w:hAnsi="Times New Roman" w:eastAsia="宋体" w:cs="Times New Roman"/>
                <w:bCs/>
                <w:color w:val="auto"/>
                <w:sz w:val="24"/>
                <w:highlight w:val="none"/>
                <w:lang w:val="en-US" w:eastAsia="zh-CN"/>
              </w:rPr>
              <w:t>处理</w:t>
            </w:r>
            <w:r>
              <w:rPr>
                <w:rFonts w:hint="default" w:ascii="Times New Roman" w:hAnsi="Times New Roman" w:eastAsia="宋体" w:cs="Times New Roman"/>
                <w:bCs/>
                <w:color w:val="auto"/>
                <w:sz w:val="24"/>
                <w:highlight w:val="none"/>
                <w:lang w:val="en-US" w:eastAsia="zh-CN"/>
              </w:rPr>
              <w:t>厂</w:t>
            </w:r>
            <w:r>
              <w:rPr>
                <w:rFonts w:hint="eastAsia" w:ascii="Times New Roman" w:hAnsi="Times New Roman" w:eastAsia="宋体" w:cs="Times New Roman"/>
                <w:bCs/>
                <w:color w:val="auto"/>
                <w:sz w:val="24"/>
                <w:highlight w:val="none"/>
                <w:lang w:val="en-US" w:eastAsia="zh-CN"/>
              </w:rPr>
              <w:t>接管标准后，与</w:t>
            </w:r>
            <w:r>
              <w:rPr>
                <w:rFonts w:hint="default" w:ascii="Times New Roman" w:hAnsi="Times New Roman" w:eastAsia="宋体" w:cs="Times New Roman"/>
                <w:bCs/>
                <w:color w:val="auto"/>
                <w:sz w:val="24"/>
                <w:highlight w:val="none"/>
                <w:lang w:val="en-US" w:eastAsia="zh-CN"/>
              </w:rPr>
              <w:t>经</w:t>
            </w:r>
            <w:r>
              <w:rPr>
                <w:rFonts w:hint="eastAsia" w:cs="Times New Roman"/>
                <w:bCs/>
                <w:color w:val="auto"/>
                <w:sz w:val="24"/>
                <w:highlight w:val="none"/>
                <w:lang w:val="en-US" w:eastAsia="zh-CN"/>
              </w:rPr>
              <w:t>隔油池+化粪池预处理的生活污</w:t>
            </w:r>
            <w:r>
              <w:rPr>
                <w:rFonts w:hint="default" w:ascii="Times New Roman" w:hAnsi="Times New Roman" w:eastAsia="宋体" w:cs="Times New Roman"/>
                <w:bCs/>
                <w:color w:val="auto"/>
                <w:sz w:val="24"/>
                <w:highlight w:val="none"/>
                <w:lang w:val="en-US" w:eastAsia="zh-CN"/>
              </w:rPr>
              <w:t>水</w:t>
            </w:r>
            <w:r>
              <w:rPr>
                <w:rFonts w:hint="eastAsia" w:cs="Times New Roman"/>
                <w:bCs/>
                <w:color w:val="auto"/>
                <w:sz w:val="24"/>
                <w:highlight w:val="none"/>
                <w:lang w:val="en-US" w:eastAsia="zh-CN"/>
              </w:rPr>
              <w:t>混合</w:t>
            </w:r>
            <w:r>
              <w:rPr>
                <w:rFonts w:hint="default" w:ascii="Times New Roman" w:hAnsi="Times New Roman" w:eastAsia="宋体" w:cs="Times New Roman"/>
                <w:bCs/>
                <w:color w:val="auto"/>
                <w:sz w:val="24"/>
                <w:highlight w:val="none"/>
                <w:lang w:val="en-US" w:eastAsia="zh-CN"/>
              </w:rPr>
              <w:t>排入高安市工业园污水</w:t>
            </w:r>
            <w:r>
              <w:rPr>
                <w:rFonts w:hint="eastAsia" w:cs="Times New Roman"/>
                <w:bCs/>
                <w:color w:val="auto"/>
                <w:sz w:val="24"/>
                <w:highlight w:val="none"/>
                <w:lang w:val="en-US" w:eastAsia="zh-CN"/>
              </w:rPr>
              <w:t>处理</w:t>
            </w:r>
            <w:r>
              <w:rPr>
                <w:rFonts w:hint="default" w:ascii="Times New Roman" w:hAnsi="Times New Roman" w:eastAsia="宋体" w:cs="Times New Roman"/>
                <w:bCs/>
                <w:color w:val="auto"/>
                <w:sz w:val="24"/>
                <w:highlight w:val="none"/>
                <w:lang w:val="en-US" w:eastAsia="zh-CN"/>
              </w:rPr>
              <w:t>厂，处理达《城镇污水处理厂污染物排放标准》（GB18918-2002）一级A标准后排放</w:t>
            </w:r>
            <w:r>
              <w:rPr>
                <w:rFonts w:hint="eastAsia" w:cs="Times New Roman"/>
                <w:bCs/>
                <w:color w:val="auto"/>
                <w:sz w:val="24"/>
                <w:highlight w:val="none"/>
                <w:lang w:val="en-US" w:eastAsia="zh-CN"/>
              </w:rPr>
              <w:t>，汇入锦江。</w:t>
            </w:r>
          </w:p>
          <w:p w14:paraId="6ADE5ED4">
            <w:pPr>
              <w:autoSpaceDE w:val="0"/>
              <w:autoSpaceDN w:val="0"/>
              <w:spacing w:line="240" w:lineRule="auto"/>
              <w:ind w:firstLine="482"/>
              <w:jc w:val="center"/>
              <w:rPr>
                <w:rFonts w:hint="default" w:ascii="Times New Roman" w:hAnsi="Times New Roman" w:eastAsia="宋体" w:cs="Times New Roman"/>
                <w:b/>
                <w:color w:val="auto"/>
                <w:sz w:val="21"/>
                <w:szCs w:val="21"/>
                <w:highlight w:val="none"/>
                <w:lang w:val="zh-CN"/>
              </w:rPr>
            </w:pPr>
            <w:r>
              <w:rPr>
                <w:rFonts w:hint="default" w:ascii="Times New Roman" w:hAnsi="Times New Roman" w:eastAsia="宋体" w:cs="Times New Roman"/>
                <w:b/>
                <w:color w:val="auto"/>
                <w:sz w:val="21"/>
                <w:szCs w:val="21"/>
                <w:highlight w:val="none"/>
                <w:lang w:val="zh-CN"/>
              </w:rPr>
              <w:t>表</w:t>
            </w:r>
            <w:r>
              <w:rPr>
                <w:rFonts w:hint="default" w:ascii="Times New Roman" w:hAnsi="Times New Roman" w:eastAsia="宋体" w:cs="Times New Roman"/>
                <w:b/>
                <w:color w:val="auto"/>
                <w:sz w:val="21"/>
                <w:szCs w:val="21"/>
                <w:highlight w:val="none"/>
                <w:lang w:val="en-US" w:eastAsia="zh-CN"/>
              </w:rPr>
              <w:t>3-</w:t>
            </w:r>
            <w:r>
              <w:rPr>
                <w:rFonts w:hint="eastAsia" w:cs="Times New Roman"/>
                <w:b/>
                <w:color w:val="auto"/>
                <w:sz w:val="21"/>
                <w:szCs w:val="21"/>
                <w:highlight w:val="none"/>
                <w:lang w:val="en-US" w:eastAsia="zh-CN"/>
              </w:rPr>
              <w:t>4</w:t>
            </w:r>
            <w:r>
              <w:rPr>
                <w:rFonts w:hint="default" w:ascii="Times New Roman" w:hAnsi="Times New Roman" w:eastAsia="宋体" w:cs="Times New Roman"/>
                <w:b/>
                <w:color w:val="auto"/>
                <w:sz w:val="21"/>
                <w:szCs w:val="21"/>
                <w:highlight w:val="none"/>
              </w:rPr>
              <w:t xml:space="preserve"> </w:t>
            </w:r>
            <w:r>
              <w:rPr>
                <w:rFonts w:hint="eastAsia"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lang w:val="zh-CN"/>
              </w:rPr>
              <w:t>排放标准</w:t>
            </w:r>
            <w:r>
              <w:rPr>
                <w:rStyle w:val="41"/>
                <w:rFonts w:hint="default" w:ascii="Times New Roman" w:hAnsi="Times New Roman" w:eastAsia="宋体" w:cs="Times New Roman"/>
                <w:b/>
                <w:color w:val="auto"/>
                <w:sz w:val="21"/>
                <w:szCs w:val="21"/>
                <w:highlight w:val="none"/>
              </w:rPr>
              <w:t>限值</w:t>
            </w:r>
            <w:r>
              <w:rPr>
                <w:rStyle w:val="41"/>
                <w:rFonts w:hint="eastAsia" w:cs="Times New Roman"/>
                <w:b/>
                <w:color w:val="auto"/>
                <w:sz w:val="21"/>
                <w:szCs w:val="21"/>
                <w:highlight w:val="none"/>
                <w:lang w:val="en-US" w:eastAsia="zh-CN"/>
              </w:rPr>
              <w:t xml:space="preserve">   </w:t>
            </w:r>
            <w:r>
              <w:rPr>
                <w:rStyle w:val="41"/>
                <w:rFonts w:hint="eastAsia" w:cs="Times New Roman"/>
                <w:b w:val="0"/>
                <w:bCs/>
                <w:color w:val="auto"/>
                <w:sz w:val="21"/>
                <w:szCs w:val="21"/>
                <w:highlight w:val="none"/>
                <w:lang w:val="en-US" w:eastAsia="zh-CN"/>
              </w:rPr>
              <w:t xml:space="preserve"> </w:t>
            </w:r>
            <w:r>
              <w:rPr>
                <w:rFonts w:hint="default" w:ascii="Times New Roman" w:hAnsi="Times New Roman" w:eastAsia="宋体" w:cs="Times New Roman"/>
                <w:b w:val="0"/>
                <w:bCs/>
                <w:color w:val="auto"/>
                <w:sz w:val="21"/>
                <w:szCs w:val="21"/>
                <w:highlight w:val="none"/>
                <w:lang w:val="zh-CN"/>
              </w:rPr>
              <w:t>（单位：mg/L）</w:t>
            </w:r>
          </w:p>
          <w:tbl>
            <w:tblPr>
              <w:tblStyle w:val="33"/>
              <w:tblW w:w="501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645"/>
              <w:gridCol w:w="708"/>
              <w:gridCol w:w="826"/>
              <w:gridCol w:w="641"/>
              <w:gridCol w:w="856"/>
              <w:gridCol w:w="844"/>
              <w:gridCol w:w="811"/>
              <w:gridCol w:w="586"/>
            </w:tblGrid>
            <w:tr w14:paraId="36D15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pct"/>
                  <w:tcBorders>
                    <w:tl2br w:val="nil"/>
                    <w:tr2bl w:val="nil"/>
                  </w:tcBorders>
                  <w:noWrap w:val="0"/>
                  <w:vAlign w:val="center"/>
                </w:tcPr>
                <w:p w14:paraId="02F6655D">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eastAsia="宋体" w:cs="Times New Roman"/>
                      <w:b/>
                      <w:color w:val="auto"/>
                      <w:szCs w:val="21"/>
                      <w:highlight w:val="none"/>
                      <w:lang w:eastAsia="zh-CN"/>
                    </w:rPr>
                    <w:t>类别</w:t>
                  </w:r>
                </w:p>
              </w:tc>
              <w:tc>
                <w:tcPr>
                  <w:tcW w:w="403" w:type="pct"/>
                  <w:tcBorders>
                    <w:tl2br w:val="nil"/>
                    <w:tr2bl w:val="nil"/>
                  </w:tcBorders>
                  <w:noWrap w:val="0"/>
                  <w:vAlign w:val="center"/>
                </w:tcPr>
                <w:p w14:paraId="1E6B4668">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pH</w:t>
                  </w:r>
                </w:p>
              </w:tc>
              <w:tc>
                <w:tcPr>
                  <w:tcW w:w="442" w:type="pct"/>
                  <w:tcBorders>
                    <w:tl2br w:val="nil"/>
                    <w:tr2bl w:val="nil"/>
                  </w:tcBorders>
                  <w:noWrap w:val="0"/>
                  <w:vAlign w:val="center"/>
                </w:tcPr>
                <w:p w14:paraId="555C32D2">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p>
              </w:tc>
              <w:tc>
                <w:tcPr>
                  <w:tcW w:w="516" w:type="pct"/>
                  <w:tcBorders>
                    <w:tl2br w:val="nil"/>
                    <w:tr2bl w:val="nil"/>
                  </w:tcBorders>
                  <w:noWrap w:val="0"/>
                  <w:vAlign w:val="center"/>
                </w:tcPr>
                <w:p w14:paraId="08EEAAD6">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400" w:type="pct"/>
                  <w:tcBorders>
                    <w:tl2br w:val="nil"/>
                    <w:tr2bl w:val="nil"/>
                  </w:tcBorders>
                  <w:noWrap w:val="0"/>
                  <w:vAlign w:val="center"/>
                </w:tcPr>
                <w:p w14:paraId="7E262144">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535" w:type="pct"/>
                  <w:tcBorders>
                    <w:tl2br w:val="nil"/>
                    <w:tr2bl w:val="nil"/>
                  </w:tcBorders>
                  <w:noWrap w:val="0"/>
                  <w:vAlign w:val="center"/>
                </w:tcPr>
                <w:p w14:paraId="65AAA64C">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NH</w:t>
                  </w:r>
                  <w:r>
                    <w:rPr>
                      <w:rFonts w:hint="default" w:ascii="Times New Roman" w:hAnsi="Times New Roman" w:eastAsia="宋体" w:cs="Times New Roman"/>
                      <w:b/>
                      <w:color w:val="auto"/>
                      <w:szCs w:val="21"/>
                      <w:highlight w:val="none"/>
                      <w:vertAlign w:val="subscript"/>
                    </w:rPr>
                    <w:t>3</w:t>
                  </w:r>
                  <w:r>
                    <w:rPr>
                      <w:rFonts w:hint="default" w:ascii="Times New Roman" w:hAnsi="Times New Roman" w:eastAsia="宋体" w:cs="Times New Roman"/>
                      <w:b/>
                      <w:color w:val="auto"/>
                      <w:szCs w:val="21"/>
                      <w:highlight w:val="none"/>
                    </w:rPr>
                    <w:t>-N</w:t>
                  </w:r>
                </w:p>
              </w:tc>
              <w:tc>
                <w:tcPr>
                  <w:tcW w:w="527" w:type="pct"/>
                  <w:tcBorders>
                    <w:tl2br w:val="nil"/>
                    <w:tr2bl w:val="nil"/>
                  </w:tcBorders>
                  <w:noWrap w:val="0"/>
                  <w:vAlign w:val="center"/>
                </w:tcPr>
                <w:p w14:paraId="1F16E69B">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动植物油</w:t>
                  </w:r>
                </w:p>
              </w:tc>
              <w:tc>
                <w:tcPr>
                  <w:tcW w:w="507" w:type="pct"/>
                  <w:tcBorders>
                    <w:tl2br w:val="nil"/>
                    <w:tr2bl w:val="nil"/>
                  </w:tcBorders>
                  <w:noWrap w:val="0"/>
                  <w:vAlign w:val="center"/>
                </w:tcPr>
                <w:p w14:paraId="623DE395">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石油类</w:t>
                  </w:r>
                </w:p>
              </w:tc>
              <w:tc>
                <w:tcPr>
                  <w:tcW w:w="366" w:type="pct"/>
                  <w:tcBorders>
                    <w:tl2br w:val="nil"/>
                    <w:tr2bl w:val="nil"/>
                  </w:tcBorders>
                  <w:noWrap w:val="0"/>
                  <w:vAlign w:val="center"/>
                </w:tcPr>
                <w:p w14:paraId="2D3EACB2">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TP</w:t>
                  </w:r>
                </w:p>
              </w:tc>
            </w:tr>
            <w:tr w14:paraId="2B00C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pct"/>
                  <w:tcBorders>
                    <w:tl2br w:val="nil"/>
                    <w:tr2bl w:val="nil"/>
                  </w:tcBorders>
                  <w:noWrap w:val="0"/>
                  <w:vAlign w:val="center"/>
                </w:tcPr>
                <w:p w14:paraId="1B0C354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高安市工业园污水处理厂纳管标准</w:t>
                  </w:r>
                </w:p>
              </w:tc>
              <w:tc>
                <w:tcPr>
                  <w:tcW w:w="403" w:type="pct"/>
                  <w:tcBorders>
                    <w:tl2br w:val="nil"/>
                    <w:tr2bl w:val="nil"/>
                  </w:tcBorders>
                  <w:noWrap w:val="0"/>
                  <w:vAlign w:val="center"/>
                </w:tcPr>
                <w:p w14:paraId="284DE86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442" w:type="pct"/>
                  <w:tcBorders>
                    <w:tl2br w:val="nil"/>
                    <w:tr2bl w:val="nil"/>
                  </w:tcBorders>
                  <w:noWrap w:val="0"/>
                  <w:vAlign w:val="center"/>
                </w:tcPr>
                <w:p w14:paraId="1E0438DF">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16" w:type="pct"/>
                  <w:tcBorders>
                    <w:tl2br w:val="nil"/>
                    <w:tr2bl w:val="nil"/>
                  </w:tcBorders>
                  <w:noWrap w:val="0"/>
                  <w:vAlign w:val="center"/>
                </w:tcPr>
                <w:p w14:paraId="5C5396D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200</w:t>
                  </w:r>
                </w:p>
              </w:tc>
              <w:tc>
                <w:tcPr>
                  <w:tcW w:w="400" w:type="pct"/>
                  <w:tcBorders>
                    <w:tl2br w:val="nil"/>
                    <w:tr2bl w:val="nil"/>
                  </w:tcBorders>
                  <w:noWrap w:val="0"/>
                  <w:vAlign w:val="center"/>
                </w:tcPr>
                <w:p w14:paraId="6A72E0F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535" w:type="pct"/>
                  <w:tcBorders>
                    <w:tl2br w:val="nil"/>
                    <w:tr2bl w:val="nil"/>
                  </w:tcBorders>
                  <w:noWrap w:val="0"/>
                  <w:vAlign w:val="center"/>
                </w:tcPr>
                <w:p w14:paraId="2843F64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55</w:t>
                  </w:r>
                </w:p>
              </w:tc>
              <w:tc>
                <w:tcPr>
                  <w:tcW w:w="527" w:type="pct"/>
                  <w:tcBorders>
                    <w:tl2br w:val="nil"/>
                    <w:tr2bl w:val="nil"/>
                  </w:tcBorders>
                  <w:noWrap w:val="0"/>
                  <w:vAlign w:val="center"/>
                </w:tcPr>
                <w:p w14:paraId="11D82E0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507" w:type="pct"/>
                  <w:tcBorders>
                    <w:tl2br w:val="nil"/>
                    <w:tr2bl w:val="nil"/>
                  </w:tcBorders>
                  <w:noWrap w:val="0"/>
                  <w:vAlign w:val="center"/>
                </w:tcPr>
                <w:p w14:paraId="5F25D1D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366" w:type="pct"/>
                  <w:tcBorders>
                    <w:tl2br w:val="nil"/>
                    <w:tr2bl w:val="nil"/>
                  </w:tcBorders>
                  <w:noWrap w:val="0"/>
                  <w:vAlign w:val="center"/>
                </w:tcPr>
                <w:p w14:paraId="69D0C3A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5</w:t>
                  </w:r>
                </w:p>
              </w:tc>
            </w:tr>
            <w:tr w14:paraId="60107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pct"/>
                  <w:tcBorders>
                    <w:tl2br w:val="nil"/>
                    <w:tr2bl w:val="nil"/>
                  </w:tcBorders>
                  <w:noWrap w:val="0"/>
                  <w:vAlign w:val="center"/>
                </w:tcPr>
                <w:p w14:paraId="49860CB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《污水综合排放标准》（GB8978-1996）三级排放标准</w:t>
                  </w:r>
                </w:p>
              </w:tc>
              <w:tc>
                <w:tcPr>
                  <w:tcW w:w="403" w:type="pct"/>
                  <w:tcBorders>
                    <w:tl2br w:val="nil"/>
                    <w:tr2bl w:val="nil"/>
                  </w:tcBorders>
                  <w:noWrap w:val="0"/>
                  <w:vAlign w:val="center"/>
                </w:tcPr>
                <w:p w14:paraId="1908617E">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442" w:type="pct"/>
                  <w:tcBorders>
                    <w:tl2br w:val="nil"/>
                    <w:tr2bl w:val="nil"/>
                  </w:tcBorders>
                  <w:noWrap w:val="0"/>
                  <w:vAlign w:val="center"/>
                </w:tcPr>
                <w:p w14:paraId="4202416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16" w:type="pct"/>
                  <w:tcBorders>
                    <w:tl2br w:val="nil"/>
                    <w:tr2bl w:val="nil"/>
                  </w:tcBorders>
                  <w:noWrap w:val="0"/>
                  <w:vAlign w:val="center"/>
                </w:tcPr>
                <w:p w14:paraId="7CE49BA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400" w:type="pct"/>
                  <w:tcBorders>
                    <w:tl2br w:val="nil"/>
                    <w:tr2bl w:val="nil"/>
                  </w:tcBorders>
                  <w:noWrap w:val="0"/>
                  <w:vAlign w:val="center"/>
                </w:tcPr>
                <w:p w14:paraId="611ACC3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400</w:t>
                  </w:r>
                </w:p>
              </w:tc>
              <w:tc>
                <w:tcPr>
                  <w:tcW w:w="535" w:type="pct"/>
                  <w:tcBorders>
                    <w:tl2br w:val="nil"/>
                    <w:tr2bl w:val="nil"/>
                  </w:tcBorders>
                  <w:noWrap w:val="0"/>
                  <w:vAlign w:val="center"/>
                </w:tcPr>
                <w:p w14:paraId="6770D42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527" w:type="pct"/>
                  <w:tcBorders>
                    <w:tl2br w:val="nil"/>
                    <w:tr2bl w:val="nil"/>
                  </w:tcBorders>
                  <w:noWrap w:val="0"/>
                  <w:vAlign w:val="center"/>
                </w:tcPr>
                <w:p w14:paraId="2E86CBA3">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100</w:t>
                  </w:r>
                </w:p>
              </w:tc>
              <w:tc>
                <w:tcPr>
                  <w:tcW w:w="507" w:type="pct"/>
                  <w:tcBorders>
                    <w:tl2br w:val="nil"/>
                    <w:tr2bl w:val="nil"/>
                  </w:tcBorders>
                  <w:noWrap w:val="0"/>
                  <w:vAlign w:val="center"/>
                </w:tcPr>
                <w:p w14:paraId="46FC157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w:t>
                  </w:r>
                </w:p>
              </w:tc>
              <w:tc>
                <w:tcPr>
                  <w:tcW w:w="366" w:type="pct"/>
                  <w:tcBorders>
                    <w:tl2br w:val="nil"/>
                    <w:tr2bl w:val="nil"/>
                  </w:tcBorders>
                  <w:noWrap w:val="0"/>
                  <w:vAlign w:val="center"/>
                </w:tcPr>
                <w:p w14:paraId="38CB8F7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w:t>
                  </w:r>
                </w:p>
              </w:tc>
            </w:tr>
            <w:tr w14:paraId="4594BB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pct"/>
                  <w:tcBorders>
                    <w:tl2br w:val="nil"/>
                    <w:tr2bl w:val="nil"/>
                  </w:tcBorders>
                  <w:noWrap w:val="0"/>
                  <w:vAlign w:val="center"/>
                </w:tcPr>
                <w:p w14:paraId="135BD03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val="en-US" w:eastAsia="zh-CN"/>
                    </w:rPr>
                    <w:t>本项目排放标准</w:t>
                  </w:r>
                </w:p>
              </w:tc>
              <w:tc>
                <w:tcPr>
                  <w:tcW w:w="403" w:type="pct"/>
                  <w:tcBorders>
                    <w:tl2br w:val="nil"/>
                    <w:tr2bl w:val="nil"/>
                  </w:tcBorders>
                  <w:shd w:val="clear" w:color="auto" w:fill="auto"/>
                  <w:noWrap w:val="0"/>
                  <w:vAlign w:val="center"/>
                </w:tcPr>
                <w:p w14:paraId="1A16A849">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6～9</w:t>
                  </w:r>
                </w:p>
              </w:tc>
              <w:tc>
                <w:tcPr>
                  <w:tcW w:w="442" w:type="pct"/>
                  <w:tcBorders>
                    <w:tl2br w:val="nil"/>
                    <w:tr2bl w:val="nil"/>
                  </w:tcBorders>
                  <w:shd w:val="clear" w:color="auto" w:fill="auto"/>
                  <w:noWrap w:val="0"/>
                  <w:vAlign w:val="center"/>
                </w:tcPr>
                <w:p w14:paraId="27DB468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500</w:t>
                  </w:r>
                </w:p>
              </w:tc>
              <w:tc>
                <w:tcPr>
                  <w:tcW w:w="516" w:type="pct"/>
                  <w:tcBorders>
                    <w:tl2br w:val="nil"/>
                    <w:tr2bl w:val="nil"/>
                  </w:tcBorders>
                  <w:shd w:val="clear" w:color="auto" w:fill="auto"/>
                  <w:noWrap w:val="0"/>
                  <w:vAlign w:val="center"/>
                </w:tcPr>
                <w:p w14:paraId="77E8C9B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200</w:t>
                  </w:r>
                </w:p>
              </w:tc>
              <w:tc>
                <w:tcPr>
                  <w:tcW w:w="400" w:type="pct"/>
                  <w:tcBorders>
                    <w:tl2br w:val="nil"/>
                    <w:tr2bl w:val="nil"/>
                  </w:tcBorders>
                  <w:shd w:val="clear" w:color="auto" w:fill="auto"/>
                  <w:noWrap w:val="0"/>
                  <w:vAlign w:val="center"/>
                </w:tcPr>
                <w:p w14:paraId="2099A1F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300</w:t>
                  </w:r>
                </w:p>
              </w:tc>
              <w:tc>
                <w:tcPr>
                  <w:tcW w:w="535" w:type="pct"/>
                  <w:tcBorders>
                    <w:tl2br w:val="nil"/>
                    <w:tr2bl w:val="nil"/>
                  </w:tcBorders>
                  <w:shd w:val="clear" w:color="auto" w:fill="auto"/>
                  <w:noWrap w:val="0"/>
                  <w:vAlign w:val="center"/>
                </w:tcPr>
                <w:p w14:paraId="18B3060E">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55</w:t>
                  </w:r>
                </w:p>
              </w:tc>
              <w:tc>
                <w:tcPr>
                  <w:tcW w:w="527" w:type="pct"/>
                  <w:tcBorders>
                    <w:tl2br w:val="nil"/>
                    <w:tr2bl w:val="nil"/>
                  </w:tcBorders>
                  <w:shd w:val="clear" w:color="auto" w:fill="auto"/>
                  <w:noWrap w:val="0"/>
                  <w:vAlign w:val="center"/>
                </w:tcPr>
                <w:p w14:paraId="3C2E987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100</w:t>
                  </w:r>
                </w:p>
              </w:tc>
              <w:tc>
                <w:tcPr>
                  <w:tcW w:w="507" w:type="pct"/>
                  <w:tcBorders>
                    <w:tl2br w:val="nil"/>
                    <w:tr2bl w:val="nil"/>
                  </w:tcBorders>
                  <w:shd w:val="clear" w:color="auto" w:fill="auto"/>
                  <w:noWrap w:val="0"/>
                  <w:vAlign w:val="center"/>
                </w:tcPr>
                <w:p w14:paraId="6DC5C08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rPr>
                    <w:t>20</w:t>
                  </w:r>
                </w:p>
              </w:tc>
              <w:tc>
                <w:tcPr>
                  <w:tcW w:w="366" w:type="pct"/>
                  <w:tcBorders>
                    <w:tl2br w:val="nil"/>
                    <w:tr2bl w:val="nil"/>
                  </w:tcBorders>
                  <w:noWrap w:val="0"/>
                  <w:vAlign w:val="center"/>
                </w:tcPr>
                <w:p w14:paraId="46F135F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5</w:t>
                  </w:r>
                </w:p>
              </w:tc>
            </w:tr>
            <w:tr w14:paraId="6EA1E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00" w:type="pct"/>
                  <w:tcBorders>
                    <w:tl2br w:val="nil"/>
                    <w:tr2bl w:val="nil"/>
                  </w:tcBorders>
                  <w:noWrap w:val="0"/>
                  <w:vAlign w:val="center"/>
                </w:tcPr>
                <w:p w14:paraId="30FB26D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城镇污水处理厂污染物排放标准一级A</w:t>
                  </w:r>
                </w:p>
              </w:tc>
              <w:tc>
                <w:tcPr>
                  <w:tcW w:w="403" w:type="pct"/>
                  <w:tcBorders>
                    <w:tl2br w:val="nil"/>
                    <w:tr2bl w:val="nil"/>
                  </w:tcBorders>
                  <w:noWrap w:val="0"/>
                  <w:vAlign w:val="center"/>
                </w:tcPr>
                <w:p w14:paraId="287DCE6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442" w:type="pct"/>
                  <w:tcBorders>
                    <w:tl2br w:val="nil"/>
                    <w:tr2bl w:val="nil"/>
                  </w:tcBorders>
                  <w:noWrap w:val="0"/>
                  <w:vAlign w:val="center"/>
                </w:tcPr>
                <w:p w14:paraId="312D2D3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w:t>
                  </w:r>
                </w:p>
              </w:tc>
              <w:tc>
                <w:tcPr>
                  <w:tcW w:w="516" w:type="pct"/>
                  <w:tcBorders>
                    <w:tl2br w:val="nil"/>
                    <w:tr2bl w:val="nil"/>
                  </w:tcBorders>
                  <w:noWrap w:val="0"/>
                  <w:vAlign w:val="center"/>
                </w:tcPr>
                <w:p w14:paraId="2CF5D03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400" w:type="pct"/>
                  <w:tcBorders>
                    <w:tl2br w:val="nil"/>
                    <w:tr2bl w:val="nil"/>
                  </w:tcBorders>
                  <w:noWrap w:val="0"/>
                  <w:vAlign w:val="center"/>
                </w:tcPr>
                <w:p w14:paraId="227FF0D5">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535" w:type="pct"/>
                  <w:tcBorders>
                    <w:tl2br w:val="nil"/>
                    <w:tr2bl w:val="nil"/>
                  </w:tcBorders>
                  <w:noWrap w:val="0"/>
                  <w:vAlign w:val="center"/>
                </w:tcPr>
                <w:p w14:paraId="508299C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w:t>
                  </w:r>
                </w:p>
              </w:tc>
              <w:tc>
                <w:tcPr>
                  <w:tcW w:w="527" w:type="pct"/>
                  <w:tcBorders>
                    <w:tl2br w:val="nil"/>
                    <w:tr2bl w:val="nil"/>
                  </w:tcBorders>
                  <w:noWrap w:val="0"/>
                  <w:vAlign w:val="center"/>
                </w:tcPr>
                <w:p w14:paraId="7BBBF8B8">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507" w:type="pct"/>
                  <w:tcBorders>
                    <w:tl2br w:val="nil"/>
                    <w:tr2bl w:val="nil"/>
                  </w:tcBorders>
                  <w:noWrap w:val="0"/>
                  <w:vAlign w:val="center"/>
                </w:tcPr>
                <w:p w14:paraId="03FD456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366" w:type="pct"/>
                  <w:tcBorders>
                    <w:tl2br w:val="nil"/>
                    <w:tr2bl w:val="nil"/>
                  </w:tcBorders>
                  <w:noWrap w:val="0"/>
                  <w:vAlign w:val="center"/>
                </w:tcPr>
                <w:p w14:paraId="774D250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0.5</w:t>
                  </w:r>
                </w:p>
              </w:tc>
            </w:tr>
          </w:tbl>
          <w:p w14:paraId="10EC1BC6">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二</w:t>
            </w:r>
            <w:r>
              <w:rPr>
                <w:rFonts w:hint="default" w:ascii="Times New Roman" w:hAnsi="Times New Roman" w:eastAsia="宋体" w:cs="Times New Roman"/>
                <w:b/>
                <w:color w:val="auto"/>
                <w:sz w:val="24"/>
                <w:szCs w:val="24"/>
                <w:highlight w:val="none"/>
              </w:rPr>
              <w:t>、废气</w:t>
            </w:r>
          </w:p>
          <w:p w14:paraId="1857D3C7">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w:t>
            </w:r>
            <w:r>
              <w:rPr>
                <w:rFonts w:hint="default" w:ascii="Times New Roman" w:hAnsi="Times New Roman" w:eastAsia="宋体" w:cs="Times New Roman"/>
                <w:color w:val="auto"/>
                <w:sz w:val="24"/>
                <w:highlight w:val="none"/>
              </w:rPr>
              <w:t>运营期</w:t>
            </w:r>
            <w:r>
              <w:rPr>
                <w:rFonts w:hint="default" w:ascii="Times New Roman" w:hAnsi="Times New Roman" w:eastAsia="宋体" w:cs="Times New Roman"/>
                <w:color w:val="auto"/>
                <w:sz w:val="24"/>
                <w:highlight w:val="none"/>
                <w:lang w:val="en-US" w:eastAsia="zh-CN"/>
              </w:rPr>
              <w:t>产生的</w:t>
            </w:r>
            <w:r>
              <w:rPr>
                <w:rFonts w:hint="eastAsia" w:cs="Times New Roman"/>
                <w:color w:val="auto"/>
                <w:sz w:val="24"/>
                <w:highlight w:val="none"/>
                <w:lang w:val="en-US" w:eastAsia="zh-CN"/>
              </w:rPr>
              <w:t>金属粉尘自然沉降，无组织排放，参照执行《大气污染物综合排放标准》</w:t>
            </w:r>
            <w:r>
              <w:rPr>
                <w:rFonts w:hint="default"/>
                <w:color w:val="auto"/>
                <w:sz w:val="24"/>
                <w:szCs w:val="32"/>
              </w:rPr>
              <w:t>（GB16297-1996）</w:t>
            </w:r>
            <w:r>
              <w:rPr>
                <w:rFonts w:hint="eastAsia" w:cs="Times New Roman"/>
                <w:color w:val="auto"/>
                <w:sz w:val="24"/>
                <w:highlight w:val="none"/>
                <w:lang w:val="en-US" w:eastAsia="zh-CN"/>
              </w:rPr>
              <w:t>表2无组织控制限值，调漆废气和喷漆废气</w:t>
            </w:r>
            <w:r>
              <w:rPr>
                <w:rFonts w:hint="default" w:ascii="Times New Roman" w:hAnsi="Times New Roman" w:eastAsia="宋体" w:cs="Times New Roman"/>
                <w:color w:val="auto"/>
                <w:sz w:val="24"/>
                <w:highlight w:val="none"/>
                <w:lang w:val="en-US" w:eastAsia="zh-CN"/>
              </w:rPr>
              <w:t>有组织</w:t>
            </w:r>
            <w:r>
              <w:rPr>
                <w:rFonts w:hint="default" w:ascii="Times New Roman" w:hAnsi="Times New Roman" w:eastAsia="宋体" w:cs="Times New Roman"/>
                <w:color w:val="auto"/>
                <w:sz w:val="24"/>
                <w:lang w:val="zh-CN"/>
              </w:rPr>
              <w:t>排放</w:t>
            </w:r>
            <w:r>
              <w:rPr>
                <w:rFonts w:hint="eastAsia" w:cs="Times New Roman"/>
                <w:color w:val="auto"/>
                <w:sz w:val="24"/>
                <w:lang w:val="zh-CN"/>
              </w:rPr>
              <w:t>，</w:t>
            </w:r>
            <w:r>
              <w:rPr>
                <w:rFonts w:hint="default" w:ascii="Times New Roman" w:hAnsi="Times New Roman" w:eastAsia="宋体" w:cs="Times New Roman"/>
                <w:color w:val="auto"/>
                <w:sz w:val="24"/>
              </w:rPr>
              <w:t>参照</w:t>
            </w:r>
            <w:r>
              <w:rPr>
                <w:rFonts w:hint="default" w:ascii="Times New Roman" w:hAnsi="Times New Roman" w:eastAsia="宋体" w:cs="Times New Roman"/>
                <w:color w:val="auto"/>
                <w:sz w:val="24"/>
                <w:lang w:val="zh-CN"/>
              </w:rPr>
              <w:t>执行</w:t>
            </w:r>
            <w:r>
              <w:rPr>
                <w:rFonts w:hint="default" w:ascii="Times New Roman" w:hAnsi="Times New Roman" w:eastAsia="宋体" w:cs="Times New Roman"/>
                <w:color w:val="auto"/>
                <w:sz w:val="24"/>
                <w:lang w:val="en-US" w:eastAsia="zh-CN"/>
              </w:rPr>
              <w:t>《挥发性有机物综合排放控制标准（试行）》（DB36/2186</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2025）表1中有组织排放限值</w:t>
            </w:r>
            <w:r>
              <w:rPr>
                <w:rFonts w:hint="eastAsia" w:cs="Times New Roman"/>
                <w:color w:val="auto"/>
                <w:sz w:val="24"/>
                <w:highlight w:val="none"/>
                <w:lang w:val="en-US" w:eastAsia="zh-CN"/>
              </w:rPr>
              <w:t>及表2、表3无组织排放限值。</w:t>
            </w:r>
            <w:r>
              <w:rPr>
                <w:rFonts w:hint="default" w:ascii="Times New Roman" w:hAnsi="Times New Roman" w:eastAsia="宋体" w:cs="Times New Roman"/>
                <w:color w:val="auto"/>
                <w:sz w:val="24"/>
                <w:highlight w:val="none"/>
                <w:lang w:val="en-US" w:eastAsia="zh-CN"/>
              </w:rPr>
              <w:t>食堂油烟执行《饮食业油烟排放标准》（GB18483-2001）</w:t>
            </w:r>
            <w:r>
              <w:rPr>
                <w:rFonts w:hint="eastAsia" w:cs="Times New Roman"/>
                <w:color w:val="auto"/>
                <w:sz w:val="24"/>
                <w:highlight w:val="none"/>
                <w:lang w:val="en-US" w:eastAsia="zh-CN"/>
              </w:rPr>
              <w:t>中</w:t>
            </w:r>
            <w:r>
              <w:rPr>
                <w:rFonts w:hint="default" w:ascii="Times New Roman" w:hAnsi="Times New Roman" w:eastAsia="宋体" w:cs="Times New Roman"/>
                <w:color w:val="auto"/>
                <w:sz w:val="24"/>
                <w:highlight w:val="none"/>
                <w:lang w:val="en-US" w:eastAsia="zh-CN"/>
              </w:rPr>
              <w:t>型规模饮食业单位</w:t>
            </w:r>
            <w:r>
              <w:rPr>
                <w:rFonts w:hint="eastAsia" w:cs="Times New Roman"/>
                <w:color w:val="auto"/>
                <w:sz w:val="24"/>
                <w:highlight w:val="none"/>
                <w:lang w:val="en-US" w:eastAsia="zh-CN"/>
              </w:rPr>
              <w:t>标准</w:t>
            </w:r>
            <w:r>
              <w:rPr>
                <w:rFonts w:hint="default" w:ascii="Times New Roman" w:hAnsi="Times New Roman" w:eastAsia="宋体" w:cs="Times New Roman"/>
                <w:color w:val="auto"/>
                <w:sz w:val="24"/>
                <w:highlight w:val="none"/>
                <w:lang w:val="en-US" w:eastAsia="zh-CN"/>
              </w:rPr>
              <w:t>。</w:t>
            </w:r>
          </w:p>
          <w:p w14:paraId="737A185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val="0"/>
                <w:color w:val="auto"/>
                <w:sz w:val="21"/>
                <w:szCs w:val="21"/>
                <w:highlight w:val="none"/>
                <w:lang w:val="en-US" w:eastAsia="zh-CN"/>
              </w:rPr>
              <w:t>表3-</w:t>
            </w:r>
            <w:r>
              <w:rPr>
                <w:rFonts w:hint="eastAsia" w:ascii="Times New Roman" w:hAnsi="Times New Roman" w:eastAsia="宋体" w:cs="Times New Roman"/>
                <w:b/>
                <w:bCs w:val="0"/>
                <w:color w:val="auto"/>
                <w:sz w:val="21"/>
                <w:szCs w:val="21"/>
                <w:highlight w:val="none"/>
                <w:lang w:val="en-US" w:eastAsia="zh-CN"/>
              </w:rPr>
              <w:t>5</w:t>
            </w:r>
            <w:r>
              <w:rPr>
                <w:rFonts w:hint="default" w:ascii="Times New Roman" w:hAnsi="Times New Roman" w:eastAsia="宋体" w:cs="Times New Roman"/>
                <w:b/>
                <w:bCs w:val="0"/>
                <w:color w:val="auto"/>
                <w:sz w:val="21"/>
                <w:szCs w:val="21"/>
                <w:highlight w:val="none"/>
                <w:lang w:val="en-US" w:eastAsia="zh-CN"/>
              </w:rPr>
              <w:t xml:space="preserve">  </w:t>
            </w:r>
            <w:r>
              <w:rPr>
                <w:rFonts w:hint="eastAsia" w:cs="Times New Roman"/>
                <w:b/>
                <w:bCs w:val="0"/>
                <w:color w:val="auto"/>
                <w:sz w:val="21"/>
                <w:szCs w:val="21"/>
                <w:highlight w:val="none"/>
                <w:lang w:val="en-US" w:eastAsia="zh-CN"/>
              </w:rPr>
              <w:t>大气污染物</w:t>
            </w:r>
            <w:r>
              <w:rPr>
                <w:rFonts w:hint="default" w:ascii="Times New Roman" w:hAnsi="Times New Roman" w:eastAsia="宋体" w:cs="Times New Roman"/>
                <w:b/>
                <w:bCs w:val="0"/>
                <w:color w:val="auto"/>
                <w:sz w:val="21"/>
                <w:szCs w:val="21"/>
                <w:highlight w:val="none"/>
                <w:lang w:val="en-US" w:eastAsia="zh-CN"/>
              </w:rPr>
              <w:t>排放标准</w:t>
            </w:r>
          </w:p>
          <w:tbl>
            <w:tblPr>
              <w:tblStyle w:val="33"/>
              <w:tblW w:w="80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39"/>
              <w:gridCol w:w="908"/>
              <w:gridCol w:w="906"/>
              <w:gridCol w:w="890"/>
              <w:gridCol w:w="745"/>
              <w:gridCol w:w="723"/>
              <w:gridCol w:w="2005"/>
            </w:tblGrid>
            <w:tr w14:paraId="02075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7" w:type="pct"/>
                  <w:vMerge w:val="restart"/>
                  <w:tcBorders>
                    <w:tl2br w:val="nil"/>
                    <w:tr2bl w:val="nil"/>
                  </w:tcBorders>
                  <w:shd w:val="clear" w:color="auto" w:fill="auto"/>
                  <w:vAlign w:val="center"/>
                </w:tcPr>
                <w:p w14:paraId="519B2F96">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执行标准名称</w:t>
                  </w:r>
                </w:p>
              </w:tc>
              <w:tc>
                <w:tcPr>
                  <w:tcW w:w="566" w:type="pct"/>
                  <w:vMerge w:val="restart"/>
                  <w:tcBorders>
                    <w:tl2br w:val="nil"/>
                    <w:tr2bl w:val="nil"/>
                  </w:tcBorders>
                  <w:shd w:val="clear" w:color="auto" w:fill="auto"/>
                  <w:vAlign w:val="center"/>
                </w:tcPr>
                <w:p w14:paraId="2183E4E0">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污染物</w:t>
                  </w:r>
                </w:p>
              </w:tc>
              <w:tc>
                <w:tcPr>
                  <w:tcW w:w="565" w:type="pct"/>
                  <w:vMerge w:val="restart"/>
                  <w:tcBorders>
                    <w:tl2br w:val="nil"/>
                    <w:tr2bl w:val="nil"/>
                  </w:tcBorders>
                  <w:shd w:val="clear" w:color="auto" w:fill="auto"/>
                  <w:vAlign w:val="center"/>
                </w:tcPr>
                <w:p w14:paraId="60933E09">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最高允许排放浓度mg/m</w:t>
                  </w:r>
                  <w:r>
                    <w:rPr>
                      <w:rFonts w:hint="default"/>
                      <w:b/>
                      <w:bCs/>
                      <w:color w:val="auto"/>
                      <w:vertAlign w:val="superscript"/>
                    </w:rPr>
                    <w:t>3</w:t>
                  </w:r>
                </w:p>
              </w:tc>
              <w:tc>
                <w:tcPr>
                  <w:tcW w:w="1019" w:type="pct"/>
                  <w:gridSpan w:val="2"/>
                  <w:tcBorders>
                    <w:tl2br w:val="nil"/>
                    <w:tr2bl w:val="nil"/>
                  </w:tcBorders>
                  <w:shd w:val="clear" w:color="auto" w:fill="auto"/>
                  <w:vAlign w:val="center"/>
                </w:tcPr>
                <w:p w14:paraId="6BC6D90A">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最高允许排放</w:t>
                  </w:r>
                </w:p>
                <w:p w14:paraId="4FE4096B">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速率</w:t>
                  </w:r>
                </w:p>
              </w:tc>
              <w:tc>
                <w:tcPr>
                  <w:tcW w:w="1701" w:type="pct"/>
                  <w:gridSpan w:val="2"/>
                  <w:tcBorders>
                    <w:tl2br w:val="nil"/>
                    <w:tr2bl w:val="nil"/>
                  </w:tcBorders>
                  <w:shd w:val="clear" w:color="auto" w:fill="auto"/>
                  <w:vAlign w:val="center"/>
                </w:tcPr>
                <w:p w14:paraId="294A7419">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无组织排放监控浓度限值</w:t>
                  </w:r>
                </w:p>
              </w:tc>
            </w:tr>
            <w:tr w14:paraId="1734B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7" w:type="pct"/>
                  <w:vMerge w:val="continue"/>
                  <w:tcBorders>
                    <w:tl2br w:val="nil"/>
                    <w:tr2bl w:val="nil"/>
                  </w:tcBorders>
                  <w:shd w:val="clear" w:color="auto" w:fill="auto"/>
                  <w:vAlign w:val="center"/>
                </w:tcPr>
                <w:p w14:paraId="2451F3EB">
                  <w:pPr>
                    <w:keepNext w:val="0"/>
                    <w:keepLines w:val="0"/>
                    <w:suppressLineNumbers w:val="0"/>
                    <w:spacing w:before="0" w:beforeAutospacing="0" w:after="0" w:afterAutospacing="0"/>
                    <w:ind w:left="0" w:right="0" w:firstLine="50"/>
                    <w:jc w:val="center"/>
                    <w:rPr>
                      <w:rFonts w:hint="default"/>
                      <w:color w:val="auto"/>
                    </w:rPr>
                  </w:pPr>
                </w:p>
              </w:tc>
              <w:tc>
                <w:tcPr>
                  <w:tcW w:w="566" w:type="pct"/>
                  <w:vMerge w:val="continue"/>
                  <w:tcBorders>
                    <w:tl2br w:val="nil"/>
                    <w:tr2bl w:val="nil"/>
                  </w:tcBorders>
                  <w:shd w:val="clear" w:color="auto" w:fill="auto"/>
                  <w:vAlign w:val="center"/>
                </w:tcPr>
                <w:p w14:paraId="625478A0">
                  <w:pPr>
                    <w:keepNext w:val="0"/>
                    <w:keepLines w:val="0"/>
                    <w:suppressLineNumbers w:val="0"/>
                    <w:spacing w:before="0" w:beforeAutospacing="0" w:after="0" w:afterAutospacing="0"/>
                    <w:ind w:left="0" w:right="0" w:firstLine="50"/>
                    <w:jc w:val="center"/>
                    <w:rPr>
                      <w:rFonts w:hint="default"/>
                      <w:color w:val="auto"/>
                    </w:rPr>
                  </w:pPr>
                </w:p>
              </w:tc>
              <w:tc>
                <w:tcPr>
                  <w:tcW w:w="565" w:type="pct"/>
                  <w:vMerge w:val="continue"/>
                  <w:tcBorders>
                    <w:tl2br w:val="nil"/>
                    <w:tr2bl w:val="nil"/>
                  </w:tcBorders>
                  <w:shd w:val="clear" w:color="auto" w:fill="auto"/>
                  <w:vAlign w:val="center"/>
                </w:tcPr>
                <w:p w14:paraId="52D56F7C">
                  <w:pPr>
                    <w:keepNext w:val="0"/>
                    <w:keepLines w:val="0"/>
                    <w:suppressLineNumbers w:val="0"/>
                    <w:spacing w:before="0" w:beforeAutospacing="0" w:after="0" w:afterAutospacing="0"/>
                    <w:ind w:left="0" w:right="0" w:firstLine="50"/>
                    <w:jc w:val="center"/>
                    <w:rPr>
                      <w:rFonts w:hint="default"/>
                      <w:color w:val="auto"/>
                    </w:rPr>
                  </w:pPr>
                </w:p>
              </w:tc>
              <w:tc>
                <w:tcPr>
                  <w:tcW w:w="555" w:type="pct"/>
                  <w:tcBorders>
                    <w:tl2br w:val="nil"/>
                    <w:tr2bl w:val="nil"/>
                  </w:tcBorders>
                  <w:shd w:val="clear" w:color="auto" w:fill="auto"/>
                  <w:vAlign w:val="center"/>
                </w:tcPr>
                <w:p w14:paraId="22879731">
                  <w:pPr>
                    <w:keepNext w:val="0"/>
                    <w:keepLines w:val="0"/>
                    <w:suppressLineNumbers w:val="0"/>
                    <w:spacing w:before="0" w:beforeAutospacing="0" w:after="0" w:afterAutospacing="0"/>
                    <w:ind w:right="0"/>
                    <w:jc w:val="center"/>
                    <w:rPr>
                      <w:rFonts w:hint="default"/>
                      <w:b/>
                      <w:bCs/>
                      <w:color w:val="auto"/>
                      <w:lang w:val="zh-CN"/>
                    </w:rPr>
                  </w:pPr>
                  <w:r>
                    <w:rPr>
                      <w:rFonts w:hint="default"/>
                      <w:b/>
                      <w:bCs/>
                      <w:color w:val="auto"/>
                    </w:rPr>
                    <w:t>排气筒高度</w:t>
                  </w:r>
                </w:p>
              </w:tc>
              <w:tc>
                <w:tcPr>
                  <w:tcW w:w="464" w:type="pct"/>
                  <w:tcBorders>
                    <w:tl2br w:val="nil"/>
                    <w:tr2bl w:val="nil"/>
                  </w:tcBorders>
                  <w:shd w:val="clear" w:color="auto" w:fill="auto"/>
                  <w:vAlign w:val="center"/>
                </w:tcPr>
                <w:p w14:paraId="335A3BE6">
                  <w:pPr>
                    <w:keepNext w:val="0"/>
                    <w:keepLines w:val="0"/>
                    <w:suppressLineNumbers w:val="0"/>
                    <w:spacing w:before="0" w:beforeAutospacing="0" w:after="0" w:afterAutospacing="0"/>
                    <w:ind w:left="0" w:right="0" w:firstLine="50"/>
                    <w:jc w:val="center"/>
                    <w:rPr>
                      <w:rFonts w:hint="default"/>
                      <w:b/>
                      <w:bCs/>
                      <w:color w:val="auto"/>
                      <w:lang w:val="zh-CN"/>
                    </w:rPr>
                  </w:pPr>
                  <w:r>
                    <w:rPr>
                      <w:rFonts w:hint="default"/>
                      <w:b/>
                      <w:bCs/>
                      <w:color w:val="auto"/>
                    </w:rPr>
                    <w:t>二级kg/h</w:t>
                  </w:r>
                </w:p>
              </w:tc>
              <w:tc>
                <w:tcPr>
                  <w:tcW w:w="450" w:type="pct"/>
                  <w:tcBorders>
                    <w:tl2br w:val="nil"/>
                    <w:tr2bl w:val="nil"/>
                  </w:tcBorders>
                  <w:shd w:val="clear" w:color="auto" w:fill="auto"/>
                  <w:vAlign w:val="center"/>
                </w:tcPr>
                <w:p w14:paraId="4FC00DE7">
                  <w:pPr>
                    <w:keepNext w:val="0"/>
                    <w:keepLines w:val="0"/>
                    <w:suppressLineNumbers w:val="0"/>
                    <w:spacing w:before="0" w:beforeAutospacing="0" w:after="0" w:afterAutospacing="0"/>
                    <w:ind w:left="0" w:right="0" w:firstLine="50"/>
                    <w:jc w:val="center"/>
                    <w:rPr>
                      <w:rFonts w:hint="default"/>
                      <w:b/>
                      <w:bCs/>
                      <w:color w:val="auto"/>
                      <w:lang w:val="zh-CN"/>
                    </w:rPr>
                  </w:pPr>
                  <w:r>
                    <w:rPr>
                      <w:rFonts w:hint="default"/>
                      <w:b/>
                      <w:bCs/>
                      <w:color w:val="auto"/>
                    </w:rPr>
                    <w:t>监控点</w:t>
                  </w:r>
                </w:p>
              </w:tc>
              <w:tc>
                <w:tcPr>
                  <w:tcW w:w="1250" w:type="pct"/>
                  <w:tcBorders>
                    <w:tl2br w:val="nil"/>
                    <w:tr2bl w:val="nil"/>
                  </w:tcBorders>
                  <w:shd w:val="clear" w:color="auto" w:fill="auto"/>
                  <w:vAlign w:val="center"/>
                </w:tcPr>
                <w:p w14:paraId="392B137D">
                  <w:pPr>
                    <w:keepNext w:val="0"/>
                    <w:keepLines w:val="0"/>
                    <w:suppressLineNumbers w:val="0"/>
                    <w:spacing w:before="0" w:beforeAutospacing="0" w:after="0" w:afterAutospacing="0"/>
                    <w:ind w:left="0" w:right="0" w:firstLine="50"/>
                    <w:jc w:val="center"/>
                    <w:rPr>
                      <w:rFonts w:hint="default"/>
                      <w:b/>
                      <w:bCs/>
                      <w:color w:val="auto"/>
                    </w:rPr>
                  </w:pPr>
                  <w:r>
                    <w:rPr>
                      <w:rFonts w:hint="default"/>
                      <w:b/>
                      <w:bCs/>
                      <w:color w:val="auto"/>
                    </w:rPr>
                    <w:t>浓度</w:t>
                  </w:r>
                </w:p>
                <w:p w14:paraId="4D7CB26A">
                  <w:pPr>
                    <w:keepNext w:val="0"/>
                    <w:keepLines w:val="0"/>
                    <w:suppressLineNumbers w:val="0"/>
                    <w:tabs>
                      <w:tab w:val="left" w:pos="420"/>
                      <w:tab w:val="left" w:pos="840"/>
                    </w:tabs>
                    <w:spacing w:before="0" w:beforeAutospacing="0" w:after="0" w:afterAutospacing="0"/>
                    <w:ind w:left="0" w:right="0" w:firstLine="50"/>
                    <w:jc w:val="center"/>
                    <w:rPr>
                      <w:rFonts w:hint="default"/>
                      <w:b/>
                      <w:bCs/>
                      <w:color w:val="auto"/>
                      <w:lang w:val="zh-CN"/>
                    </w:rPr>
                  </w:pPr>
                  <w:r>
                    <w:rPr>
                      <w:rFonts w:hint="default"/>
                      <w:b/>
                      <w:bCs/>
                      <w:color w:val="auto"/>
                    </w:rPr>
                    <w:t>mg/m</w:t>
                  </w:r>
                  <w:r>
                    <w:rPr>
                      <w:rFonts w:hint="default"/>
                      <w:b/>
                      <w:bCs/>
                      <w:color w:val="auto"/>
                      <w:vertAlign w:val="superscript"/>
                    </w:rPr>
                    <w:t>3</w:t>
                  </w:r>
                </w:p>
              </w:tc>
            </w:tr>
            <w:tr w14:paraId="3DBCB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147" w:type="pct"/>
                  <w:tcBorders>
                    <w:tl2br w:val="nil"/>
                    <w:tr2bl w:val="nil"/>
                  </w:tcBorders>
                  <w:shd w:val="clear" w:color="auto" w:fill="auto"/>
                  <w:vAlign w:val="center"/>
                </w:tcPr>
                <w:p w14:paraId="044CCA38">
                  <w:pPr>
                    <w:keepNext w:val="0"/>
                    <w:keepLines w:val="0"/>
                    <w:suppressLineNumbers w:val="0"/>
                    <w:spacing w:before="0" w:beforeAutospacing="0" w:after="0" w:afterAutospacing="0"/>
                    <w:ind w:left="0" w:right="0" w:firstLine="50"/>
                    <w:jc w:val="left"/>
                    <w:rPr>
                      <w:rFonts w:hint="default"/>
                      <w:color w:val="auto"/>
                    </w:rPr>
                  </w:pPr>
                  <w:r>
                    <w:rPr>
                      <w:rFonts w:hint="default"/>
                      <w:color w:val="auto"/>
                    </w:rPr>
                    <w:t>《大气污染物综合排放标准》（GB16297-1996）</w:t>
                  </w:r>
                </w:p>
              </w:tc>
              <w:tc>
                <w:tcPr>
                  <w:tcW w:w="566" w:type="pct"/>
                  <w:tcBorders>
                    <w:tl2br w:val="nil"/>
                    <w:tr2bl w:val="nil"/>
                  </w:tcBorders>
                  <w:shd w:val="clear" w:color="auto" w:fill="auto"/>
                  <w:vAlign w:val="center"/>
                </w:tcPr>
                <w:p w14:paraId="77323033">
                  <w:pPr>
                    <w:keepNext w:val="0"/>
                    <w:keepLines w:val="0"/>
                    <w:suppressLineNumbers w:val="0"/>
                    <w:spacing w:before="0" w:beforeAutospacing="0" w:after="0" w:afterAutospacing="0"/>
                    <w:ind w:left="0" w:right="0" w:firstLine="50"/>
                    <w:jc w:val="center"/>
                    <w:rPr>
                      <w:rFonts w:hint="default"/>
                      <w:color w:val="auto"/>
                    </w:rPr>
                  </w:pPr>
                  <w:r>
                    <w:rPr>
                      <w:rFonts w:hint="default"/>
                      <w:color w:val="auto"/>
                    </w:rPr>
                    <w:t>颗粒物</w:t>
                  </w:r>
                </w:p>
              </w:tc>
              <w:tc>
                <w:tcPr>
                  <w:tcW w:w="565" w:type="pct"/>
                  <w:tcBorders>
                    <w:tl2br w:val="nil"/>
                    <w:tr2bl w:val="nil"/>
                  </w:tcBorders>
                  <w:shd w:val="clear" w:color="auto" w:fill="auto"/>
                  <w:vAlign w:val="center"/>
                </w:tcPr>
                <w:p w14:paraId="78B55985">
                  <w:pPr>
                    <w:keepNext w:val="0"/>
                    <w:keepLines w:val="0"/>
                    <w:suppressLineNumbers w:val="0"/>
                    <w:spacing w:before="0" w:beforeAutospacing="0" w:after="0" w:afterAutospacing="0"/>
                    <w:ind w:left="0" w:right="0" w:firstLine="50"/>
                    <w:jc w:val="center"/>
                    <w:rPr>
                      <w:rFonts w:hint="eastAsia" w:eastAsia="宋体"/>
                      <w:color w:val="auto"/>
                      <w:lang w:eastAsia="zh-CN"/>
                    </w:rPr>
                  </w:pPr>
                  <w:r>
                    <w:rPr>
                      <w:rFonts w:hint="eastAsia"/>
                      <w:color w:val="auto"/>
                      <w:lang w:val="en-US" w:eastAsia="zh-CN"/>
                    </w:rPr>
                    <w:t>/</w:t>
                  </w:r>
                </w:p>
              </w:tc>
              <w:tc>
                <w:tcPr>
                  <w:tcW w:w="555" w:type="pct"/>
                  <w:tcBorders>
                    <w:tl2br w:val="nil"/>
                    <w:tr2bl w:val="nil"/>
                  </w:tcBorders>
                  <w:shd w:val="clear" w:color="auto" w:fill="auto"/>
                  <w:vAlign w:val="center"/>
                </w:tcPr>
                <w:p w14:paraId="3CBD9521">
                  <w:pPr>
                    <w:keepNext w:val="0"/>
                    <w:keepLines w:val="0"/>
                    <w:suppressLineNumbers w:val="0"/>
                    <w:spacing w:before="0" w:beforeAutospacing="0" w:after="0" w:afterAutospacing="0"/>
                    <w:ind w:left="0" w:right="0" w:firstLine="50"/>
                    <w:jc w:val="center"/>
                    <w:rPr>
                      <w:rFonts w:hint="eastAsia" w:eastAsia="宋体"/>
                      <w:color w:val="auto"/>
                      <w:lang w:eastAsia="zh-CN"/>
                    </w:rPr>
                  </w:pPr>
                  <w:r>
                    <w:rPr>
                      <w:rFonts w:hint="eastAsia"/>
                      <w:color w:val="auto"/>
                      <w:lang w:val="en-US" w:eastAsia="zh-CN"/>
                    </w:rPr>
                    <w:t>/</w:t>
                  </w:r>
                </w:p>
              </w:tc>
              <w:tc>
                <w:tcPr>
                  <w:tcW w:w="464" w:type="pct"/>
                  <w:tcBorders>
                    <w:tl2br w:val="nil"/>
                    <w:tr2bl w:val="nil"/>
                  </w:tcBorders>
                  <w:shd w:val="clear" w:color="auto" w:fill="auto"/>
                  <w:vAlign w:val="center"/>
                </w:tcPr>
                <w:p w14:paraId="04DD17D9">
                  <w:pPr>
                    <w:keepNext w:val="0"/>
                    <w:keepLines w:val="0"/>
                    <w:suppressLineNumbers w:val="0"/>
                    <w:spacing w:before="0" w:beforeAutospacing="0" w:after="0" w:afterAutospacing="0"/>
                    <w:ind w:left="0" w:right="0" w:firstLine="50"/>
                    <w:jc w:val="center"/>
                    <w:rPr>
                      <w:rFonts w:hint="default" w:eastAsia="宋体"/>
                      <w:b/>
                      <w:bCs/>
                      <w:color w:val="auto"/>
                      <w:lang w:val="en-US" w:eastAsia="zh-CN"/>
                    </w:rPr>
                  </w:pPr>
                  <w:r>
                    <w:rPr>
                      <w:rFonts w:hint="eastAsia" w:eastAsia="宋体"/>
                      <w:b w:val="0"/>
                      <w:bCs w:val="0"/>
                      <w:color w:val="auto"/>
                      <w:lang w:val="en-US" w:eastAsia="zh-CN"/>
                    </w:rPr>
                    <w:t>/</w:t>
                  </w:r>
                </w:p>
              </w:tc>
              <w:tc>
                <w:tcPr>
                  <w:tcW w:w="450" w:type="pct"/>
                  <w:tcBorders>
                    <w:tl2br w:val="nil"/>
                    <w:tr2bl w:val="nil"/>
                  </w:tcBorders>
                  <w:shd w:val="clear" w:color="auto" w:fill="auto"/>
                  <w:vAlign w:val="center"/>
                </w:tcPr>
                <w:p w14:paraId="03032A04">
                  <w:pPr>
                    <w:keepNext w:val="0"/>
                    <w:keepLines w:val="0"/>
                    <w:suppressLineNumbers w:val="0"/>
                    <w:spacing w:before="0" w:beforeAutospacing="0" w:after="0" w:afterAutospacing="0"/>
                    <w:ind w:left="0" w:right="0" w:firstLine="50"/>
                    <w:jc w:val="center"/>
                    <w:rPr>
                      <w:rFonts w:hint="default" w:eastAsia="宋体"/>
                      <w:color w:val="auto"/>
                      <w:lang w:val="en-US" w:eastAsia="zh-CN"/>
                    </w:rPr>
                  </w:pPr>
                  <w:r>
                    <w:rPr>
                      <w:rFonts w:hint="eastAsia"/>
                      <w:color w:val="auto"/>
                      <w:lang w:val="en-US" w:eastAsia="zh-CN"/>
                    </w:rPr>
                    <w:t>企业边界</w:t>
                  </w:r>
                </w:p>
              </w:tc>
              <w:tc>
                <w:tcPr>
                  <w:tcW w:w="1250" w:type="pct"/>
                  <w:tcBorders>
                    <w:tl2br w:val="nil"/>
                    <w:tr2bl w:val="nil"/>
                  </w:tcBorders>
                  <w:shd w:val="clear" w:color="auto" w:fill="auto"/>
                  <w:vAlign w:val="center"/>
                </w:tcPr>
                <w:p w14:paraId="27E8CACD">
                  <w:pPr>
                    <w:keepNext w:val="0"/>
                    <w:keepLines w:val="0"/>
                    <w:suppressLineNumbers w:val="0"/>
                    <w:spacing w:before="0" w:beforeAutospacing="0" w:after="0" w:afterAutospacing="0"/>
                    <w:ind w:left="0" w:right="0" w:firstLine="50"/>
                    <w:jc w:val="center"/>
                    <w:rPr>
                      <w:rFonts w:hint="default"/>
                      <w:color w:val="auto"/>
                    </w:rPr>
                  </w:pPr>
                  <w:r>
                    <w:rPr>
                      <w:rFonts w:hint="default"/>
                      <w:color w:val="auto"/>
                    </w:rPr>
                    <w:t>1.0</w:t>
                  </w:r>
                </w:p>
              </w:tc>
            </w:tr>
            <w:tr w14:paraId="16C51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47" w:type="pct"/>
                  <w:vMerge w:val="restart"/>
                  <w:tcBorders>
                    <w:tl2br w:val="nil"/>
                    <w:tr2bl w:val="nil"/>
                  </w:tcBorders>
                  <w:shd w:val="clear" w:color="auto" w:fill="auto"/>
                  <w:vAlign w:val="center"/>
                </w:tcPr>
                <w:p w14:paraId="02176360">
                  <w:pPr>
                    <w:keepNext w:val="0"/>
                    <w:keepLines w:val="0"/>
                    <w:suppressLineNumbers w:val="0"/>
                    <w:spacing w:before="0" w:beforeAutospacing="0" w:after="0" w:afterAutospacing="0"/>
                    <w:ind w:left="0" w:right="0" w:firstLine="50"/>
                    <w:jc w:val="left"/>
                    <w:rPr>
                      <w:rFonts w:hint="default"/>
                      <w:color w:val="auto"/>
                    </w:rPr>
                  </w:pPr>
                  <w:r>
                    <w:rPr>
                      <w:rFonts w:hint="default" w:ascii="Times New Roman" w:hAnsi="Times New Roman" w:eastAsia="宋体" w:cs="Times New Roman"/>
                      <w:b w:val="0"/>
                      <w:bCs/>
                      <w:color w:val="auto"/>
                      <w:sz w:val="21"/>
                      <w:szCs w:val="21"/>
                      <w:highlight w:val="none"/>
                      <w:lang w:val="en-US" w:eastAsia="zh-CN"/>
                    </w:rPr>
                    <w:t>《挥发性有机物综合排放控制标准（试行）》（DB36/2186</w:t>
                  </w:r>
                  <w:r>
                    <w:rPr>
                      <w:rFonts w:hint="eastAsia" w:ascii="Times New Roman" w:hAnsi="Times New Roman" w:eastAsia="宋体" w:cs="Times New Roman"/>
                      <w:b w:val="0"/>
                      <w:bCs/>
                      <w:color w:val="auto"/>
                      <w:sz w:val="21"/>
                      <w:szCs w:val="21"/>
                      <w:highlight w:val="none"/>
                      <w:lang w:val="en-US" w:eastAsia="zh-CN"/>
                    </w:rPr>
                    <w:t>-</w:t>
                  </w:r>
                  <w:r>
                    <w:rPr>
                      <w:rFonts w:hint="default" w:ascii="Times New Roman" w:hAnsi="Times New Roman" w:eastAsia="宋体" w:cs="Times New Roman"/>
                      <w:b w:val="0"/>
                      <w:bCs/>
                      <w:color w:val="auto"/>
                      <w:sz w:val="21"/>
                      <w:szCs w:val="21"/>
                      <w:highlight w:val="none"/>
                      <w:lang w:val="en-US" w:eastAsia="zh-CN"/>
                    </w:rPr>
                    <w:t>2025）</w:t>
                  </w:r>
                </w:p>
              </w:tc>
              <w:tc>
                <w:tcPr>
                  <w:tcW w:w="566" w:type="pct"/>
                  <w:tcBorders>
                    <w:tl2br w:val="nil"/>
                    <w:tr2bl w:val="nil"/>
                  </w:tcBorders>
                  <w:shd w:val="clear" w:color="auto" w:fill="auto"/>
                  <w:vAlign w:val="center"/>
                </w:tcPr>
                <w:p w14:paraId="7745BEBC">
                  <w:pPr>
                    <w:keepNext w:val="0"/>
                    <w:keepLines w:val="0"/>
                    <w:suppressLineNumbers w:val="0"/>
                    <w:spacing w:before="0" w:beforeAutospacing="0" w:after="0" w:afterAutospacing="0"/>
                    <w:ind w:left="0" w:right="0" w:firstLine="50"/>
                    <w:jc w:val="center"/>
                    <w:rPr>
                      <w:rFonts w:hint="default" w:eastAsia="宋体"/>
                      <w:color w:val="auto"/>
                      <w:lang w:val="en-US" w:eastAsia="zh-CN"/>
                    </w:rPr>
                  </w:pPr>
                  <w:r>
                    <w:rPr>
                      <w:rFonts w:hint="eastAsia"/>
                      <w:color w:val="auto"/>
                      <w:lang w:val="en-US" w:eastAsia="zh-CN"/>
                    </w:rPr>
                    <w:t>苯系物</w:t>
                  </w:r>
                </w:p>
              </w:tc>
              <w:tc>
                <w:tcPr>
                  <w:tcW w:w="565" w:type="pct"/>
                  <w:tcBorders>
                    <w:tl2br w:val="nil"/>
                    <w:tr2bl w:val="nil"/>
                  </w:tcBorders>
                  <w:shd w:val="clear" w:color="auto" w:fill="auto"/>
                  <w:vAlign w:val="center"/>
                </w:tcPr>
                <w:p w14:paraId="7E0F75F7">
                  <w:pPr>
                    <w:keepNext w:val="0"/>
                    <w:keepLines w:val="0"/>
                    <w:suppressLineNumbers w:val="0"/>
                    <w:spacing w:before="0" w:beforeAutospacing="0" w:after="0" w:afterAutospacing="0"/>
                    <w:ind w:left="0" w:right="0" w:firstLine="50"/>
                    <w:jc w:val="center"/>
                    <w:rPr>
                      <w:rFonts w:hint="default"/>
                      <w:color w:val="auto"/>
                      <w:lang w:val="en-US" w:eastAsia="zh-CN"/>
                    </w:rPr>
                  </w:pPr>
                  <w:r>
                    <w:rPr>
                      <w:rFonts w:hint="eastAsia"/>
                      <w:color w:val="auto"/>
                      <w:lang w:val="en-US" w:eastAsia="zh-CN"/>
                    </w:rPr>
                    <w:t>40</w:t>
                  </w:r>
                </w:p>
              </w:tc>
              <w:tc>
                <w:tcPr>
                  <w:tcW w:w="555" w:type="pct"/>
                  <w:tcBorders>
                    <w:tl2br w:val="nil"/>
                    <w:tr2bl w:val="nil"/>
                  </w:tcBorders>
                  <w:shd w:val="clear" w:color="auto" w:fill="auto"/>
                  <w:vAlign w:val="center"/>
                </w:tcPr>
                <w:p w14:paraId="73F4DF8D">
                  <w:pPr>
                    <w:keepNext w:val="0"/>
                    <w:keepLines w:val="0"/>
                    <w:suppressLineNumbers w:val="0"/>
                    <w:spacing w:before="0" w:beforeAutospacing="0" w:after="0" w:afterAutospacing="0"/>
                    <w:ind w:left="0" w:right="0" w:firstLine="50"/>
                    <w:jc w:val="center"/>
                    <w:rPr>
                      <w:rFonts w:hint="default"/>
                      <w:color w:val="auto"/>
                      <w:lang w:val="en-US" w:eastAsia="zh-CN"/>
                    </w:rPr>
                  </w:pPr>
                  <w:r>
                    <w:rPr>
                      <w:rFonts w:hint="eastAsia"/>
                      <w:color w:val="auto"/>
                      <w:lang w:val="en-US" w:eastAsia="zh-CN"/>
                    </w:rPr>
                    <w:t>/</w:t>
                  </w:r>
                </w:p>
              </w:tc>
              <w:tc>
                <w:tcPr>
                  <w:tcW w:w="464" w:type="pct"/>
                  <w:tcBorders>
                    <w:tl2br w:val="nil"/>
                    <w:tr2bl w:val="nil"/>
                  </w:tcBorders>
                  <w:shd w:val="clear" w:color="auto" w:fill="auto"/>
                  <w:vAlign w:val="center"/>
                </w:tcPr>
                <w:p w14:paraId="198ACE6D">
                  <w:pPr>
                    <w:keepNext w:val="0"/>
                    <w:keepLines w:val="0"/>
                    <w:suppressLineNumbers w:val="0"/>
                    <w:spacing w:before="0" w:beforeAutospacing="0" w:after="0" w:afterAutospacing="0"/>
                    <w:ind w:left="0" w:right="0" w:firstLine="50"/>
                    <w:jc w:val="center"/>
                    <w:rPr>
                      <w:rFonts w:hint="default" w:eastAsia="宋体"/>
                      <w:b w:val="0"/>
                      <w:bCs w:val="0"/>
                      <w:color w:val="auto"/>
                      <w:lang w:val="en-US" w:eastAsia="zh-CN"/>
                    </w:rPr>
                  </w:pPr>
                  <w:r>
                    <w:rPr>
                      <w:rFonts w:hint="eastAsia" w:eastAsia="宋体"/>
                      <w:b w:val="0"/>
                      <w:bCs w:val="0"/>
                      <w:color w:val="auto"/>
                      <w:lang w:val="en-US" w:eastAsia="zh-CN"/>
                    </w:rPr>
                    <w:t>/</w:t>
                  </w:r>
                </w:p>
              </w:tc>
              <w:tc>
                <w:tcPr>
                  <w:tcW w:w="450" w:type="pct"/>
                  <w:tcBorders>
                    <w:tl2br w:val="nil"/>
                    <w:tr2bl w:val="nil"/>
                  </w:tcBorders>
                  <w:shd w:val="clear" w:color="auto" w:fill="auto"/>
                  <w:vAlign w:val="center"/>
                </w:tcPr>
                <w:p w14:paraId="6E34F217">
                  <w:pPr>
                    <w:keepNext w:val="0"/>
                    <w:keepLines w:val="0"/>
                    <w:suppressLineNumbers w:val="0"/>
                    <w:spacing w:before="0" w:beforeAutospacing="0" w:after="0" w:afterAutospacing="0"/>
                    <w:ind w:left="0" w:right="0" w:firstLine="50"/>
                    <w:jc w:val="center"/>
                    <w:rPr>
                      <w:rFonts w:hint="eastAsia" w:eastAsia="宋体"/>
                      <w:color w:val="auto"/>
                      <w:lang w:val="en-US" w:eastAsia="zh-CN"/>
                    </w:rPr>
                  </w:pPr>
                  <w:r>
                    <w:rPr>
                      <w:rFonts w:hint="eastAsia"/>
                      <w:color w:val="auto"/>
                      <w:lang w:val="en-US" w:eastAsia="zh-CN"/>
                    </w:rPr>
                    <w:t>/</w:t>
                  </w:r>
                </w:p>
              </w:tc>
              <w:tc>
                <w:tcPr>
                  <w:tcW w:w="1250" w:type="pct"/>
                  <w:tcBorders>
                    <w:tl2br w:val="nil"/>
                    <w:tr2bl w:val="nil"/>
                  </w:tcBorders>
                  <w:shd w:val="clear" w:color="auto" w:fill="auto"/>
                  <w:vAlign w:val="center"/>
                </w:tcPr>
                <w:p w14:paraId="26FA3A0B">
                  <w:pPr>
                    <w:keepNext w:val="0"/>
                    <w:keepLines w:val="0"/>
                    <w:suppressLineNumbers w:val="0"/>
                    <w:spacing w:before="0" w:beforeAutospacing="0" w:after="0" w:afterAutospacing="0"/>
                    <w:ind w:left="0" w:right="0" w:firstLine="50"/>
                    <w:jc w:val="center"/>
                    <w:rPr>
                      <w:rFonts w:hint="eastAsia" w:eastAsia="宋体"/>
                      <w:color w:val="auto"/>
                      <w:lang w:val="en-US" w:eastAsia="zh-CN"/>
                    </w:rPr>
                  </w:pPr>
                  <w:r>
                    <w:rPr>
                      <w:rFonts w:hint="eastAsia"/>
                      <w:color w:val="auto"/>
                      <w:lang w:val="en-US" w:eastAsia="zh-CN"/>
                    </w:rPr>
                    <w:t>/</w:t>
                  </w:r>
                </w:p>
              </w:tc>
            </w:tr>
            <w:tr w14:paraId="6451AF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47" w:type="pct"/>
                  <w:vMerge w:val="continue"/>
                  <w:tcBorders>
                    <w:tl2br w:val="nil"/>
                    <w:tr2bl w:val="nil"/>
                  </w:tcBorders>
                  <w:shd w:val="clear" w:color="auto" w:fill="auto"/>
                  <w:vAlign w:val="center"/>
                </w:tcPr>
                <w:p w14:paraId="515456A9">
                  <w:pPr>
                    <w:keepNext w:val="0"/>
                    <w:keepLines w:val="0"/>
                    <w:suppressLineNumbers w:val="0"/>
                    <w:spacing w:before="0" w:beforeAutospacing="0" w:after="0" w:afterAutospacing="0"/>
                    <w:ind w:left="0" w:right="0" w:firstLine="50"/>
                    <w:jc w:val="center"/>
                    <w:rPr>
                      <w:rFonts w:hint="default"/>
                      <w:color w:val="auto"/>
                    </w:rPr>
                  </w:pPr>
                </w:p>
              </w:tc>
              <w:tc>
                <w:tcPr>
                  <w:tcW w:w="566" w:type="pct"/>
                  <w:vMerge w:val="restart"/>
                  <w:tcBorders>
                    <w:tl2br w:val="nil"/>
                    <w:tr2bl w:val="nil"/>
                  </w:tcBorders>
                  <w:shd w:val="clear" w:color="auto" w:fill="auto"/>
                  <w:vAlign w:val="center"/>
                </w:tcPr>
                <w:p w14:paraId="60EB81F7">
                  <w:pPr>
                    <w:keepNext w:val="0"/>
                    <w:keepLines w:val="0"/>
                    <w:suppressLineNumbers w:val="0"/>
                    <w:spacing w:before="0" w:beforeAutospacing="0" w:after="0" w:afterAutospacing="0"/>
                    <w:ind w:left="0" w:right="0" w:firstLine="50"/>
                    <w:jc w:val="center"/>
                    <w:rPr>
                      <w:rFonts w:hint="eastAsia"/>
                      <w:color w:val="auto"/>
                      <w:lang w:val="en-US" w:eastAsia="zh-CN"/>
                    </w:rPr>
                  </w:pPr>
                  <w:r>
                    <w:rPr>
                      <w:rFonts w:hint="eastAsia"/>
                      <w:color w:val="auto"/>
                      <w:lang w:val="en-US" w:eastAsia="zh-CN"/>
                    </w:rPr>
                    <w:t>NMHC</w:t>
                  </w:r>
                </w:p>
              </w:tc>
              <w:tc>
                <w:tcPr>
                  <w:tcW w:w="565" w:type="pct"/>
                  <w:vMerge w:val="restart"/>
                  <w:tcBorders>
                    <w:tl2br w:val="nil"/>
                    <w:tr2bl w:val="nil"/>
                  </w:tcBorders>
                  <w:shd w:val="clear" w:color="auto" w:fill="auto"/>
                  <w:vAlign w:val="center"/>
                </w:tcPr>
                <w:p w14:paraId="6D670685">
                  <w:pPr>
                    <w:keepNext w:val="0"/>
                    <w:keepLines w:val="0"/>
                    <w:suppressLineNumbers w:val="0"/>
                    <w:spacing w:before="0" w:beforeAutospacing="0" w:after="0" w:afterAutospacing="0"/>
                    <w:ind w:left="0" w:right="0" w:firstLine="50"/>
                    <w:jc w:val="center"/>
                    <w:rPr>
                      <w:rFonts w:hint="default" w:eastAsia="宋体"/>
                      <w:color w:val="auto"/>
                      <w:lang w:val="en-US" w:eastAsia="zh-CN"/>
                    </w:rPr>
                  </w:pPr>
                  <w:r>
                    <w:rPr>
                      <w:rFonts w:hint="eastAsia"/>
                      <w:color w:val="auto"/>
                      <w:lang w:val="en-US" w:eastAsia="zh-CN"/>
                    </w:rPr>
                    <w:t>80</w:t>
                  </w:r>
                </w:p>
              </w:tc>
              <w:tc>
                <w:tcPr>
                  <w:tcW w:w="555" w:type="pct"/>
                  <w:vMerge w:val="restart"/>
                  <w:tcBorders>
                    <w:tl2br w:val="nil"/>
                    <w:tr2bl w:val="nil"/>
                  </w:tcBorders>
                  <w:shd w:val="clear" w:color="auto" w:fill="auto"/>
                  <w:vAlign w:val="center"/>
                </w:tcPr>
                <w:p w14:paraId="0A4945D4">
                  <w:pPr>
                    <w:keepNext w:val="0"/>
                    <w:keepLines w:val="0"/>
                    <w:suppressLineNumbers w:val="0"/>
                    <w:spacing w:before="0" w:beforeAutospacing="0" w:after="0" w:afterAutospacing="0"/>
                    <w:ind w:left="0" w:right="0" w:firstLine="50"/>
                    <w:jc w:val="center"/>
                    <w:rPr>
                      <w:rFonts w:hint="eastAsia" w:eastAsia="宋体"/>
                      <w:color w:val="auto"/>
                      <w:lang w:val="en-US" w:eastAsia="zh-CN"/>
                    </w:rPr>
                  </w:pPr>
                  <w:r>
                    <w:rPr>
                      <w:rFonts w:hint="eastAsia"/>
                      <w:color w:val="auto"/>
                      <w:lang w:val="en-US" w:eastAsia="zh-CN"/>
                    </w:rPr>
                    <w:t>/</w:t>
                  </w:r>
                </w:p>
              </w:tc>
              <w:tc>
                <w:tcPr>
                  <w:tcW w:w="464" w:type="pct"/>
                  <w:vMerge w:val="restart"/>
                  <w:tcBorders>
                    <w:tl2br w:val="nil"/>
                    <w:tr2bl w:val="nil"/>
                  </w:tcBorders>
                  <w:shd w:val="clear" w:color="auto" w:fill="auto"/>
                  <w:vAlign w:val="center"/>
                </w:tcPr>
                <w:p w14:paraId="399DB575">
                  <w:pPr>
                    <w:keepNext w:val="0"/>
                    <w:keepLines w:val="0"/>
                    <w:suppressLineNumbers w:val="0"/>
                    <w:spacing w:before="0" w:beforeAutospacing="0" w:after="0" w:afterAutospacing="0"/>
                    <w:ind w:left="0" w:right="0" w:firstLine="50"/>
                    <w:jc w:val="center"/>
                    <w:rPr>
                      <w:rFonts w:hint="eastAsia" w:eastAsia="宋体"/>
                      <w:color w:val="auto"/>
                      <w:lang w:val="en-US" w:eastAsia="zh-CN"/>
                    </w:rPr>
                  </w:pPr>
                  <w:r>
                    <w:rPr>
                      <w:rFonts w:hint="eastAsia"/>
                      <w:color w:val="auto"/>
                      <w:lang w:val="en-US" w:eastAsia="zh-CN"/>
                    </w:rPr>
                    <w:t>/</w:t>
                  </w:r>
                </w:p>
              </w:tc>
              <w:tc>
                <w:tcPr>
                  <w:tcW w:w="450" w:type="pct"/>
                  <w:vMerge w:val="restart"/>
                  <w:tcBorders>
                    <w:tl2br w:val="nil"/>
                    <w:tr2bl w:val="nil"/>
                  </w:tcBorders>
                  <w:shd w:val="clear" w:color="auto" w:fill="auto"/>
                  <w:vAlign w:val="center"/>
                </w:tcPr>
                <w:p w14:paraId="0476214D">
                  <w:pPr>
                    <w:keepNext w:val="0"/>
                    <w:keepLines w:val="0"/>
                    <w:suppressLineNumbers w:val="0"/>
                    <w:spacing w:before="0" w:beforeAutospacing="0" w:after="0" w:afterAutospacing="0"/>
                    <w:ind w:left="0" w:right="0" w:firstLine="50"/>
                    <w:jc w:val="center"/>
                    <w:rPr>
                      <w:rFonts w:hint="eastAsia" w:eastAsia="宋体"/>
                      <w:color w:val="auto"/>
                      <w:lang w:val="en-US" w:eastAsia="zh-CN"/>
                    </w:rPr>
                  </w:pPr>
                  <w:r>
                    <w:rPr>
                      <w:rFonts w:hint="eastAsia" w:eastAsia="宋体"/>
                      <w:color w:val="auto"/>
                      <w:lang w:val="en-US" w:eastAsia="zh-CN"/>
                    </w:rPr>
                    <w:t>企业边界</w:t>
                  </w:r>
                </w:p>
              </w:tc>
              <w:tc>
                <w:tcPr>
                  <w:tcW w:w="1250" w:type="pct"/>
                  <w:tcBorders>
                    <w:tl2br w:val="nil"/>
                    <w:tr2bl w:val="nil"/>
                  </w:tcBorders>
                  <w:shd w:val="clear" w:color="auto" w:fill="auto"/>
                  <w:vAlign w:val="center"/>
                </w:tcPr>
                <w:p w14:paraId="42E7651F">
                  <w:pPr>
                    <w:pStyle w:val="158"/>
                    <w:keepNext w:val="0"/>
                    <w:keepLines w:val="0"/>
                    <w:suppressLineNumbers w:val="0"/>
                    <w:spacing w:beforeAutospacing="0" w:afterAutospacing="0"/>
                    <w:ind w:left="0" w:leftChars="0" w:right="0" w:rightChars="0" w:firstLine="0" w:firstLineChars="0"/>
                    <w:rPr>
                      <w:rFonts w:hint="eastAsia" w:ascii="Times New Roman" w:hAnsi="Times New Roman" w:eastAsia="宋体" w:cs="Times New Roman"/>
                      <w:b w:val="0"/>
                      <w:bCs/>
                      <w:color w:val="auto"/>
                      <w:spacing w:val="4"/>
                      <w:kern w:val="2"/>
                      <w:sz w:val="21"/>
                      <w:szCs w:val="21"/>
                      <w:lang w:val="en-US" w:eastAsia="zh-CN" w:bidi="ar-SA"/>
                    </w:rPr>
                  </w:pPr>
                  <w:r>
                    <w:rPr>
                      <w:rFonts w:hint="eastAsia" w:ascii="Times New Roman" w:eastAsia="宋体"/>
                      <w:b w:val="0"/>
                      <w:bCs/>
                      <w:color w:val="auto"/>
                      <w:lang w:val="en-US" w:eastAsia="zh-CN"/>
                    </w:rPr>
                    <w:t>2</w:t>
                  </w:r>
                  <w:r>
                    <w:rPr>
                      <w:rFonts w:hint="eastAsia" w:ascii="Times New Roman" w:eastAsia="宋体"/>
                      <w:b w:val="0"/>
                      <w:bCs/>
                      <w:color w:val="auto"/>
                      <w:lang w:eastAsia="zh-CN"/>
                    </w:rPr>
                    <w:t>（</w:t>
                  </w:r>
                  <w:r>
                    <w:rPr>
                      <w:rFonts w:hint="default" w:ascii="Times New Roman" w:eastAsia="宋体"/>
                      <w:b w:val="0"/>
                      <w:bCs/>
                      <w:color w:val="auto"/>
                    </w:rPr>
                    <w:t>1h平均浓度</w:t>
                  </w:r>
                  <w:r>
                    <w:rPr>
                      <w:rFonts w:hint="eastAsia" w:ascii="Times New Roman" w:eastAsia="宋体"/>
                      <w:b w:val="0"/>
                      <w:bCs/>
                      <w:color w:val="auto"/>
                      <w:lang w:eastAsia="zh-CN"/>
                    </w:rPr>
                    <w:t>）</w:t>
                  </w:r>
                </w:p>
              </w:tc>
            </w:tr>
            <w:tr w14:paraId="51AE1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47" w:type="pct"/>
                  <w:vMerge w:val="continue"/>
                  <w:tcBorders>
                    <w:tl2br w:val="nil"/>
                    <w:tr2bl w:val="nil"/>
                  </w:tcBorders>
                  <w:shd w:val="clear" w:color="auto" w:fill="auto"/>
                  <w:vAlign w:val="center"/>
                </w:tcPr>
                <w:p w14:paraId="7E845EA8">
                  <w:pPr>
                    <w:keepNext w:val="0"/>
                    <w:keepLines w:val="0"/>
                    <w:suppressLineNumbers w:val="0"/>
                    <w:spacing w:before="0" w:beforeAutospacing="0" w:after="0" w:afterAutospacing="0"/>
                    <w:ind w:left="0" w:right="0" w:firstLine="50"/>
                    <w:jc w:val="center"/>
                    <w:rPr>
                      <w:rFonts w:hint="eastAsia" w:ascii="Times New Roman" w:hAnsi="Times New Roman" w:cs="Times New Roman"/>
                      <w:color w:val="auto"/>
                      <w:sz w:val="21"/>
                      <w:szCs w:val="16"/>
                      <w:lang w:val="en-US" w:eastAsia="zh-CN" w:bidi="ar"/>
                    </w:rPr>
                  </w:pPr>
                </w:p>
              </w:tc>
              <w:tc>
                <w:tcPr>
                  <w:tcW w:w="566" w:type="pct"/>
                  <w:vMerge w:val="continue"/>
                  <w:tcBorders>
                    <w:tl2br w:val="nil"/>
                    <w:tr2bl w:val="nil"/>
                  </w:tcBorders>
                  <w:shd w:val="clear" w:color="auto" w:fill="auto"/>
                  <w:vAlign w:val="center"/>
                </w:tcPr>
                <w:p w14:paraId="2DFBFFB9">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65" w:type="pct"/>
                  <w:vMerge w:val="continue"/>
                  <w:tcBorders>
                    <w:tl2br w:val="nil"/>
                    <w:tr2bl w:val="nil"/>
                  </w:tcBorders>
                  <w:shd w:val="clear" w:color="auto" w:fill="auto"/>
                  <w:vAlign w:val="center"/>
                </w:tcPr>
                <w:p w14:paraId="79F6BB2C">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55" w:type="pct"/>
                  <w:vMerge w:val="continue"/>
                  <w:tcBorders>
                    <w:tl2br w:val="nil"/>
                    <w:tr2bl w:val="nil"/>
                  </w:tcBorders>
                  <w:shd w:val="clear" w:color="auto" w:fill="auto"/>
                  <w:vAlign w:val="center"/>
                </w:tcPr>
                <w:p w14:paraId="39360D15">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64" w:type="pct"/>
                  <w:vMerge w:val="continue"/>
                  <w:tcBorders>
                    <w:tl2br w:val="nil"/>
                    <w:tr2bl w:val="nil"/>
                  </w:tcBorders>
                  <w:shd w:val="clear" w:color="auto" w:fill="auto"/>
                  <w:vAlign w:val="center"/>
                </w:tcPr>
                <w:p w14:paraId="1DA6127E">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50" w:type="pct"/>
                  <w:vMerge w:val="continue"/>
                  <w:tcBorders>
                    <w:tl2br w:val="nil"/>
                    <w:tr2bl w:val="nil"/>
                  </w:tcBorders>
                  <w:shd w:val="clear" w:color="auto" w:fill="auto"/>
                  <w:vAlign w:val="center"/>
                </w:tcPr>
                <w:p w14:paraId="3837478D">
                  <w:pPr>
                    <w:keepNext w:val="0"/>
                    <w:keepLines w:val="0"/>
                    <w:suppressLineNumbers w:val="0"/>
                    <w:spacing w:before="0" w:beforeAutospacing="0" w:after="0" w:afterAutospacing="0"/>
                    <w:ind w:left="0" w:right="0" w:firstLine="50"/>
                    <w:jc w:val="center"/>
                    <w:rPr>
                      <w:rFonts w:hint="default" w:ascii="Times New Roman" w:eastAsia="宋体"/>
                      <w:b w:val="0"/>
                      <w:bCs/>
                      <w:color w:val="auto"/>
                    </w:rPr>
                  </w:pPr>
                </w:p>
              </w:tc>
              <w:tc>
                <w:tcPr>
                  <w:tcW w:w="1250" w:type="pct"/>
                  <w:tcBorders>
                    <w:tl2br w:val="nil"/>
                    <w:tr2bl w:val="nil"/>
                  </w:tcBorders>
                  <w:shd w:val="clear" w:color="auto" w:fill="auto"/>
                  <w:vAlign w:val="center"/>
                </w:tcPr>
                <w:p w14:paraId="59658417">
                  <w:pPr>
                    <w:pStyle w:val="158"/>
                    <w:keepNext w:val="0"/>
                    <w:keepLines w:val="0"/>
                    <w:suppressLineNumbers w:val="0"/>
                    <w:spacing w:beforeAutospacing="0" w:afterAutospacing="0"/>
                    <w:ind w:left="0" w:leftChars="0" w:right="0" w:rightChars="0" w:firstLine="0" w:firstLineChars="0"/>
                    <w:rPr>
                      <w:rFonts w:hint="eastAsia" w:ascii="Times New Roman" w:hAnsi="Times New Roman" w:eastAsia="宋体" w:cs="Times New Roman"/>
                      <w:b w:val="0"/>
                      <w:bCs/>
                      <w:color w:val="auto"/>
                      <w:spacing w:val="4"/>
                      <w:kern w:val="2"/>
                      <w:sz w:val="21"/>
                      <w:szCs w:val="21"/>
                      <w:lang w:val="en-US" w:eastAsia="zh-CN" w:bidi="ar-SA"/>
                    </w:rPr>
                  </w:pPr>
                  <w:r>
                    <w:rPr>
                      <w:rFonts w:hint="eastAsia" w:ascii="Times New Roman" w:eastAsia="宋体"/>
                      <w:b w:val="0"/>
                      <w:bCs/>
                      <w:color w:val="auto"/>
                      <w:lang w:val="en-US" w:eastAsia="zh-CN"/>
                    </w:rPr>
                    <w:t>4</w:t>
                  </w:r>
                  <w:r>
                    <w:rPr>
                      <w:rFonts w:hint="eastAsia" w:ascii="Times New Roman" w:eastAsia="宋体"/>
                      <w:b w:val="0"/>
                      <w:bCs/>
                      <w:color w:val="auto"/>
                      <w:lang w:eastAsia="zh-CN"/>
                    </w:rPr>
                    <w:t>（</w:t>
                  </w:r>
                  <w:r>
                    <w:rPr>
                      <w:rFonts w:hint="default" w:ascii="Times New Roman" w:eastAsia="宋体"/>
                      <w:b w:val="0"/>
                      <w:bCs/>
                      <w:color w:val="auto"/>
                    </w:rPr>
                    <w:t>任意一次浓度</w:t>
                  </w:r>
                  <w:r>
                    <w:rPr>
                      <w:rFonts w:hint="eastAsia" w:ascii="Times New Roman" w:eastAsia="宋体"/>
                      <w:b w:val="0"/>
                      <w:bCs/>
                      <w:color w:val="auto"/>
                      <w:lang w:eastAsia="zh-CN"/>
                    </w:rPr>
                    <w:t>）</w:t>
                  </w:r>
                </w:p>
              </w:tc>
            </w:tr>
            <w:tr w14:paraId="37EA33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47" w:type="pct"/>
                  <w:vMerge w:val="continue"/>
                  <w:tcBorders>
                    <w:tl2br w:val="nil"/>
                    <w:tr2bl w:val="nil"/>
                  </w:tcBorders>
                  <w:shd w:val="clear" w:color="auto" w:fill="auto"/>
                  <w:vAlign w:val="center"/>
                </w:tcPr>
                <w:p w14:paraId="761300C2">
                  <w:pPr>
                    <w:keepNext w:val="0"/>
                    <w:keepLines w:val="0"/>
                    <w:suppressLineNumbers w:val="0"/>
                    <w:spacing w:before="0" w:beforeAutospacing="0" w:after="0" w:afterAutospacing="0"/>
                    <w:ind w:left="0" w:right="0" w:firstLine="50"/>
                    <w:jc w:val="center"/>
                    <w:rPr>
                      <w:rFonts w:hint="eastAsia" w:ascii="Times New Roman" w:hAnsi="Times New Roman" w:cs="Times New Roman"/>
                      <w:color w:val="auto"/>
                      <w:sz w:val="21"/>
                      <w:szCs w:val="16"/>
                      <w:lang w:val="en-US" w:eastAsia="zh-CN" w:bidi="ar"/>
                    </w:rPr>
                  </w:pPr>
                </w:p>
              </w:tc>
              <w:tc>
                <w:tcPr>
                  <w:tcW w:w="566" w:type="pct"/>
                  <w:vMerge w:val="continue"/>
                  <w:tcBorders>
                    <w:tl2br w:val="nil"/>
                    <w:tr2bl w:val="nil"/>
                  </w:tcBorders>
                  <w:shd w:val="clear" w:color="auto" w:fill="auto"/>
                  <w:vAlign w:val="center"/>
                </w:tcPr>
                <w:p w14:paraId="4FF37BA9">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65" w:type="pct"/>
                  <w:vMerge w:val="continue"/>
                  <w:tcBorders>
                    <w:tl2br w:val="nil"/>
                    <w:tr2bl w:val="nil"/>
                  </w:tcBorders>
                  <w:shd w:val="clear" w:color="auto" w:fill="auto"/>
                  <w:vAlign w:val="center"/>
                </w:tcPr>
                <w:p w14:paraId="6ECF67CE">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55" w:type="pct"/>
                  <w:vMerge w:val="continue"/>
                  <w:tcBorders>
                    <w:tl2br w:val="nil"/>
                    <w:tr2bl w:val="nil"/>
                  </w:tcBorders>
                  <w:shd w:val="clear" w:color="auto" w:fill="auto"/>
                  <w:vAlign w:val="center"/>
                </w:tcPr>
                <w:p w14:paraId="7EFBB592">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64" w:type="pct"/>
                  <w:vMerge w:val="continue"/>
                  <w:tcBorders>
                    <w:tl2br w:val="nil"/>
                    <w:tr2bl w:val="nil"/>
                  </w:tcBorders>
                  <w:shd w:val="clear" w:color="auto" w:fill="auto"/>
                  <w:vAlign w:val="center"/>
                </w:tcPr>
                <w:p w14:paraId="784C6E85">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50" w:type="pct"/>
                  <w:vMerge w:val="restart"/>
                  <w:tcBorders>
                    <w:tl2br w:val="nil"/>
                    <w:tr2bl w:val="nil"/>
                  </w:tcBorders>
                  <w:shd w:val="clear" w:color="auto" w:fill="auto"/>
                  <w:vAlign w:val="center"/>
                </w:tcPr>
                <w:p w14:paraId="28E0B886">
                  <w:pPr>
                    <w:keepNext w:val="0"/>
                    <w:keepLines w:val="0"/>
                    <w:suppressLineNumbers w:val="0"/>
                    <w:spacing w:before="0" w:beforeAutospacing="0" w:after="0" w:afterAutospacing="0"/>
                    <w:ind w:left="0" w:right="0" w:firstLine="50"/>
                    <w:jc w:val="center"/>
                    <w:rPr>
                      <w:rFonts w:hint="default" w:ascii="Times New Roman" w:eastAsia="宋体"/>
                      <w:b w:val="0"/>
                      <w:bCs/>
                      <w:color w:val="auto"/>
                      <w:lang w:val="en-US" w:eastAsia="zh-CN"/>
                    </w:rPr>
                  </w:pPr>
                  <w:r>
                    <w:rPr>
                      <w:rFonts w:hint="eastAsia" w:ascii="Times New Roman" w:eastAsia="宋体"/>
                      <w:b w:val="0"/>
                      <w:bCs/>
                      <w:color w:val="auto"/>
                      <w:lang w:val="en-US" w:eastAsia="zh-CN"/>
                    </w:rPr>
                    <w:t>厂区内</w:t>
                  </w:r>
                </w:p>
              </w:tc>
              <w:tc>
                <w:tcPr>
                  <w:tcW w:w="1250" w:type="pct"/>
                  <w:tcBorders>
                    <w:tl2br w:val="nil"/>
                    <w:tr2bl w:val="nil"/>
                  </w:tcBorders>
                  <w:shd w:val="clear" w:color="auto" w:fill="auto"/>
                  <w:vAlign w:val="center"/>
                </w:tcPr>
                <w:p w14:paraId="41A69FFA">
                  <w:pPr>
                    <w:pStyle w:val="158"/>
                    <w:keepNext w:val="0"/>
                    <w:keepLines w:val="0"/>
                    <w:suppressLineNumbers w:val="0"/>
                    <w:spacing w:beforeAutospacing="0" w:afterAutospacing="0"/>
                    <w:ind w:left="0" w:leftChars="0" w:right="0" w:rightChars="0" w:firstLine="0" w:firstLineChars="0"/>
                    <w:rPr>
                      <w:rFonts w:hint="default" w:ascii="Times New Roman" w:hAnsi="Times New Roman" w:eastAsia="宋体" w:cs="Times New Roman"/>
                      <w:b w:val="0"/>
                      <w:bCs/>
                      <w:color w:val="auto"/>
                      <w:spacing w:val="4"/>
                      <w:kern w:val="2"/>
                      <w:sz w:val="21"/>
                      <w:szCs w:val="21"/>
                      <w:lang w:val="en-US" w:eastAsia="zh-CN" w:bidi="ar-SA"/>
                    </w:rPr>
                  </w:pPr>
                  <w:r>
                    <w:rPr>
                      <w:rFonts w:hint="default" w:ascii="Times New Roman" w:eastAsia="宋体"/>
                      <w:b w:val="0"/>
                      <w:bCs/>
                      <w:color w:val="auto"/>
                    </w:rPr>
                    <w:t>10</w:t>
                  </w:r>
                  <w:r>
                    <w:rPr>
                      <w:rFonts w:hint="eastAsia" w:ascii="Times New Roman" w:eastAsia="宋体"/>
                      <w:b w:val="0"/>
                      <w:bCs/>
                      <w:color w:val="auto"/>
                      <w:lang w:eastAsia="zh-CN"/>
                    </w:rPr>
                    <w:t>（</w:t>
                  </w:r>
                  <w:r>
                    <w:rPr>
                      <w:rFonts w:hint="default" w:ascii="Times New Roman" w:eastAsia="宋体"/>
                      <w:b w:val="0"/>
                      <w:bCs/>
                      <w:color w:val="auto"/>
                    </w:rPr>
                    <w:t>1h平均浓度</w:t>
                  </w:r>
                  <w:r>
                    <w:rPr>
                      <w:rFonts w:hint="eastAsia" w:ascii="Times New Roman" w:eastAsia="宋体"/>
                      <w:b w:val="0"/>
                      <w:bCs/>
                      <w:color w:val="auto"/>
                      <w:lang w:eastAsia="zh-CN"/>
                    </w:rPr>
                    <w:t>）</w:t>
                  </w:r>
                </w:p>
              </w:tc>
            </w:tr>
            <w:tr w14:paraId="245C3C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47" w:type="pct"/>
                  <w:vMerge w:val="continue"/>
                  <w:tcBorders>
                    <w:tl2br w:val="nil"/>
                    <w:tr2bl w:val="nil"/>
                  </w:tcBorders>
                  <w:shd w:val="clear" w:color="auto" w:fill="auto"/>
                  <w:vAlign w:val="center"/>
                </w:tcPr>
                <w:p w14:paraId="7311DF65">
                  <w:pPr>
                    <w:keepNext w:val="0"/>
                    <w:keepLines w:val="0"/>
                    <w:suppressLineNumbers w:val="0"/>
                    <w:spacing w:before="0" w:beforeAutospacing="0" w:after="0" w:afterAutospacing="0"/>
                    <w:ind w:left="0" w:right="0" w:firstLine="50"/>
                    <w:jc w:val="center"/>
                    <w:rPr>
                      <w:rFonts w:hint="eastAsia" w:ascii="Times New Roman" w:hAnsi="Times New Roman" w:cs="Times New Roman"/>
                      <w:color w:val="auto"/>
                      <w:sz w:val="21"/>
                      <w:szCs w:val="16"/>
                      <w:lang w:val="en-US" w:eastAsia="zh-CN" w:bidi="ar"/>
                    </w:rPr>
                  </w:pPr>
                </w:p>
              </w:tc>
              <w:tc>
                <w:tcPr>
                  <w:tcW w:w="566" w:type="pct"/>
                  <w:vMerge w:val="continue"/>
                  <w:tcBorders>
                    <w:tl2br w:val="nil"/>
                    <w:tr2bl w:val="nil"/>
                  </w:tcBorders>
                  <w:shd w:val="clear" w:color="auto" w:fill="auto"/>
                  <w:vAlign w:val="center"/>
                </w:tcPr>
                <w:p w14:paraId="6211D145">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65" w:type="pct"/>
                  <w:vMerge w:val="continue"/>
                  <w:tcBorders>
                    <w:tl2br w:val="nil"/>
                    <w:tr2bl w:val="nil"/>
                  </w:tcBorders>
                  <w:shd w:val="clear" w:color="auto" w:fill="auto"/>
                  <w:vAlign w:val="center"/>
                </w:tcPr>
                <w:p w14:paraId="1FCE11F7">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555" w:type="pct"/>
                  <w:vMerge w:val="continue"/>
                  <w:tcBorders>
                    <w:tl2br w:val="nil"/>
                    <w:tr2bl w:val="nil"/>
                  </w:tcBorders>
                  <w:shd w:val="clear" w:color="auto" w:fill="auto"/>
                  <w:vAlign w:val="center"/>
                </w:tcPr>
                <w:p w14:paraId="62692AE1">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64" w:type="pct"/>
                  <w:vMerge w:val="continue"/>
                  <w:tcBorders>
                    <w:tl2br w:val="nil"/>
                    <w:tr2bl w:val="nil"/>
                  </w:tcBorders>
                  <w:shd w:val="clear" w:color="auto" w:fill="auto"/>
                  <w:vAlign w:val="center"/>
                </w:tcPr>
                <w:p w14:paraId="450AA429">
                  <w:pPr>
                    <w:keepNext w:val="0"/>
                    <w:keepLines w:val="0"/>
                    <w:suppressLineNumbers w:val="0"/>
                    <w:spacing w:before="0" w:beforeAutospacing="0" w:after="0" w:afterAutospacing="0"/>
                    <w:ind w:left="0" w:right="0" w:firstLine="50"/>
                    <w:jc w:val="center"/>
                    <w:rPr>
                      <w:rFonts w:hint="eastAsia"/>
                      <w:color w:val="auto"/>
                      <w:lang w:val="en-US" w:eastAsia="zh-CN"/>
                    </w:rPr>
                  </w:pPr>
                </w:p>
              </w:tc>
              <w:tc>
                <w:tcPr>
                  <w:tcW w:w="450" w:type="pct"/>
                  <w:vMerge w:val="continue"/>
                  <w:tcBorders>
                    <w:tl2br w:val="nil"/>
                    <w:tr2bl w:val="nil"/>
                  </w:tcBorders>
                  <w:shd w:val="clear" w:color="auto" w:fill="auto"/>
                  <w:vAlign w:val="center"/>
                </w:tcPr>
                <w:p w14:paraId="6DA18F9A">
                  <w:pPr>
                    <w:keepNext w:val="0"/>
                    <w:keepLines w:val="0"/>
                    <w:suppressLineNumbers w:val="0"/>
                    <w:spacing w:before="0" w:beforeAutospacing="0" w:after="0" w:afterAutospacing="0"/>
                    <w:ind w:left="0" w:right="0" w:firstLine="50"/>
                    <w:jc w:val="center"/>
                    <w:rPr>
                      <w:rFonts w:hint="default" w:ascii="Times New Roman" w:eastAsia="宋体"/>
                      <w:b w:val="0"/>
                      <w:bCs/>
                      <w:color w:val="auto"/>
                    </w:rPr>
                  </w:pPr>
                </w:p>
              </w:tc>
              <w:tc>
                <w:tcPr>
                  <w:tcW w:w="1250" w:type="pct"/>
                  <w:tcBorders>
                    <w:tl2br w:val="nil"/>
                    <w:tr2bl w:val="nil"/>
                  </w:tcBorders>
                  <w:shd w:val="clear" w:color="auto" w:fill="auto"/>
                  <w:vAlign w:val="center"/>
                </w:tcPr>
                <w:p w14:paraId="57229BC3">
                  <w:pPr>
                    <w:pStyle w:val="158"/>
                    <w:keepNext w:val="0"/>
                    <w:keepLines w:val="0"/>
                    <w:suppressLineNumbers w:val="0"/>
                    <w:spacing w:beforeAutospacing="0" w:afterAutospacing="0"/>
                    <w:ind w:left="0" w:leftChars="0" w:right="0" w:rightChars="0" w:firstLine="0" w:firstLineChars="0"/>
                    <w:rPr>
                      <w:rFonts w:hint="default" w:ascii="Times New Roman" w:hAnsi="Times New Roman" w:eastAsia="宋体" w:cs="Times New Roman"/>
                      <w:b w:val="0"/>
                      <w:bCs/>
                      <w:color w:val="auto"/>
                      <w:spacing w:val="4"/>
                      <w:kern w:val="2"/>
                      <w:sz w:val="21"/>
                      <w:szCs w:val="21"/>
                      <w:lang w:val="en-US" w:eastAsia="zh-CN" w:bidi="ar-SA"/>
                    </w:rPr>
                  </w:pPr>
                  <w:r>
                    <w:rPr>
                      <w:rFonts w:hint="default" w:ascii="Times New Roman" w:eastAsia="宋体"/>
                      <w:b w:val="0"/>
                      <w:bCs/>
                      <w:color w:val="auto"/>
                    </w:rPr>
                    <w:t>30</w:t>
                  </w:r>
                  <w:r>
                    <w:rPr>
                      <w:rFonts w:hint="eastAsia" w:ascii="Times New Roman" w:eastAsia="宋体"/>
                      <w:b w:val="0"/>
                      <w:bCs/>
                      <w:color w:val="auto"/>
                      <w:lang w:eastAsia="zh-CN"/>
                    </w:rPr>
                    <w:t>（</w:t>
                  </w:r>
                  <w:r>
                    <w:rPr>
                      <w:rFonts w:hint="default" w:ascii="Times New Roman" w:eastAsia="宋体"/>
                      <w:b w:val="0"/>
                      <w:bCs/>
                      <w:color w:val="auto"/>
                    </w:rPr>
                    <w:t>任意一次浓度</w:t>
                  </w:r>
                  <w:r>
                    <w:rPr>
                      <w:rFonts w:hint="eastAsia" w:ascii="Times New Roman" w:eastAsia="宋体"/>
                      <w:b w:val="0"/>
                      <w:bCs/>
                      <w:color w:val="auto"/>
                      <w:lang w:eastAsia="zh-CN"/>
                    </w:rPr>
                    <w:t>）</w:t>
                  </w:r>
                </w:p>
              </w:tc>
            </w:tr>
          </w:tbl>
          <w:p w14:paraId="10C02CEA">
            <w:pPr>
              <w:widowControl w:val="0"/>
              <w:spacing w:line="240" w:lineRule="auto"/>
              <w:ind w:left="0" w:leftChars="0" w:firstLine="0" w:firstLineChars="0"/>
              <w:jc w:val="left"/>
              <w:rPr>
                <w:rFonts w:hint="default"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注：</w:t>
            </w:r>
            <w:r>
              <w:rPr>
                <w:rFonts w:hint="default" w:ascii="Times New Roman" w:hAnsi="Times New Roman" w:eastAsia="宋体" w:cs="Times New Roman"/>
                <w:b/>
                <w:bCs/>
                <w:color w:val="auto"/>
                <w:kern w:val="2"/>
                <w:sz w:val="21"/>
                <w:szCs w:val="21"/>
                <w:highlight w:val="none"/>
                <w:lang w:val="en-US" w:eastAsia="zh-CN" w:bidi="ar-SA"/>
              </w:rPr>
              <w:t>苯系物包括苯、甲苯、二甲苯、三甲苯、</w:t>
            </w:r>
            <w:r>
              <w:rPr>
                <w:rFonts w:hint="eastAsia" w:cs="Times New Roman"/>
                <w:b/>
                <w:bCs/>
                <w:color w:val="auto"/>
                <w:kern w:val="2"/>
                <w:sz w:val="21"/>
                <w:szCs w:val="21"/>
                <w:highlight w:val="none"/>
                <w:lang w:val="en-US" w:eastAsia="zh-CN" w:bidi="ar-SA"/>
              </w:rPr>
              <w:t>乙</w:t>
            </w:r>
            <w:r>
              <w:rPr>
                <w:rFonts w:hint="default" w:ascii="Times New Roman" w:hAnsi="Times New Roman" w:eastAsia="宋体" w:cs="Times New Roman"/>
                <w:b/>
                <w:bCs/>
                <w:color w:val="auto"/>
                <w:kern w:val="2"/>
                <w:sz w:val="21"/>
                <w:szCs w:val="21"/>
                <w:highlight w:val="none"/>
                <w:lang w:val="en-US" w:eastAsia="zh-CN" w:bidi="ar-SA"/>
              </w:rPr>
              <w:t>苯</w:t>
            </w:r>
            <w:r>
              <w:rPr>
                <w:rFonts w:hint="eastAsia" w:cs="Times New Roman"/>
                <w:b/>
                <w:bCs/>
                <w:color w:val="auto"/>
                <w:kern w:val="2"/>
                <w:sz w:val="21"/>
                <w:szCs w:val="21"/>
                <w:highlight w:val="none"/>
                <w:lang w:val="en-US" w:eastAsia="zh-CN" w:bidi="ar-SA"/>
              </w:rPr>
              <w:t>和苯乙烯，三甲苯待</w:t>
            </w:r>
            <w:r>
              <w:rPr>
                <w:rFonts w:hint="default" w:ascii="Times New Roman" w:hAnsi="Times New Roman" w:eastAsia="宋体" w:cs="Times New Roman"/>
                <w:b/>
                <w:bCs/>
                <w:color w:val="auto"/>
                <w:kern w:val="2"/>
                <w:sz w:val="21"/>
                <w:szCs w:val="21"/>
                <w:highlight w:val="none"/>
                <w:lang w:val="en-US" w:eastAsia="zh-CN" w:bidi="ar-SA"/>
              </w:rPr>
              <w:t>国家污染物监测方法标准发布实施后计入。|</w:t>
            </w:r>
            <w:r>
              <w:rPr>
                <w:rFonts w:hint="eastAsia" w:cs="Times New Roman"/>
                <w:b/>
                <w:bCs/>
                <w:color w:val="auto"/>
                <w:kern w:val="2"/>
                <w:sz w:val="21"/>
                <w:szCs w:val="21"/>
                <w:highlight w:val="none"/>
                <w:lang w:val="en-US" w:eastAsia="zh-CN" w:bidi="ar-SA"/>
              </w:rPr>
              <w:t>本项目苯系物为二甲苯。</w:t>
            </w:r>
          </w:p>
          <w:p w14:paraId="63D1F7BC">
            <w:pPr>
              <w:pStyle w:val="42"/>
              <w:rPr>
                <w:rFonts w:hint="default"/>
                <w:color w:val="auto"/>
                <w:lang w:val="en-US" w:eastAsia="zh-CN"/>
              </w:rPr>
            </w:pPr>
          </w:p>
          <w:p w14:paraId="3260F6CA">
            <w:pPr>
              <w:widowControl w:val="0"/>
              <w:spacing w:line="240" w:lineRule="auto"/>
              <w:ind w:left="0" w:leftChars="0" w:firstLine="0" w:firstLineChars="0"/>
              <w:jc w:val="center"/>
              <w:rPr>
                <w:rFonts w:hint="default" w:ascii="Times New Roman" w:hAnsi="Times New Roman" w:eastAsia="宋体" w:cs="Times New Roman"/>
                <w:b w:val="0"/>
                <w:bCs/>
                <w:color w:val="auto"/>
                <w:kern w:val="2"/>
                <w:sz w:val="24"/>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表3-</w:t>
            </w:r>
            <w:r>
              <w:rPr>
                <w:rFonts w:hint="eastAsia" w:cs="Times New Roman"/>
                <w:b/>
                <w:bCs/>
                <w:color w:val="auto"/>
                <w:kern w:val="2"/>
                <w:sz w:val="21"/>
                <w:szCs w:val="21"/>
                <w:highlight w:val="none"/>
                <w:lang w:val="en-US" w:eastAsia="zh-CN" w:bidi="ar-SA"/>
              </w:rPr>
              <w:t>6</w:t>
            </w:r>
            <w:r>
              <w:rPr>
                <w:rFonts w:hint="default" w:ascii="Times New Roman" w:hAnsi="Times New Roman" w:eastAsia="宋体" w:cs="Times New Roman"/>
                <w:b/>
                <w:bCs/>
                <w:color w:val="auto"/>
                <w:kern w:val="2"/>
                <w:sz w:val="21"/>
                <w:szCs w:val="21"/>
                <w:highlight w:val="none"/>
                <w:lang w:val="en-US" w:eastAsia="zh-CN" w:bidi="ar-SA"/>
              </w:rPr>
              <w:t xml:space="preserve">  饮食业油烟排放标准</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108" w:type="dxa"/>
                <w:bottom w:w="57" w:type="dxa"/>
                <w:right w:w="108" w:type="dxa"/>
              </w:tblCellMar>
            </w:tblPr>
            <w:tblGrid>
              <w:gridCol w:w="3471"/>
              <w:gridCol w:w="1743"/>
              <w:gridCol w:w="1644"/>
              <w:gridCol w:w="1113"/>
            </w:tblGrid>
            <w:tr w14:paraId="5FF75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3C2923BE">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规模</w:t>
                  </w:r>
                </w:p>
              </w:tc>
              <w:tc>
                <w:tcPr>
                  <w:tcW w:w="1093" w:type="pct"/>
                  <w:tcBorders>
                    <w:tl2br w:val="nil"/>
                    <w:tr2bl w:val="nil"/>
                  </w:tcBorders>
                  <w:noWrap w:val="0"/>
                  <w:vAlign w:val="center"/>
                </w:tcPr>
                <w:p w14:paraId="167FFDE8">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小型</w:t>
                  </w:r>
                </w:p>
              </w:tc>
              <w:tc>
                <w:tcPr>
                  <w:tcW w:w="1031" w:type="pct"/>
                  <w:tcBorders>
                    <w:tl2br w:val="nil"/>
                    <w:tr2bl w:val="nil"/>
                  </w:tcBorders>
                  <w:noWrap w:val="0"/>
                  <w:vAlign w:val="center"/>
                </w:tcPr>
                <w:p w14:paraId="1CE50EBD">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中型</w:t>
                  </w:r>
                </w:p>
              </w:tc>
              <w:tc>
                <w:tcPr>
                  <w:tcW w:w="698" w:type="pct"/>
                  <w:tcBorders>
                    <w:tl2br w:val="nil"/>
                    <w:tr2bl w:val="nil"/>
                  </w:tcBorders>
                  <w:noWrap w:val="0"/>
                  <w:vAlign w:val="center"/>
                </w:tcPr>
                <w:p w14:paraId="7753A641">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大型</w:t>
                  </w:r>
                </w:p>
              </w:tc>
            </w:tr>
            <w:tr w14:paraId="0ABBC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39F9F30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基准灶头数</w:t>
                  </w:r>
                </w:p>
              </w:tc>
              <w:tc>
                <w:tcPr>
                  <w:tcW w:w="1093" w:type="pct"/>
                  <w:tcBorders>
                    <w:tl2br w:val="nil"/>
                    <w:tr2bl w:val="nil"/>
                  </w:tcBorders>
                  <w:noWrap w:val="0"/>
                  <w:vAlign w:val="center"/>
                </w:tcPr>
                <w:p w14:paraId="46C55C5F">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w:t>
                  </w:r>
                </w:p>
              </w:tc>
              <w:tc>
                <w:tcPr>
                  <w:tcW w:w="1031" w:type="pct"/>
                  <w:tcBorders>
                    <w:tl2br w:val="nil"/>
                    <w:tr2bl w:val="nil"/>
                  </w:tcBorders>
                  <w:shd w:val="clear" w:color="auto" w:fill="CCC0D9" w:themeFill="accent4" w:themeFillTint="66"/>
                  <w:noWrap w:val="0"/>
                  <w:vAlign w:val="center"/>
                </w:tcPr>
                <w:p w14:paraId="20BAAAD7">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w:t>
                  </w:r>
                </w:p>
              </w:tc>
              <w:tc>
                <w:tcPr>
                  <w:tcW w:w="698" w:type="pct"/>
                  <w:tcBorders>
                    <w:tl2br w:val="nil"/>
                    <w:tr2bl w:val="nil"/>
                  </w:tcBorders>
                  <w:noWrap w:val="0"/>
                  <w:vAlign w:val="center"/>
                </w:tcPr>
                <w:p w14:paraId="1ACA6B6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tc>
            </w:tr>
            <w:tr w14:paraId="4383A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63B16B6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对应灶头总功率（108J/h）</w:t>
                  </w:r>
                </w:p>
              </w:tc>
              <w:tc>
                <w:tcPr>
                  <w:tcW w:w="1093" w:type="pct"/>
                  <w:tcBorders>
                    <w:tl2br w:val="nil"/>
                    <w:tr2bl w:val="nil"/>
                  </w:tcBorders>
                  <w:noWrap w:val="0"/>
                  <w:vAlign w:val="center"/>
                </w:tcPr>
                <w:p w14:paraId="7D65D8F4">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≥1.67</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&lt;5.00</w:t>
                  </w:r>
                </w:p>
              </w:tc>
              <w:tc>
                <w:tcPr>
                  <w:tcW w:w="1031" w:type="pct"/>
                  <w:tcBorders>
                    <w:tl2br w:val="nil"/>
                    <w:tr2bl w:val="nil"/>
                  </w:tcBorders>
                  <w:shd w:val="clear" w:color="auto" w:fill="CCC0D9" w:themeFill="accent4" w:themeFillTint="66"/>
                  <w:noWrap w:val="0"/>
                  <w:vAlign w:val="center"/>
                </w:tcPr>
                <w:p w14:paraId="3B93C89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≥5.00</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&lt;10</w:t>
                  </w:r>
                </w:p>
              </w:tc>
              <w:tc>
                <w:tcPr>
                  <w:tcW w:w="698" w:type="pct"/>
                  <w:tcBorders>
                    <w:tl2br w:val="nil"/>
                    <w:tr2bl w:val="nil"/>
                  </w:tcBorders>
                  <w:noWrap w:val="0"/>
                  <w:vAlign w:val="center"/>
                </w:tcPr>
                <w:p w14:paraId="5FF74510">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≥10</w:t>
                  </w:r>
                </w:p>
              </w:tc>
            </w:tr>
            <w:tr w14:paraId="5EC51F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77B2E21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对应排气罩灶面总投影面积（m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color w:val="auto"/>
                      <w:highlight w:val="none"/>
                    </w:rPr>
                    <w:t>）</w:t>
                  </w:r>
                </w:p>
              </w:tc>
              <w:tc>
                <w:tcPr>
                  <w:tcW w:w="1093" w:type="pct"/>
                  <w:tcBorders>
                    <w:tl2br w:val="nil"/>
                    <w:tr2bl w:val="nil"/>
                  </w:tcBorders>
                  <w:noWrap w:val="0"/>
                  <w:vAlign w:val="center"/>
                </w:tcPr>
                <w:p w14:paraId="2EF9F08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&lt;3.3</w:t>
                  </w:r>
                </w:p>
              </w:tc>
              <w:tc>
                <w:tcPr>
                  <w:tcW w:w="1031" w:type="pct"/>
                  <w:tcBorders>
                    <w:tl2br w:val="nil"/>
                    <w:tr2bl w:val="nil"/>
                  </w:tcBorders>
                  <w:shd w:val="clear" w:color="auto" w:fill="CCC0D9" w:themeFill="accent4" w:themeFillTint="66"/>
                  <w:noWrap w:val="0"/>
                  <w:vAlign w:val="center"/>
                </w:tcPr>
                <w:p w14:paraId="37D83DC8">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&lt;6.6</w:t>
                  </w:r>
                </w:p>
              </w:tc>
              <w:tc>
                <w:tcPr>
                  <w:tcW w:w="698" w:type="pct"/>
                  <w:tcBorders>
                    <w:tl2br w:val="nil"/>
                    <w:tr2bl w:val="nil"/>
                  </w:tcBorders>
                  <w:noWrap w:val="0"/>
                  <w:vAlign w:val="center"/>
                </w:tcPr>
                <w:p w14:paraId="1634142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≥6.6</w:t>
                  </w:r>
                </w:p>
              </w:tc>
            </w:tr>
            <w:tr w14:paraId="02A21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1C137581">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最高允许排放浓度（mg/m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tc>
              <w:tc>
                <w:tcPr>
                  <w:tcW w:w="2822" w:type="pct"/>
                  <w:gridSpan w:val="3"/>
                  <w:tcBorders>
                    <w:tl2br w:val="nil"/>
                    <w:tr2bl w:val="nil"/>
                  </w:tcBorders>
                  <w:shd w:val="clear" w:color="auto" w:fill="CCC0D9" w:themeFill="accent4" w:themeFillTint="66"/>
                  <w:noWrap w:val="0"/>
                  <w:vAlign w:val="center"/>
                </w:tcPr>
                <w:p w14:paraId="5C8A751A">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w:t>
                  </w:r>
                </w:p>
              </w:tc>
            </w:tr>
            <w:tr w14:paraId="3E873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1D2257A2">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净化设备最低去除率（%）</w:t>
                  </w:r>
                </w:p>
              </w:tc>
              <w:tc>
                <w:tcPr>
                  <w:tcW w:w="1093" w:type="pct"/>
                  <w:tcBorders>
                    <w:tl2br w:val="nil"/>
                    <w:tr2bl w:val="nil"/>
                  </w:tcBorders>
                  <w:noWrap w:val="0"/>
                  <w:vAlign w:val="center"/>
                </w:tcPr>
                <w:p w14:paraId="6337E296">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60</w:t>
                  </w:r>
                </w:p>
              </w:tc>
              <w:tc>
                <w:tcPr>
                  <w:tcW w:w="1031" w:type="pct"/>
                  <w:tcBorders>
                    <w:tl2br w:val="nil"/>
                    <w:tr2bl w:val="nil"/>
                  </w:tcBorders>
                  <w:shd w:val="clear" w:color="auto" w:fill="CCC0D9" w:themeFill="accent4" w:themeFillTint="66"/>
                  <w:noWrap w:val="0"/>
                  <w:vAlign w:val="center"/>
                </w:tcPr>
                <w:p w14:paraId="2CE329B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75</w:t>
                  </w:r>
                </w:p>
              </w:tc>
              <w:tc>
                <w:tcPr>
                  <w:tcW w:w="698" w:type="pct"/>
                  <w:tcBorders>
                    <w:tl2br w:val="nil"/>
                    <w:tr2bl w:val="nil"/>
                  </w:tcBorders>
                  <w:noWrap w:val="0"/>
                  <w:vAlign w:val="center"/>
                </w:tcPr>
                <w:p w14:paraId="6366A068">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85</w:t>
                  </w:r>
                </w:p>
              </w:tc>
            </w:tr>
          </w:tbl>
          <w:p w14:paraId="5EF2DDD2">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三</w:t>
            </w:r>
            <w:r>
              <w:rPr>
                <w:rFonts w:hint="default" w:ascii="Times New Roman" w:hAnsi="Times New Roman" w:eastAsia="宋体" w:cs="Times New Roman"/>
                <w:b/>
                <w:color w:val="auto"/>
                <w:sz w:val="24"/>
                <w:szCs w:val="24"/>
                <w:highlight w:val="none"/>
              </w:rPr>
              <w:t>、噪声</w:t>
            </w:r>
          </w:p>
          <w:p w14:paraId="468A6DE6">
            <w:pPr>
              <w:spacing w:line="360" w:lineRule="auto"/>
              <w:ind w:firstLine="48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营运期</w:t>
            </w:r>
            <w:r>
              <w:rPr>
                <w:rFonts w:hint="default" w:ascii="Times New Roman" w:hAnsi="Times New Roman" w:eastAsia="宋体" w:cs="Times New Roman"/>
                <w:color w:val="auto"/>
                <w:sz w:val="24"/>
                <w:highlight w:val="none"/>
                <w:lang w:val="en-US" w:eastAsia="zh-CN"/>
              </w:rPr>
              <w:t>项目厂界</w:t>
            </w:r>
            <w:r>
              <w:rPr>
                <w:rFonts w:hint="eastAsia" w:cs="Times New Roman"/>
                <w:color w:val="auto"/>
                <w:sz w:val="24"/>
                <w:highlight w:val="none"/>
                <w:lang w:val="en-US" w:eastAsia="zh-CN"/>
              </w:rPr>
              <w:t>噪声</w:t>
            </w:r>
            <w:r>
              <w:rPr>
                <w:rFonts w:hint="default" w:ascii="Times New Roman" w:hAnsi="Times New Roman" w:eastAsia="宋体" w:cs="Times New Roman"/>
                <w:color w:val="auto"/>
                <w:sz w:val="24"/>
                <w:highlight w:val="none"/>
              </w:rPr>
              <w:t>执行《工业企业厂界环境噪声排放标准》（GB12348-2008）</w:t>
            </w:r>
            <w:r>
              <w:rPr>
                <w:rFonts w:hint="eastAsia" w:cs="Times New Roman"/>
                <w:color w:val="auto"/>
                <w:sz w:val="24"/>
                <w:highlight w:val="none"/>
                <w:lang w:val="en-US" w:eastAsia="zh-CN"/>
              </w:rPr>
              <w:t>3</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eastAsia="zh-CN"/>
              </w:rPr>
              <w:t>标准，</w:t>
            </w:r>
            <w:r>
              <w:rPr>
                <w:rFonts w:hint="default" w:ascii="Times New Roman" w:hAnsi="Times New Roman" w:eastAsia="宋体" w:cs="Times New Roman"/>
                <w:color w:val="auto"/>
                <w:sz w:val="24"/>
                <w:highlight w:val="none"/>
              </w:rPr>
              <w:t>具体见表</w:t>
            </w:r>
            <w:r>
              <w:rPr>
                <w:rFonts w:hint="default" w:ascii="Times New Roman" w:hAnsi="Times New Roman" w:eastAsia="宋体" w:cs="Times New Roman"/>
                <w:color w:val="auto"/>
                <w:sz w:val="24"/>
                <w:highlight w:val="none"/>
                <w:lang w:val="en-US" w:eastAsia="zh-CN"/>
              </w:rPr>
              <w:t>3-</w:t>
            </w: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lang w:val="en-US" w:eastAsia="zh-CN"/>
              </w:rPr>
              <w:t>。</w:t>
            </w:r>
          </w:p>
          <w:p w14:paraId="19F2EC46">
            <w:pPr>
              <w:spacing w:line="240" w:lineRule="auto"/>
              <w:ind w:left="-13" w:leftChars="-46" w:hanging="84" w:hangingChars="40"/>
              <w:jc w:val="center"/>
              <w:rPr>
                <w:rFonts w:hint="default" w:ascii="Times New Roman" w:hAnsi="Times New Roman" w:eastAsia="宋体" w:cs="Times New Roman"/>
                <w:b w:val="0"/>
                <w:color w:val="auto"/>
                <w:sz w:val="24"/>
                <w:highlight w:val="none"/>
                <w:lang w:val="en-US" w:eastAsia="zh-CN"/>
              </w:rPr>
            </w:pPr>
            <w:r>
              <w:rPr>
                <w:rFonts w:hint="default" w:ascii="Times New Roman" w:hAnsi="Times New Roman" w:eastAsia="宋体" w:cs="Times New Roman"/>
                <w:b/>
                <w:bCs/>
                <w:color w:val="auto"/>
                <w:szCs w:val="22"/>
                <w:highlight w:val="none"/>
              </w:rPr>
              <w:t>表</w:t>
            </w:r>
            <w:r>
              <w:rPr>
                <w:rFonts w:hint="default" w:ascii="Times New Roman" w:hAnsi="Times New Roman" w:eastAsia="宋体" w:cs="Times New Roman"/>
                <w:b/>
                <w:bCs/>
                <w:color w:val="auto"/>
                <w:szCs w:val="22"/>
                <w:highlight w:val="none"/>
                <w:lang w:val="en-US" w:eastAsia="zh-CN"/>
              </w:rPr>
              <w:t>3</w:t>
            </w:r>
            <w:r>
              <w:rPr>
                <w:rFonts w:hint="default" w:ascii="Times New Roman" w:hAnsi="Times New Roman" w:eastAsia="宋体" w:cs="Times New Roman"/>
                <w:b/>
                <w:bCs/>
                <w:color w:val="auto"/>
                <w:szCs w:val="22"/>
                <w:highlight w:val="none"/>
              </w:rPr>
              <w:t>-</w:t>
            </w:r>
            <w:r>
              <w:rPr>
                <w:rFonts w:hint="eastAsia" w:cs="Times New Roman"/>
                <w:b/>
                <w:bCs/>
                <w:color w:val="auto"/>
                <w:szCs w:val="22"/>
                <w:highlight w:val="none"/>
                <w:lang w:val="en-US" w:eastAsia="zh-CN"/>
              </w:rPr>
              <w:t xml:space="preserve">7  </w:t>
            </w:r>
            <w:r>
              <w:rPr>
                <w:rFonts w:hint="default" w:ascii="Times New Roman" w:hAnsi="Times New Roman" w:eastAsia="宋体" w:cs="Times New Roman"/>
                <w:b/>
                <w:bCs/>
                <w:color w:val="auto"/>
                <w:szCs w:val="22"/>
                <w:highlight w:val="none"/>
              </w:rPr>
              <w:t xml:space="preserve"> </w:t>
            </w:r>
            <w:r>
              <w:rPr>
                <w:rFonts w:hint="default" w:ascii="Times New Roman" w:hAnsi="Times New Roman" w:eastAsia="宋体" w:cs="Times New Roman"/>
                <w:b/>
                <w:bCs/>
                <w:color w:val="auto"/>
                <w:szCs w:val="22"/>
                <w:highlight w:val="none"/>
                <w:lang w:val="en-US" w:eastAsia="zh-CN"/>
              </w:rPr>
              <w:t xml:space="preserve">厂界噪声标准值表 </w:t>
            </w:r>
            <w:r>
              <w:rPr>
                <w:rFonts w:hint="eastAsia" w:cs="Times New Roman"/>
                <w:b/>
                <w:bCs/>
                <w:color w:val="auto"/>
                <w:szCs w:val="22"/>
                <w:highlight w:val="none"/>
                <w:lang w:val="en-US" w:eastAsia="zh-CN"/>
              </w:rPr>
              <w:t xml:space="preserve">  </w:t>
            </w:r>
            <w:r>
              <w:rPr>
                <w:rFonts w:hint="default" w:ascii="Times New Roman" w:hAnsi="Times New Roman" w:eastAsia="宋体" w:cs="Times New Roman"/>
                <w:b/>
                <w:bCs/>
                <w:color w:val="auto"/>
                <w:szCs w:val="22"/>
                <w:highlight w:val="none"/>
                <w:lang w:val="en-US" w:eastAsia="zh-CN"/>
              </w:rPr>
              <w:t xml:space="preserve"> </w:t>
            </w:r>
            <w:r>
              <w:rPr>
                <w:rFonts w:hint="default" w:ascii="Times New Roman" w:hAnsi="Times New Roman" w:eastAsia="宋体" w:cs="Times New Roman"/>
                <w:b w:val="0"/>
                <w:bCs w:val="0"/>
                <w:color w:val="auto"/>
                <w:szCs w:val="22"/>
                <w:highlight w:val="none"/>
                <w:lang w:val="en-US" w:eastAsia="zh-CN"/>
              </w:rPr>
              <w:t>单位：dB(A)</w:t>
            </w:r>
          </w:p>
          <w:tbl>
            <w:tblPr>
              <w:tblStyle w:val="33"/>
              <w:tblW w:w="80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63"/>
              <w:gridCol w:w="2910"/>
              <w:gridCol w:w="864"/>
              <w:gridCol w:w="1024"/>
              <w:gridCol w:w="970"/>
              <w:gridCol w:w="1175"/>
            </w:tblGrid>
            <w:tr w14:paraId="4CF738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663" w:type="pct"/>
                  <w:vMerge w:val="restart"/>
                  <w:noWrap w:val="0"/>
                  <w:vAlign w:val="center"/>
                </w:tcPr>
                <w:p w14:paraId="672FB4BB">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项目</w:t>
                  </w:r>
                </w:p>
              </w:tc>
              <w:tc>
                <w:tcPr>
                  <w:tcW w:w="1817" w:type="pct"/>
                  <w:vMerge w:val="restart"/>
                  <w:noWrap w:val="0"/>
                  <w:vAlign w:val="center"/>
                </w:tcPr>
                <w:p w14:paraId="33DAF4E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标准</w:t>
                  </w:r>
                </w:p>
              </w:tc>
              <w:tc>
                <w:tcPr>
                  <w:tcW w:w="539" w:type="pct"/>
                  <w:vMerge w:val="restart"/>
                  <w:noWrap w:val="0"/>
                  <w:vAlign w:val="center"/>
                </w:tcPr>
                <w:p w14:paraId="7EA17EC8">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级别</w:t>
                  </w:r>
                </w:p>
              </w:tc>
              <w:tc>
                <w:tcPr>
                  <w:tcW w:w="1245" w:type="pct"/>
                  <w:gridSpan w:val="2"/>
                  <w:noWrap w:val="0"/>
                  <w:vAlign w:val="center"/>
                </w:tcPr>
                <w:p w14:paraId="122661C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评价标准值</w:t>
                  </w:r>
                </w:p>
              </w:tc>
              <w:tc>
                <w:tcPr>
                  <w:tcW w:w="733" w:type="pct"/>
                  <w:vMerge w:val="restart"/>
                  <w:noWrap w:val="0"/>
                  <w:vAlign w:val="center"/>
                </w:tcPr>
                <w:p w14:paraId="54E63A3F">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14:paraId="06192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663" w:type="pct"/>
                  <w:vMerge w:val="continue"/>
                  <w:noWrap w:val="0"/>
                  <w:vAlign w:val="center"/>
                </w:tcPr>
                <w:p w14:paraId="2D4D323E">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1817" w:type="pct"/>
                  <w:vMerge w:val="continue"/>
                  <w:noWrap w:val="0"/>
                  <w:vAlign w:val="center"/>
                </w:tcPr>
                <w:p w14:paraId="19565F97">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539" w:type="pct"/>
                  <w:vMerge w:val="continue"/>
                  <w:noWrap w:val="0"/>
                  <w:vAlign w:val="center"/>
                </w:tcPr>
                <w:p w14:paraId="448F4EB5">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639" w:type="pct"/>
                  <w:noWrap w:val="0"/>
                  <w:vAlign w:val="center"/>
                </w:tcPr>
                <w:p w14:paraId="7FA1A4F3">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昼间</w:t>
                  </w:r>
                </w:p>
              </w:tc>
              <w:tc>
                <w:tcPr>
                  <w:tcW w:w="605" w:type="pct"/>
                  <w:noWrap w:val="0"/>
                  <w:vAlign w:val="center"/>
                </w:tcPr>
                <w:p w14:paraId="700F9B6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夜间</w:t>
                  </w:r>
                </w:p>
              </w:tc>
              <w:tc>
                <w:tcPr>
                  <w:tcW w:w="733" w:type="pct"/>
                  <w:vMerge w:val="continue"/>
                  <w:noWrap w:val="0"/>
                  <w:vAlign w:val="center"/>
                </w:tcPr>
                <w:p w14:paraId="0033B578">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p>
              </w:tc>
            </w:tr>
            <w:tr w14:paraId="39697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2" w:hRule="exact"/>
                <w:jc w:val="center"/>
              </w:trPr>
              <w:tc>
                <w:tcPr>
                  <w:tcW w:w="663" w:type="pct"/>
                  <w:noWrap w:val="0"/>
                  <w:vAlign w:val="center"/>
                </w:tcPr>
                <w:p w14:paraId="5AA323A3">
                  <w:pPr>
                    <w:autoSpaceDE w:val="0"/>
                    <w:autoSpaceDN w:val="0"/>
                    <w:adjustRightInd w:val="0"/>
                    <w:spacing w:line="0" w:lineRule="atLeast"/>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营运期</w:t>
                  </w:r>
                </w:p>
              </w:tc>
              <w:tc>
                <w:tcPr>
                  <w:tcW w:w="1817" w:type="pct"/>
                  <w:noWrap w:val="0"/>
                  <w:vAlign w:val="center"/>
                </w:tcPr>
                <w:p w14:paraId="260177E4">
                  <w:pPr>
                    <w:autoSpaceDE w:val="0"/>
                    <w:autoSpaceDN w:val="0"/>
                    <w:adjustRightInd w:val="0"/>
                    <w:spacing w:line="0" w:lineRule="atLeast"/>
                    <w:ind w:left="0" w:leftChars="0"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《工业企业厂界环境噪声排放标准》（GB12348-2008）</w:t>
                  </w:r>
                </w:p>
              </w:tc>
              <w:tc>
                <w:tcPr>
                  <w:tcW w:w="539" w:type="pct"/>
                  <w:noWrap w:val="0"/>
                  <w:vAlign w:val="center"/>
                </w:tcPr>
                <w:p w14:paraId="0BACD73A">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eastAsia="zh-CN"/>
                    </w:rPr>
                    <w:t>类</w:t>
                  </w:r>
                </w:p>
              </w:tc>
              <w:tc>
                <w:tcPr>
                  <w:tcW w:w="639" w:type="pct"/>
                  <w:noWrap w:val="0"/>
                  <w:vAlign w:val="center"/>
                </w:tcPr>
                <w:p w14:paraId="1149074A">
                  <w:pPr>
                    <w:spacing w:line="0" w:lineRule="atLeast"/>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65</w:t>
                  </w:r>
                </w:p>
              </w:tc>
              <w:tc>
                <w:tcPr>
                  <w:tcW w:w="605" w:type="pct"/>
                  <w:noWrap w:val="0"/>
                  <w:vAlign w:val="center"/>
                </w:tcPr>
                <w:p w14:paraId="64482B12">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5</w:t>
                  </w:r>
                </w:p>
              </w:tc>
              <w:tc>
                <w:tcPr>
                  <w:tcW w:w="733" w:type="pct"/>
                  <w:noWrap w:val="0"/>
                  <w:vAlign w:val="center"/>
                </w:tcPr>
                <w:p w14:paraId="0C875209">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w:t>
                  </w:r>
                </w:p>
              </w:tc>
            </w:tr>
          </w:tbl>
          <w:p w14:paraId="58AE61C7">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四</w:t>
            </w:r>
            <w:r>
              <w:rPr>
                <w:rFonts w:hint="default" w:ascii="Times New Roman" w:hAnsi="Times New Roman" w:eastAsia="宋体" w:cs="Times New Roman"/>
                <w:b/>
                <w:color w:val="auto"/>
                <w:sz w:val="24"/>
                <w:szCs w:val="24"/>
                <w:highlight w:val="none"/>
              </w:rPr>
              <w:t>、固体废物</w:t>
            </w:r>
          </w:p>
          <w:p w14:paraId="3A5B68A8">
            <w:pPr>
              <w:spacing w:line="360" w:lineRule="auto"/>
              <w:ind w:firstLine="480" w:firstLineChars="200"/>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sz w:val="24"/>
                <w:szCs w:val="32"/>
                <w:highlight w:val="none"/>
              </w:rPr>
              <w:t>本项目固体废物执行《中华人民共和国固体废物污染环境防治法》相关规定，一般固体废物满足相应防渗漏、防雨淋、防扬尘等环境保护要求</w:t>
            </w:r>
            <w:r>
              <w:rPr>
                <w:rFonts w:hint="eastAsia" w:cs="Times New Roman"/>
                <w:color w:val="auto"/>
                <w:sz w:val="24"/>
                <w:szCs w:val="32"/>
                <w:highlight w:val="none"/>
                <w:lang w:eastAsia="zh-CN"/>
              </w:rPr>
              <w:t>，</w:t>
            </w:r>
            <w:r>
              <w:rPr>
                <w:rFonts w:hint="default" w:ascii="Times New Roman" w:hAnsi="Times New Roman" w:eastAsia="宋体" w:cs="Times New Roman"/>
                <w:color w:val="auto"/>
                <w:sz w:val="24"/>
                <w:highlight w:val="none"/>
              </w:rPr>
              <w:t>危险废物执行《危险废物贮存污染控制标准》（GB18597-2023）</w:t>
            </w:r>
            <w:r>
              <w:rPr>
                <w:rFonts w:hint="default" w:ascii="Times New Roman" w:hAnsi="Times New Roman" w:eastAsia="宋体" w:cs="Times New Roman"/>
                <w:color w:val="auto"/>
                <w:sz w:val="24"/>
                <w:szCs w:val="32"/>
                <w:highlight w:val="none"/>
              </w:rPr>
              <w:t>。</w:t>
            </w:r>
          </w:p>
        </w:tc>
      </w:tr>
      <w:tr w14:paraId="020A8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800" w:type="dxa"/>
            <w:noWrap w:val="0"/>
            <w:vAlign w:val="center"/>
          </w:tcPr>
          <w:p w14:paraId="4CD3623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总量</w:t>
            </w:r>
          </w:p>
          <w:p w14:paraId="397DD6F8">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控制</w:t>
            </w:r>
          </w:p>
          <w:p w14:paraId="24F52EC3">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指标</w:t>
            </w:r>
          </w:p>
        </w:tc>
        <w:tc>
          <w:tcPr>
            <w:tcW w:w="8190" w:type="dxa"/>
            <w:noWrap w:val="0"/>
            <w:vAlign w:val="center"/>
          </w:tcPr>
          <w:p w14:paraId="5F5CB316">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eastAsia="宋体" w:cs="Times New Roman"/>
                <w:bCs/>
                <w:color w:val="auto"/>
                <w:kern w:val="0"/>
                <w:sz w:val="24"/>
                <w:highlight w:val="none"/>
              </w:rPr>
            </w:pPr>
            <w:r>
              <w:rPr>
                <w:rFonts w:hint="default" w:ascii="Times New Roman" w:hAnsi="Times New Roman" w:eastAsia="宋体" w:cs="Times New Roman"/>
                <w:bCs/>
                <w:color w:val="auto"/>
                <w:kern w:val="0"/>
                <w:sz w:val="24"/>
                <w:highlight w:val="none"/>
              </w:rPr>
              <w:t>根据《国务院关于印发&lt;十四五节能减排综合工作方案&gt;的通知》（国发</w:t>
            </w:r>
            <w:r>
              <w:rPr>
                <w:rFonts w:hint="eastAsia" w:ascii="宋体" w:hAnsi="宋体" w:eastAsia="宋体" w:cs="宋体"/>
                <w:bCs/>
                <w:color w:val="auto"/>
                <w:kern w:val="0"/>
                <w:sz w:val="24"/>
                <w:highlight w:val="none"/>
              </w:rPr>
              <w:t>〔</w:t>
            </w:r>
            <w:r>
              <w:rPr>
                <w:rFonts w:hint="default" w:ascii="Times New Roman" w:hAnsi="Times New Roman" w:eastAsia="宋体" w:cs="Times New Roman"/>
                <w:bCs/>
                <w:color w:val="auto"/>
                <w:kern w:val="0"/>
                <w:sz w:val="24"/>
                <w:highlight w:val="none"/>
              </w:rPr>
              <w:t>2021</w:t>
            </w:r>
            <w:r>
              <w:rPr>
                <w:rFonts w:hint="eastAsia" w:ascii="宋体" w:hAnsi="宋体" w:eastAsia="宋体" w:cs="宋体"/>
                <w:bCs/>
                <w:color w:val="auto"/>
                <w:kern w:val="0"/>
                <w:sz w:val="24"/>
                <w:highlight w:val="none"/>
              </w:rPr>
              <w:t>〕</w:t>
            </w:r>
            <w:r>
              <w:rPr>
                <w:rFonts w:hint="default" w:ascii="Times New Roman" w:hAnsi="Times New Roman" w:eastAsia="宋体" w:cs="Times New Roman"/>
                <w:bCs/>
                <w:color w:val="auto"/>
                <w:kern w:val="0"/>
                <w:sz w:val="24"/>
                <w:highlight w:val="none"/>
              </w:rPr>
              <w:t>33号），目前国家对化学需氧量、氨氮、氮氧化物、VOCs（以非甲烷总烃计）等四种主要污染物纳入排放总量控制管理计划。</w:t>
            </w:r>
          </w:p>
          <w:p w14:paraId="39E0E8E5">
            <w:pPr>
              <w:pStyle w:val="7"/>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全厂已申请需要总量控制的污染物总量控制指标：COD：</w:t>
            </w:r>
            <w:r>
              <w:rPr>
                <w:rFonts w:hint="eastAsia"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lang w:val="en-US" w:eastAsia="zh-CN"/>
              </w:rPr>
              <w:t>t/a；NH</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-N：</w:t>
            </w:r>
            <w:r>
              <w:rPr>
                <w:rFonts w:hint="eastAsia" w:cs="Times New Roman"/>
                <w:color w:val="auto"/>
                <w:sz w:val="24"/>
                <w:szCs w:val="24"/>
                <w:highlight w:val="none"/>
                <w:lang w:val="en-US" w:eastAsia="zh-CN"/>
              </w:rPr>
              <w:t>0.27</w:t>
            </w:r>
            <w:r>
              <w:rPr>
                <w:rFonts w:hint="default" w:ascii="Times New Roman" w:hAnsi="Times New Roman" w:eastAsia="宋体" w:cs="Times New Roman"/>
                <w:color w:val="auto"/>
                <w:sz w:val="24"/>
                <w:szCs w:val="24"/>
                <w:highlight w:val="none"/>
                <w:lang w:val="en-US" w:eastAsia="zh-CN"/>
              </w:rPr>
              <w:t>t/a。</w:t>
            </w:r>
          </w:p>
          <w:p w14:paraId="1B81EA2B">
            <w:pPr>
              <w:adjustRightInd w:val="0"/>
              <w:snapToGrid w:val="0"/>
              <w:spacing w:line="360" w:lineRule="auto"/>
              <w:ind w:firstLine="482" w:firstLineChars="200"/>
              <w:rPr>
                <w:rFonts w:hint="default" w:ascii="Times New Roman" w:hAnsi="Times New Roman" w:eastAsia="宋体" w:cs="Times New Roman"/>
                <w:b/>
                <w:bCs/>
                <w:color w:val="auto"/>
                <w:kern w:val="0"/>
                <w:sz w:val="24"/>
                <w:szCs w:val="24"/>
                <w:highlight w:val="none"/>
                <w:lang w:eastAsia="zh-CN"/>
              </w:rPr>
            </w:pPr>
            <w:r>
              <w:rPr>
                <w:rFonts w:hint="default" w:ascii="Times New Roman" w:hAnsi="Times New Roman" w:eastAsia="宋体" w:cs="Times New Roman"/>
                <w:b/>
                <w:bCs/>
                <w:color w:val="auto"/>
                <w:kern w:val="0"/>
                <w:sz w:val="24"/>
                <w:szCs w:val="24"/>
                <w:highlight w:val="none"/>
                <w:lang w:val="en-US" w:eastAsia="zh-CN"/>
              </w:rPr>
              <w:t>1、</w:t>
            </w:r>
            <w:r>
              <w:rPr>
                <w:rFonts w:hint="default" w:ascii="Times New Roman" w:hAnsi="Times New Roman" w:eastAsia="宋体" w:cs="Times New Roman"/>
                <w:b/>
                <w:bCs/>
                <w:color w:val="auto"/>
                <w:kern w:val="0"/>
                <w:sz w:val="24"/>
                <w:szCs w:val="24"/>
                <w:highlight w:val="none"/>
                <w:lang w:eastAsia="zh-CN"/>
              </w:rPr>
              <w:t>水污染物总量控制指标</w:t>
            </w:r>
          </w:p>
          <w:p w14:paraId="4F15B9A8">
            <w:pPr>
              <w:adjustRightInd w:val="0"/>
              <w:snapToGrid w:val="0"/>
              <w:spacing w:line="360" w:lineRule="auto"/>
              <w:ind w:firstLine="480" w:firstLineChars="200"/>
              <w:rPr>
                <w:rFonts w:hint="default" w:ascii="Times New Roman" w:hAnsi="Times New Roman" w:eastAsia="宋体" w:cs="Times New Roman"/>
                <w:color w:val="auto"/>
                <w:kern w:val="0"/>
                <w:sz w:val="24"/>
                <w:highlight w:val="none"/>
                <w:lang w:eastAsia="zh-CN"/>
              </w:rPr>
            </w:pPr>
            <w:r>
              <w:rPr>
                <w:rFonts w:hint="default" w:ascii="Times New Roman" w:hAnsi="Times New Roman" w:eastAsia="宋体" w:cs="Times New Roman"/>
                <w:bCs/>
                <w:color w:val="auto"/>
                <w:sz w:val="24"/>
                <w:highlight w:val="none"/>
                <w:lang w:val="en-US" w:eastAsia="zh-CN"/>
              </w:rPr>
              <w:t>项目生产废水</w:t>
            </w:r>
            <w:r>
              <w:rPr>
                <w:rFonts w:hint="eastAsia" w:ascii="Times New Roman" w:hAnsi="Times New Roman" w:eastAsia="宋体" w:cs="Times New Roman"/>
                <w:bCs/>
                <w:color w:val="auto"/>
                <w:sz w:val="24"/>
                <w:highlight w:val="none"/>
                <w:lang w:val="en-US" w:eastAsia="zh-CN"/>
              </w:rPr>
              <w:t>经一体化污水处理设施处理达到</w:t>
            </w:r>
            <w:r>
              <w:rPr>
                <w:rFonts w:hint="default" w:ascii="Times New Roman" w:hAnsi="Times New Roman" w:eastAsia="宋体" w:cs="Times New Roman"/>
                <w:bCs/>
                <w:color w:val="auto"/>
                <w:sz w:val="24"/>
                <w:highlight w:val="none"/>
                <w:lang w:val="en-US" w:eastAsia="zh-CN"/>
              </w:rPr>
              <w:t>高安市工业园污水</w:t>
            </w:r>
            <w:r>
              <w:rPr>
                <w:rFonts w:hint="eastAsia" w:ascii="Times New Roman" w:hAnsi="Times New Roman" w:eastAsia="宋体" w:cs="Times New Roman"/>
                <w:bCs/>
                <w:color w:val="auto"/>
                <w:sz w:val="24"/>
                <w:highlight w:val="none"/>
                <w:lang w:val="en-US" w:eastAsia="zh-CN"/>
              </w:rPr>
              <w:t>处理</w:t>
            </w:r>
            <w:r>
              <w:rPr>
                <w:rFonts w:hint="default" w:ascii="Times New Roman" w:hAnsi="Times New Roman" w:eastAsia="宋体" w:cs="Times New Roman"/>
                <w:bCs/>
                <w:color w:val="auto"/>
                <w:sz w:val="24"/>
                <w:highlight w:val="none"/>
                <w:lang w:val="en-US" w:eastAsia="zh-CN"/>
              </w:rPr>
              <w:t>厂</w:t>
            </w:r>
            <w:r>
              <w:rPr>
                <w:rFonts w:hint="eastAsia" w:ascii="Times New Roman" w:hAnsi="Times New Roman" w:eastAsia="宋体" w:cs="Times New Roman"/>
                <w:bCs/>
                <w:color w:val="auto"/>
                <w:sz w:val="24"/>
                <w:highlight w:val="none"/>
                <w:lang w:val="en-US" w:eastAsia="zh-CN"/>
              </w:rPr>
              <w:t>接管标准后，与</w:t>
            </w:r>
            <w:r>
              <w:rPr>
                <w:rFonts w:hint="default" w:ascii="Times New Roman" w:hAnsi="Times New Roman" w:eastAsia="宋体" w:cs="Times New Roman"/>
                <w:bCs/>
                <w:color w:val="auto"/>
                <w:sz w:val="24"/>
                <w:highlight w:val="none"/>
                <w:lang w:val="en-US" w:eastAsia="zh-CN"/>
              </w:rPr>
              <w:t>经</w:t>
            </w:r>
            <w:r>
              <w:rPr>
                <w:rFonts w:hint="eastAsia" w:cs="Times New Roman"/>
                <w:bCs/>
                <w:color w:val="auto"/>
                <w:sz w:val="24"/>
                <w:highlight w:val="none"/>
                <w:lang w:val="en-US" w:eastAsia="zh-CN"/>
              </w:rPr>
              <w:t>隔油池+化粪池预处理的生活污</w:t>
            </w:r>
            <w:r>
              <w:rPr>
                <w:rFonts w:hint="default" w:ascii="Times New Roman" w:hAnsi="Times New Roman" w:eastAsia="宋体" w:cs="Times New Roman"/>
                <w:bCs/>
                <w:color w:val="auto"/>
                <w:sz w:val="24"/>
                <w:highlight w:val="none"/>
                <w:lang w:val="en-US" w:eastAsia="zh-CN"/>
              </w:rPr>
              <w:t>水</w:t>
            </w:r>
            <w:r>
              <w:rPr>
                <w:rFonts w:hint="eastAsia" w:cs="Times New Roman"/>
                <w:bCs/>
                <w:color w:val="auto"/>
                <w:sz w:val="24"/>
                <w:highlight w:val="none"/>
                <w:lang w:val="en-US" w:eastAsia="zh-CN"/>
              </w:rPr>
              <w:t>混合</w:t>
            </w:r>
            <w:r>
              <w:rPr>
                <w:rFonts w:hint="default" w:ascii="Times New Roman" w:hAnsi="Times New Roman" w:eastAsia="宋体" w:cs="Times New Roman"/>
                <w:bCs/>
                <w:color w:val="auto"/>
                <w:sz w:val="24"/>
                <w:highlight w:val="none"/>
                <w:lang w:val="en-US" w:eastAsia="zh-CN"/>
              </w:rPr>
              <w:t>排入高安市工业园污水</w:t>
            </w:r>
            <w:r>
              <w:rPr>
                <w:rFonts w:hint="eastAsia" w:cs="Times New Roman"/>
                <w:bCs/>
                <w:color w:val="auto"/>
                <w:sz w:val="24"/>
                <w:highlight w:val="none"/>
                <w:lang w:val="en-US" w:eastAsia="zh-CN"/>
              </w:rPr>
              <w:t>处理</w:t>
            </w:r>
            <w:r>
              <w:rPr>
                <w:rFonts w:hint="default" w:ascii="Times New Roman" w:hAnsi="Times New Roman" w:eastAsia="宋体" w:cs="Times New Roman"/>
                <w:bCs/>
                <w:color w:val="auto"/>
                <w:sz w:val="24"/>
                <w:highlight w:val="none"/>
                <w:lang w:val="en-US" w:eastAsia="zh-CN"/>
              </w:rPr>
              <w:t>厂，处理达《城镇污水处理厂污染物排放标准》（GB18918-2002）一级A标准后排放</w:t>
            </w:r>
            <w:r>
              <w:rPr>
                <w:rFonts w:hint="eastAsia" w:cs="Times New Roman"/>
                <w:bCs/>
                <w:color w:val="auto"/>
                <w:sz w:val="24"/>
                <w:highlight w:val="none"/>
                <w:lang w:val="en-US" w:eastAsia="zh-CN"/>
              </w:rPr>
              <w:t>，汇入锦江。</w:t>
            </w:r>
          </w:p>
          <w:p w14:paraId="7D887228">
            <w:pPr>
              <w:adjustRightInd w:val="0"/>
              <w:snapToGrid w:val="0"/>
              <w:spacing w:line="360" w:lineRule="auto"/>
              <w:ind w:firstLine="480" w:firstLineChars="200"/>
              <w:rPr>
                <w:rFonts w:hint="default"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kern w:val="0"/>
                <w:sz w:val="24"/>
                <w:highlight w:val="none"/>
                <w:lang w:val="en-US" w:eastAsia="zh-CN"/>
              </w:rPr>
              <w:t>现有项目已对COD、NH</w:t>
            </w:r>
            <w:r>
              <w:rPr>
                <w:rFonts w:hint="default" w:ascii="Times New Roman" w:hAnsi="Times New Roman" w:eastAsia="宋体" w:cs="Times New Roman"/>
                <w:color w:val="0000FF"/>
                <w:kern w:val="0"/>
                <w:sz w:val="24"/>
                <w:highlight w:val="none"/>
                <w:vertAlign w:val="subscript"/>
                <w:lang w:val="en-US" w:eastAsia="zh-CN"/>
              </w:rPr>
              <w:t>3</w:t>
            </w:r>
            <w:r>
              <w:rPr>
                <w:rFonts w:hint="default" w:ascii="Times New Roman" w:hAnsi="Times New Roman" w:eastAsia="宋体" w:cs="Times New Roman"/>
                <w:color w:val="0000FF"/>
                <w:kern w:val="0"/>
                <w:sz w:val="24"/>
                <w:highlight w:val="none"/>
                <w:lang w:val="en-US" w:eastAsia="zh-CN"/>
              </w:rPr>
              <w:t>-N申请总量，</w:t>
            </w:r>
            <w:r>
              <w:rPr>
                <w:rFonts w:hint="eastAsia" w:cs="Times New Roman"/>
                <w:color w:val="0000FF"/>
                <w:kern w:val="0"/>
                <w:sz w:val="24"/>
                <w:highlight w:val="none"/>
                <w:lang w:val="en-US" w:eastAsia="zh-CN"/>
              </w:rPr>
              <w:t>总量控制指标为：</w:t>
            </w:r>
            <w:r>
              <w:rPr>
                <w:rFonts w:hint="eastAsia" w:ascii="Times New Roman" w:hAnsi="Times New Roman" w:eastAsia="宋体" w:cs="Times New Roman"/>
                <w:b w:val="0"/>
                <w:bCs w:val="0"/>
                <w:color w:val="0000FF"/>
                <w:kern w:val="0"/>
                <w:sz w:val="24"/>
                <w:highlight w:val="none"/>
                <w:lang w:val="en-US" w:eastAsia="zh-CN"/>
              </w:rPr>
              <w:t>COD：1.8t/a，NH</w:t>
            </w:r>
            <w:r>
              <w:rPr>
                <w:rFonts w:hint="eastAsia" w:ascii="Times New Roman" w:hAnsi="Times New Roman" w:eastAsia="宋体" w:cs="Times New Roman"/>
                <w:b w:val="0"/>
                <w:bCs w:val="0"/>
                <w:color w:val="0000FF"/>
                <w:kern w:val="0"/>
                <w:sz w:val="24"/>
                <w:highlight w:val="none"/>
                <w:vertAlign w:val="subscript"/>
                <w:lang w:val="en-US" w:eastAsia="zh-CN"/>
              </w:rPr>
              <w:t>3</w:t>
            </w:r>
            <w:r>
              <w:rPr>
                <w:rFonts w:hint="eastAsia" w:ascii="Times New Roman" w:hAnsi="Times New Roman" w:eastAsia="宋体" w:cs="Times New Roman"/>
                <w:b w:val="0"/>
                <w:bCs w:val="0"/>
                <w:color w:val="0000FF"/>
                <w:kern w:val="0"/>
                <w:sz w:val="24"/>
                <w:highlight w:val="none"/>
                <w:lang w:val="en-US" w:eastAsia="zh-CN"/>
              </w:rPr>
              <w:t>-N：0.27t/a。</w:t>
            </w:r>
            <w:r>
              <w:rPr>
                <w:rFonts w:hint="eastAsia" w:cs="Times New Roman"/>
                <w:color w:val="0000FF"/>
                <w:kern w:val="0"/>
                <w:sz w:val="24"/>
                <w:highlight w:val="none"/>
                <w:lang w:val="en-US" w:eastAsia="zh-CN"/>
              </w:rPr>
              <w:t>改扩建后全厂废水排放量为4182.86m</w:t>
            </w:r>
            <w:r>
              <w:rPr>
                <w:rFonts w:hint="eastAsia" w:cs="Times New Roman"/>
                <w:color w:val="0000FF"/>
                <w:kern w:val="0"/>
                <w:sz w:val="24"/>
                <w:highlight w:val="none"/>
                <w:vertAlign w:val="superscript"/>
                <w:lang w:val="en-US" w:eastAsia="zh-CN"/>
              </w:rPr>
              <w:t>3</w:t>
            </w:r>
            <w:r>
              <w:rPr>
                <w:rFonts w:hint="eastAsia" w:cs="Times New Roman"/>
                <w:color w:val="0000FF"/>
                <w:kern w:val="0"/>
                <w:sz w:val="24"/>
                <w:highlight w:val="none"/>
                <w:lang w:val="en-US" w:eastAsia="zh-CN"/>
              </w:rPr>
              <w:t>/a。</w:t>
            </w:r>
          </w:p>
          <w:p w14:paraId="19E36AB5">
            <w:pPr>
              <w:snapToGrid w:val="0"/>
              <w:spacing w:line="360" w:lineRule="auto"/>
              <w:ind w:firstLine="480" w:firstLineChars="200"/>
              <w:rPr>
                <w:rFonts w:hint="eastAsia" w:cs="Times New Roman"/>
                <w:b w:val="0"/>
                <w:bCs w:val="0"/>
                <w:color w:val="0000FF"/>
                <w:kern w:val="0"/>
                <w:sz w:val="24"/>
                <w:highlight w:val="none"/>
                <w:lang w:val="en-US" w:eastAsia="zh-CN"/>
              </w:rPr>
            </w:pPr>
            <w:r>
              <w:rPr>
                <w:rFonts w:hint="eastAsia" w:cs="Times New Roman"/>
                <w:b w:val="0"/>
                <w:bCs w:val="0"/>
                <w:color w:val="0000FF"/>
                <w:kern w:val="0"/>
                <w:sz w:val="24"/>
                <w:highlight w:val="none"/>
                <w:lang w:val="en-US" w:eastAsia="zh-CN"/>
              </w:rPr>
              <w:t>项目考核指标为：</w:t>
            </w:r>
          </w:p>
          <w:p w14:paraId="7C1374B2">
            <w:pPr>
              <w:adjustRightInd w:val="0"/>
              <w:snapToGrid w:val="0"/>
              <w:spacing w:line="360" w:lineRule="auto"/>
              <w:ind w:firstLine="480" w:firstLineChars="200"/>
              <w:rPr>
                <w:rFonts w:hint="eastAsia" w:cs="Times New Roman"/>
                <w:b w:val="0"/>
                <w:bCs w:val="0"/>
                <w:color w:val="0000FF"/>
                <w:kern w:val="0"/>
                <w:sz w:val="24"/>
                <w:highlight w:val="none"/>
                <w:lang w:val="en-US" w:eastAsia="zh-CN"/>
              </w:rPr>
            </w:pPr>
            <w:r>
              <w:rPr>
                <w:rFonts w:hint="eastAsia" w:cs="Times New Roman"/>
                <w:b w:val="0"/>
                <w:bCs w:val="0"/>
                <w:color w:val="0000FF"/>
                <w:kern w:val="0"/>
                <w:sz w:val="24"/>
                <w:highlight w:val="none"/>
                <w:lang w:val="en-US" w:eastAsia="zh-CN"/>
              </w:rPr>
              <w:t>COD：0.939t/a，TP：0.018t/a</w:t>
            </w:r>
          </w:p>
          <w:p w14:paraId="5C7A60DA">
            <w:pPr>
              <w:adjustRightInd w:val="0"/>
              <w:snapToGrid w:val="0"/>
              <w:spacing w:line="360" w:lineRule="auto"/>
              <w:ind w:firstLine="480" w:firstLineChars="200"/>
              <w:rPr>
                <w:rFonts w:hint="default" w:ascii="Times New Roman" w:hAnsi="Times New Roman" w:eastAsia="宋体" w:cs="Times New Roman"/>
                <w:b w:val="0"/>
                <w:bCs w:val="0"/>
                <w:color w:val="0000FF"/>
                <w:kern w:val="0"/>
                <w:sz w:val="24"/>
                <w:highlight w:val="none"/>
                <w:lang w:val="en-US" w:eastAsia="zh-CN"/>
              </w:rPr>
            </w:pPr>
            <w:r>
              <w:rPr>
                <w:rFonts w:hint="eastAsia" w:cs="Times New Roman"/>
                <w:b w:val="0"/>
                <w:bCs w:val="0"/>
                <w:color w:val="0000FF"/>
                <w:kern w:val="0"/>
                <w:sz w:val="24"/>
                <w:highlight w:val="none"/>
                <w:lang w:val="en-US" w:eastAsia="zh-CN"/>
              </w:rPr>
              <w:t>项目废水污染物排放总量控制指标为：</w:t>
            </w:r>
          </w:p>
          <w:p w14:paraId="1B1AAD05">
            <w:pPr>
              <w:adjustRightInd w:val="0"/>
              <w:snapToGrid w:val="0"/>
              <w:spacing w:line="360" w:lineRule="auto"/>
              <w:ind w:firstLine="480" w:firstLineChars="200"/>
              <w:rPr>
                <w:rFonts w:hint="default" w:ascii="Times New Roman" w:hAnsi="Times New Roman" w:eastAsia="宋体" w:cs="Times New Roman"/>
                <w:b w:val="0"/>
                <w:bCs w:val="0"/>
                <w:color w:val="0000FF"/>
                <w:kern w:val="0"/>
                <w:sz w:val="24"/>
                <w:highlight w:val="none"/>
                <w:lang w:val="en-US" w:eastAsia="zh-CN"/>
              </w:rPr>
            </w:pPr>
            <w:r>
              <w:rPr>
                <w:rFonts w:hint="eastAsia" w:cs="Times New Roman"/>
                <w:b w:val="0"/>
                <w:bCs w:val="0"/>
                <w:color w:val="0000FF"/>
                <w:kern w:val="0"/>
                <w:sz w:val="24"/>
                <w:highlight w:val="none"/>
                <w:lang w:val="en-US" w:eastAsia="zh-CN"/>
              </w:rPr>
              <w:t>COD：4182.86×50×10</w:t>
            </w:r>
            <w:r>
              <w:rPr>
                <w:rFonts w:hint="eastAsia" w:cs="Times New Roman"/>
                <w:b w:val="0"/>
                <w:bCs w:val="0"/>
                <w:color w:val="0000FF"/>
                <w:kern w:val="0"/>
                <w:sz w:val="24"/>
                <w:highlight w:val="none"/>
                <w:vertAlign w:val="superscript"/>
                <w:lang w:val="en-US" w:eastAsia="zh-CN"/>
              </w:rPr>
              <w:t>-6</w:t>
            </w:r>
            <w:r>
              <w:rPr>
                <w:rFonts w:hint="eastAsia" w:cs="Times New Roman"/>
                <w:b w:val="0"/>
                <w:bCs w:val="0"/>
                <w:color w:val="0000FF"/>
                <w:kern w:val="0"/>
                <w:sz w:val="24"/>
                <w:highlight w:val="none"/>
                <w:lang w:val="en-US" w:eastAsia="zh-CN"/>
              </w:rPr>
              <w:t>=0.209t/a</w:t>
            </w:r>
          </w:p>
          <w:p w14:paraId="66891577">
            <w:pPr>
              <w:adjustRightInd w:val="0"/>
              <w:snapToGrid w:val="0"/>
              <w:spacing w:line="360" w:lineRule="auto"/>
              <w:ind w:firstLine="480" w:firstLineChars="200"/>
              <w:rPr>
                <w:rFonts w:hint="eastAsia" w:cs="Times New Roman"/>
                <w:b w:val="0"/>
                <w:bCs w:val="0"/>
                <w:color w:val="0000FF"/>
                <w:kern w:val="0"/>
                <w:sz w:val="24"/>
                <w:highlight w:val="none"/>
                <w:lang w:val="en-US" w:eastAsia="zh-CN"/>
              </w:rPr>
            </w:pPr>
            <w:r>
              <w:rPr>
                <w:rFonts w:hint="eastAsia" w:cs="Times New Roman"/>
                <w:b w:val="0"/>
                <w:bCs w:val="0"/>
                <w:color w:val="0000FF"/>
                <w:kern w:val="0"/>
                <w:sz w:val="24"/>
                <w:highlight w:val="none"/>
                <w:lang w:val="en-US" w:eastAsia="zh-CN"/>
              </w:rPr>
              <w:t>TP：4182.86×0.5×10</w:t>
            </w:r>
            <w:r>
              <w:rPr>
                <w:rFonts w:hint="eastAsia" w:cs="Times New Roman"/>
                <w:b w:val="0"/>
                <w:bCs w:val="0"/>
                <w:color w:val="0000FF"/>
                <w:kern w:val="0"/>
                <w:sz w:val="24"/>
                <w:highlight w:val="none"/>
                <w:vertAlign w:val="superscript"/>
                <w:lang w:val="en-US" w:eastAsia="zh-CN"/>
              </w:rPr>
              <w:t>-6</w:t>
            </w:r>
            <w:r>
              <w:rPr>
                <w:rFonts w:hint="eastAsia" w:cs="Times New Roman"/>
                <w:b w:val="0"/>
                <w:bCs w:val="0"/>
                <w:color w:val="0000FF"/>
                <w:kern w:val="0"/>
                <w:sz w:val="24"/>
                <w:highlight w:val="none"/>
                <w:lang w:val="en-US" w:eastAsia="zh-CN"/>
              </w:rPr>
              <w:t>=0.002t/a</w:t>
            </w:r>
          </w:p>
          <w:p w14:paraId="081BE644">
            <w:pPr>
              <w:adjustRightInd/>
              <w:snapToGrid w:val="0"/>
              <w:spacing w:line="360" w:lineRule="auto"/>
              <w:ind w:firstLine="482" w:firstLineChars="200"/>
              <w:rPr>
                <w:rFonts w:hint="default" w:ascii="Times New Roman" w:hAnsi="Times New Roman" w:eastAsia="宋体" w:cs="Times New Roman"/>
                <w:b/>
                <w:bCs/>
                <w:color w:val="0000FF"/>
                <w:kern w:val="0"/>
                <w:sz w:val="24"/>
                <w:highlight w:val="none"/>
                <w:lang w:eastAsia="zh-CN"/>
              </w:rPr>
            </w:pPr>
            <w:r>
              <w:rPr>
                <w:rFonts w:hint="default" w:ascii="Times New Roman" w:hAnsi="Times New Roman" w:eastAsia="宋体" w:cs="Times New Roman"/>
                <w:b/>
                <w:bCs/>
                <w:color w:val="0000FF"/>
                <w:kern w:val="0"/>
                <w:sz w:val="24"/>
                <w:highlight w:val="none"/>
                <w:lang w:val="en-US" w:eastAsia="zh-CN"/>
              </w:rPr>
              <w:t>2</w:t>
            </w:r>
            <w:r>
              <w:rPr>
                <w:rFonts w:hint="default" w:ascii="Times New Roman" w:hAnsi="Times New Roman" w:eastAsia="宋体" w:cs="Times New Roman"/>
                <w:b/>
                <w:bCs/>
                <w:color w:val="0000FF"/>
                <w:kern w:val="0"/>
                <w:sz w:val="24"/>
                <w:highlight w:val="none"/>
                <w:lang w:eastAsia="zh-CN"/>
              </w:rPr>
              <w:t>、废气污染物</w:t>
            </w:r>
            <w:r>
              <w:rPr>
                <w:rFonts w:hint="eastAsia" w:cs="Times New Roman"/>
                <w:b/>
                <w:bCs/>
                <w:color w:val="0000FF"/>
                <w:kern w:val="0"/>
                <w:sz w:val="24"/>
                <w:highlight w:val="none"/>
                <w:lang w:val="en-US" w:eastAsia="zh-CN"/>
              </w:rPr>
              <w:t>排放</w:t>
            </w:r>
            <w:r>
              <w:rPr>
                <w:rFonts w:hint="default" w:ascii="Times New Roman" w:hAnsi="Times New Roman" w:eastAsia="宋体" w:cs="Times New Roman"/>
                <w:b/>
                <w:bCs/>
                <w:color w:val="0000FF"/>
                <w:kern w:val="0"/>
                <w:sz w:val="24"/>
                <w:highlight w:val="none"/>
                <w:lang w:eastAsia="zh-CN"/>
              </w:rPr>
              <w:t>总量控制指标</w:t>
            </w:r>
          </w:p>
          <w:p w14:paraId="12D81658">
            <w:pPr>
              <w:autoSpaceDE/>
              <w:autoSpaceDN/>
              <w:adjustRightInd w:val="0"/>
              <w:snapToGrid w:val="0"/>
              <w:spacing w:line="360" w:lineRule="auto"/>
              <w:ind w:firstLine="480" w:firstLineChars="200"/>
              <w:rPr>
                <w:rFonts w:hint="default" w:ascii="Times New Roman" w:hAnsi="Times New Roman" w:eastAsia="宋体" w:cs="Times New Roman"/>
                <w:color w:val="0000FF"/>
                <w:sz w:val="24"/>
                <w:szCs w:val="24"/>
                <w:highlight w:val="none"/>
                <w:lang w:val="en-US" w:eastAsia="zh-CN"/>
              </w:rPr>
            </w:pPr>
            <w:r>
              <w:rPr>
                <w:rFonts w:hint="default" w:ascii="Times New Roman" w:hAnsi="Times New Roman" w:eastAsia="宋体" w:cs="Times New Roman"/>
                <w:color w:val="0000FF"/>
                <w:sz w:val="24"/>
                <w:szCs w:val="24"/>
                <w:highlight w:val="none"/>
                <w:lang w:val="en-US" w:eastAsia="zh-CN"/>
              </w:rPr>
              <w:t>改</w:t>
            </w:r>
            <w:r>
              <w:rPr>
                <w:rFonts w:hint="eastAsia" w:cs="Times New Roman"/>
                <w:color w:val="0000FF"/>
                <w:sz w:val="24"/>
                <w:szCs w:val="24"/>
                <w:highlight w:val="none"/>
                <w:lang w:val="en-US" w:eastAsia="zh-CN"/>
              </w:rPr>
              <w:t>扩建</w:t>
            </w:r>
            <w:r>
              <w:rPr>
                <w:rFonts w:hint="default" w:ascii="Times New Roman" w:hAnsi="Times New Roman" w:eastAsia="宋体" w:cs="Times New Roman"/>
                <w:color w:val="0000FF"/>
                <w:sz w:val="24"/>
                <w:szCs w:val="24"/>
                <w:highlight w:val="none"/>
                <w:lang w:val="en-US" w:eastAsia="zh-CN"/>
              </w:rPr>
              <w:t>项目废气主要为</w:t>
            </w:r>
            <w:r>
              <w:rPr>
                <w:rFonts w:hint="eastAsia" w:cs="Times New Roman"/>
                <w:color w:val="0000FF"/>
                <w:sz w:val="24"/>
                <w:szCs w:val="24"/>
                <w:highlight w:val="none"/>
                <w:lang w:val="en-US" w:eastAsia="zh-CN"/>
              </w:rPr>
              <w:t>调漆废气和喷漆废气</w:t>
            </w:r>
            <w:r>
              <w:rPr>
                <w:rFonts w:hint="default" w:ascii="Times New Roman" w:hAnsi="Times New Roman" w:eastAsia="宋体" w:cs="Times New Roman"/>
                <w:color w:val="0000FF"/>
                <w:sz w:val="24"/>
                <w:szCs w:val="24"/>
                <w:highlight w:val="none"/>
                <w:lang w:val="en-US" w:eastAsia="zh-CN"/>
              </w:rPr>
              <w:t>。根据工程分析，本项目VOCs排放量为0.</w:t>
            </w:r>
            <w:r>
              <w:rPr>
                <w:rFonts w:hint="eastAsia" w:cs="Times New Roman"/>
                <w:color w:val="0000FF"/>
                <w:sz w:val="24"/>
                <w:szCs w:val="24"/>
                <w:highlight w:val="none"/>
                <w:lang w:val="en-US" w:eastAsia="zh-CN"/>
              </w:rPr>
              <w:t>288</w:t>
            </w:r>
            <w:r>
              <w:rPr>
                <w:rFonts w:hint="default" w:ascii="Times New Roman" w:hAnsi="Times New Roman" w:eastAsia="宋体" w:cs="Times New Roman"/>
                <w:color w:val="0000FF"/>
                <w:sz w:val="24"/>
                <w:szCs w:val="24"/>
                <w:highlight w:val="none"/>
                <w:lang w:val="en-US" w:eastAsia="zh-CN"/>
              </w:rPr>
              <w:t>t/a。因此本项目实施后企业VOCs</w:t>
            </w:r>
            <w:r>
              <w:rPr>
                <w:rFonts w:hint="eastAsia" w:cs="Times New Roman"/>
                <w:color w:val="0000FF"/>
                <w:sz w:val="24"/>
                <w:szCs w:val="24"/>
                <w:highlight w:val="none"/>
                <w:lang w:val="en-US" w:eastAsia="zh-CN"/>
              </w:rPr>
              <w:t>排放</w:t>
            </w:r>
            <w:r>
              <w:rPr>
                <w:rFonts w:hint="default" w:ascii="Times New Roman" w:hAnsi="Times New Roman" w:eastAsia="宋体" w:cs="Times New Roman"/>
                <w:color w:val="0000FF"/>
                <w:sz w:val="24"/>
                <w:szCs w:val="24"/>
                <w:highlight w:val="none"/>
                <w:lang w:val="en-US" w:eastAsia="zh-CN"/>
              </w:rPr>
              <w:t>总量控制指标建议为0.</w:t>
            </w:r>
            <w:r>
              <w:rPr>
                <w:rFonts w:hint="eastAsia" w:cs="Times New Roman"/>
                <w:color w:val="0000FF"/>
                <w:sz w:val="24"/>
                <w:szCs w:val="24"/>
                <w:highlight w:val="none"/>
                <w:lang w:val="en-US" w:eastAsia="zh-CN"/>
              </w:rPr>
              <w:t>288</w:t>
            </w:r>
            <w:r>
              <w:rPr>
                <w:rFonts w:hint="default" w:ascii="Times New Roman" w:hAnsi="Times New Roman" w:eastAsia="宋体" w:cs="Times New Roman"/>
                <w:color w:val="0000FF"/>
                <w:sz w:val="24"/>
                <w:szCs w:val="24"/>
                <w:highlight w:val="none"/>
                <w:lang w:val="en-US" w:eastAsia="zh-CN"/>
              </w:rPr>
              <w:t>t/a</w:t>
            </w:r>
            <w:r>
              <w:rPr>
                <w:rFonts w:hint="eastAsia" w:cs="Times New Roman"/>
                <w:color w:val="0000FF"/>
                <w:sz w:val="24"/>
                <w:szCs w:val="24"/>
                <w:highlight w:val="none"/>
                <w:lang w:val="en-US" w:eastAsia="zh-CN"/>
              </w:rPr>
              <w:t>。</w:t>
            </w:r>
          </w:p>
          <w:p w14:paraId="1E61F6E3">
            <w:pPr>
              <w:autoSpaceDE/>
              <w:autoSpaceDN/>
              <w:adjustRightInd w:val="0"/>
              <w:snapToGrid w:val="0"/>
              <w:spacing w:line="360" w:lineRule="auto"/>
              <w:ind w:firstLine="480" w:firstLineChars="200"/>
              <w:rPr>
                <w:rFonts w:hint="default" w:ascii="Times New Roman" w:hAnsi="Times New Roman" w:eastAsia="宋体" w:cs="Times New Roman"/>
                <w:color w:val="0000FF"/>
                <w:sz w:val="24"/>
                <w:szCs w:val="24"/>
                <w:highlight w:val="none"/>
                <w:lang w:val="en-US" w:eastAsia="zh-CN"/>
              </w:rPr>
            </w:pPr>
            <w:r>
              <w:rPr>
                <w:rFonts w:hint="default" w:ascii="Times New Roman" w:hAnsi="Times New Roman" w:eastAsia="宋体" w:cs="Times New Roman"/>
                <w:color w:val="0000FF"/>
                <w:sz w:val="24"/>
                <w:szCs w:val="24"/>
                <w:highlight w:val="none"/>
                <w:lang w:val="en-US" w:eastAsia="zh-CN"/>
              </w:rPr>
              <w:t>综上，改</w:t>
            </w:r>
            <w:r>
              <w:rPr>
                <w:rFonts w:hint="eastAsia" w:cs="Times New Roman"/>
                <w:color w:val="0000FF"/>
                <w:sz w:val="24"/>
                <w:szCs w:val="24"/>
                <w:highlight w:val="none"/>
                <w:lang w:val="en-US" w:eastAsia="zh-CN"/>
              </w:rPr>
              <w:t>扩建</w:t>
            </w:r>
            <w:r>
              <w:rPr>
                <w:rFonts w:hint="default" w:ascii="Times New Roman" w:hAnsi="Times New Roman" w:eastAsia="宋体" w:cs="Times New Roman"/>
                <w:color w:val="0000FF"/>
                <w:sz w:val="24"/>
                <w:szCs w:val="24"/>
                <w:highlight w:val="none"/>
                <w:lang w:val="en-US" w:eastAsia="zh-CN"/>
              </w:rPr>
              <w:t>项目总量控制指标为</w:t>
            </w:r>
            <w:r>
              <w:rPr>
                <w:rFonts w:hint="default" w:ascii="Times New Roman" w:hAnsi="Times New Roman" w:eastAsia="宋体" w:cs="Times New Roman"/>
                <w:color w:val="0000FF"/>
                <w:kern w:val="0"/>
                <w:sz w:val="24"/>
                <w:highlight w:val="none"/>
                <w:lang w:val="en-US" w:eastAsia="zh-CN"/>
              </w:rPr>
              <w:t>COD：</w:t>
            </w:r>
            <w:r>
              <w:rPr>
                <w:rFonts w:hint="eastAsia" w:cs="Times New Roman"/>
                <w:b w:val="0"/>
                <w:bCs w:val="0"/>
                <w:color w:val="0000FF"/>
                <w:kern w:val="0"/>
                <w:sz w:val="24"/>
                <w:highlight w:val="none"/>
                <w:lang w:val="en-US" w:eastAsia="zh-CN"/>
              </w:rPr>
              <w:t>0.209</w:t>
            </w:r>
            <w:r>
              <w:rPr>
                <w:rFonts w:hint="default" w:ascii="Times New Roman" w:hAnsi="Times New Roman" w:eastAsia="宋体" w:cs="Times New Roman"/>
                <w:color w:val="0000FF"/>
                <w:kern w:val="0"/>
                <w:sz w:val="24"/>
                <w:highlight w:val="none"/>
                <w:lang w:val="en-US" w:eastAsia="zh-CN"/>
              </w:rPr>
              <w:t>t/a，NH</w:t>
            </w:r>
            <w:r>
              <w:rPr>
                <w:rFonts w:hint="default" w:ascii="Times New Roman" w:hAnsi="Times New Roman" w:eastAsia="宋体" w:cs="Times New Roman"/>
                <w:color w:val="0000FF"/>
                <w:kern w:val="0"/>
                <w:sz w:val="24"/>
                <w:highlight w:val="none"/>
                <w:vertAlign w:val="subscript"/>
                <w:lang w:val="en-US" w:eastAsia="zh-CN"/>
              </w:rPr>
              <w:t>3</w:t>
            </w:r>
            <w:r>
              <w:rPr>
                <w:rFonts w:hint="default" w:ascii="Times New Roman" w:hAnsi="Times New Roman" w:eastAsia="宋体" w:cs="Times New Roman"/>
                <w:color w:val="0000FF"/>
                <w:kern w:val="0"/>
                <w:sz w:val="24"/>
                <w:highlight w:val="none"/>
                <w:lang w:val="en-US" w:eastAsia="zh-CN"/>
              </w:rPr>
              <w:t>-N：</w:t>
            </w:r>
            <w:r>
              <w:rPr>
                <w:rFonts w:hint="eastAsia" w:cs="Times New Roman"/>
                <w:b w:val="0"/>
                <w:bCs w:val="0"/>
                <w:color w:val="0000FF"/>
                <w:kern w:val="0"/>
                <w:sz w:val="24"/>
                <w:highlight w:val="none"/>
                <w:lang w:val="en-US" w:eastAsia="zh-CN"/>
              </w:rPr>
              <w:t>0.021</w:t>
            </w:r>
            <w:r>
              <w:rPr>
                <w:rFonts w:hint="default" w:ascii="Times New Roman" w:hAnsi="Times New Roman" w:eastAsia="宋体" w:cs="Times New Roman"/>
                <w:color w:val="0000FF"/>
                <w:kern w:val="0"/>
                <w:sz w:val="24"/>
                <w:highlight w:val="none"/>
                <w:lang w:val="en-US" w:eastAsia="zh-CN"/>
              </w:rPr>
              <w:t>t/a</w:t>
            </w:r>
            <w:r>
              <w:rPr>
                <w:rFonts w:hint="default" w:ascii="Times New Roman" w:hAnsi="Times New Roman" w:eastAsia="宋体" w:cs="Times New Roman"/>
                <w:color w:val="0000FF"/>
                <w:sz w:val="24"/>
                <w:szCs w:val="24"/>
                <w:highlight w:val="none"/>
                <w:lang w:val="en-US" w:eastAsia="zh-CN"/>
              </w:rPr>
              <w:t>。</w:t>
            </w:r>
            <w:r>
              <w:rPr>
                <w:rFonts w:hint="eastAsia" w:cs="Times New Roman"/>
                <w:color w:val="0000FF"/>
                <w:sz w:val="24"/>
                <w:szCs w:val="24"/>
                <w:highlight w:val="none"/>
                <w:lang w:val="en-US" w:eastAsia="zh-CN"/>
              </w:rPr>
              <w:t>现有项目申请的总量足够，无需申请。</w:t>
            </w:r>
          </w:p>
          <w:p w14:paraId="354E56DB">
            <w:pPr>
              <w:autoSpaceDE/>
              <w:autoSpaceDN/>
              <w:adjustRightInd w:val="0"/>
              <w:snapToGrid w:val="0"/>
              <w:spacing w:line="360" w:lineRule="auto"/>
              <w:ind w:firstLine="480" w:firstLineChars="200"/>
              <w:rPr>
                <w:rFonts w:hint="default" w:ascii="Times New Roman" w:hAnsi="Times New Roman" w:eastAsia="宋体" w:cs="Times New Roman"/>
                <w:color w:val="auto"/>
                <w:kern w:val="0"/>
                <w:szCs w:val="21"/>
                <w:highlight w:val="none"/>
                <w:lang w:val="en-US"/>
              </w:rPr>
            </w:pPr>
            <w:r>
              <w:rPr>
                <w:rFonts w:hint="default" w:ascii="Times New Roman" w:hAnsi="Times New Roman" w:eastAsia="宋体" w:cs="Times New Roman"/>
                <w:color w:val="0000FF"/>
                <w:sz w:val="24"/>
                <w:szCs w:val="24"/>
                <w:highlight w:val="none"/>
                <w:lang w:val="en-US" w:eastAsia="zh-CN"/>
              </w:rPr>
              <w:t>改</w:t>
            </w:r>
            <w:r>
              <w:rPr>
                <w:rFonts w:hint="eastAsia" w:cs="Times New Roman"/>
                <w:color w:val="0000FF"/>
                <w:sz w:val="24"/>
                <w:szCs w:val="24"/>
                <w:highlight w:val="none"/>
                <w:lang w:val="en-US" w:eastAsia="zh-CN"/>
              </w:rPr>
              <w:t>扩建</w:t>
            </w:r>
            <w:r>
              <w:rPr>
                <w:rFonts w:hint="default" w:ascii="Times New Roman" w:hAnsi="Times New Roman" w:eastAsia="宋体" w:cs="Times New Roman"/>
                <w:color w:val="0000FF"/>
                <w:sz w:val="24"/>
                <w:szCs w:val="24"/>
                <w:highlight w:val="none"/>
                <w:lang w:val="en-US" w:eastAsia="zh-CN"/>
              </w:rPr>
              <w:t>项目建成后全厂需要总量控制的污染物总量控制指标为</w:t>
            </w:r>
            <w:r>
              <w:rPr>
                <w:rFonts w:hint="eastAsia" w:cs="Times New Roman"/>
                <w:color w:val="0000FF"/>
                <w:sz w:val="24"/>
                <w:szCs w:val="24"/>
                <w:highlight w:val="none"/>
                <w:lang w:val="en-US" w:eastAsia="zh-CN"/>
              </w:rPr>
              <w:t>：</w:t>
            </w:r>
            <w:r>
              <w:rPr>
                <w:rFonts w:hint="default" w:ascii="Times New Roman" w:hAnsi="Times New Roman" w:eastAsia="宋体" w:cs="Times New Roman"/>
                <w:color w:val="0000FF"/>
                <w:sz w:val="24"/>
                <w:szCs w:val="24"/>
                <w:highlight w:val="none"/>
                <w:lang w:val="en-US" w:eastAsia="zh-CN"/>
              </w:rPr>
              <w:t>VOC</w:t>
            </w:r>
            <w:r>
              <w:rPr>
                <w:rFonts w:hint="default" w:ascii="Times New Roman" w:hAnsi="Times New Roman" w:eastAsia="宋体" w:cs="Times New Roman"/>
                <w:color w:val="0000FF"/>
                <w:sz w:val="24"/>
                <w:szCs w:val="24"/>
                <w:highlight w:val="none"/>
                <w:vertAlign w:val="subscript"/>
                <w:lang w:val="en-US" w:eastAsia="zh-CN"/>
              </w:rPr>
              <w:t>S</w:t>
            </w:r>
            <w:r>
              <w:rPr>
                <w:rFonts w:hint="default" w:ascii="Times New Roman" w:hAnsi="Times New Roman" w:eastAsia="宋体" w:cs="Times New Roman"/>
                <w:color w:val="0000FF"/>
                <w:sz w:val="24"/>
                <w:szCs w:val="24"/>
                <w:highlight w:val="none"/>
                <w:vertAlign w:val="baseline"/>
                <w:lang w:val="en-US" w:eastAsia="zh-CN"/>
              </w:rPr>
              <w:t>：</w:t>
            </w:r>
            <w:r>
              <w:rPr>
                <w:rFonts w:hint="eastAsia" w:cs="Times New Roman"/>
                <w:color w:val="0000FF"/>
                <w:sz w:val="24"/>
                <w:szCs w:val="24"/>
                <w:highlight w:val="none"/>
                <w:lang w:val="en-US" w:eastAsia="zh-CN"/>
              </w:rPr>
              <w:t>0.288</w:t>
            </w:r>
            <w:r>
              <w:rPr>
                <w:rFonts w:hint="default" w:ascii="Times New Roman" w:hAnsi="Times New Roman" w:eastAsia="宋体" w:cs="Times New Roman"/>
                <w:color w:val="0000FF"/>
                <w:sz w:val="24"/>
                <w:szCs w:val="24"/>
                <w:highlight w:val="none"/>
                <w:lang w:val="en-US" w:eastAsia="zh-CN"/>
              </w:rPr>
              <w:t>t/a。</w:t>
            </w:r>
          </w:p>
        </w:tc>
      </w:tr>
    </w:tbl>
    <w:p w14:paraId="1D1339E7">
      <w:pPr>
        <w:pStyle w:val="29"/>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6"/>
          <w:szCs w:val="36"/>
        </w:rPr>
        <w:br w:type="page"/>
      </w:r>
      <w:bookmarkStart w:id="17" w:name="_Toc24292"/>
      <w:bookmarkStart w:id="18" w:name="_Toc195"/>
      <w:r>
        <w:rPr>
          <w:rFonts w:hint="default" w:ascii="Times New Roman" w:hAnsi="Times New Roman" w:eastAsia="宋体" w:cs="Times New Roman"/>
          <w:snapToGrid w:val="0"/>
          <w:color w:val="auto"/>
          <w:sz w:val="30"/>
          <w:szCs w:val="30"/>
        </w:rPr>
        <w:t>四、主要环境影响和保护措施</w:t>
      </w:r>
      <w:bookmarkEnd w:id="17"/>
      <w:bookmarkEnd w:id="18"/>
    </w:p>
    <w:tbl>
      <w:tblPr>
        <w:tblStyle w:val="33"/>
        <w:tblW w:w="90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285"/>
      </w:tblGrid>
      <w:tr w14:paraId="4D35D6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1" w:hRule="atLeast"/>
          <w:jc w:val="center"/>
        </w:trPr>
        <w:tc>
          <w:tcPr>
            <w:tcW w:w="754" w:type="dxa"/>
            <w:noWrap w:val="0"/>
            <w:tcMar>
              <w:left w:w="28" w:type="dxa"/>
              <w:right w:w="28" w:type="dxa"/>
            </w:tcMar>
            <w:vAlign w:val="center"/>
          </w:tcPr>
          <w:p w14:paraId="23AF3B22">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施工</w:t>
            </w:r>
          </w:p>
          <w:p w14:paraId="0656B4CB">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期环</w:t>
            </w:r>
          </w:p>
          <w:p w14:paraId="69A8924F">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境保</w:t>
            </w:r>
          </w:p>
          <w:p w14:paraId="76DCC47F">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护措</w:t>
            </w:r>
          </w:p>
          <w:p w14:paraId="2E17A303">
            <w:pPr>
              <w:pStyle w:val="29"/>
              <w:adjustRightInd w:val="0"/>
              <w:snapToGrid w:val="0"/>
              <w:spacing w:before="0" w:beforeAutospacing="0" w:after="0" w:afterAutospacing="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kern w:val="2"/>
                <w:sz w:val="24"/>
                <w:szCs w:val="24"/>
                <w:highlight w:val="none"/>
              </w:rPr>
              <w:t>施</w:t>
            </w:r>
          </w:p>
        </w:tc>
        <w:tc>
          <w:tcPr>
            <w:tcW w:w="8285" w:type="dxa"/>
            <w:noWrap w:val="0"/>
            <w:vAlign w:val="center"/>
          </w:tcPr>
          <w:p w14:paraId="5B973BE6">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i w:val="0"/>
                <w:color w:val="auto"/>
                <w:sz w:val="24"/>
                <w:szCs w:val="24"/>
                <w:highlight w:val="none"/>
              </w:rPr>
              <w:t>本项目</w:t>
            </w:r>
            <w:r>
              <w:rPr>
                <w:rFonts w:hint="default" w:ascii="Times New Roman" w:hAnsi="Times New Roman" w:eastAsia="宋体" w:cs="Times New Roman"/>
                <w:b w:val="0"/>
                <w:i w:val="0"/>
                <w:color w:val="auto"/>
                <w:sz w:val="24"/>
                <w:szCs w:val="24"/>
                <w:highlight w:val="none"/>
                <w:lang w:eastAsia="zh-CN"/>
              </w:rPr>
              <w:t>利用公司</w:t>
            </w:r>
            <w:r>
              <w:rPr>
                <w:rFonts w:hint="default" w:ascii="Times New Roman" w:hAnsi="Times New Roman" w:eastAsia="宋体" w:cs="Times New Roman"/>
                <w:b w:val="0"/>
                <w:i w:val="0"/>
                <w:color w:val="auto"/>
                <w:sz w:val="24"/>
                <w:szCs w:val="24"/>
                <w:highlight w:val="none"/>
                <w:lang w:val="en-US" w:eastAsia="zh-CN"/>
              </w:rPr>
              <w:t>现</w:t>
            </w:r>
            <w:r>
              <w:rPr>
                <w:rFonts w:hint="default" w:ascii="Times New Roman" w:hAnsi="Times New Roman" w:eastAsia="宋体" w:cs="Times New Roman"/>
                <w:b w:val="0"/>
                <w:i w:val="0"/>
                <w:color w:val="auto"/>
                <w:sz w:val="24"/>
                <w:szCs w:val="24"/>
                <w:highlight w:val="none"/>
                <w:lang w:eastAsia="zh-CN"/>
              </w:rPr>
              <w:t>有</w:t>
            </w:r>
            <w:r>
              <w:rPr>
                <w:rFonts w:hint="default" w:ascii="Times New Roman" w:hAnsi="Times New Roman" w:eastAsia="宋体" w:cs="Times New Roman"/>
                <w:b w:val="0"/>
                <w:i w:val="0"/>
                <w:color w:val="auto"/>
                <w:sz w:val="24"/>
                <w:szCs w:val="24"/>
                <w:highlight w:val="none"/>
              </w:rPr>
              <w:t>厂房</w:t>
            </w:r>
            <w:r>
              <w:rPr>
                <w:rFonts w:hint="default" w:ascii="Times New Roman" w:hAnsi="Times New Roman" w:eastAsia="宋体" w:cs="Times New Roman"/>
                <w:b w:val="0"/>
                <w:i w:val="0"/>
                <w:color w:val="auto"/>
                <w:sz w:val="24"/>
                <w:szCs w:val="24"/>
                <w:highlight w:val="none"/>
                <w:lang w:val="en-US" w:eastAsia="zh-CN"/>
              </w:rPr>
              <w:t>进行</w:t>
            </w:r>
            <w:r>
              <w:rPr>
                <w:rFonts w:hint="eastAsia" w:cs="Times New Roman"/>
                <w:b w:val="0"/>
                <w:i w:val="0"/>
                <w:color w:val="auto"/>
                <w:sz w:val="24"/>
                <w:szCs w:val="24"/>
                <w:highlight w:val="none"/>
                <w:lang w:val="en-US" w:eastAsia="zh-CN"/>
              </w:rPr>
              <w:t>改扩建</w:t>
            </w:r>
            <w:r>
              <w:rPr>
                <w:rFonts w:hint="default" w:ascii="Times New Roman" w:hAnsi="Times New Roman" w:eastAsia="宋体" w:cs="Times New Roman"/>
                <w:b w:val="0"/>
                <w:i w:val="0"/>
                <w:color w:val="auto"/>
                <w:sz w:val="24"/>
                <w:szCs w:val="24"/>
                <w:highlight w:val="none"/>
              </w:rPr>
              <w:t>，</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p>
        </w:tc>
      </w:tr>
    </w:tbl>
    <w:p w14:paraId="7C89F4E5">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1346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708"/>
      </w:tblGrid>
      <w:tr w14:paraId="052DE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1" w:hRule="atLeast"/>
          <w:jc w:val="center"/>
        </w:trPr>
        <w:tc>
          <w:tcPr>
            <w:tcW w:w="754" w:type="dxa"/>
            <w:noWrap w:val="0"/>
            <w:tcMar>
              <w:left w:w="28" w:type="dxa"/>
              <w:right w:w="28" w:type="dxa"/>
            </w:tcMar>
            <w:vAlign w:val="center"/>
          </w:tcPr>
          <w:p w14:paraId="775B8227">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运营</w:t>
            </w:r>
          </w:p>
          <w:p w14:paraId="137F429A">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期环</w:t>
            </w:r>
          </w:p>
          <w:p w14:paraId="53448C33">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境影</w:t>
            </w:r>
          </w:p>
          <w:p w14:paraId="7D00CF63">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响和</w:t>
            </w:r>
          </w:p>
          <w:p w14:paraId="46468595">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保护</w:t>
            </w:r>
          </w:p>
          <w:p w14:paraId="59C7A9EA">
            <w:pPr>
              <w:pStyle w:val="29"/>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bCs/>
                <w:color w:val="auto"/>
                <w:sz w:val="24"/>
                <w:szCs w:val="24"/>
                <w:highlight w:val="none"/>
              </w:rPr>
              <w:t>措施</w:t>
            </w:r>
          </w:p>
        </w:tc>
        <w:tc>
          <w:tcPr>
            <w:tcW w:w="12708" w:type="dxa"/>
            <w:noWrap w:val="0"/>
            <w:vAlign w:val="top"/>
          </w:tcPr>
          <w:p w14:paraId="79AAF9DD">
            <w:pPr>
              <w:keepNext/>
              <w:keepLines/>
              <w:adjustRightInd w:val="0"/>
              <w:snapToGrid w:val="0"/>
              <w:spacing w:line="360" w:lineRule="auto"/>
              <w:ind w:firstLine="482" w:firstLineChars="200"/>
              <w:jc w:val="both"/>
              <w:textAlignment w:val="baseline"/>
              <w:outlineLvl w:val="2"/>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一、大气环境影响分析</w:t>
            </w:r>
          </w:p>
          <w:p w14:paraId="1DBEE74A">
            <w:pPr>
              <w:keepNext w:val="0"/>
              <w:keepLines w:val="0"/>
              <w:pageBreakBefore w:val="0"/>
              <w:widowControl w:val="0"/>
              <w:numPr>
                <w:ilvl w:val="0"/>
                <w:numId w:val="0"/>
              </w:numPr>
              <w:kinsoku/>
              <w:wordWrap/>
              <w:overflowPunct/>
              <w:topLinePunct w:val="0"/>
              <w:autoSpaceDE/>
              <w:autoSpaceDN/>
              <w:bidi w:val="0"/>
              <w:spacing w:before="50" w:after="50" w:line="360" w:lineRule="auto"/>
              <w:ind w:left="0" w:leftChars="0" w:right="0" w:rightChars="0" w:firstLine="482" w:firstLineChars="200"/>
              <w:jc w:val="both"/>
              <w:textAlignment w:val="auto"/>
              <w:outlineLvl w:val="1"/>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1、废气产排源强分析</w:t>
            </w:r>
          </w:p>
          <w:p w14:paraId="68757269">
            <w:pPr>
              <w:widowControl w:val="0"/>
              <w:numPr>
                <w:ilvl w:val="0"/>
                <w:numId w:val="0"/>
              </w:numPr>
              <w:autoSpaceDE w:val="0"/>
              <w:autoSpaceDN w:val="0"/>
              <w:spacing w:before="1" w:after="0" w:line="360" w:lineRule="auto"/>
              <w:ind w:right="0" w:rightChars="0" w:firstLine="480" w:firstLineChars="200"/>
              <w:jc w:val="both"/>
              <w:rPr>
                <w:rFonts w:hint="eastAsia" w:cs="Times New Roman"/>
                <w:color w:val="auto"/>
                <w:sz w:val="24"/>
                <w:szCs w:val="24"/>
                <w:highlight w:val="none"/>
                <w:lang w:eastAsia="zh-CN"/>
              </w:rPr>
            </w:pPr>
            <w:r>
              <w:rPr>
                <w:rFonts w:hint="eastAsia" w:cs="Times New Roman"/>
                <w:color w:val="auto"/>
                <w:sz w:val="24"/>
                <w:szCs w:val="24"/>
                <w:highlight w:val="none"/>
                <w:lang w:eastAsia="zh-CN"/>
              </w:rPr>
              <w:t>本项目运营期废气主要为机加工工序产生的粉尘、</w:t>
            </w:r>
            <w:r>
              <w:rPr>
                <w:rFonts w:hint="eastAsia" w:cs="Times New Roman"/>
                <w:color w:val="auto"/>
                <w:sz w:val="24"/>
                <w:szCs w:val="24"/>
                <w:highlight w:val="none"/>
                <w:lang w:val="en-US" w:eastAsia="zh-CN"/>
              </w:rPr>
              <w:t>油</w:t>
            </w:r>
            <w:r>
              <w:rPr>
                <w:rFonts w:hint="eastAsia" w:cs="Times New Roman"/>
                <w:color w:val="auto"/>
                <w:sz w:val="24"/>
                <w:szCs w:val="24"/>
                <w:highlight w:val="none"/>
                <w:lang w:eastAsia="zh-CN"/>
              </w:rPr>
              <w:t>漆废气、食堂油烟。</w:t>
            </w:r>
          </w:p>
          <w:p w14:paraId="6D18BD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 xml:space="preserve">表4-1 </w:t>
            </w:r>
            <w:r>
              <w:rPr>
                <w:rFonts w:hint="default" w:ascii="Times New Roman" w:hAnsi="Times New Roman" w:cs="Times New Roman"/>
                <w:b/>
                <w:color w:val="auto"/>
                <w:sz w:val="21"/>
                <w:szCs w:val="21"/>
                <w:highlight w:val="none"/>
                <w:lang w:val="en-US" w:eastAsia="zh-CN"/>
              </w:rPr>
              <w:t xml:space="preserve"> </w:t>
            </w:r>
            <w:r>
              <w:rPr>
                <w:rFonts w:hint="default" w:ascii="Times New Roman" w:hAnsi="Times New Roman" w:cs="Times New Roman"/>
                <w:b/>
                <w:color w:val="auto"/>
                <w:sz w:val="21"/>
                <w:szCs w:val="21"/>
                <w:highlight w:val="none"/>
              </w:rPr>
              <w:t xml:space="preserve"> 本项目废气污染物排放源汇总一览表</w:t>
            </w:r>
          </w:p>
          <w:tbl>
            <w:tblPr>
              <w:tblStyle w:val="33"/>
              <w:tblW w:w="1246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4"/>
              <w:gridCol w:w="330"/>
              <w:gridCol w:w="716"/>
              <w:gridCol w:w="640"/>
              <w:gridCol w:w="615"/>
              <w:gridCol w:w="584"/>
              <w:gridCol w:w="548"/>
              <w:gridCol w:w="523"/>
              <w:gridCol w:w="523"/>
              <w:gridCol w:w="376"/>
              <w:gridCol w:w="802"/>
              <w:gridCol w:w="603"/>
              <w:gridCol w:w="645"/>
              <w:gridCol w:w="651"/>
              <w:gridCol w:w="636"/>
              <w:gridCol w:w="443"/>
              <w:gridCol w:w="434"/>
              <w:gridCol w:w="423"/>
              <w:gridCol w:w="511"/>
              <w:gridCol w:w="793"/>
              <w:gridCol w:w="753"/>
              <w:gridCol w:w="439"/>
            </w:tblGrid>
            <w:tr w14:paraId="2A276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3" w:hRule="atLeast"/>
                <w:jc w:val="center"/>
              </w:trPr>
              <w:tc>
                <w:tcPr>
                  <w:tcW w:w="474" w:type="dxa"/>
                  <w:vMerge w:val="restart"/>
                  <w:tcBorders>
                    <w:tl2br w:val="nil"/>
                    <w:tr2bl w:val="nil"/>
                  </w:tcBorders>
                  <w:noWrap w:val="0"/>
                  <w:vAlign w:val="center"/>
                </w:tcPr>
                <w:p w14:paraId="5A543AC3">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产排污环节</w:t>
                  </w:r>
                </w:p>
              </w:tc>
              <w:tc>
                <w:tcPr>
                  <w:tcW w:w="330" w:type="dxa"/>
                  <w:vMerge w:val="restart"/>
                  <w:tcBorders>
                    <w:tl2br w:val="nil"/>
                    <w:tr2bl w:val="nil"/>
                  </w:tcBorders>
                  <w:noWrap w:val="0"/>
                  <w:vAlign w:val="center"/>
                </w:tcPr>
                <w:p w14:paraId="72E49921">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排放形式</w:t>
                  </w:r>
                </w:p>
              </w:tc>
              <w:tc>
                <w:tcPr>
                  <w:tcW w:w="716" w:type="dxa"/>
                  <w:vMerge w:val="restart"/>
                  <w:tcBorders>
                    <w:tl2br w:val="nil"/>
                    <w:tr2bl w:val="nil"/>
                  </w:tcBorders>
                  <w:noWrap w:val="0"/>
                  <w:vAlign w:val="center"/>
                </w:tcPr>
                <w:p w14:paraId="250623A9">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污染物</w:t>
                  </w:r>
                </w:p>
                <w:p w14:paraId="78B9C82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种类</w:t>
                  </w:r>
                </w:p>
              </w:tc>
              <w:tc>
                <w:tcPr>
                  <w:tcW w:w="1839" w:type="dxa"/>
                  <w:gridSpan w:val="3"/>
                  <w:tcBorders>
                    <w:tl2br w:val="nil"/>
                    <w:tr2bl w:val="nil"/>
                  </w:tcBorders>
                  <w:noWrap w:val="0"/>
                  <w:vAlign w:val="center"/>
                </w:tcPr>
                <w:p w14:paraId="2FA6ABC6">
                  <w:pPr>
                    <w:pStyle w:val="163"/>
                    <w:keepNext w:val="0"/>
                    <w:keepLines w:val="0"/>
                    <w:suppressLineNumbers w:val="0"/>
                    <w:spacing w:before="0" w:beforeAutospacing="0" w:after="0" w:afterAutospacing="0"/>
                    <w:ind w:left="-105" w:leftChars="-50" w:right="-275" w:rightChars="-131"/>
                    <w:jc w:val="left"/>
                    <w:rPr>
                      <w:rFonts w:hint="eastAsia"/>
                      <w:color w:val="auto"/>
                    </w:rPr>
                  </w:pPr>
                  <w:r>
                    <w:rPr>
                      <w:rFonts w:hint="eastAsia"/>
                      <w:color w:val="auto"/>
                    </w:rPr>
                    <w:t>污染物产生量和浓度</w:t>
                  </w:r>
                </w:p>
              </w:tc>
              <w:tc>
                <w:tcPr>
                  <w:tcW w:w="2772" w:type="dxa"/>
                  <w:gridSpan w:val="5"/>
                  <w:tcBorders>
                    <w:tl2br w:val="nil"/>
                    <w:tr2bl w:val="nil"/>
                  </w:tcBorders>
                  <w:noWrap w:val="0"/>
                  <w:vAlign w:val="center"/>
                </w:tcPr>
                <w:p w14:paraId="4E103AF0">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污染治理设施</w:t>
                  </w:r>
                </w:p>
              </w:tc>
              <w:tc>
                <w:tcPr>
                  <w:tcW w:w="1899" w:type="dxa"/>
                  <w:gridSpan w:val="3"/>
                  <w:tcBorders>
                    <w:tl2br w:val="nil"/>
                    <w:tr2bl w:val="nil"/>
                  </w:tcBorders>
                  <w:noWrap w:val="0"/>
                  <w:vAlign w:val="center"/>
                </w:tcPr>
                <w:p w14:paraId="1DFB8B03">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污染物排放量和浓度</w:t>
                  </w:r>
                </w:p>
              </w:tc>
              <w:tc>
                <w:tcPr>
                  <w:tcW w:w="3240" w:type="dxa"/>
                  <w:gridSpan w:val="6"/>
                  <w:tcBorders>
                    <w:tl2br w:val="nil"/>
                    <w:tr2bl w:val="nil"/>
                  </w:tcBorders>
                  <w:noWrap w:val="0"/>
                  <w:vAlign w:val="center"/>
                </w:tcPr>
                <w:p w14:paraId="3E881240">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排放口基本情况</w:t>
                  </w:r>
                </w:p>
              </w:tc>
              <w:tc>
                <w:tcPr>
                  <w:tcW w:w="1192" w:type="dxa"/>
                  <w:gridSpan w:val="2"/>
                  <w:tcBorders>
                    <w:tl2br w:val="nil"/>
                    <w:tr2bl w:val="nil"/>
                  </w:tcBorders>
                  <w:noWrap w:val="0"/>
                  <w:vAlign w:val="center"/>
                </w:tcPr>
                <w:p w14:paraId="75040B4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排放标准</w:t>
                  </w:r>
                </w:p>
              </w:tc>
            </w:tr>
            <w:tr w14:paraId="49FEAA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74" w:type="dxa"/>
                  <w:vMerge w:val="continue"/>
                  <w:tcBorders>
                    <w:tl2br w:val="nil"/>
                    <w:tr2bl w:val="nil"/>
                  </w:tcBorders>
                  <w:noWrap w:val="0"/>
                  <w:vAlign w:val="center"/>
                </w:tcPr>
                <w:p w14:paraId="119DB18C">
                  <w:pPr>
                    <w:pStyle w:val="163"/>
                    <w:keepNext w:val="0"/>
                    <w:keepLines w:val="0"/>
                    <w:suppressLineNumbers w:val="0"/>
                    <w:spacing w:before="0" w:beforeAutospacing="0" w:after="0" w:afterAutospacing="0"/>
                    <w:ind w:left="-105" w:leftChars="-50" w:right="-105" w:rightChars="-50"/>
                    <w:rPr>
                      <w:rFonts w:hint="eastAsia"/>
                      <w:color w:val="auto"/>
                    </w:rPr>
                  </w:pPr>
                </w:p>
              </w:tc>
              <w:tc>
                <w:tcPr>
                  <w:tcW w:w="330" w:type="dxa"/>
                  <w:vMerge w:val="continue"/>
                  <w:tcBorders>
                    <w:tl2br w:val="nil"/>
                    <w:tr2bl w:val="nil"/>
                  </w:tcBorders>
                  <w:noWrap w:val="0"/>
                  <w:vAlign w:val="center"/>
                </w:tcPr>
                <w:p w14:paraId="40BCF3CC">
                  <w:pPr>
                    <w:pStyle w:val="163"/>
                    <w:keepNext w:val="0"/>
                    <w:keepLines w:val="0"/>
                    <w:suppressLineNumbers w:val="0"/>
                    <w:spacing w:before="0" w:beforeAutospacing="0" w:after="0" w:afterAutospacing="0"/>
                    <w:ind w:left="-105" w:leftChars="-50" w:right="-105" w:rightChars="-50"/>
                    <w:rPr>
                      <w:rFonts w:hint="eastAsia"/>
                      <w:color w:val="auto"/>
                    </w:rPr>
                  </w:pPr>
                </w:p>
              </w:tc>
              <w:tc>
                <w:tcPr>
                  <w:tcW w:w="716" w:type="dxa"/>
                  <w:vMerge w:val="continue"/>
                  <w:tcBorders>
                    <w:tl2br w:val="nil"/>
                    <w:tr2bl w:val="nil"/>
                  </w:tcBorders>
                  <w:noWrap w:val="0"/>
                  <w:vAlign w:val="center"/>
                </w:tcPr>
                <w:p w14:paraId="33123763">
                  <w:pPr>
                    <w:pStyle w:val="163"/>
                    <w:keepNext w:val="0"/>
                    <w:keepLines w:val="0"/>
                    <w:suppressLineNumbers w:val="0"/>
                    <w:spacing w:before="0" w:beforeAutospacing="0" w:after="0" w:afterAutospacing="0"/>
                    <w:ind w:left="-105" w:leftChars="-50" w:right="-105" w:rightChars="-50"/>
                    <w:rPr>
                      <w:rFonts w:hint="eastAsia"/>
                      <w:color w:val="auto"/>
                    </w:rPr>
                  </w:pPr>
                </w:p>
              </w:tc>
              <w:tc>
                <w:tcPr>
                  <w:tcW w:w="640" w:type="dxa"/>
                  <w:vMerge w:val="restart"/>
                  <w:tcBorders>
                    <w:tl2br w:val="nil"/>
                    <w:tr2bl w:val="nil"/>
                  </w:tcBorders>
                  <w:noWrap w:val="0"/>
                  <w:vAlign w:val="center"/>
                </w:tcPr>
                <w:p w14:paraId="23B13330">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产生浓度</w:t>
                  </w:r>
                </w:p>
                <w:p w14:paraId="0F38CEB6">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mg/m</w:t>
                  </w:r>
                  <w:r>
                    <w:rPr>
                      <w:rFonts w:hint="eastAsia"/>
                      <w:color w:val="auto"/>
                      <w:vertAlign w:val="superscript"/>
                    </w:rPr>
                    <w:t>3</w:t>
                  </w:r>
                </w:p>
              </w:tc>
              <w:tc>
                <w:tcPr>
                  <w:tcW w:w="1199" w:type="dxa"/>
                  <w:gridSpan w:val="2"/>
                  <w:tcBorders>
                    <w:tl2br w:val="nil"/>
                    <w:tr2bl w:val="nil"/>
                  </w:tcBorders>
                  <w:noWrap w:val="0"/>
                  <w:vAlign w:val="center"/>
                </w:tcPr>
                <w:p w14:paraId="04FD8337">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产生量</w:t>
                  </w:r>
                </w:p>
                <w:p w14:paraId="5FE7692E">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（收集量）</w:t>
                  </w:r>
                </w:p>
              </w:tc>
              <w:tc>
                <w:tcPr>
                  <w:tcW w:w="548" w:type="dxa"/>
                  <w:tcBorders>
                    <w:tl2br w:val="nil"/>
                    <w:tr2bl w:val="nil"/>
                  </w:tcBorders>
                  <w:noWrap w:val="0"/>
                  <w:vAlign w:val="center"/>
                </w:tcPr>
                <w:p w14:paraId="0D272886">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处理能力</w:t>
                  </w:r>
                </w:p>
              </w:tc>
              <w:tc>
                <w:tcPr>
                  <w:tcW w:w="523" w:type="dxa"/>
                  <w:tcBorders>
                    <w:tl2br w:val="nil"/>
                    <w:tr2bl w:val="nil"/>
                  </w:tcBorders>
                  <w:noWrap w:val="0"/>
                  <w:vAlign w:val="center"/>
                </w:tcPr>
                <w:p w14:paraId="4948865A">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收集效率</w:t>
                  </w:r>
                </w:p>
              </w:tc>
              <w:tc>
                <w:tcPr>
                  <w:tcW w:w="523" w:type="dxa"/>
                  <w:tcBorders>
                    <w:tl2br w:val="nil"/>
                    <w:tr2bl w:val="nil"/>
                  </w:tcBorders>
                  <w:noWrap w:val="0"/>
                  <w:vAlign w:val="center"/>
                </w:tcPr>
                <w:p w14:paraId="089BEC61">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去除效率</w:t>
                  </w:r>
                </w:p>
              </w:tc>
              <w:tc>
                <w:tcPr>
                  <w:tcW w:w="376" w:type="dxa"/>
                  <w:vMerge w:val="restart"/>
                  <w:tcBorders>
                    <w:tl2br w:val="nil"/>
                    <w:tr2bl w:val="nil"/>
                  </w:tcBorders>
                  <w:noWrap w:val="0"/>
                  <w:vAlign w:val="center"/>
                </w:tcPr>
                <w:p w14:paraId="2FC0A89B">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是否可行</w:t>
                  </w:r>
                </w:p>
              </w:tc>
              <w:tc>
                <w:tcPr>
                  <w:tcW w:w="802" w:type="dxa"/>
                  <w:vMerge w:val="restart"/>
                  <w:tcBorders>
                    <w:tl2br w:val="nil"/>
                    <w:tr2bl w:val="nil"/>
                  </w:tcBorders>
                  <w:noWrap w:val="0"/>
                  <w:vAlign w:val="center"/>
                </w:tcPr>
                <w:p w14:paraId="583EB1E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处理工艺</w:t>
                  </w:r>
                </w:p>
              </w:tc>
              <w:tc>
                <w:tcPr>
                  <w:tcW w:w="603" w:type="dxa"/>
                  <w:vMerge w:val="restart"/>
                  <w:tcBorders>
                    <w:tl2br w:val="nil"/>
                    <w:tr2bl w:val="nil"/>
                  </w:tcBorders>
                  <w:noWrap w:val="0"/>
                  <w:vAlign w:val="center"/>
                </w:tcPr>
                <w:p w14:paraId="72F5ED76">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排放浓度</w:t>
                  </w:r>
                </w:p>
                <w:p w14:paraId="067057C9">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mg/m</w:t>
                  </w:r>
                  <w:r>
                    <w:rPr>
                      <w:rFonts w:hint="eastAsia"/>
                      <w:color w:val="auto"/>
                      <w:vertAlign w:val="superscript"/>
                    </w:rPr>
                    <w:t>3</w:t>
                  </w:r>
                </w:p>
              </w:tc>
              <w:tc>
                <w:tcPr>
                  <w:tcW w:w="1296" w:type="dxa"/>
                  <w:gridSpan w:val="2"/>
                  <w:tcBorders>
                    <w:tl2br w:val="nil"/>
                    <w:tr2bl w:val="nil"/>
                  </w:tcBorders>
                  <w:noWrap w:val="0"/>
                  <w:vAlign w:val="center"/>
                </w:tcPr>
                <w:p w14:paraId="04D5E218">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排放量</w:t>
                  </w:r>
                </w:p>
              </w:tc>
              <w:tc>
                <w:tcPr>
                  <w:tcW w:w="636" w:type="dxa"/>
                  <w:tcBorders>
                    <w:tl2br w:val="nil"/>
                    <w:tr2bl w:val="nil"/>
                  </w:tcBorders>
                  <w:noWrap w:val="0"/>
                  <w:vAlign w:val="center"/>
                </w:tcPr>
                <w:p w14:paraId="56FF81F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编号及名称</w:t>
                  </w:r>
                </w:p>
              </w:tc>
              <w:tc>
                <w:tcPr>
                  <w:tcW w:w="443" w:type="dxa"/>
                  <w:tcBorders>
                    <w:tl2br w:val="nil"/>
                    <w:tr2bl w:val="nil"/>
                  </w:tcBorders>
                  <w:noWrap w:val="0"/>
                  <w:vAlign w:val="center"/>
                </w:tcPr>
                <w:p w14:paraId="213E5E0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高度</w:t>
                  </w:r>
                </w:p>
              </w:tc>
              <w:tc>
                <w:tcPr>
                  <w:tcW w:w="434" w:type="dxa"/>
                  <w:tcBorders>
                    <w:tl2br w:val="nil"/>
                    <w:tr2bl w:val="nil"/>
                  </w:tcBorders>
                  <w:noWrap w:val="0"/>
                  <w:vAlign w:val="center"/>
                </w:tcPr>
                <w:p w14:paraId="33C87AE4">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内径</w:t>
                  </w:r>
                </w:p>
              </w:tc>
              <w:tc>
                <w:tcPr>
                  <w:tcW w:w="423" w:type="dxa"/>
                  <w:tcBorders>
                    <w:tl2br w:val="nil"/>
                    <w:tr2bl w:val="nil"/>
                  </w:tcBorders>
                  <w:noWrap w:val="0"/>
                  <w:vAlign w:val="center"/>
                </w:tcPr>
                <w:p w14:paraId="1A23BAC0">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温度</w:t>
                  </w:r>
                </w:p>
              </w:tc>
              <w:tc>
                <w:tcPr>
                  <w:tcW w:w="511" w:type="dxa"/>
                  <w:tcBorders>
                    <w:tl2br w:val="nil"/>
                    <w:tr2bl w:val="nil"/>
                  </w:tcBorders>
                  <w:noWrap w:val="0"/>
                  <w:vAlign w:val="center"/>
                </w:tcPr>
                <w:p w14:paraId="5F9A1AF7">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类型</w:t>
                  </w:r>
                </w:p>
              </w:tc>
              <w:tc>
                <w:tcPr>
                  <w:tcW w:w="793" w:type="dxa"/>
                  <w:tcBorders>
                    <w:tl2br w:val="nil"/>
                    <w:tr2bl w:val="nil"/>
                  </w:tcBorders>
                  <w:noWrap w:val="0"/>
                  <w:vAlign w:val="center"/>
                </w:tcPr>
                <w:p w14:paraId="22F5DDE5">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地理</w:t>
                  </w:r>
                </w:p>
                <w:p w14:paraId="7F1BCFA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坐标</w:t>
                  </w:r>
                </w:p>
              </w:tc>
              <w:tc>
                <w:tcPr>
                  <w:tcW w:w="753" w:type="dxa"/>
                  <w:vMerge w:val="restart"/>
                  <w:tcBorders>
                    <w:tl2br w:val="nil"/>
                    <w:tr2bl w:val="nil"/>
                  </w:tcBorders>
                  <w:noWrap w:val="0"/>
                  <w:vAlign w:val="center"/>
                </w:tcPr>
                <w:p w14:paraId="756698C8">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浓度</w:t>
                  </w:r>
                </w:p>
                <w:p w14:paraId="60301C82">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mg/m</w:t>
                  </w:r>
                  <w:r>
                    <w:rPr>
                      <w:rFonts w:hint="eastAsia"/>
                      <w:color w:val="auto"/>
                      <w:vertAlign w:val="superscript"/>
                    </w:rPr>
                    <w:t>3</w:t>
                  </w:r>
                </w:p>
              </w:tc>
              <w:tc>
                <w:tcPr>
                  <w:tcW w:w="439" w:type="dxa"/>
                  <w:vMerge w:val="restart"/>
                  <w:tcBorders>
                    <w:tl2br w:val="nil"/>
                    <w:tr2bl w:val="nil"/>
                  </w:tcBorders>
                  <w:noWrap w:val="0"/>
                  <w:vAlign w:val="center"/>
                </w:tcPr>
                <w:p w14:paraId="71F3373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速率</w:t>
                  </w:r>
                </w:p>
                <w:p w14:paraId="6C0263D6">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kg/h</w:t>
                  </w:r>
                </w:p>
              </w:tc>
            </w:tr>
            <w:tr w14:paraId="00AF4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74" w:type="dxa"/>
                  <w:vMerge w:val="continue"/>
                  <w:tcBorders>
                    <w:tl2br w:val="nil"/>
                    <w:tr2bl w:val="nil"/>
                  </w:tcBorders>
                  <w:noWrap w:val="0"/>
                  <w:vAlign w:val="center"/>
                </w:tcPr>
                <w:p w14:paraId="5C96EE16">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330" w:type="dxa"/>
                  <w:vMerge w:val="continue"/>
                  <w:tcBorders>
                    <w:tl2br w:val="nil"/>
                    <w:tr2bl w:val="nil"/>
                  </w:tcBorders>
                  <w:noWrap w:val="0"/>
                  <w:vAlign w:val="center"/>
                </w:tcPr>
                <w:p w14:paraId="1C055516">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716" w:type="dxa"/>
                  <w:vMerge w:val="continue"/>
                  <w:tcBorders>
                    <w:tl2br w:val="nil"/>
                    <w:tr2bl w:val="nil"/>
                  </w:tcBorders>
                  <w:noWrap w:val="0"/>
                  <w:vAlign w:val="center"/>
                </w:tcPr>
                <w:p w14:paraId="4D68DBF8">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640" w:type="dxa"/>
                  <w:vMerge w:val="continue"/>
                  <w:tcBorders>
                    <w:tl2br w:val="nil"/>
                    <w:tr2bl w:val="nil"/>
                  </w:tcBorders>
                  <w:noWrap w:val="0"/>
                  <w:vAlign w:val="center"/>
                </w:tcPr>
                <w:p w14:paraId="3BACE611">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615" w:type="dxa"/>
                  <w:tcBorders>
                    <w:tl2br w:val="nil"/>
                    <w:tr2bl w:val="nil"/>
                  </w:tcBorders>
                  <w:noWrap w:val="0"/>
                  <w:vAlign w:val="center"/>
                </w:tcPr>
                <w:p w14:paraId="14E90B03">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kg/h</w:t>
                  </w:r>
                </w:p>
              </w:tc>
              <w:tc>
                <w:tcPr>
                  <w:tcW w:w="584" w:type="dxa"/>
                  <w:tcBorders>
                    <w:tl2br w:val="nil"/>
                    <w:tr2bl w:val="nil"/>
                  </w:tcBorders>
                  <w:noWrap w:val="0"/>
                  <w:vAlign w:val="center"/>
                </w:tcPr>
                <w:p w14:paraId="050D57D9">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t/a</w:t>
                  </w:r>
                </w:p>
              </w:tc>
              <w:tc>
                <w:tcPr>
                  <w:tcW w:w="548" w:type="dxa"/>
                  <w:tcBorders>
                    <w:tl2br w:val="nil"/>
                    <w:tr2bl w:val="nil"/>
                  </w:tcBorders>
                  <w:noWrap w:val="0"/>
                  <w:vAlign w:val="center"/>
                </w:tcPr>
                <w:p w14:paraId="73008004">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w:t>
                  </w:r>
                  <w:r>
                    <w:rPr>
                      <w:rFonts w:hint="eastAsia"/>
                      <w:color w:val="auto"/>
                      <w:vertAlign w:val="superscript"/>
                    </w:rPr>
                    <w:t>3</w:t>
                  </w:r>
                  <w:r>
                    <w:rPr>
                      <w:rFonts w:hint="eastAsia"/>
                      <w:color w:val="auto"/>
                    </w:rPr>
                    <w:t>/h</w:t>
                  </w:r>
                </w:p>
              </w:tc>
              <w:tc>
                <w:tcPr>
                  <w:tcW w:w="523" w:type="dxa"/>
                  <w:tcBorders>
                    <w:tl2br w:val="nil"/>
                    <w:tr2bl w:val="nil"/>
                  </w:tcBorders>
                  <w:noWrap w:val="0"/>
                  <w:vAlign w:val="center"/>
                </w:tcPr>
                <w:p w14:paraId="1340DA1B">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523" w:type="dxa"/>
                  <w:tcBorders>
                    <w:tl2br w:val="nil"/>
                    <w:tr2bl w:val="nil"/>
                  </w:tcBorders>
                  <w:noWrap w:val="0"/>
                  <w:vAlign w:val="center"/>
                </w:tcPr>
                <w:p w14:paraId="5F19DCD8">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376" w:type="dxa"/>
                  <w:vMerge w:val="continue"/>
                  <w:tcBorders>
                    <w:tl2br w:val="nil"/>
                    <w:tr2bl w:val="nil"/>
                  </w:tcBorders>
                  <w:noWrap w:val="0"/>
                  <w:vAlign w:val="center"/>
                </w:tcPr>
                <w:p w14:paraId="136D48CD">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802" w:type="dxa"/>
                  <w:vMerge w:val="continue"/>
                  <w:tcBorders>
                    <w:tl2br w:val="nil"/>
                    <w:tr2bl w:val="nil"/>
                  </w:tcBorders>
                  <w:noWrap w:val="0"/>
                  <w:vAlign w:val="center"/>
                </w:tcPr>
                <w:p w14:paraId="6EDC19E6">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603" w:type="dxa"/>
                  <w:vMerge w:val="continue"/>
                  <w:tcBorders>
                    <w:tl2br w:val="nil"/>
                    <w:tr2bl w:val="nil"/>
                  </w:tcBorders>
                  <w:noWrap w:val="0"/>
                  <w:vAlign w:val="center"/>
                </w:tcPr>
                <w:p w14:paraId="26E84730">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645" w:type="dxa"/>
                  <w:tcBorders>
                    <w:tl2br w:val="nil"/>
                    <w:tr2bl w:val="nil"/>
                  </w:tcBorders>
                  <w:noWrap w:val="0"/>
                  <w:vAlign w:val="center"/>
                </w:tcPr>
                <w:p w14:paraId="3D2A05E3">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kg/h</w:t>
                  </w:r>
                </w:p>
              </w:tc>
              <w:tc>
                <w:tcPr>
                  <w:tcW w:w="651" w:type="dxa"/>
                  <w:tcBorders>
                    <w:tl2br w:val="nil"/>
                    <w:tr2bl w:val="nil"/>
                  </w:tcBorders>
                  <w:noWrap w:val="0"/>
                  <w:vAlign w:val="center"/>
                </w:tcPr>
                <w:p w14:paraId="00BE1BBE">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t/a</w:t>
                  </w:r>
                </w:p>
              </w:tc>
              <w:tc>
                <w:tcPr>
                  <w:tcW w:w="636" w:type="dxa"/>
                  <w:tcBorders>
                    <w:tl2br w:val="nil"/>
                    <w:tr2bl w:val="nil"/>
                  </w:tcBorders>
                  <w:noWrap w:val="0"/>
                  <w:vAlign w:val="center"/>
                </w:tcPr>
                <w:p w14:paraId="3471FF82">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443" w:type="dxa"/>
                  <w:tcBorders>
                    <w:tl2br w:val="nil"/>
                    <w:tr2bl w:val="nil"/>
                  </w:tcBorders>
                  <w:noWrap w:val="0"/>
                  <w:vAlign w:val="center"/>
                </w:tcPr>
                <w:p w14:paraId="06E53EDC">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w:t>
                  </w:r>
                </w:p>
              </w:tc>
              <w:tc>
                <w:tcPr>
                  <w:tcW w:w="434" w:type="dxa"/>
                  <w:tcBorders>
                    <w:tl2br w:val="nil"/>
                    <w:tr2bl w:val="nil"/>
                  </w:tcBorders>
                  <w:noWrap w:val="0"/>
                  <w:vAlign w:val="center"/>
                </w:tcPr>
                <w:p w14:paraId="482DFB0F">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m</w:t>
                  </w:r>
                </w:p>
              </w:tc>
              <w:tc>
                <w:tcPr>
                  <w:tcW w:w="423" w:type="dxa"/>
                  <w:tcBorders>
                    <w:tl2br w:val="nil"/>
                    <w:tr2bl w:val="nil"/>
                  </w:tcBorders>
                  <w:noWrap w:val="0"/>
                  <w:vAlign w:val="center"/>
                </w:tcPr>
                <w:p w14:paraId="3DBAC438">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511" w:type="dxa"/>
                  <w:tcBorders>
                    <w:tl2br w:val="nil"/>
                    <w:tr2bl w:val="nil"/>
                  </w:tcBorders>
                  <w:noWrap w:val="0"/>
                  <w:vAlign w:val="center"/>
                </w:tcPr>
                <w:p w14:paraId="5C3A6954">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793" w:type="dxa"/>
                  <w:tcBorders>
                    <w:tl2br w:val="nil"/>
                    <w:tr2bl w:val="nil"/>
                  </w:tcBorders>
                  <w:noWrap w:val="0"/>
                  <w:vAlign w:val="center"/>
                </w:tcPr>
                <w:p w14:paraId="7F8F48DB">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rPr>
                    <w:t>/</w:t>
                  </w:r>
                </w:p>
              </w:tc>
              <w:tc>
                <w:tcPr>
                  <w:tcW w:w="753" w:type="dxa"/>
                  <w:vMerge w:val="continue"/>
                  <w:tcBorders>
                    <w:tl2br w:val="nil"/>
                    <w:tr2bl w:val="nil"/>
                  </w:tcBorders>
                  <w:noWrap w:val="0"/>
                  <w:vAlign w:val="center"/>
                </w:tcPr>
                <w:p w14:paraId="0B2E7CC1">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c>
                <w:tcPr>
                  <w:tcW w:w="439" w:type="dxa"/>
                  <w:vMerge w:val="continue"/>
                  <w:tcBorders>
                    <w:tl2br w:val="nil"/>
                    <w:tr2bl w:val="nil"/>
                  </w:tcBorders>
                  <w:noWrap w:val="0"/>
                  <w:vAlign w:val="center"/>
                </w:tcPr>
                <w:p w14:paraId="4847AEC3">
                  <w:pPr>
                    <w:keepNext w:val="0"/>
                    <w:keepLines w:val="0"/>
                    <w:suppressLineNumbers w:val="0"/>
                    <w:adjustRightInd w:val="0"/>
                    <w:snapToGrid w:val="0"/>
                    <w:spacing w:before="0" w:beforeAutospacing="0" w:after="0" w:afterAutospacing="0"/>
                    <w:ind w:left="0" w:right="0"/>
                    <w:jc w:val="center"/>
                    <w:rPr>
                      <w:rFonts w:hint="default"/>
                      <w:bCs/>
                      <w:color w:val="auto"/>
                      <w:sz w:val="18"/>
                      <w:szCs w:val="18"/>
                    </w:rPr>
                  </w:pPr>
                </w:p>
              </w:tc>
            </w:tr>
            <w:tr w14:paraId="0EE3E4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2" w:hRule="atLeast"/>
                <w:jc w:val="center"/>
              </w:trPr>
              <w:tc>
                <w:tcPr>
                  <w:tcW w:w="474" w:type="dxa"/>
                  <w:vMerge w:val="restart"/>
                  <w:noWrap w:val="0"/>
                  <w:vAlign w:val="center"/>
                </w:tcPr>
                <w:p w14:paraId="352C9569">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调漆和喷漆</w:t>
                  </w:r>
                </w:p>
              </w:tc>
              <w:tc>
                <w:tcPr>
                  <w:tcW w:w="330" w:type="dxa"/>
                  <w:vMerge w:val="restart"/>
                  <w:tcBorders>
                    <w:tl2br w:val="nil"/>
                    <w:tr2bl w:val="nil"/>
                  </w:tcBorders>
                  <w:noWrap w:val="0"/>
                  <w:vAlign w:val="center"/>
                </w:tcPr>
                <w:p w14:paraId="4D1BC09A">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有组织</w:t>
                  </w:r>
                </w:p>
              </w:tc>
              <w:tc>
                <w:tcPr>
                  <w:tcW w:w="716" w:type="dxa"/>
                  <w:tcBorders>
                    <w:tl2br w:val="nil"/>
                    <w:tr2bl w:val="nil"/>
                  </w:tcBorders>
                  <w:noWrap w:val="0"/>
                  <w:vAlign w:val="center"/>
                </w:tcPr>
                <w:p w14:paraId="4E27B934">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二甲苯</w:t>
                  </w:r>
                </w:p>
              </w:tc>
              <w:tc>
                <w:tcPr>
                  <w:tcW w:w="640" w:type="dxa"/>
                  <w:tcBorders>
                    <w:tl2br w:val="nil"/>
                    <w:tr2bl w:val="nil"/>
                  </w:tcBorders>
                  <w:shd w:val="clear" w:color="auto" w:fill="auto"/>
                  <w:noWrap w:val="0"/>
                  <w:vAlign w:val="center"/>
                </w:tcPr>
                <w:p w14:paraId="1A08C869">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15</w:t>
                  </w:r>
                </w:p>
              </w:tc>
              <w:tc>
                <w:tcPr>
                  <w:tcW w:w="615" w:type="dxa"/>
                  <w:tcBorders>
                    <w:tl2br w:val="nil"/>
                    <w:tr2bl w:val="nil"/>
                  </w:tcBorders>
                  <w:noWrap w:val="0"/>
                  <w:vAlign w:val="center"/>
                </w:tcPr>
                <w:p w14:paraId="4DBF7F3A">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0.03</w:t>
                  </w:r>
                </w:p>
              </w:tc>
              <w:tc>
                <w:tcPr>
                  <w:tcW w:w="584" w:type="dxa"/>
                  <w:tcBorders>
                    <w:tl2br w:val="nil"/>
                    <w:tr2bl w:val="nil"/>
                  </w:tcBorders>
                  <w:shd w:val="clear" w:color="auto" w:fill="auto"/>
                  <w:noWrap w:val="0"/>
                  <w:vAlign w:val="center"/>
                </w:tcPr>
                <w:p w14:paraId="0163C554">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0.072</w:t>
                  </w:r>
                </w:p>
              </w:tc>
              <w:tc>
                <w:tcPr>
                  <w:tcW w:w="548" w:type="dxa"/>
                  <w:vMerge w:val="restart"/>
                  <w:tcBorders>
                    <w:tl2br w:val="nil"/>
                    <w:tr2bl w:val="nil"/>
                  </w:tcBorders>
                  <w:noWrap w:val="0"/>
                  <w:vAlign w:val="center"/>
                </w:tcPr>
                <w:p w14:paraId="53778D2E">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color w:val="auto"/>
                      <w:lang w:val="en-US" w:eastAsia="zh-CN"/>
                    </w:rPr>
                    <w:t>2000</w:t>
                  </w:r>
                </w:p>
              </w:tc>
              <w:tc>
                <w:tcPr>
                  <w:tcW w:w="523" w:type="dxa"/>
                  <w:tcBorders>
                    <w:tl2br w:val="nil"/>
                    <w:tr2bl w:val="nil"/>
                  </w:tcBorders>
                  <w:noWrap w:val="0"/>
                  <w:vAlign w:val="center"/>
                </w:tcPr>
                <w:p w14:paraId="1CF5C3ED">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90</w:t>
                  </w:r>
                </w:p>
              </w:tc>
              <w:tc>
                <w:tcPr>
                  <w:tcW w:w="523" w:type="dxa"/>
                  <w:tcBorders>
                    <w:tl2br w:val="nil"/>
                    <w:tr2bl w:val="nil"/>
                  </w:tcBorders>
                  <w:noWrap w:val="0"/>
                  <w:vAlign w:val="center"/>
                </w:tcPr>
                <w:p w14:paraId="17343C66">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27.75</w:t>
                  </w:r>
                </w:p>
              </w:tc>
              <w:tc>
                <w:tcPr>
                  <w:tcW w:w="376" w:type="dxa"/>
                  <w:tcBorders>
                    <w:tl2br w:val="nil"/>
                    <w:tr2bl w:val="nil"/>
                  </w:tcBorders>
                  <w:noWrap w:val="0"/>
                  <w:vAlign w:val="center"/>
                </w:tcPr>
                <w:p w14:paraId="5D66DF47">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是</w:t>
                  </w:r>
                </w:p>
              </w:tc>
              <w:tc>
                <w:tcPr>
                  <w:tcW w:w="802" w:type="dxa"/>
                  <w:vMerge w:val="restart"/>
                  <w:tcBorders>
                    <w:tl2br w:val="nil"/>
                    <w:tr2bl w:val="nil"/>
                  </w:tcBorders>
                  <w:noWrap w:val="0"/>
                  <w:vAlign w:val="center"/>
                </w:tcPr>
                <w:p w14:paraId="45828E6A">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18"/>
                      <w:lang w:val="en-US" w:eastAsia="zh-CN"/>
                    </w:rPr>
                    <w:t>多级过滤+两</w:t>
                  </w:r>
                  <w:r>
                    <w:rPr>
                      <w:rFonts w:hint="eastAsia" w:cs="Times New Roman"/>
                      <w:color w:val="auto"/>
                      <w:sz w:val="21"/>
                      <w:szCs w:val="18"/>
                      <w:lang w:eastAsia="zh-CN"/>
                    </w:rPr>
                    <w:t>级活性炭吸附</w:t>
                  </w:r>
                </w:p>
              </w:tc>
              <w:tc>
                <w:tcPr>
                  <w:tcW w:w="603" w:type="dxa"/>
                  <w:tcBorders>
                    <w:tl2br w:val="nil"/>
                    <w:tr2bl w:val="nil"/>
                  </w:tcBorders>
                  <w:shd w:val="clear" w:color="auto" w:fill="auto"/>
                  <w:noWrap w:val="0"/>
                  <w:vAlign w:val="center"/>
                </w:tcPr>
                <w:p w14:paraId="602A25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11</w:t>
                  </w:r>
                </w:p>
              </w:tc>
              <w:tc>
                <w:tcPr>
                  <w:tcW w:w="645" w:type="dxa"/>
                  <w:tcBorders>
                    <w:tl2br w:val="nil"/>
                    <w:tr2bl w:val="nil"/>
                  </w:tcBorders>
                  <w:shd w:val="clear" w:color="auto" w:fill="auto"/>
                  <w:noWrap w:val="0"/>
                  <w:vAlign w:val="center"/>
                </w:tcPr>
                <w:p w14:paraId="2976AC08">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0.022</w:t>
                  </w:r>
                </w:p>
              </w:tc>
              <w:tc>
                <w:tcPr>
                  <w:tcW w:w="651" w:type="dxa"/>
                  <w:tcBorders>
                    <w:tl2br w:val="nil"/>
                    <w:tr2bl w:val="nil"/>
                  </w:tcBorders>
                  <w:shd w:val="clear" w:color="auto" w:fill="auto"/>
                  <w:noWrap w:val="0"/>
                  <w:vAlign w:val="center"/>
                </w:tcPr>
                <w:p w14:paraId="61010BBE">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0.052</w:t>
                  </w:r>
                </w:p>
              </w:tc>
              <w:tc>
                <w:tcPr>
                  <w:tcW w:w="636" w:type="dxa"/>
                  <w:vMerge w:val="restart"/>
                  <w:tcBorders>
                    <w:tl2br w:val="nil"/>
                    <w:tr2bl w:val="nil"/>
                  </w:tcBorders>
                  <w:noWrap w:val="0"/>
                  <w:vAlign w:val="center"/>
                </w:tcPr>
                <w:p w14:paraId="069BC59D">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DA002</w:t>
                  </w:r>
                </w:p>
              </w:tc>
              <w:tc>
                <w:tcPr>
                  <w:tcW w:w="443" w:type="dxa"/>
                  <w:vMerge w:val="restart"/>
                  <w:tcBorders>
                    <w:tl2br w:val="nil"/>
                    <w:tr2bl w:val="nil"/>
                  </w:tcBorders>
                  <w:noWrap w:val="0"/>
                  <w:vAlign w:val="center"/>
                </w:tcPr>
                <w:p w14:paraId="0AD93A7A">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FF"/>
                      <w:kern w:val="2"/>
                      <w:sz w:val="21"/>
                      <w:szCs w:val="21"/>
                      <w:lang w:val="en-US" w:eastAsia="zh-CN" w:bidi="ar-SA"/>
                    </w:rPr>
                  </w:pPr>
                  <w:r>
                    <w:rPr>
                      <w:rFonts w:hint="eastAsia"/>
                      <w:color w:val="0000FF"/>
                      <w:lang w:val="en-US" w:eastAsia="zh-CN"/>
                    </w:rPr>
                    <w:t>15</w:t>
                  </w:r>
                </w:p>
              </w:tc>
              <w:tc>
                <w:tcPr>
                  <w:tcW w:w="434" w:type="dxa"/>
                  <w:vMerge w:val="restart"/>
                  <w:tcBorders>
                    <w:tl2br w:val="nil"/>
                    <w:tr2bl w:val="nil"/>
                  </w:tcBorders>
                  <w:noWrap w:val="0"/>
                  <w:vAlign w:val="center"/>
                </w:tcPr>
                <w:p w14:paraId="1E912047">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FF"/>
                      <w:kern w:val="2"/>
                      <w:sz w:val="21"/>
                      <w:szCs w:val="21"/>
                      <w:lang w:val="en-US" w:eastAsia="zh-CN" w:bidi="ar-SA"/>
                    </w:rPr>
                  </w:pPr>
                  <w:r>
                    <w:rPr>
                      <w:rFonts w:hint="eastAsia"/>
                      <w:color w:val="0000FF"/>
                      <w:lang w:val="en-US" w:eastAsia="zh-CN"/>
                    </w:rPr>
                    <w:t>0.2</w:t>
                  </w:r>
                </w:p>
              </w:tc>
              <w:tc>
                <w:tcPr>
                  <w:tcW w:w="423" w:type="dxa"/>
                  <w:vMerge w:val="restart"/>
                  <w:tcBorders>
                    <w:tl2br w:val="nil"/>
                    <w:tr2bl w:val="nil"/>
                  </w:tcBorders>
                  <w:noWrap w:val="0"/>
                  <w:vAlign w:val="center"/>
                </w:tcPr>
                <w:p w14:paraId="78AA4962">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30</w:t>
                  </w:r>
                </w:p>
              </w:tc>
              <w:tc>
                <w:tcPr>
                  <w:tcW w:w="511" w:type="dxa"/>
                  <w:vMerge w:val="restart"/>
                  <w:tcBorders>
                    <w:tl2br w:val="nil"/>
                    <w:tr2bl w:val="nil"/>
                  </w:tcBorders>
                  <w:shd w:val="clear" w:color="auto" w:fill="auto"/>
                  <w:noWrap w:val="0"/>
                  <w:vAlign w:val="center"/>
                </w:tcPr>
                <w:p w14:paraId="610197B0">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rPr>
                    <w:t>一般排放口</w:t>
                  </w:r>
                </w:p>
              </w:tc>
              <w:tc>
                <w:tcPr>
                  <w:tcW w:w="793" w:type="dxa"/>
                  <w:vMerge w:val="restart"/>
                  <w:tcBorders>
                    <w:tl2br w:val="nil"/>
                    <w:tr2bl w:val="nil"/>
                  </w:tcBorders>
                  <w:noWrap w:val="0"/>
                  <w:vAlign w:val="center"/>
                </w:tcPr>
                <w:p w14:paraId="419634AC">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default"/>
                      <w:color w:val="auto"/>
                    </w:rPr>
                    <w:t>E115.396479°</w:t>
                  </w:r>
                  <w:r>
                    <w:rPr>
                      <w:rFonts w:hint="eastAsia"/>
                      <w:color w:val="auto"/>
                      <w:lang w:eastAsia="zh-CN"/>
                    </w:rPr>
                    <w:t>，</w:t>
                  </w:r>
                  <w:r>
                    <w:rPr>
                      <w:rFonts w:hint="default"/>
                      <w:color w:val="auto"/>
                    </w:rPr>
                    <w:t>N28.466968°</w:t>
                  </w:r>
                </w:p>
              </w:tc>
              <w:tc>
                <w:tcPr>
                  <w:tcW w:w="753" w:type="dxa"/>
                  <w:tcBorders>
                    <w:tl2br w:val="nil"/>
                    <w:tr2bl w:val="nil"/>
                  </w:tcBorders>
                  <w:noWrap w:val="0"/>
                  <w:vAlign w:val="center"/>
                </w:tcPr>
                <w:p w14:paraId="57AA0FE7">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40</w:t>
                  </w:r>
                </w:p>
              </w:tc>
              <w:tc>
                <w:tcPr>
                  <w:tcW w:w="439" w:type="dxa"/>
                  <w:tcBorders>
                    <w:tl2br w:val="nil"/>
                    <w:tr2bl w:val="nil"/>
                  </w:tcBorders>
                  <w:noWrap w:val="0"/>
                  <w:vAlign w:val="center"/>
                </w:tcPr>
                <w:p w14:paraId="5E58C838">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w:t>
                  </w:r>
                </w:p>
              </w:tc>
            </w:tr>
            <w:tr w14:paraId="59E2D3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74" w:type="dxa"/>
                  <w:vMerge w:val="continue"/>
                  <w:noWrap w:val="0"/>
                  <w:vAlign w:val="center"/>
                </w:tcPr>
                <w:p w14:paraId="55A3EE61">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330" w:type="dxa"/>
                  <w:vMerge w:val="continue"/>
                  <w:tcBorders>
                    <w:tl2br w:val="nil"/>
                    <w:tr2bl w:val="nil"/>
                  </w:tcBorders>
                  <w:noWrap w:val="0"/>
                  <w:vAlign w:val="center"/>
                </w:tcPr>
                <w:p w14:paraId="5F12D0D0">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716" w:type="dxa"/>
                  <w:tcBorders>
                    <w:tl2br w:val="nil"/>
                    <w:tr2bl w:val="nil"/>
                  </w:tcBorders>
                  <w:shd w:val="clear" w:color="auto" w:fill="auto"/>
                  <w:noWrap w:val="0"/>
                  <w:vAlign w:val="center"/>
                </w:tcPr>
                <w:p w14:paraId="0F932552">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非甲烷总烃</w:t>
                  </w:r>
                </w:p>
              </w:tc>
              <w:tc>
                <w:tcPr>
                  <w:tcW w:w="640" w:type="dxa"/>
                  <w:tcBorders>
                    <w:tl2br w:val="nil"/>
                    <w:tr2bl w:val="nil"/>
                  </w:tcBorders>
                  <w:shd w:val="clear" w:color="auto" w:fill="auto"/>
                  <w:noWrap w:val="0"/>
                  <w:vAlign w:val="center"/>
                </w:tcPr>
                <w:p w14:paraId="46A28B46">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83.13</w:t>
                  </w:r>
                </w:p>
              </w:tc>
              <w:tc>
                <w:tcPr>
                  <w:tcW w:w="615" w:type="dxa"/>
                  <w:tcBorders>
                    <w:tl2br w:val="nil"/>
                    <w:tr2bl w:val="nil"/>
                  </w:tcBorders>
                  <w:shd w:val="clear" w:color="auto" w:fill="auto"/>
                  <w:noWrap w:val="0"/>
                  <w:vAlign w:val="center"/>
                </w:tcPr>
                <w:p w14:paraId="481AE85E">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0.166</w:t>
                  </w:r>
                </w:p>
              </w:tc>
              <w:tc>
                <w:tcPr>
                  <w:tcW w:w="584" w:type="dxa"/>
                  <w:tcBorders>
                    <w:tl2br w:val="nil"/>
                    <w:tr2bl w:val="nil"/>
                  </w:tcBorders>
                  <w:shd w:val="clear" w:color="auto" w:fill="auto"/>
                  <w:noWrap w:val="0"/>
                  <w:vAlign w:val="center"/>
                </w:tcPr>
                <w:p w14:paraId="63859E6A">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0.399</w:t>
                  </w:r>
                </w:p>
              </w:tc>
              <w:tc>
                <w:tcPr>
                  <w:tcW w:w="548" w:type="dxa"/>
                  <w:vMerge w:val="continue"/>
                  <w:tcBorders>
                    <w:tl2br w:val="nil"/>
                    <w:tr2bl w:val="nil"/>
                  </w:tcBorders>
                  <w:shd w:val="clear" w:color="auto" w:fill="auto"/>
                  <w:noWrap w:val="0"/>
                  <w:vAlign w:val="center"/>
                </w:tcPr>
                <w:p w14:paraId="1FED481A">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p>
              </w:tc>
              <w:tc>
                <w:tcPr>
                  <w:tcW w:w="523" w:type="dxa"/>
                  <w:tcBorders>
                    <w:tl2br w:val="nil"/>
                    <w:tr2bl w:val="nil"/>
                  </w:tcBorders>
                  <w:shd w:val="clear" w:color="auto" w:fill="auto"/>
                  <w:noWrap w:val="0"/>
                  <w:vAlign w:val="center"/>
                </w:tcPr>
                <w:p w14:paraId="7610D8DD">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90</w:t>
                  </w:r>
                </w:p>
              </w:tc>
              <w:tc>
                <w:tcPr>
                  <w:tcW w:w="523" w:type="dxa"/>
                  <w:tcBorders>
                    <w:tl2br w:val="nil"/>
                    <w:tr2bl w:val="nil"/>
                  </w:tcBorders>
                  <w:shd w:val="clear" w:color="auto" w:fill="auto"/>
                  <w:noWrap w:val="0"/>
                  <w:vAlign w:val="center"/>
                </w:tcPr>
                <w:p w14:paraId="5DE2506B">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27.75</w:t>
                  </w:r>
                </w:p>
              </w:tc>
              <w:tc>
                <w:tcPr>
                  <w:tcW w:w="376" w:type="dxa"/>
                  <w:tcBorders>
                    <w:tl2br w:val="nil"/>
                    <w:tr2bl w:val="nil"/>
                  </w:tcBorders>
                  <w:shd w:val="clear" w:color="auto" w:fill="auto"/>
                  <w:noWrap w:val="0"/>
                  <w:vAlign w:val="center"/>
                </w:tcPr>
                <w:p w14:paraId="15C6CA51">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是</w:t>
                  </w:r>
                </w:p>
              </w:tc>
              <w:tc>
                <w:tcPr>
                  <w:tcW w:w="802" w:type="dxa"/>
                  <w:vMerge w:val="continue"/>
                  <w:tcBorders>
                    <w:tl2br w:val="nil"/>
                    <w:tr2bl w:val="nil"/>
                  </w:tcBorders>
                  <w:shd w:val="clear" w:color="auto" w:fill="auto"/>
                  <w:noWrap w:val="0"/>
                  <w:vAlign w:val="center"/>
                </w:tcPr>
                <w:p w14:paraId="114D3523">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603" w:type="dxa"/>
                  <w:tcBorders>
                    <w:tl2br w:val="nil"/>
                    <w:tr2bl w:val="nil"/>
                  </w:tcBorders>
                  <w:shd w:val="clear" w:color="auto" w:fill="auto"/>
                  <w:noWrap w:val="0"/>
                  <w:vAlign w:val="center"/>
                </w:tcPr>
                <w:p w14:paraId="158C356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60</w:t>
                  </w:r>
                </w:p>
              </w:tc>
              <w:tc>
                <w:tcPr>
                  <w:tcW w:w="645" w:type="dxa"/>
                  <w:tcBorders>
                    <w:tl2br w:val="nil"/>
                    <w:tr2bl w:val="nil"/>
                  </w:tcBorders>
                  <w:shd w:val="clear" w:color="auto" w:fill="auto"/>
                  <w:noWrap w:val="0"/>
                  <w:vAlign w:val="center"/>
                </w:tcPr>
                <w:p w14:paraId="1F543511">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0.12</w:t>
                  </w:r>
                </w:p>
              </w:tc>
              <w:tc>
                <w:tcPr>
                  <w:tcW w:w="651" w:type="dxa"/>
                  <w:tcBorders>
                    <w:tl2br w:val="nil"/>
                    <w:tr2bl w:val="nil"/>
                  </w:tcBorders>
                  <w:shd w:val="clear" w:color="auto" w:fill="auto"/>
                  <w:noWrap w:val="0"/>
                  <w:vAlign w:val="center"/>
                </w:tcPr>
                <w:p w14:paraId="74BC35EF">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0.288</w:t>
                  </w:r>
                </w:p>
              </w:tc>
              <w:tc>
                <w:tcPr>
                  <w:tcW w:w="636" w:type="dxa"/>
                  <w:vMerge w:val="continue"/>
                  <w:tcBorders>
                    <w:tl2br w:val="nil"/>
                    <w:tr2bl w:val="nil"/>
                  </w:tcBorders>
                  <w:shd w:val="clear" w:color="auto" w:fill="auto"/>
                  <w:noWrap w:val="0"/>
                  <w:vAlign w:val="center"/>
                </w:tcPr>
                <w:p w14:paraId="5FE2E033">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443" w:type="dxa"/>
                  <w:vMerge w:val="continue"/>
                  <w:tcBorders>
                    <w:tl2br w:val="nil"/>
                    <w:tr2bl w:val="nil"/>
                  </w:tcBorders>
                  <w:shd w:val="clear" w:color="auto" w:fill="auto"/>
                  <w:noWrap w:val="0"/>
                  <w:vAlign w:val="center"/>
                </w:tcPr>
                <w:p w14:paraId="05173BD2">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434" w:type="dxa"/>
                  <w:vMerge w:val="continue"/>
                  <w:tcBorders>
                    <w:tl2br w:val="nil"/>
                    <w:tr2bl w:val="nil"/>
                  </w:tcBorders>
                  <w:shd w:val="clear" w:color="auto" w:fill="auto"/>
                  <w:noWrap w:val="0"/>
                  <w:vAlign w:val="center"/>
                </w:tcPr>
                <w:p w14:paraId="6AC49903">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423" w:type="dxa"/>
                  <w:vMerge w:val="continue"/>
                  <w:tcBorders>
                    <w:tl2br w:val="nil"/>
                    <w:tr2bl w:val="nil"/>
                  </w:tcBorders>
                  <w:shd w:val="clear" w:color="auto" w:fill="auto"/>
                  <w:noWrap w:val="0"/>
                  <w:vAlign w:val="center"/>
                </w:tcPr>
                <w:p w14:paraId="37E6438B">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511" w:type="dxa"/>
                  <w:vMerge w:val="continue"/>
                  <w:tcBorders>
                    <w:tl2br w:val="nil"/>
                    <w:tr2bl w:val="nil"/>
                  </w:tcBorders>
                  <w:shd w:val="clear" w:color="auto" w:fill="auto"/>
                  <w:noWrap w:val="0"/>
                  <w:vAlign w:val="center"/>
                </w:tcPr>
                <w:p w14:paraId="0B8E89BE">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p>
              </w:tc>
              <w:tc>
                <w:tcPr>
                  <w:tcW w:w="793" w:type="dxa"/>
                  <w:vMerge w:val="continue"/>
                  <w:tcBorders>
                    <w:tl2br w:val="nil"/>
                    <w:tr2bl w:val="nil"/>
                  </w:tcBorders>
                  <w:shd w:val="clear" w:color="auto" w:fill="auto"/>
                  <w:noWrap w:val="0"/>
                  <w:vAlign w:val="center"/>
                </w:tcPr>
                <w:p w14:paraId="2A1BEBF3">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p>
              </w:tc>
              <w:tc>
                <w:tcPr>
                  <w:tcW w:w="753" w:type="dxa"/>
                  <w:tcBorders>
                    <w:tl2br w:val="nil"/>
                    <w:tr2bl w:val="nil"/>
                  </w:tcBorders>
                  <w:shd w:val="clear" w:color="auto" w:fill="auto"/>
                  <w:noWrap w:val="0"/>
                  <w:vAlign w:val="center"/>
                </w:tcPr>
                <w:p w14:paraId="2AFE0458">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80</w:t>
                  </w:r>
                </w:p>
              </w:tc>
              <w:tc>
                <w:tcPr>
                  <w:tcW w:w="439" w:type="dxa"/>
                  <w:tcBorders>
                    <w:tl2br w:val="nil"/>
                    <w:tr2bl w:val="nil"/>
                  </w:tcBorders>
                  <w:shd w:val="clear" w:color="auto" w:fill="auto"/>
                  <w:noWrap w:val="0"/>
                  <w:vAlign w:val="center"/>
                </w:tcPr>
                <w:p w14:paraId="501B2501">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w:t>
                  </w:r>
                </w:p>
              </w:tc>
            </w:tr>
            <w:tr w14:paraId="1F593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74" w:type="dxa"/>
                  <w:vMerge w:val="continue"/>
                  <w:noWrap w:val="0"/>
                  <w:vAlign w:val="center"/>
                </w:tcPr>
                <w:p w14:paraId="0688D5AC">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330" w:type="dxa"/>
                  <w:vMerge w:val="continue"/>
                  <w:tcBorders>
                    <w:tl2br w:val="nil"/>
                    <w:tr2bl w:val="nil"/>
                  </w:tcBorders>
                  <w:noWrap w:val="0"/>
                  <w:vAlign w:val="center"/>
                </w:tcPr>
                <w:p w14:paraId="39355145">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716" w:type="dxa"/>
                  <w:tcBorders>
                    <w:tl2br w:val="nil"/>
                    <w:tr2bl w:val="nil"/>
                  </w:tcBorders>
                  <w:noWrap w:val="0"/>
                  <w:vAlign w:val="center"/>
                </w:tcPr>
                <w:p w14:paraId="518C3292">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漆雾</w:t>
                  </w:r>
                </w:p>
              </w:tc>
              <w:tc>
                <w:tcPr>
                  <w:tcW w:w="640" w:type="dxa"/>
                  <w:tcBorders>
                    <w:tl2br w:val="nil"/>
                    <w:tr2bl w:val="nil"/>
                  </w:tcBorders>
                  <w:shd w:val="clear" w:color="auto" w:fill="auto"/>
                  <w:noWrap w:val="0"/>
                  <w:vAlign w:val="center"/>
                </w:tcPr>
                <w:p w14:paraId="1CC8CAFD">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25.42</w:t>
                  </w:r>
                </w:p>
              </w:tc>
              <w:tc>
                <w:tcPr>
                  <w:tcW w:w="615" w:type="dxa"/>
                  <w:tcBorders>
                    <w:tl2br w:val="nil"/>
                    <w:tr2bl w:val="nil"/>
                  </w:tcBorders>
                  <w:noWrap w:val="0"/>
                  <w:vAlign w:val="center"/>
                </w:tcPr>
                <w:p w14:paraId="698733CC">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0.051</w:t>
                  </w:r>
                </w:p>
              </w:tc>
              <w:tc>
                <w:tcPr>
                  <w:tcW w:w="584" w:type="dxa"/>
                  <w:tcBorders>
                    <w:tl2br w:val="nil"/>
                    <w:tr2bl w:val="nil"/>
                  </w:tcBorders>
                  <w:shd w:val="clear" w:color="auto" w:fill="auto"/>
                  <w:noWrap w:val="0"/>
                  <w:vAlign w:val="center"/>
                </w:tcPr>
                <w:p w14:paraId="2931A059">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0.122</w:t>
                  </w:r>
                </w:p>
              </w:tc>
              <w:tc>
                <w:tcPr>
                  <w:tcW w:w="548" w:type="dxa"/>
                  <w:vMerge w:val="continue"/>
                  <w:tcBorders>
                    <w:tl2br w:val="nil"/>
                    <w:tr2bl w:val="nil"/>
                  </w:tcBorders>
                  <w:noWrap w:val="0"/>
                  <w:vAlign w:val="center"/>
                </w:tcPr>
                <w:p w14:paraId="14DA69F5">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p>
              </w:tc>
              <w:tc>
                <w:tcPr>
                  <w:tcW w:w="523" w:type="dxa"/>
                  <w:tcBorders>
                    <w:tl2br w:val="nil"/>
                    <w:tr2bl w:val="nil"/>
                  </w:tcBorders>
                  <w:shd w:val="clear" w:color="auto" w:fill="auto"/>
                  <w:noWrap w:val="0"/>
                  <w:vAlign w:val="center"/>
                </w:tcPr>
                <w:p w14:paraId="21DBF5A7">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90</w:t>
                  </w:r>
                </w:p>
              </w:tc>
              <w:tc>
                <w:tcPr>
                  <w:tcW w:w="523" w:type="dxa"/>
                  <w:tcBorders>
                    <w:tl2br w:val="nil"/>
                    <w:tr2bl w:val="nil"/>
                  </w:tcBorders>
                  <w:shd w:val="clear" w:color="auto" w:fill="auto"/>
                  <w:noWrap w:val="0"/>
                  <w:vAlign w:val="center"/>
                </w:tcPr>
                <w:p w14:paraId="2CBAF4DB">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90</w:t>
                  </w:r>
                </w:p>
              </w:tc>
              <w:tc>
                <w:tcPr>
                  <w:tcW w:w="376" w:type="dxa"/>
                  <w:tcBorders>
                    <w:tl2br w:val="nil"/>
                    <w:tr2bl w:val="nil"/>
                  </w:tcBorders>
                  <w:noWrap w:val="0"/>
                  <w:vAlign w:val="center"/>
                </w:tcPr>
                <w:p w14:paraId="57B27428">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是</w:t>
                  </w:r>
                </w:p>
              </w:tc>
              <w:tc>
                <w:tcPr>
                  <w:tcW w:w="802" w:type="dxa"/>
                  <w:vMerge w:val="continue"/>
                  <w:tcBorders>
                    <w:tl2br w:val="nil"/>
                    <w:tr2bl w:val="nil"/>
                  </w:tcBorders>
                  <w:noWrap w:val="0"/>
                  <w:vAlign w:val="center"/>
                </w:tcPr>
                <w:p w14:paraId="2A4706DA">
                  <w:pPr>
                    <w:pStyle w:val="163"/>
                    <w:keepNext w:val="0"/>
                    <w:keepLines w:val="0"/>
                    <w:suppressLineNumbers w:val="0"/>
                    <w:spacing w:before="0" w:beforeAutospacing="0" w:after="0" w:afterAutospacing="0"/>
                    <w:ind w:left="-105" w:leftChars="-50" w:right="-105" w:rightChars="-50"/>
                    <w:rPr>
                      <w:rFonts w:hint="eastAsia" w:cs="Times New Roman"/>
                      <w:color w:val="auto"/>
                      <w:sz w:val="21"/>
                      <w:szCs w:val="18"/>
                      <w:lang w:eastAsia="zh-CN"/>
                    </w:rPr>
                  </w:pPr>
                </w:p>
              </w:tc>
              <w:tc>
                <w:tcPr>
                  <w:tcW w:w="603" w:type="dxa"/>
                  <w:tcBorders>
                    <w:tl2br w:val="nil"/>
                    <w:tr2bl w:val="nil"/>
                  </w:tcBorders>
                  <w:shd w:val="clear" w:color="auto" w:fill="auto"/>
                  <w:noWrap w:val="0"/>
                  <w:vAlign w:val="center"/>
                </w:tcPr>
                <w:p w14:paraId="636ED91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2.5</w:t>
                  </w:r>
                </w:p>
              </w:tc>
              <w:tc>
                <w:tcPr>
                  <w:tcW w:w="645" w:type="dxa"/>
                  <w:tcBorders>
                    <w:tl2br w:val="nil"/>
                    <w:tr2bl w:val="nil"/>
                  </w:tcBorders>
                  <w:shd w:val="clear" w:color="auto" w:fill="auto"/>
                  <w:noWrap w:val="0"/>
                  <w:vAlign w:val="center"/>
                </w:tcPr>
                <w:p w14:paraId="4E1FB846">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0.005</w:t>
                  </w:r>
                </w:p>
              </w:tc>
              <w:tc>
                <w:tcPr>
                  <w:tcW w:w="651" w:type="dxa"/>
                  <w:tcBorders>
                    <w:tl2br w:val="nil"/>
                    <w:tr2bl w:val="nil"/>
                  </w:tcBorders>
                  <w:shd w:val="clear" w:color="auto" w:fill="auto"/>
                  <w:noWrap w:val="0"/>
                  <w:vAlign w:val="center"/>
                </w:tcPr>
                <w:p w14:paraId="50C42C3F">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0.012</w:t>
                  </w:r>
                </w:p>
              </w:tc>
              <w:tc>
                <w:tcPr>
                  <w:tcW w:w="636" w:type="dxa"/>
                  <w:vMerge w:val="continue"/>
                  <w:tcBorders>
                    <w:tl2br w:val="nil"/>
                    <w:tr2bl w:val="nil"/>
                  </w:tcBorders>
                  <w:noWrap w:val="0"/>
                  <w:vAlign w:val="center"/>
                </w:tcPr>
                <w:p w14:paraId="7F145EAA">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443" w:type="dxa"/>
                  <w:vMerge w:val="continue"/>
                  <w:tcBorders>
                    <w:tl2br w:val="nil"/>
                    <w:tr2bl w:val="nil"/>
                  </w:tcBorders>
                  <w:noWrap w:val="0"/>
                  <w:vAlign w:val="center"/>
                </w:tcPr>
                <w:p w14:paraId="38444978">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434" w:type="dxa"/>
                  <w:vMerge w:val="continue"/>
                  <w:tcBorders>
                    <w:tl2br w:val="nil"/>
                    <w:tr2bl w:val="nil"/>
                  </w:tcBorders>
                  <w:noWrap w:val="0"/>
                  <w:vAlign w:val="center"/>
                </w:tcPr>
                <w:p w14:paraId="7949E6D1">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423" w:type="dxa"/>
                  <w:vMerge w:val="continue"/>
                  <w:tcBorders>
                    <w:tl2br w:val="nil"/>
                    <w:tr2bl w:val="nil"/>
                  </w:tcBorders>
                  <w:noWrap w:val="0"/>
                  <w:vAlign w:val="center"/>
                </w:tcPr>
                <w:p w14:paraId="5AAB5726">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511" w:type="dxa"/>
                  <w:vMerge w:val="continue"/>
                  <w:tcBorders>
                    <w:tl2br w:val="nil"/>
                    <w:tr2bl w:val="nil"/>
                  </w:tcBorders>
                  <w:shd w:val="clear" w:color="auto" w:fill="auto"/>
                  <w:noWrap w:val="0"/>
                  <w:vAlign w:val="center"/>
                </w:tcPr>
                <w:p w14:paraId="64C3E8FC">
                  <w:pPr>
                    <w:pStyle w:val="163"/>
                    <w:keepNext w:val="0"/>
                    <w:keepLines w:val="0"/>
                    <w:suppressLineNumbers w:val="0"/>
                    <w:spacing w:before="0" w:beforeAutospacing="0" w:after="0" w:afterAutospacing="0"/>
                    <w:ind w:left="-105" w:leftChars="-50" w:right="-105" w:rightChars="-50"/>
                    <w:rPr>
                      <w:rFonts w:hint="eastAsia"/>
                      <w:color w:val="auto"/>
                    </w:rPr>
                  </w:pPr>
                </w:p>
              </w:tc>
              <w:tc>
                <w:tcPr>
                  <w:tcW w:w="793" w:type="dxa"/>
                  <w:vMerge w:val="continue"/>
                  <w:tcBorders>
                    <w:tl2br w:val="nil"/>
                    <w:tr2bl w:val="nil"/>
                  </w:tcBorders>
                  <w:noWrap w:val="0"/>
                  <w:vAlign w:val="center"/>
                </w:tcPr>
                <w:p w14:paraId="65714AF3">
                  <w:pPr>
                    <w:pStyle w:val="163"/>
                    <w:keepNext w:val="0"/>
                    <w:keepLines w:val="0"/>
                    <w:suppressLineNumbers w:val="0"/>
                    <w:spacing w:before="0" w:beforeAutospacing="0" w:after="0" w:afterAutospacing="0"/>
                    <w:ind w:left="-105" w:leftChars="-50" w:right="-105" w:rightChars="-50"/>
                    <w:rPr>
                      <w:rFonts w:hint="default"/>
                      <w:color w:val="auto"/>
                    </w:rPr>
                  </w:pPr>
                </w:p>
              </w:tc>
              <w:tc>
                <w:tcPr>
                  <w:tcW w:w="753" w:type="dxa"/>
                  <w:tcBorders>
                    <w:tl2br w:val="nil"/>
                    <w:tr2bl w:val="nil"/>
                  </w:tcBorders>
                  <w:noWrap w:val="0"/>
                  <w:vAlign w:val="center"/>
                </w:tcPr>
                <w:p w14:paraId="6FC8BC3E">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w:t>
                  </w:r>
                </w:p>
              </w:tc>
              <w:tc>
                <w:tcPr>
                  <w:tcW w:w="439" w:type="dxa"/>
                  <w:tcBorders>
                    <w:tl2br w:val="nil"/>
                    <w:tr2bl w:val="nil"/>
                  </w:tcBorders>
                  <w:noWrap w:val="0"/>
                  <w:vAlign w:val="center"/>
                </w:tcPr>
                <w:p w14:paraId="72A64CC3">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w:t>
                  </w:r>
                </w:p>
              </w:tc>
            </w:tr>
            <w:tr w14:paraId="5E4BD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74" w:type="dxa"/>
                  <w:vMerge w:val="continue"/>
                  <w:noWrap w:val="0"/>
                  <w:vAlign w:val="center"/>
                </w:tcPr>
                <w:p w14:paraId="02E5C2E9">
                  <w:pPr>
                    <w:pStyle w:val="163"/>
                    <w:keepNext w:val="0"/>
                    <w:keepLines w:val="0"/>
                    <w:suppressLineNumbers w:val="0"/>
                    <w:spacing w:before="0" w:beforeAutospacing="0" w:after="0" w:afterAutospacing="0"/>
                    <w:ind w:left="-105" w:leftChars="-50" w:right="-105" w:rightChars="-50"/>
                    <w:rPr>
                      <w:rFonts w:hint="eastAsia"/>
                      <w:color w:val="auto"/>
                    </w:rPr>
                  </w:pPr>
                </w:p>
              </w:tc>
              <w:tc>
                <w:tcPr>
                  <w:tcW w:w="330" w:type="dxa"/>
                  <w:vMerge w:val="restart"/>
                  <w:noWrap w:val="0"/>
                  <w:vAlign w:val="center"/>
                </w:tcPr>
                <w:p w14:paraId="18E85A9C">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无组织</w:t>
                  </w:r>
                </w:p>
              </w:tc>
              <w:tc>
                <w:tcPr>
                  <w:tcW w:w="716" w:type="dxa"/>
                  <w:noWrap w:val="0"/>
                  <w:vAlign w:val="center"/>
                </w:tcPr>
                <w:p w14:paraId="5DB48354">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二甲苯</w:t>
                  </w:r>
                </w:p>
              </w:tc>
              <w:tc>
                <w:tcPr>
                  <w:tcW w:w="640" w:type="dxa"/>
                  <w:noWrap w:val="0"/>
                  <w:vAlign w:val="center"/>
                </w:tcPr>
                <w:p w14:paraId="5A248634">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615" w:type="dxa"/>
                  <w:shd w:val="clear" w:color="auto" w:fill="auto"/>
                  <w:noWrap w:val="0"/>
                  <w:vAlign w:val="center"/>
                </w:tcPr>
                <w:p w14:paraId="6261F25A">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0.003</w:t>
                  </w:r>
                </w:p>
              </w:tc>
              <w:tc>
                <w:tcPr>
                  <w:tcW w:w="584" w:type="dxa"/>
                  <w:shd w:val="clear" w:color="auto" w:fill="auto"/>
                  <w:noWrap w:val="0"/>
                  <w:vAlign w:val="center"/>
                </w:tcPr>
                <w:p w14:paraId="4FAAE0F0">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0.008</w:t>
                  </w:r>
                </w:p>
              </w:tc>
              <w:tc>
                <w:tcPr>
                  <w:tcW w:w="548" w:type="dxa"/>
                  <w:noWrap w:val="0"/>
                  <w:vAlign w:val="center"/>
                </w:tcPr>
                <w:p w14:paraId="0BB3AFF4">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523" w:type="dxa"/>
                  <w:noWrap w:val="0"/>
                  <w:vAlign w:val="center"/>
                </w:tcPr>
                <w:p w14:paraId="6EF8D3C6">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523" w:type="dxa"/>
                  <w:noWrap w:val="0"/>
                  <w:vAlign w:val="center"/>
                </w:tcPr>
                <w:p w14:paraId="0916B47A">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376" w:type="dxa"/>
                  <w:noWrap w:val="0"/>
                  <w:vAlign w:val="center"/>
                </w:tcPr>
                <w:p w14:paraId="308F2ABB">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802" w:type="dxa"/>
                  <w:vMerge w:val="restart"/>
                  <w:noWrap w:val="0"/>
                  <w:vAlign w:val="center"/>
                </w:tcPr>
                <w:p w14:paraId="7A41F018">
                  <w:pPr>
                    <w:pStyle w:val="163"/>
                    <w:keepNext w:val="0"/>
                    <w:keepLines w:val="0"/>
                    <w:suppressLineNumbers w:val="0"/>
                    <w:spacing w:before="0" w:beforeAutospacing="0" w:after="0" w:afterAutospacing="0"/>
                    <w:ind w:left="-105" w:leftChars="-50" w:right="-105" w:rightChars="-50"/>
                    <w:rPr>
                      <w:rFonts w:hint="default"/>
                      <w:color w:val="auto"/>
                    </w:rPr>
                  </w:pPr>
                  <w:r>
                    <w:rPr>
                      <w:rFonts w:hint="eastAsia"/>
                      <w:color w:val="auto"/>
                    </w:rPr>
                    <w:t>车间加强通风，增加绿化</w:t>
                  </w:r>
                </w:p>
              </w:tc>
              <w:tc>
                <w:tcPr>
                  <w:tcW w:w="603" w:type="dxa"/>
                  <w:noWrap w:val="0"/>
                  <w:vAlign w:val="center"/>
                </w:tcPr>
                <w:p w14:paraId="1D5665D6">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645" w:type="dxa"/>
                  <w:noWrap w:val="0"/>
                  <w:vAlign w:val="center"/>
                </w:tcPr>
                <w:p w14:paraId="24B5D457">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eastAsia="宋体" w:cs="Times New Roman"/>
                      <w:color w:val="auto"/>
                      <w:lang w:val="en-US" w:eastAsia="zh-CN"/>
                    </w:rPr>
                    <w:t>0.003</w:t>
                  </w:r>
                </w:p>
              </w:tc>
              <w:tc>
                <w:tcPr>
                  <w:tcW w:w="651" w:type="dxa"/>
                  <w:noWrap w:val="0"/>
                  <w:vAlign w:val="center"/>
                </w:tcPr>
                <w:p w14:paraId="5B56E3B4">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eastAsia="宋体" w:cs="Times New Roman"/>
                      <w:color w:val="auto"/>
                      <w:lang w:val="en-US" w:eastAsia="zh-CN"/>
                    </w:rPr>
                    <w:t>0.008</w:t>
                  </w:r>
                </w:p>
              </w:tc>
              <w:tc>
                <w:tcPr>
                  <w:tcW w:w="636" w:type="dxa"/>
                  <w:noWrap w:val="0"/>
                  <w:vAlign w:val="center"/>
                </w:tcPr>
                <w:p w14:paraId="2FDD59E2">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443" w:type="dxa"/>
                  <w:noWrap w:val="0"/>
                  <w:vAlign w:val="center"/>
                </w:tcPr>
                <w:p w14:paraId="12C901C2">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434" w:type="dxa"/>
                  <w:noWrap w:val="0"/>
                  <w:vAlign w:val="center"/>
                </w:tcPr>
                <w:p w14:paraId="33E4F68F">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423" w:type="dxa"/>
                  <w:noWrap w:val="0"/>
                  <w:vAlign w:val="center"/>
                </w:tcPr>
                <w:p w14:paraId="62A6ED2A">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511" w:type="dxa"/>
                  <w:noWrap w:val="0"/>
                  <w:vAlign w:val="center"/>
                </w:tcPr>
                <w:p w14:paraId="492820C1">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c>
                <w:tcPr>
                  <w:tcW w:w="793" w:type="dxa"/>
                  <w:noWrap w:val="0"/>
                  <w:vAlign w:val="center"/>
                </w:tcPr>
                <w:p w14:paraId="3D3F1C45">
                  <w:pPr>
                    <w:pStyle w:val="163"/>
                    <w:keepNext w:val="0"/>
                    <w:keepLines w:val="0"/>
                    <w:suppressLineNumbers w:val="0"/>
                    <w:spacing w:before="0" w:beforeAutospacing="0" w:after="0" w:afterAutospacing="0"/>
                    <w:ind w:left="-105" w:leftChars="-50" w:right="-105" w:rightChars="-50"/>
                    <w:rPr>
                      <w:rFonts w:hint="default"/>
                      <w:color w:val="auto"/>
                    </w:rPr>
                  </w:pPr>
                  <w:r>
                    <w:rPr>
                      <w:rFonts w:hint="eastAsia"/>
                      <w:color w:val="auto"/>
                      <w:lang w:val="en-US" w:eastAsia="zh-CN"/>
                    </w:rPr>
                    <w:t>/</w:t>
                  </w:r>
                </w:p>
              </w:tc>
              <w:tc>
                <w:tcPr>
                  <w:tcW w:w="753" w:type="dxa"/>
                  <w:noWrap w:val="0"/>
                  <w:vAlign w:val="center"/>
                </w:tcPr>
                <w:p w14:paraId="371E70B7">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w:t>
                  </w:r>
                </w:p>
              </w:tc>
              <w:tc>
                <w:tcPr>
                  <w:tcW w:w="439" w:type="dxa"/>
                  <w:noWrap w:val="0"/>
                  <w:vAlign w:val="center"/>
                </w:tcPr>
                <w:p w14:paraId="2CD68367">
                  <w:pPr>
                    <w:pStyle w:val="163"/>
                    <w:keepNext w:val="0"/>
                    <w:keepLines w:val="0"/>
                    <w:suppressLineNumbers w:val="0"/>
                    <w:spacing w:before="0" w:beforeAutospacing="0" w:after="0" w:afterAutospacing="0"/>
                    <w:ind w:left="-105" w:leftChars="-50" w:right="-105" w:rightChars="-50"/>
                    <w:rPr>
                      <w:rFonts w:hint="eastAsia"/>
                      <w:color w:val="auto"/>
                    </w:rPr>
                  </w:pPr>
                  <w:r>
                    <w:rPr>
                      <w:rFonts w:hint="eastAsia"/>
                      <w:color w:val="auto"/>
                      <w:lang w:val="en-US" w:eastAsia="zh-CN"/>
                    </w:rPr>
                    <w:t>/</w:t>
                  </w:r>
                </w:p>
              </w:tc>
            </w:tr>
            <w:tr w14:paraId="376059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74" w:type="dxa"/>
                  <w:vMerge w:val="continue"/>
                  <w:noWrap w:val="0"/>
                  <w:vAlign w:val="center"/>
                </w:tcPr>
                <w:p w14:paraId="22FC3226">
                  <w:pPr>
                    <w:pStyle w:val="163"/>
                    <w:keepNext w:val="0"/>
                    <w:keepLines w:val="0"/>
                    <w:suppressLineNumbers w:val="0"/>
                    <w:spacing w:before="0" w:beforeAutospacing="0" w:after="0" w:afterAutospacing="0"/>
                    <w:ind w:left="-105" w:leftChars="-50" w:right="-105" w:rightChars="-50"/>
                    <w:rPr>
                      <w:rFonts w:hint="eastAsia"/>
                      <w:color w:val="auto"/>
                    </w:rPr>
                  </w:pPr>
                </w:p>
              </w:tc>
              <w:tc>
                <w:tcPr>
                  <w:tcW w:w="330" w:type="dxa"/>
                  <w:vMerge w:val="continue"/>
                  <w:noWrap w:val="0"/>
                  <w:vAlign w:val="center"/>
                </w:tcPr>
                <w:p w14:paraId="6763468F">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716" w:type="dxa"/>
                  <w:noWrap w:val="0"/>
                  <w:vAlign w:val="center"/>
                </w:tcPr>
                <w:p w14:paraId="32A54B7E">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非甲烷总烃</w:t>
                  </w:r>
                </w:p>
              </w:tc>
              <w:tc>
                <w:tcPr>
                  <w:tcW w:w="640" w:type="dxa"/>
                  <w:noWrap w:val="0"/>
                  <w:vAlign w:val="center"/>
                </w:tcPr>
                <w:p w14:paraId="7BC8F15A">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615" w:type="dxa"/>
                  <w:shd w:val="clear" w:color="auto" w:fill="auto"/>
                  <w:noWrap w:val="0"/>
                  <w:vAlign w:val="center"/>
                </w:tcPr>
                <w:p w14:paraId="5A04FF87">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0.018</w:t>
                  </w:r>
                </w:p>
              </w:tc>
              <w:tc>
                <w:tcPr>
                  <w:tcW w:w="584" w:type="dxa"/>
                  <w:shd w:val="clear" w:color="auto" w:fill="auto"/>
                  <w:noWrap w:val="0"/>
                  <w:vAlign w:val="center"/>
                </w:tcPr>
                <w:p w14:paraId="3322C874">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0.044</w:t>
                  </w:r>
                </w:p>
              </w:tc>
              <w:tc>
                <w:tcPr>
                  <w:tcW w:w="548" w:type="dxa"/>
                  <w:noWrap w:val="0"/>
                  <w:vAlign w:val="center"/>
                </w:tcPr>
                <w:p w14:paraId="61A0BDCA">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523" w:type="dxa"/>
                  <w:noWrap w:val="0"/>
                  <w:vAlign w:val="center"/>
                </w:tcPr>
                <w:p w14:paraId="5E2E9961">
                  <w:pPr>
                    <w:keepNext w:val="0"/>
                    <w:keepLines w:val="0"/>
                    <w:suppressLineNumbers w:val="0"/>
                    <w:spacing w:before="0" w:beforeAutospacing="0" w:after="0" w:afterAutospacing="0"/>
                    <w:ind w:left="-105" w:leftChars="-50" w:right="-105" w:rightChars="-50"/>
                    <w:jc w:val="center"/>
                    <w:rPr>
                      <w:rFonts w:hint="eastAsia" w:eastAsia="宋体" w:cs="Times New Roman"/>
                      <w:color w:val="auto"/>
                      <w:lang w:val="en-US" w:eastAsia="zh-CN"/>
                    </w:rPr>
                  </w:pPr>
                  <w:r>
                    <w:rPr>
                      <w:rFonts w:hint="eastAsia" w:eastAsia="宋体" w:cs="Times New Roman"/>
                      <w:color w:val="auto"/>
                      <w:lang w:val="en-US" w:eastAsia="zh-CN"/>
                    </w:rPr>
                    <w:t>/</w:t>
                  </w:r>
                </w:p>
              </w:tc>
              <w:tc>
                <w:tcPr>
                  <w:tcW w:w="523" w:type="dxa"/>
                  <w:shd w:val="clear" w:color="auto" w:fill="auto"/>
                  <w:noWrap w:val="0"/>
                  <w:vAlign w:val="center"/>
                </w:tcPr>
                <w:p w14:paraId="02316358">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376" w:type="dxa"/>
                  <w:shd w:val="clear" w:color="auto" w:fill="auto"/>
                  <w:noWrap w:val="0"/>
                  <w:vAlign w:val="center"/>
                </w:tcPr>
                <w:p w14:paraId="14138928">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802" w:type="dxa"/>
                  <w:vMerge w:val="continue"/>
                  <w:noWrap w:val="0"/>
                  <w:vAlign w:val="center"/>
                </w:tcPr>
                <w:p w14:paraId="42D6185B">
                  <w:pPr>
                    <w:pStyle w:val="163"/>
                    <w:keepNext w:val="0"/>
                    <w:keepLines w:val="0"/>
                    <w:suppressLineNumbers w:val="0"/>
                    <w:spacing w:before="0" w:beforeAutospacing="0" w:after="0" w:afterAutospacing="0"/>
                    <w:ind w:left="-105" w:leftChars="-50" w:right="-105" w:rightChars="-50"/>
                    <w:rPr>
                      <w:rFonts w:hint="eastAsia"/>
                      <w:color w:val="auto"/>
                    </w:rPr>
                  </w:pPr>
                </w:p>
              </w:tc>
              <w:tc>
                <w:tcPr>
                  <w:tcW w:w="603" w:type="dxa"/>
                  <w:shd w:val="clear" w:color="auto" w:fill="auto"/>
                  <w:noWrap w:val="0"/>
                  <w:vAlign w:val="center"/>
                </w:tcPr>
                <w:p w14:paraId="351DD53A">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645" w:type="dxa"/>
                  <w:shd w:val="clear" w:color="auto" w:fill="auto"/>
                  <w:noWrap w:val="0"/>
                  <w:vAlign w:val="center"/>
                </w:tcPr>
                <w:p w14:paraId="75F2052E">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0.018</w:t>
                  </w:r>
                </w:p>
              </w:tc>
              <w:tc>
                <w:tcPr>
                  <w:tcW w:w="651" w:type="dxa"/>
                  <w:noWrap w:val="0"/>
                  <w:vAlign w:val="center"/>
                </w:tcPr>
                <w:p w14:paraId="47B440C4">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eastAsia="宋体" w:cs="Times New Roman"/>
                      <w:color w:val="auto"/>
                      <w:lang w:val="en-US" w:eastAsia="zh-CN"/>
                    </w:rPr>
                    <w:t>0.044</w:t>
                  </w:r>
                </w:p>
              </w:tc>
              <w:tc>
                <w:tcPr>
                  <w:tcW w:w="636" w:type="dxa"/>
                  <w:noWrap w:val="0"/>
                  <w:vAlign w:val="center"/>
                </w:tcPr>
                <w:p w14:paraId="4237E638">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43" w:type="dxa"/>
                  <w:noWrap w:val="0"/>
                  <w:vAlign w:val="center"/>
                </w:tcPr>
                <w:p w14:paraId="23E62C4F">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34" w:type="dxa"/>
                  <w:noWrap w:val="0"/>
                  <w:vAlign w:val="center"/>
                </w:tcPr>
                <w:p w14:paraId="0106EC91">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23" w:type="dxa"/>
                  <w:noWrap w:val="0"/>
                  <w:vAlign w:val="center"/>
                </w:tcPr>
                <w:p w14:paraId="6D27E370">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511" w:type="dxa"/>
                  <w:noWrap w:val="0"/>
                  <w:vAlign w:val="center"/>
                </w:tcPr>
                <w:p w14:paraId="59E1193B">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793" w:type="dxa"/>
                  <w:noWrap w:val="0"/>
                  <w:vAlign w:val="center"/>
                </w:tcPr>
                <w:p w14:paraId="1D79E737">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753" w:type="dxa"/>
                  <w:noWrap w:val="0"/>
                  <w:vAlign w:val="center"/>
                </w:tcPr>
                <w:p w14:paraId="3CD374F7">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2.0/4.0</w:t>
                  </w:r>
                </w:p>
              </w:tc>
              <w:tc>
                <w:tcPr>
                  <w:tcW w:w="439" w:type="dxa"/>
                  <w:noWrap w:val="0"/>
                  <w:vAlign w:val="center"/>
                </w:tcPr>
                <w:p w14:paraId="770BDEFE">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w:t>
                  </w:r>
                </w:p>
              </w:tc>
            </w:tr>
            <w:tr w14:paraId="13B97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3" w:hRule="atLeast"/>
                <w:jc w:val="center"/>
              </w:trPr>
              <w:tc>
                <w:tcPr>
                  <w:tcW w:w="474" w:type="dxa"/>
                  <w:vMerge w:val="continue"/>
                  <w:tcBorders>
                    <w:bottom w:val="single" w:color="auto" w:sz="4" w:space="0"/>
                  </w:tcBorders>
                  <w:noWrap w:val="0"/>
                  <w:vAlign w:val="center"/>
                </w:tcPr>
                <w:p w14:paraId="0ECB52C1">
                  <w:pPr>
                    <w:pStyle w:val="163"/>
                    <w:keepNext w:val="0"/>
                    <w:keepLines w:val="0"/>
                    <w:suppressLineNumbers w:val="0"/>
                    <w:spacing w:before="0" w:beforeAutospacing="0" w:after="0" w:afterAutospacing="0"/>
                    <w:ind w:left="-105" w:leftChars="-50" w:right="-105" w:rightChars="-50"/>
                    <w:rPr>
                      <w:rFonts w:hint="eastAsia"/>
                      <w:color w:val="auto"/>
                    </w:rPr>
                  </w:pPr>
                </w:p>
              </w:tc>
              <w:tc>
                <w:tcPr>
                  <w:tcW w:w="330" w:type="dxa"/>
                  <w:vMerge w:val="continue"/>
                  <w:noWrap w:val="0"/>
                  <w:vAlign w:val="center"/>
                </w:tcPr>
                <w:p w14:paraId="2E0F0A90">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p>
              </w:tc>
              <w:tc>
                <w:tcPr>
                  <w:tcW w:w="716" w:type="dxa"/>
                  <w:noWrap w:val="0"/>
                  <w:vAlign w:val="center"/>
                </w:tcPr>
                <w:p w14:paraId="3F2DC6E3">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漆雾</w:t>
                  </w:r>
                </w:p>
              </w:tc>
              <w:tc>
                <w:tcPr>
                  <w:tcW w:w="640" w:type="dxa"/>
                  <w:noWrap w:val="0"/>
                  <w:vAlign w:val="center"/>
                </w:tcPr>
                <w:p w14:paraId="0DDC5727">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615" w:type="dxa"/>
                  <w:shd w:val="clear" w:color="auto" w:fill="auto"/>
                  <w:noWrap w:val="0"/>
                  <w:vAlign w:val="center"/>
                </w:tcPr>
                <w:p w14:paraId="0ADC92E9">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0.005</w:t>
                  </w:r>
                </w:p>
              </w:tc>
              <w:tc>
                <w:tcPr>
                  <w:tcW w:w="584" w:type="dxa"/>
                  <w:shd w:val="clear" w:color="auto" w:fill="auto"/>
                  <w:noWrap w:val="0"/>
                  <w:vAlign w:val="center"/>
                </w:tcPr>
                <w:p w14:paraId="2A19B360">
                  <w:pPr>
                    <w:pStyle w:val="163"/>
                    <w:keepNext w:val="0"/>
                    <w:keepLines w:val="0"/>
                    <w:suppressLineNumbers w:val="0"/>
                    <w:spacing w:before="0" w:beforeAutospacing="0" w:after="0" w:afterAutospacing="0"/>
                    <w:ind w:left="-105" w:leftChars="-50" w:right="-105" w:rightChars="-50"/>
                    <w:rPr>
                      <w:rFonts w:hint="default" w:eastAsia="宋体" w:cs="Times New Roman"/>
                      <w:color w:val="auto"/>
                      <w:lang w:val="en-US" w:eastAsia="zh-CN"/>
                    </w:rPr>
                  </w:pPr>
                  <w:r>
                    <w:rPr>
                      <w:rFonts w:hint="eastAsia" w:eastAsia="宋体" w:cs="Times New Roman"/>
                      <w:color w:val="auto"/>
                      <w:lang w:val="en-US" w:eastAsia="zh-CN"/>
                    </w:rPr>
                    <w:t>0.013</w:t>
                  </w:r>
                </w:p>
              </w:tc>
              <w:tc>
                <w:tcPr>
                  <w:tcW w:w="548" w:type="dxa"/>
                  <w:noWrap w:val="0"/>
                  <w:vAlign w:val="center"/>
                </w:tcPr>
                <w:p w14:paraId="67F90869">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w:t>
                  </w:r>
                </w:p>
              </w:tc>
              <w:tc>
                <w:tcPr>
                  <w:tcW w:w="523" w:type="dxa"/>
                  <w:noWrap w:val="0"/>
                  <w:vAlign w:val="center"/>
                </w:tcPr>
                <w:p w14:paraId="0847ACEB">
                  <w:pPr>
                    <w:keepNext w:val="0"/>
                    <w:keepLines w:val="0"/>
                    <w:suppressLineNumbers w:val="0"/>
                    <w:spacing w:before="0" w:beforeAutospacing="0" w:after="0" w:afterAutospacing="0"/>
                    <w:ind w:left="-105" w:leftChars="-50" w:right="-105" w:rightChars="-50"/>
                    <w:jc w:val="center"/>
                    <w:rPr>
                      <w:rFonts w:hint="eastAsia" w:eastAsia="宋体" w:cs="Times New Roman"/>
                      <w:color w:val="auto"/>
                      <w:lang w:val="en-US" w:eastAsia="zh-CN"/>
                    </w:rPr>
                  </w:pPr>
                  <w:r>
                    <w:rPr>
                      <w:rFonts w:hint="eastAsia" w:eastAsia="宋体" w:cs="Times New Roman"/>
                      <w:color w:val="auto"/>
                      <w:lang w:val="en-US" w:eastAsia="zh-CN"/>
                    </w:rPr>
                    <w:t>/</w:t>
                  </w:r>
                </w:p>
              </w:tc>
              <w:tc>
                <w:tcPr>
                  <w:tcW w:w="523" w:type="dxa"/>
                  <w:shd w:val="clear" w:color="auto" w:fill="auto"/>
                  <w:noWrap w:val="0"/>
                  <w:vAlign w:val="center"/>
                </w:tcPr>
                <w:p w14:paraId="0377B6F1">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376" w:type="dxa"/>
                  <w:shd w:val="clear" w:color="auto" w:fill="auto"/>
                  <w:noWrap w:val="0"/>
                  <w:vAlign w:val="center"/>
                </w:tcPr>
                <w:p w14:paraId="30DCF598">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802" w:type="dxa"/>
                  <w:vMerge w:val="continue"/>
                  <w:noWrap w:val="0"/>
                  <w:vAlign w:val="center"/>
                </w:tcPr>
                <w:p w14:paraId="3C62DB29">
                  <w:pPr>
                    <w:pStyle w:val="163"/>
                    <w:keepNext w:val="0"/>
                    <w:keepLines w:val="0"/>
                    <w:suppressLineNumbers w:val="0"/>
                    <w:spacing w:before="0" w:beforeAutospacing="0" w:after="0" w:afterAutospacing="0"/>
                    <w:ind w:left="-105" w:leftChars="-50" w:right="-105" w:rightChars="-50"/>
                    <w:rPr>
                      <w:rFonts w:hint="eastAsia"/>
                      <w:color w:val="auto"/>
                    </w:rPr>
                  </w:pPr>
                </w:p>
              </w:tc>
              <w:tc>
                <w:tcPr>
                  <w:tcW w:w="603" w:type="dxa"/>
                  <w:shd w:val="clear" w:color="auto" w:fill="auto"/>
                  <w:noWrap w:val="0"/>
                  <w:vAlign w:val="center"/>
                </w:tcPr>
                <w:p w14:paraId="2E73F4E1">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w:t>
                  </w:r>
                </w:p>
              </w:tc>
              <w:tc>
                <w:tcPr>
                  <w:tcW w:w="645" w:type="dxa"/>
                  <w:shd w:val="clear" w:color="auto" w:fill="auto"/>
                  <w:noWrap w:val="0"/>
                  <w:vAlign w:val="center"/>
                </w:tcPr>
                <w:p w14:paraId="482B5791">
                  <w:pPr>
                    <w:pStyle w:val="163"/>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0.005</w:t>
                  </w:r>
                </w:p>
              </w:tc>
              <w:tc>
                <w:tcPr>
                  <w:tcW w:w="651" w:type="dxa"/>
                  <w:noWrap w:val="0"/>
                  <w:vAlign w:val="center"/>
                </w:tcPr>
                <w:p w14:paraId="3F474CD4">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eastAsia="宋体" w:cs="Times New Roman"/>
                      <w:color w:val="auto"/>
                      <w:lang w:val="en-US" w:eastAsia="zh-CN"/>
                    </w:rPr>
                    <w:t>0.013</w:t>
                  </w:r>
                </w:p>
              </w:tc>
              <w:tc>
                <w:tcPr>
                  <w:tcW w:w="636" w:type="dxa"/>
                  <w:noWrap w:val="0"/>
                  <w:vAlign w:val="center"/>
                </w:tcPr>
                <w:p w14:paraId="6DB4FE9D">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43" w:type="dxa"/>
                  <w:noWrap w:val="0"/>
                  <w:vAlign w:val="center"/>
                </w:tcPr>
                <w:p w14:paraId="0A306B49">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34" w:type="dxa"/>
                  <w:noWrap w:val="0"/>
                  <w:vAlign w:val="center"/>
                </w:tcPr>
                <w:p w14:paraId="58C79450">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23" w:type="dxa"/>
                  <w:noWrap w:val="0"/>
                  <w:vAlign w:val="center"/>
                </w:tcPr>
                <w:p w14:paraId="40FCE6D8">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511" w:type="dxa"/>
                  <w:noWrap w:val="0"/>
                  <w:vAlign w:val="center"/>
                </w:tcPr>
                <w:p w14:paraId="5A483B6E">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793" w:type="dxa"/>
                  <w:noWrap w:val="0"/>
                  <w:vAlign w:val="center"/>
                </w:tcPr>
                <w:p w14:paraId="67C57D06">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753" w:type="dxa"/>
                  <w:noWrap w:val="0"/>
                  <w:vAlign w:val="center"/>
                </w:tcPr>
                <w:p w14:paraId="60E5BD76">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lang w:val="en-US" w:eastAsia="zh-CN"/>
                    </w:rPr>
                    <w:t>/</w:t>
                  </w:r>
                </w:p>
              </w:tc>
              <w:tc>
                <w:tcPr>
                  <w:tcW w:w="439" w:type="dxa"/>
                  <w:noWrap w:val="0"/>
                  <w:vAlign w:val="center"/>
                </w:tcPr>
                <w:p w14:paraId="2714723E">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w:t>
                  </w:r>
                </w:p>
              </w:tc>
            </w:tr>
            <w:tr w14:paraId="696B35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tcBorders>
                    <w:top w:val="single" w:color="auto" w:sz="4" w:space="0"/>
                    <w:bottom w:val="single" w:color="auto" w:sz="12" w:space="0"/>
                  </w:tcBorders>
                  <w:noWrap w:val="0"/>
                  <w:vAlign w:val="center"/>
                </w:tcPr>
                <w:p w14:paraId="4D273C29">
                  <w:pPr>
                    <w:pStyle w:val="163"/>
                    <w:keepNext w:val="0"/>
                    <w:keepLines w:val="0"/>
                    <w:suppressLineNumbers w:val="0"/>
                    <w:spacing w:before="0" w:beforeAutospacing="0" w:after="0" w:afterAutospacing="0"/>
                    <w:ind w:left="-105" w:leftChars="-50" w:right="-105" w:rightChars="-50"/>
                    <w:rPr>
                      <w:rFonts w:hint="eastAsia" w:eastAsia="宋体"/>
                      <w:color w:val="auto"/>
                      <w:lang w:val="en-US" w:eastAsia="zh-CN"/>
                    </w:rPr>
                  </w:pPr>
                  <w:r>
                    <w:rPr>
                      <w:rFonts w:hint="eastAsia"/>
                      <w:color w:val="auto"/>
                      <w:lang w:val="en-US" w:eastAsia="zh-CN"/>
                    </w:rPr>
                    <w:t>食堂</w:t>
                  </w:r>
                </w:p>
              </w:tc>
              <w:tc>
                <w:tcPr>
                  <w:tcW w:w="330" w:type="dxa"/>
                  <w:tcBorders>
                    <w:bottom w:val="single" w:color="auto" w:sz="12" w:space="0"/>
                  </w:tcBorders>
                  <w:shd w:val="clear" w:color="auto" w:fill="auto"/>
                  <w:noWrap w:val="0"/>
                  <w:vAlign w:val="center"/>
                </w:tcPr>
                <w:p w14:paraId="690B9CC9">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有组织</w:t>
                  </w:r>
                </w:p>
              </w:tc>
              <w:tc>
                <w:tcPr>
                  <w:tcW w:w="716" w:type="dxa"/>
                  <w:tcBorders>
                    <w:bottom w:val="single" w:color="auto" w:sz="12" w:space="0"/>
                  </w:tcBorders>
                  <w:shd w:val="clear" w:color="auto" w:fill="auto"/>
                  <w:noWrap w:val="0"/>
                  <w:vAlign w:val="center"/>
                </w:tcPr>
                <w:p w14:paraId="188915DF">
                  <w:pPr>
                    <w:pStyle w:val="163"/>
                    <w:keepNext w:val="0"/>
                    <w:keepLines w:val="0"/>
                    <w:suppressLineNumbers w:val="0"/>
                    <w:spacing w:before="0" w:beforeAutospacing="0" w:after="0" w:afterAutospacing="0"/>
                    <w:ind w:left="-105" w:leftChars="-50" w:right="-105" w:rightChars="-50"/>
                    <w:rPr>
                      <w:rFonts w:hint="eastAsia" w:eastAsia="宋体" w:cs="Times New Roman"/>
                      <w:color w:val="auto"/>
                      <w:lang w:val="en-US" w:eastAsia="zh-CN"/>
                    </w:rPr>
                  </w:pPr>
                  <w:r>
                    <w:rPr>
                      <w:rFonts w:hint="eastAsia" w:eastAsia="宋体" w:cs="Times New Roman"/>
                      <w:color w:val="auto"/>
                      <w:lang w:val="en-US" w:eastAsia="zh-CN"/>
                    </w:rPr>
                    <w:t>油烟</w:t>
                  </w:r>
                </w:p>
              </w:tc>
              <w:tc>
                <w:tcPr>
                  <w:tcW w:w="640" w:type="dxa"/>
                  <w:tcBorders>
                    <w:bottom w:val="single" w:color="auto" w:sz="12" w:space="0"/>
                  </w:tcBorders>
                  <w:noWrap w:val="0"/>
                  <w:vAlign w:val="center"/>
                </w:tcPr>
                <w:p w14:paraId="3ADC973F">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4.5</w:t>
                  </w:r>
                </w:p>
              </w:tc>
              <w:tc>
                <w:tcPr>
                  <w:tcW w:w="615" w:type="dxa"/>
                  <w:tcBorders>
                    <w:bottom w:val="single" w:color="auto" w:sz="12" w:space="0"/>
                  </w:tcBorders>
                  <w:noWrap w:val="0"/>
                  <w:vAlign w:val="center"/>
                </w:tcPr>
                <w:p w14:paraId="006BED1A">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0.018</w:t>
                  </w:r>
                </w:p>
              </w:tc>
              <w:tc>
                <w:tcPr>
                  <w:tcW w:w="584" w:type="dxa"/>
                  <w:tcBorders>
                    <w:bottom w:val="single" w:color="auto" w:sz="12" w:space="0"/>
                  </w:tcBorders>
                  <w:noWrap w:val="0"/>
                  <w:vAlign w:val="center"/>
                </w:tcPr>
                <w:p w14:paraId="0684BC61">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0.027</w:t>
                  </w:r>
                </w:p>
              </w:tc>
              <w:tc>
                <w:tcPr>
                  <w:tcW w:w="548" w:type="dxa"/>
                  <w:tcBorders>
                    <w:bottom w:val="single" w:color="auto" w:sz="12" w:space="0"/>
                  </w:tcBorders>
                  <w:noWrap w:val="0"/>
                  <w:vAlign w:val="center"/>
                </w:tcPr>
                <w:p w14:paraId="3606ABE9">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4000</w:t>
                  </w:r>
                </w:p>
              </w:tc>
              <w:tc>
                <w:tcPr>
                  <w:tcW w:w="523" w:type="dxa"/>
                  <w:tcBorders>
                    <w:bottom w:val="single" w:color="auto" w:sz="12" w:space="0"/>
                  </w:tcBorders>
                  <w:noWrap w:val="0"/>
                  <w:vAlign w:val="center"/>
                </w:tcPr>
                <w:p w14:paraId="30A09EE0">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100</w:t>
                  </w:r>
                </w:p>
              </w:tc>
              <w:tc>
                <w:tcPr>
                  <w:tcW w:w="523" w:type="dxa"/>
                  <w:tcBorders>
                    <w:bottom w:val="single" w:color="auto" w:sz="12" w:space="0"/>
                  </w:tcBorders>
                  <w:noWrap w:val="0"/>
                  <w:vAlign w:val="center"/>
                </w:tcPr>
                <w:p w14:paraId="462107A7">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60</w:t>
                  </w:r>
                </w:p>
              </w:tc>
              <w:tc>
                <w:tcPr>
                  <w:tcW w:w="376" w:type="dxa"/>
                  <w:tcBorders>
                    <w:bottom w:val="single" w:color="auto" w:sz="12" w:space="0"/>
                  </w:tcBorders>
                  <w:noWrap w:val="0"/>
                  <w:vAlign w:val="center"/>
                </w:tcPr>
                <w:p w14:paraId="58FEAE29">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是</w:t>
                  </w:r>
                </w:p>
              </w:tc>
              <w:tc>
                <w:tcPr>
                  <w:tcW w:w="802" w:type="dxa"/>
                  <w:tcBorders>
                    <w:bottom w:val="single" w:color="auto" w:sz="12" w:space="0"/>
                  </w:tcBorders>
                  <w:noWrap w:val="0"/>
                  <w:vAlign w:val="center"/>
                </w:tcPr>
                <w:p w14:paraId="1157216C">
                  <w:pPr>
                    <w:pStyle w:val="163"/>
                    <w:keepNext w:val="0"/>
                    <w:keepLines w:val="0"/>
                    <w:suppressLineNumbers w:val="0"/>
                    <w:spacing w:before="0" w:beforeAutospacing="0" w:after="0" w:afterAutospacing="0"/>
                    <w:ind w:left="-105" w:leftChars="-50" w:right="-105" w:rightChars="-50"/>
                    <w:rPr>
                      <w:rFonts w:hint="default" w:eastAsia="宋体"/>
                      <w:color w:val="auto"/>
                      <w:lang w:val="en-US" w:eastAsia="zh-CN"/>
                    </w:rPr>
                  </w:pPr>
                  <w:r>
                    <w:rPr>
                      <w:rFonts w:hint="eastAsia"/>
                      <w:color w:val="auto"/>
                      <w:lang w:val="en-US" w:eastAsia="zh-CN"/>
                    </w:rPr>
                    <w:t>油烟净化器</w:t>
                  </w:r>
                </w:p>
              </w:tc>
              <w:tc>
                <w:tcPr>
                  <w:tcW w:w="603" w:type="dxa"/>
                  <w:tcBorders>
                    <w:bottom w:val="single" w:color="auto" w:sz="12" w:space="0"/>
                  </w:tcBorders>
                  <w:noWrap w:val="0"/>
                  <w:vAlign w:val="center"/>
                </w:tcPr>
                <w:p w14:paraId="19E5FF73">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1.8</w:t>
                  </w:r>
                </w:p>
              </w:tc>
              <w:tc>
                <w:tcPr>
                  <w:tcW w:w="645" w:type="dxa"/>
                  <w:tcBorders>
                    <w:bottom w:val="single" w:color="auto" w:sz="12" w:space="0"/>
                  </w:tcBorders>
                  <w:noWrap w:val="0"/>
                  <w:vAlign w:val="center"/>
                </w:tcPr>
                <w:p w14:paraId="4CED6E95">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0.0072</w:t>
                  </w:r>
                </w:p>
              </w:tc>
              <w:tc>
                <w:tcPr>
                  <w:tcW w:w="651" w:type="dxa"/>
                  <w:tcBorders>
                    <w:bottom w:val="single" w:color="auto" w:sz="12" w:space="0"/>
                  </w:tcBorders>
                  <w:noWrap w:val="0"/>
                  <w:vAlign w:val="center"/>
                </w:tcPr>
                <w:p w14:paraId="6812DDD5">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0.0198</w:t>
                  </w:r>
                </w:p>
              </w:tc>
              <w:tc>
                <w:tcPr>
                  <w:tcW w:w="636" w:type="dxa"/>
                  <w:tcBorders>
                    <w:bottom w:val="single" w:color="auto" w:sz="12" w:space="0"/>
                  </w:tcBorders>
                  <w:noWrap w:val="0"/>
                  <w:vAlign w:val="center"/>
                </w:tcPr>
                <w:p w14:paraId="4F8F498C">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DA001</w:t>
                  </w:r>
                </w:p>
              </w:tc>
              <w:tc>
                <w:tcPr>
                  <w:tcW w:w="443" w:type="dxa"/>
                  <w:tcBorders>
                    <w:bottom w:val="single" w:color="auto" w:sz="12" w:space="0"/>
                  </w:tcBorders>
                  <w:noWrap w:val="0"/>
                  <w:vAlign w:val="center"/>
                </w:tcPr>
                <w:p w14:paraId="2FD130E3">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15</w:t>
                  </w:r>
                </w:p>
              </w:tc>
              <w:tc>
                <w:tcPr>
                  <w:tcW w:w="434" w:type="dxa"/>
                  <w:tcBorders>
                    <w:bottom w:val="single" w:color="auto" w:sz="12" w:space="0"/>
                  </w:tcBorders>
                  <w:noWrap w:val="0"/>
                  <w:vAlign w:val="center"/>
                </w:tcPr>
                <w:p w14:paraId="6C49E7AB">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0.4</w:t>
                  </w:r>
                </w:p>
              </w:tc>
              <w:tc>
                <w:tcPr>
                  <w:tcW w:w="423" w:type="dxa"/>
                  <w:tcBorders>
                    <w:bottom w:val="single" w:color="auto" w:sz="12" w:space="0"/>
                  </w:tcBorders>
                  <w:noWrap w:val="0"/>
                  <w:vAlign w:val="center"/>
                </w:tcPr>
                <w:p w14:paraId="05C53D5D">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50</w:t>
                  </w:r>
                </w:p>
              </w:tc>
              <w:tc>
                <w:tcPr>
                  <w:tcW w:w="511" w:type="dxa"/>
                  <w:tcBorders>
                    <w:bottom w:val="single" w:color="auto" w:sz="12" w:space="0"/>
                  </w:tcBorders>
                  <w:noWrap w:val="0"/>
                  <w:vAlign w:val="center"/>
                </w:tcPr>
                <w:p w14:paraId="1FD1FEDE">
                  <w:pPr>
                    <w:pStyle w:val="163"/>
                    <w:keepNext w:val="0"/>
                    <w:keepLines w:val="0"/>
                    <w:suppressLineNumbers w:val="0"/>
                    <w:spacing w:before="0" w:beforeAutospacing="0" w:after="0" w:afterAutospacing="0"/>
                    <w:ind w:left="-105" w:leftChars="-50" w:right="-105" w:rightChars="-50"/>
                    <w:rPr>
                      <w:rFonts w:hint="eastAsia"/>
                      <w:color w:val="auto"/>
                      <w:lang w:val="en-US" w:eastAsia="zh-CN"/>
                    </w:rPr>
                  </w:pPr>
                  <w:r>
                    <w:rPr>
                      <w:rFonts w:hint="eastAsia"/>
                      <w:color w:val="auto"/>
                    </w:rPr>
                    <w:t>一般排放口</w:t>
                  </w:r>
                </w:p>
              </w:tc>
              <w:tc>
                <w:tcPr>
                  <w:tcW w:w="793" w:type="dxa"/>
                  <w:tcBorders>
                    <w:bottom w:val="single" w:color="auto" w:sz="12" w:space="0"/>
                  </w:tcBorders>
                  <w:noWrap w:val="0"/>
                  <w:vAlign w:val="center"/>
                </w:tcPr>
                <w:p w14:paraId="70766CA3">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E115.397177</w:t>
                  </w:r>
                  <w:r>
                    <w:rPr>
                      <w:rFonts w:hint="default"/>
                      <w:color w:val="auto"/>
                    </w:rPr>
                    <w:t>°</w:t>
                  </w:r>
                  <w:r>
                    <w:rPr>
                      <w:rFonts w:hint="eastAsia"/>
                      <w:color w:val="auto"/>
                      <w:lang w:val="en-US" w:eastAsia="zh-CN"/>
                    </w:rPr>
                    <w:t>，N28.468014</w:t>
                  </w:r>
                  <w:r>
                    <w:rPr>
                      <w:rFonts w:hint="default"/>
                      <w:color w:val="auto"/>
                    </w:rPr>
                    <w:t>°</w:t>
                  </w:r>
                </w:p>
              </w:tc>
              <w:tc>
                <w:tcPr>
                  <w:tcW w:w="753" w:type="dxa"/>
                  <w:tcBorders>
                    <w:bottom w:val="single" w:color="auto" w:sz="12" w:space="0"/>
                  </w:tcBorders>
                  <w:noWrap w:val="0"/>
                  <w:vAlign w:val="center"/>
                </w:tcPr>
                <w:p w14:paraId="1C71491D">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2.0</w:t>
                  </w:r>
                </w:p>
              </w:tc>
              <w:tc>
                <w:tcPr>
                  <w:tcW w:w="439" w:type="dxa"/>
                  <w:tcBorders>
                    <w:bottom w:val="single" w:color="auto" w:sz="12" w:space="0"/>
                  </w:tcBorders>
                  <w:noWrap w:val="0"/>
                  <w:vAlign w:val="center"/>
                </w:tcPr>
                <w:p w14:paraId="41D54495">
                  <w:pPr>
                    <w:pStyle w:val="163"/>
                    <w:keepNext w:val="0"/>
                    <w:keepLines w:val="0"/>
                    <w:suppressLineNumbers w:val="0"/>
                    <w:spacing w:before="0" w:beforeAutospacing="0" w:after="0" w:afterAutospacing="0"/>
                    <w:ind w:left="-105" w:leftChars="-50" w:right="-105" w:rightChars="-50"/>
                    <w:rPr>
                      <w:rFonts w:hint="default"/>
                      <w:color w:val="auto"/>
                      <w:lang w:val="en-US" w:eastAsia="zh-CN"/>
                    </w:rPr>
                  </w:pPr>
                  <w:r>
                    <w:rPr>
                      <w:rFonts w:hint="eastAsia"/>
                      <w:color w:val="auto"/>
                      <w:lang w:val="en-US" w:eastAsia="zh-CN"/>
                    </w:rPr>
                    <w:t>/</w:t>
                  </w:r>
                </w:p>
              </w:tc>
            </w:tr>
          </w:tbl>
          <w:p w14:paraId="45C11BE3">
            <w:pPr>
              <w:pStyle w:val="32"/>
              <w:ind w:left="0" w:leftChars="0" w:firstLine="0" w:firstLineChars="0"/>
              <w:rPr>
                <w:rFonts w:hint="default"/>
                <w:color w:val="auto"/>
              </w:rPr>
            </w:pPr>
          </w:p>
        </w:tc>
      </w:tr>
    </w:tbl>
    <w:p w14:paraId="622F8880">
      <w:pPr>
        <w:pStyle w:val="29"/>
        <w:adjustRightInd w:val="0"/>
        <w:snapToGrid w:val="0"/>
        <w:spacing w:before="0" w:beforeAutospacing="0" w:after="0" w:afterAutospacing="0"/>
        <w:jc w:val="center"/>
        <w:rPr>
          <w:rFonts w:hint="default" w:ascii="Times New Roman" w:hAnsi="Times New Roman" w:eastAsia="宋体" w:cs="Times New Roman"/>
          <w:bCs/>
          <w:color w:val="auto"/>
          <w:sz w:val="24"/>
          <w:szCs w:val="24"/>
          <w:highlight w:val="none"/>
        </w:rPr>
        <w:sectPr>
          <w:pgSz w:w="16840" w:h="11907"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90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285"/>
      </w:tblGrid>
      <w:tr w14:paraId="050BB6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6" w:hRule="atLeast"/>
          <w:jc w:val="center"/>
        </w:trPr>
        <w:tc>
          <w:tcPr>
            <w:tcW w:w="754" w:type="dxa"/>
            <w:noWrap w:val="0"/>
            <w:tcMar>
              <w:left w:w="28" w:type="dxa"/>
              <w:right w:w="28" w:type="dxa"/>
            </w:tcMar>
            <w:vAlign w:val="center"/>
          </w:tcPr>
          <w:p w14:paraId="13B5A516">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运营</w:t>
            </w:r>
          </w:p>
          <w:p w14:paraId="62793A25">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期环</w:t>
            </w:r>
          </w:p>
          <w:p w14:paraId="7A448ED5">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境影</w:t>
            </w:r>
          </w:p>
          <w:p w14:paraId="064F1132">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响和</w:t>
            </w:r>
          </w:p>
          <w:p w14:paraId="546F0E60">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保护</w:t>
            </w:r>
          </w:p>
          <w:p w14:paraId="350E9F32">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 w:val="24"/>
                <w:szCs w:val="24"/>
                <w:highlight w:val="none"/>
              </w:rPr>
              <w:t>措施</w:t>
            </w:r>
          </w:p>
        </w:tc>
        <w:tc>
          <w:tcPr>
            <w:tcW w:w="8285" w:type="dxa"/>
            <w:noWrap w:val="0"/>
            <w:vAlign w:val="center"/>
          </w:tcPr>
          <w:p w14:paraId="019D21ED">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color w:val="auto"/>
                <w:sz w:val="24"/>
                <w:highlight w:val="none"/>
              </w:rPr>
            </w:pPr>
            <w:r>
              <w:rPr>
                <w:rFonts w:hint="eastAsia"/>
                <w:b/>
                <w:color w:val="auto"/>
                <w:sz w:val="24"/>
                <w:lang w:val="en-US" w:eastAsia="zh-CN"/>
              </w:rPr>
              <w:t>2、</w:t>
            </w:r>
            <w:r>
              <w:rPr>
                <w:rFonts w:hint="eastAsia"/>
                <w:b/>
                <w:color w:val="auto"/>
                <w:sz w:val="24"/>
              </w:rPr>
              <w:t>废气源强核算</w:t>
            </w:r>
          </w:p>
          <w:p w14:paraId="0ECCC9C8">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1</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金属</w:t>
            </w:r>
            <w:r>
              <w:rPr>
                <w:rFonts w:hint="default" w:ascii="Times New Roman" w:hAnsi="Times New Roman" w:eastAsia="宋体" w:cs="Times New Roman"/>
                <w:color w:val="auto"/>
                <w:sz w:val="24"/>
                <w:szCs w:val="24"/>
                <w:highlight w:val="none"/>
                <w:lang w:eastAsia="zh-CN"/>
              </w:rPr>
              <w:t>粉尘</w:t>
            </w:r>
          </w:p>
          <w:p w14:paraId="06453CA3">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w:t>
            </w:r>
            <w:r>
              <w:rPr>
                <w:rFonts w:hint="eastAsia" w:cs="Times New Roman"/>
                <w:color w:val="auto"/>
                <w:sz w:val="24"/>
                <w:szCs w:val="24"/>
                <w:highlight w:val="none"/>
                <w:lang w:val="en-US" w:eastAsia="zh-CN"/>
              </w:rPr>
              <w:t>抛瓦、CNC加工、齿轮加工</w:t>
            </w:r>
            <w:r>
              <w:rPr>
                <w:rFonts w:hint="default" w:ascii="Times New Roman" w:hAnsi="Times New Roman" w:eastAsia="宋体" w:cs="Times New Roman"/>
                <w:color w:val="auto"/>
                <w:sz w:val="24"/>
                <w:szCs w:val="24"/>
                <w:highlight w:val="none"/>
                <w:lang w:eastAsia="zh-CN"/>
              </w:rPr>
              <w:t>工序</w:t>
            </w:r>
            <w:r>
              <w:rPr>
                <w:rFonts w:hint="eastAsia" w:cs="Times New Roman"/>
                <w:color w:val="auto"/>
                <w:sz w:val="24"/>
                <w:szCs w:val="24"/>
                <w:highlight w:val="none"/>
                <w:lang w:val="en-US" w:eastAsia="zh-CN"/>
              </w:rPr>
              <w:t>会</w:t>
            </w:r>
            <w:r>
              <w:rPr>
                <w:rFonts w:hint="default" w:ascii="Times New Roman" w:hAnsi="Times New Roman" w:eastAsia="宋体" w:cs="Times New Roman"/>
                <w:color w:val="auto"/>
                <w:sz w:val="24"/>
                <w:szCs w:val="24"/>
                <w:highlight w:val="none"/>
                <w:lang w:eastAsia="zh-CN"/>
              </w:rPr>
              <w:t>产生</w:t>
            </w:r>
            <w:r>
              <w:rPr>
                <w:rFonts w:hint="eastAsia" w:cs="Times New Roman"/>
                <w:color w:val="auto"/>
                <w:sz w:val="24"/>
                <w:szCs w:val="24"/>
                <w:highlight w:val="none"/>
                <w:lang w:val="en-US" w:eastAsia="zh-CN"/>
              </w:rPr>
              <w:t>金属</w:t>
            </w:r>
            <w:r>
              <w:rPr>
                <w:rFonts w:hint="default" w:ascii="Times New Roman" w:hAnsi="Times New Roman" w:eastAsia="宋体" w:cs="Times New Roman"/>
                <w:color w:val="auto"/>
                <w:sz w:val="24"/>
                <w:szCs w:val="24"/>
                <w:highlight w:val="none"/>
                <w:lang w:eastAsia="zh-CN"/>
              </w:rPr>
              <w:t>粉尘，</w:t>
            </w:r>
            <w:r>
              <w:rPr>
                <w:rFonts w:hint="eastAsia" w:cs="Times New Roman"/>
                <w:color w:val="auto"/>
                <w:sz w:val="24"/>
                <w:szCs w:val="24"/>
                <w:highlight w:val="none"/>
                <w:lang w:val="en-US" w:eastAsia="zh-CN"/>
              </w:rPr>
              <w:t>机加工</w:t>
            </w:r>
            <w:r>
              <w:rPr>
                <w:rFonts w:hint="default" w:ascii="Times New Roman" w:hAnsi="Times New Roman" w:eastAsia="宋体" w:cs="Times New Roman"/>
                <w:color w:val="auto"/>
                <w:sz w:val="24"/>
                <w:szCs w:val="24"/>
                <w:highlight w:val="none"/>
                <w:lang w:eastAsia="zh-CN"/>
              </w:rPr>
              <w:t>过程添加切削液，因此上述过程基本无金属粉尘产生，少量金属粉尘由于比重较大，基本沉降于加工设备周围，因此本评价对金属粉尘不做定量分析。</w:t>
            </w:r>
          </w:p>
          <w:p w14:paraId="0CFC1B80">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调漆废气和喷漆废气</w:t>
            </w:r>
          </w:p>
          <w:p w14:paraId="406234D8">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项目共设置1个喷漆房</w:t>
            </w:r>
            <w:r>
              <w:rPr>
                <w:rFonts w:hint="eastAsia" w:ascii="Times New Roman" w:hAnsi="Times New Roman" w:eastAsia="宋体" w:cs="Times New Roman"/>
                <w:color w:val="auto"/>
                <w:sz w:val="24"/>
                <w:szCs w:val="24"/>
                <w:highlight w:val="none"/>
                <w:lang w:val="en-US" w:eastAsia="zh-CN"/>
              </w:rPr>
              <w:t>，尺寸为6.0m×5.5m×2.5m。</w:t>
            </w:r>
            <w:r>
              <w:rPr>
                <w:rFonts w:hint="default" w:ascii="Times New Roman" w:hAnsi="Times New Roman" w:eastAsia="宋体" w:cs="Times New Roman"/>
                <w:color w:val="auto"/>
                <w:sz w:val="24"/>
                <w:szCs w:val="24"/>
                <w:highlight w:val="none"/>
                <w:lang w:val="en-US" w:eastAsia="zh-CN"/>
              </w:rPr>
              <w:t>项目调漆废气、喷漆废气主要产生于调漆和喷漆工序，根据</w:t>
            </w:r>
            <w:r>
              <w:rPr>
                <w:rFonts w:hint="default" w:ascii="Times New Roman" w:hAnsi="Times New Roman" w:eastAsia="宋体" w:cs="Times New Roman"/>
                <w:color w:val="auto"/>
                <w:sz w:val="24"/>
                <w:szCs w:val="24"/>
                <w:highlight w:val="none"/>
                <w:lang w:eastAsia="zh-CN"/>
              </w:rPr>
              <w:t>《挥发性有机物污染防治技术指南（试行）第1部分:表面涂装行业》</w:t>
            </w:r>
            <w:r>
              <w:rPr>
                <w:rFonts w:hint="default" w:ascii="Times New Roman" w:hAnsi="Times New Roman" w:eastAsia="宋体" w:cs="Times New Roman"/>
                <w:color w:val="auto"/>
                <w:sz w:val="24"/>
                <w:szCs w:val="24"/>
                <w:highlight w:val="none"/>
                <w:lang w:val="en-US" w:eastAsia="zh-CN"/>
              </w:rPr>
              <w:t>要求：</w:t>
            </w:r>
            <w:r>
              <w:rPr>
                <w:rFonts w:hint="eastAsia" w:ascii="宋体" w:hAnsi="宋体" w:eastAsia="宋体" w:cs="宋体"/>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3）废气收集系统采用全密闭集气罩或密闭空间的，应保持微负压状态。废气收集系统排风罩（集气罩）的设置应符合GB/T16758的规定。采用外部排风罩的，应按GB/T16758、AQ/T4274-2016规定的方法测量控制风速，距排风罩开口面最远处的VOCs无组织排放位置，控制风速应不低于0.3米/秒，有行业要求的按相应规定执行。</w:t>
            </w:r>
            <w:r>
              <w:rPr>
                <w:rFonts w:hint="eastAsia" w:ascii="宋体" w:hAnsi="宋体" w:eastAsia="宋体" w:cs="宋体"/>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为此企业设独立喷漆房，调漆、喷涂工序在喷漆房进行。</w:t>
            </w:r>
          </w:p>
          <w:p w14:paraId="7AEAFCD7">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项目油漆废气（调漆废气、喷漆废气）主要污染物为漆雾、二甲苯、非甲烷总烃。根据</w:t>
            </w:r>
            <w:r>
              <w:rPr>
                <w:rFonts w:hint="eastAsia" w:cs="Times New Roman"/>
                <w:color w:val="auto"/>
                <w:sz w:val="24"/>
                <w:szCs w:val="24"/>
                <w:highlight w:val="none"/>
                <w:lang w:val="en-US" w:eastAsia="zh-CN"/>
              </w:rPr>
              <w:t>油漆</w:t>
            </w:r>
            <w:r>
              <w:rPr>
                <w:rFonts w:hint="default" w:ascii="Times New Roman" w:hAnsi="Times New Roman" w:eastAsia="宋体" w:cs="Times New Roman"/>
                <w:color w:val="auto"/>
                <w:sz w:val="24"/>
                <w:szCs w:val="24"/>
                <w:highlight w:val="none"/>
                <w:lang w:val="en-US" w:eastAsia="zh-CN"/>
              </w:rPr>
              <w:t>消耗量及成分配比，项目油漆废气产生情况见表4-</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w:t>
            </w:r>
          </w:p>
          <w:p w14:paraId="58DEDE01">
            <w:pPr>
              <w:pStyle w:val="147"/>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rPr>
              <w:t>表</w:t>
            </w:r>
            <w:r>
              <w:rPr>
                <w:rFonts w:hint="default" w:ascii="Times New Roman" w:hAnsi="Times New Roman" w:eastAsia="宋体" w:cs="Times New Roman"/>
                <w:color w:val="auto"/>
                <w:szCs w:val="20"/>
                <w:highlight w:val="none"/>
                <w:lang w:val="en-US" w:eastAsia="zh-CN"/>
              </w:rPr>
              <w:t>4-</w:t>
            </w:r>
            <w:r>
              <w:rPr>
                <w:rFonts w:hint="eastAsia" w:ascii="Times New Roman" w:hAnsi="Times New Roman" w:eastAsia="宋体" w:cs="Times New Roman"/>
                <w:color w:val="auto"/>
                <w:szCs w:val="20"/>
                <w:highlight w:val="none"/>
                <w:lang w:val="en-US" w:eastAsia="zh-CN"/>
              </w:rPr>
              <w:t>2</w:t>
            </w:r>
            <w:r>
              <w:rPr>
                <w:rFonts w:hint="default" w:ascii="Times New Roman" w:hAnsi="Times New Roman" w:eastAsia="宋体" w:cs="Times New Roman"/>
                <w:color w:val="auto"/>
                <w:szCs w:val="20"/>
                <w:highlight w:val="none"/>
                <w:lang w:val="en-US" w:eastAsia="zh-CN"/>
              </w:rPr>
              <w:t xml:space="preserve">  </w:t>
            </w:r>
            <w:r>
              <w:rPr>
                <w:rFonts w:hint="eastAsia" w:ascii="Times New Roman" w:hAnsi="Times New Roman" w:eastAsia="宋体" w:cs="Times New Roman"/>
                <w:color w:val="auto"/>
                <w:szCs w:val="20"/>
                <w:highlight w:val="none"/>
                <w:lang w:val="en-US" w:eastAsia="zh-CN"/>
              </w:rPr>
              <w:t>项目油漆废气产生情况一览表</w:t>
            </w:r>
          </w:p>
          <w:tbl>
            <w:tblPr>
              <w:tblStyle w:val="34"/>
              <w:tblW w:w="804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0"/>
              <w:gridCol w:w="1365"/>
              <w:gridCol w:w="1049"/>
              <w:gridCol w:w="1186"/>
              <w:gridCol w:w="1125"/>
              <w:gridCol w:w="1305"/>
              <w:gridCol w:w="1605"/>
            </w:tblGrid>
            <w:tr w14:paraId="7C8E91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52" w:hRule="atLeast"/>
              </w:trPr>
              <w:tc>
                <w:tcPr>
                  <w:tcW w:w="1775" w:type="dxa"/>
                  <w:gridSpan w:val="2"/>
                  <w:vMerge w:val="restart"/>
                  <w:tcBorders>
                    <w:tl2br w:val="nil"/>
                    <w:tr2bl w:val="nil"/>
                  </w:tcBorders>
                  <w:vAlign w:val="center"/>
                </w:tcPr>
                <w:p w14:paraId="762C062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名称</w:t>
                  </w:r>
                </w:p>
              </w:tc>
              <w:tc>
                <w:tcPr>
                  <w:tcW w:w="2235" w:type="dxa"/>
                  <w:gridSpan w:val="2"/>
                  <w:tcBorders>
                    <w:tl2br w:val="nil"/>
                    <w:tr2bl w:val="nil"/>
                  </w:tcBorders>
                  <w:vAlign w:val="center"/>
                </w:tcPr>
                <w:p w14:paraId="6582CC1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油漆</w:t>
                  </w:r>
                </w:p>
              </w:tc>
              <w:tc>
                <w:tcPr>
                  <w:tcW w:w="2430" w:type="dxa"/>
                  <w:gridSpan w:val="2"/>
                  <w:tcBorders>
                    <w:tl2br w:val="nil"/>
                    <w:tr2bl w:val="nil"/>
                  </w:tcBorders>
                  <w:vAlign w:val="center"/>
                </w:tcPr>
                <w:p w14:paraId="70B095F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稀释剂</w:t>
                  </w:r>
                </w:p>
              </w:tc>
              <w:tc>
                <w:tcPr>
                  <w:tcW w:w="1605" w:type="dxa"/>
                  <w:vMerge w:val="restart"/>
                  <w:tcBorders>
                    <w:tl2br w:val="nil"/>
                    <w:tr2bl w:val="nil"/>
                  </w:tcBorders>
                  <w:vAlign w:val="center"/>
                </w:tcPr>
                <w:p w14:paraId="450C69A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合计（t/a）</w:t>
                  </w:r>
                </w:p>
              </w:tc>
            </w:tr>
            <w:tr w14:paraId="00FEC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5" w:type="dxa"/>
                  <w:gridSpan w:val="2"/>
                  <w:vMerge w:val="continue"/>
                  <w:tcBorders>
                    <w:tl2br w:val="nil"/>
                    <w:tr2bl w:val="nil"/>
                  </w:tcBorders>
                  <w:vAlign w:val="center"/>
                </w:tcPr>
                <w:p w14:paraId="6D89B2D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highlight w:val="none"/>
                      <w:vertAlign w:val="baseline"/>
                      <w:lang w:val="en-US" w:eastAsia="zh-CN"/>
                    </w:rPr>
                  </w:pPr>
                </w:p>
              </w:tc>
              <w:tc>
                <w:tcPr>
                  <w:tcW w:w="1049" w:type="dxa"/>
                  <w:tcBorders>
                    <w:tl2br w:val="nil"/>
                    <w:tr2bl w:val="nil"/>
                  </w:tcBorders>
                  <w:vAlign w:val="center"/>
                </w:tcPr>
                <w:p w14:paraId="5F7ADBA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占比（%）</w:t>
                  </w:r>
                </w:p>
              </w:tc>
              <w:tc>
                <w:tcPr>
                  <w:tcW w:w="1186" w:type="dxa"/>
                  <w:tcBorders>
                    <w:tl2br w:val="nil"/>
                    <w:tr2bl w:val="nil"/>
                  </w:tcBorders>
                  <w:vAlign w:val="center"/>
                </w:tcPr>
                <w:p w14:paraId="4D47D7F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用量（t/a）</w:t>
                  </w:r>
                </w:p>
              </w:tc>
              <w:tc>
                <w:tcPr>
                  <w:tcW w:w="1125" w:type="dxa"/>
                  <w:tcBorders>
                    <w:tl2br w:val="nil"/>
                    <w:tr2bl w:val="nil"/>
                  </w:tcBorders>
                  <w:shd w:val="clear" w:color="auto" w:fill="auto"/>
                  <w:vAlign w:val="center"/>
                </w:tcPr>
                <w:p w14:paraId="53A7B98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占比（%）</w:t>
                  </w:r>
                </w:p>
              </w:tc>
              <w:tc>
                <w:tcPr>
                  <w:tcW w:w="1305" w:type="dxa"/>
                  <w:tcBorders>
                    <w:tl2br w:val="nil"/>
                    <w:tr2bl w:val="nil"/>
                  </w:tcBorders>
                  <w:shd w:val="clear" w:color="auto" w:fill="auto"/>
                  <w:vAlign w:val="center"/>
                </w:tcPr>
                <w:p w14:paraId="1681E5D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用量（t/a）</w:t>
                  </w:r>
                </w:p>
              </w:tc>
              <w:tc>
                <w:tcPr>
                  <w:tcW w:w="1605" w:type="dxa"/>
                  <w:vMerge w:val="continue"/>
                  <w:tcBorders>
                    <w:tl2br w:val="nil"/>
                    <w:tr2bl w:val="nil"/>
                  </w:tcBorders>
                  <w:vAlign w:val="center"/>
                </w:tcPr>
                <w:p w14:paraId="430DEA7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55162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75" w:type="dxa"/>
                  <w:gridSpan w:val="2"/>
                  <w:tcBorders>
                    <w:tl2br w:val="nil"/>
                    <w:tr2bl w:val="nil"/>
                  </w:tcBorders>
                  <w:vAlign w:val="center"/>
                </w:tcPr>
                <w:p w14:paraId="0E43A50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使用量</w:t>
                  </w:r>
                </w:p>
              </w:tc>
              <w:tc>
                <w:tcPr>
                  <w:tcW w:w="1049" w:type="dxa"/>
                  <w:tcBorders>
                    <w:tl2br w:val="nil"/>
                    <w:tr2bl w:val="nil"/>
                  </w:tcBorders>
                  <w:vAlign w:val="center"/>
                </w:tcPr>
                <w:p w14:paraId="003798D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1186" w:type="dxa"/>
                  <w:tcBorders>
                    <w:tl2br w:val="nil"/>
                    <w:tr2bl w:val="nil"/>
                  </w:tcBorders>
                  <w:vAlign w:val="center"/>
                </w:tcPr>
                <w:p w14:paraId="0F2E0F0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w:t>
                  </w:r>
                </w:p>
              </w:tc>
              <w:tc>
                <w:tcPr>
                  <w:tcW w:w="1125" w:type="dxa"/>
                  <w:tcBorders>
                    <w:tl2br w:val="nil"/>
                    <w:tr2bl w:val="nil"/>
                  </w:tcBorders>
                  <w:vAlign w:val="center"/>
                </w:tcPr>
                <w:p w14:paraId="2AC07CA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1305" w:type="dxa"/>
                  <w:tcBorders>
                    <w:tl2br w:val="nil"/>
                    <w:tr2bl w:val="nil"/>
                  </w:tcBorders>
                  <w:vAlign w:val="center"/>
                </w:tcPr>
                <w:p w14:paraId="7FE6C62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0.2</w:t>
                  </w:r>
                </w:p>
              </w:tc>
              <w:tc>
                <w:tcPr>
                  <w:tcW w:w="1605" w:type="dxa"/>
                  <w:tcBorders>
                    <w:tl2br w:val="nil"/>
                    <w:tr2bl w:val="nil"/>
                  </w:tcBorders>
                  <w:vAlign w:val="center"/>
                </w:tcPr>
                <w:p w14:paraId="4041F97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14:paraId="00F08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75" w:type="dxa"/>
                  <w:gridSpan w:val="2"/>
                  <w:tcBorders>
                    <w:tl2br w:val="nil"/>
                    <w:tr2bl w:val="nil"/>
                  </w:tcBorders>
                  <w:vAlign w:val="center"/>
                </w:tcPr>
                <w:p w14:paraId="603DCBA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固体分</w:t>
                  </w:r>
                </w:p>
              </w:tc>
              <w:tc>
                <w:tcPr>
                  <w:tcW w:w="1049" w:type="dxa"/>
                  <w:tcBorders>
                    <w:tl2br w:val="nil"/>
                    <w:tr2bl w:val="nil"/>
                  </w:tcBorders>
                  <w:vAlign w:val="center"/>
                </w:tcPr>
                <w:p w14:paraId="49896C7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67.7</w:t>
                  </w:r>
                </w:p>
              </w:tc>
              <w:tc>
                <w:tcPr>
                  <w:tcW w:w="1186" w:type="dxa"/>
                  <w:tcBorders>
                    <w:tl2br w:val="nil"/>
                    <w:tr2bl w:val="nil"/>
                  </w:tcBorders>
                  <w:vAlign w:val="center"/>
                </w:tcPr>
                <w:p w14:paraId="0B64261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0.677</w:t>
                  </w:r>
                </w:p>
              </w:tc>
              <w:tc>
                <w:tcPr>
                  <w:tcW w:w="1125" w:type="dxa"/>
                  <w:tcBorders>
                    <w:tl2br w:val="nil"/>
                    <w:tr2bl w:val="nil"/>
                  </w:tcBorders>
                  <w:vAlign w:val="center"/>
                </w:tcPr>
                <w:p w14:paraId="79F0884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305" w:type="dxa"/>
                  <w:tcBorders>
                    <w:tl2br w:val="nil"/>
                    <w:tr2bl w:val="nil"/>
                  </w:tcBorders>
                  <w:vAlign w:val="center"/>
                </w:tcPr>
                <w:p w14:paraId="1D8E13D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605" w:type="dxa"/>
                  <w:tcBorders>
                    <w:tl2br w:val="nil"/>
                    <w:tr2bl w:val="nil"/>
                  </w:tcBorders>
                  <w:vAlign w:val="center"/>
                </w:tcPr>
                <w:p w14:paraId="2E7700B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14:paraId="70D55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75" w:type="dxa"/>
                  <w:gridSpan w:val="2"/>
                  <w:tcBorders>
                    <w:tl2br w:val="nil"/>
                    <w:tr2bl w:val="nil"/>
                  </w:tcBorders>
                  <w:vAlign w:val="center"/>
                </w:tcPr>
                <w:p w14:paraId="353A2AB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挥发分</w:t>
                  </w:r>
                </w:p>
              </w:tc>
              <w:tc>
                <w:tcPr>
                  <w:tcW w:w="1049" w:type="dxa"/>
                  <w:tcBorders>
                    <w:tl2br w:val="nil"/>
                    <w:tr2bl w:val="nil"/>
                  </w:tcBorders>
                  <w:vAlign w:val="center"/>
                </w:tcPr>
                <w:p w14:paraId="2CD6DD1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32.3</w:t>
                  </w:r>
                </w:p>
              </w:tc>
              <w:tc>
                <w:tcPr>
                  <w:tcW w:w="1186" w:type="dxa"/>
                  <w:tcBorders>
                    <w:tl2br w:val="nil"/>
                    <w:tr2bl w:val="nil"/>
                  </w:tcBorders>
                  <w:vAlign w:val="center"/>
                </w:tcPr>
                <w:p w14:paraId="79BE6A5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0.323</w:t>
                  </w:r>
                </w:p>
              </w:tc>
              <w:tc>
                <w:tcPr>
                  <w:tcW w:w="1125" w:type="dxa"/>
                  <w:tcBorders>
                    <w:tl2br w:val="nil"/>
                    <w:tr2bl w:val="nil"/>
                  </w:tcBorders>
                  <w:vAlign w:val="center"/>
                </w:tcPr>
                <w:p w14:paraId="4E705AF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100</w:t>
                  </w:r>
                </w:p>
              </w:tc>
              <w:tc>
                <w:tcPr>
                  <w:tcW w:w="1305" w:type="dxa"/>
                  <w:tcBorders>
                    <w:tl2br w:val="nil"/>
                    <w:tr2bl w:val="nil"/>
                  </w:tcBorders>
                  <w:vAlign w:val="center"/>
                </w:tcPr>
                <w:p w14:paraId="5404522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0.2</w:t>
                  </w:r>
                </w:p>
              </w:tc>
              <w:tc>
                <w:tcPr>
                  <w:tcW w:w="1605" w:type="dxa"/>
                  <w:tcBorders>
                    <w:tl2br w:val="nil"/>
                    <w:tr2bl w:val="nil"/>
                  </w:tcBorders>
                  <w:vAlign w:val="center"/>
                </w:tcPr>
                <w:p w14:paraId="0FBAC58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14:paraId="6F915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10" w:type="dxa"/>
                  <w:vMerge w:val="restart"/>
                  <w:tcBorders>
                    <w:tl2br w:val="nil"/>
                    <w:tr2bl w:val="nil"/>
                  </w:tcBorders>
                  <w:vAlign w:val="center"/>
                </w:tcPr>
                <w:p w14:paraId="7ED010D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废气</w:t>
                  </w:r>
                </w:p>
              </w:tc>
              <w:tc>
                <w:tcPr>
                  <w:tcW w:w="1365" w:type="dxa"/>
                  <w:tcBorders>
                    <w:tl2br w:val="nil"/>
                    <w:tr2bl w:val="nil"/>
                  </w:tcBorders>
                  <w:vAlign w:val="center"/>
                </w:tcPr>
                <w:p w14:paraId="129866D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二甲苯</w:t>
                  </w:r>
                </w:p>
              </w:tc>
              <w:tc>
                <w:tcPr>
                  <w:tcW w:w="1049" w:type="dxa"/>
                  <w:tcBorders>
                    <w:tl2br w:val="nil"/>
                    <w:tr2bl w:val="nil"/>
                  </w:tcBorders>
                  <w:vAlign w:val="center"/>
                </w:tcPr>
                <w:p w14:paraId="4FEB46B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186" w:type="dxa"/>
                  <w:tcBorders>
                    <w:tl2br w:val="nil"/>
                    <w:tr2bl w:val="nil"/>
                  </w:tcBorders>
                  <w:vAlign w:val="center"/>
                </w:tcPr>
                <w:p w14:paraId="4D8B65F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125" w:type="dxa"/>
                  <w:tcBorders>
                    <w:tl2br w:val="nil"/>
                    <w:tr2bl w:val="nil"/>
                  </w:tcBorders>
                  <w:vAlign w:val="center"/>
                </w:tcPr>
                <w:p w14:paraId="549064E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40</w:t>
                  </w:r>
                </w:p>
              </w:tc>
              <w:tc>
                <w:tcPr>
                  <w:tcW w:w="1305" w:type="dxa"/>
                  <w:tcBorders>
                    <w:tl2br w:val="nil"/>
                    <w:tr2bl w:val="nil"/>
                  </w:tcBorders>
                  <w:vAlign w:val="center"/>
                </w:tcPr>
                <w:p w14:paraId="21526FD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0.080</w:t>
                  </w:r>
                </w:p>
              </w:tc>
              <w:tc>
                <w:tcPr>
                  <w:tcW w:w="1605" w:type="dxa"/>
                  <w:tcBorders>
                    <w:tl2br w:val="nil"/>
                    <w:tr2bl w:val="nil"/>
                  </w:tcBorders>
                  <w:vAlign w:val="center"/>
                </w:tcPr>
                <w:p w14:paraId="53D2DE6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0.080</w:t>
                  </w:r>
                </w:p>
              </w:tc>
            </w:tr>
            <w:tr w14:paraId="3EF33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10" w:type="dxa"/>
                  <w:vMerge w:val="continue"/>
                  <w:tcBorders>
                    <w:tl2br w:val="nil"/>
                    <w:tr2bl w:val="nil"/>
                  </w:tcBorders>
                  <w:vAlign w:val="center"/>
                </w:tcPr>
                <w:p w14:paraId="04BC17A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1365" w:type="dxa"/>
                  <w:tcBorders>
                    <w:tl2br w:val="nil"/>
                    <w:tr2bl w:val="nil"/>
                  </w:tcBorders>
                  <w:vAlign w:val="center"/>
                </w:tcPr>
                <w:p w14:paraId="2D32FEC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非甲烷总烃</w:t>
                  </w:r>
                </w:p>
              </w:tc>
              <w:tc>
                <w:tcPr>
                  <w:tcW w:w="1049" w:type="dxa"/>
                  <w:tcBorders>
                    <w:tl2br w:val="nil"/>
                    <w:tr2bl w:val="nil"/>
                  </w:tcBorders>
                  <w:vAlign w:val="center"/>
                </w:tcPr>
                <w:p w14:paraId="6186264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32.3</w:t>
                  </w:r>
                </w:p>
              </w:tc>
              <w:tc>
                <w:tcPr>
                  <w:tcW w:w="1186" w:type="dxa"/>
                  <w:tcBorders>
                    <w:tl2br w:val="nil"/>
                    <w:tr2bl w:val="nil"/>
                  </w:tcBorders>
                  <w:vAlign w:val="center"/>
                </w:tcPr>
                <w:p w14:paraId="5BA1C95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0.323</w:t>
                  </w:r>
                </w:p>
              </w:tc>
              <w:tc>
                <w:tcPr>
                  <w:tcW w:w="1125" w:type="dxa"/>
                  <w:tcBorders>
                    <w:tl2br w:val="nil"/>
                    <w:tr2bl w:val="nil"/>
                  </w:tcBorders>
                  <w:vAlign w:val="center"/>
                </w:tcPr>
                <w:p w14:paraId="6257395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60</w:t>
                  </w:r>
                </w:p>
              </w:tc>
              <w:tc>
                <w:tcPr>
                  <w:tcW w:w="1305" w:type="dxa"/>
                  <w:tcBorders>
                    <w:tl2br w:val="nil"/>
                    <w:tr2bl w:val="nil"/>
                  </w:tcBorders>
                  <w:vAlign w:val="center"/>
                </w:tcPr>
                <w:p w14:paraId="5907DC0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0.120</w:t>
                  </w:r>
                </w:p>
              </w:tc>
              <w:tc>
                <w:tcPr>
                  <w:tcW w:w="1605" w:type="dxa"/>
                  <w:tcBorders>
                    <w:tl2br w:val="nil"/>
                    <w:tr2bl w:val="nil"/>
                  </w:tcBorders>
                  <w:vAlign w:val="center"/>
                </w:tcPr>
                <w:p w14:paraId="4DA69B1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0.443</w:t>
                  </w:r>
                </w:p>
              </w:tc>
            </w:tr>
            <w:tr w14:paraId="3E1A9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775" w:type="dxa"/>
                  <w:gridSpan w:val="2"/>
                  <w:tcBorders>
                    <w:tl2br w:val="nil"/>
                    <w:tr2bl w:val="nil"/>
                  </w:tcBorders>
                  <w:vAlign w:val="center"/>
                </w:tcPr>
                <w:p w14:paraId="125842D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VOCs合计</w:t>
                  </w:r>
                </w:p>
              </w:tc>
              <w:tc>
                <w:tcPr>
                  <w:tcW w:w="1049" w:type="dxa"/>
                  <w:tcBorders>
                    <w:tl2br w:val="nil"/>
                    <w:tr2bl w:val="nil"/>
                  </w:tcBorders>
                  <w:vAlign w:val="center"/>
                </w:tcPr>
                <w:p w14:paraId="11018D4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1186" w:type="dxa"/>
                  <w:tcBorders>
                    <w:tl2br w:val="nil"/>
                    <w:tr2bl w:val="nil"/>
                  </w:tcBorders>
                  <w:vAlign w:val="center"/>
                </w:tcPr>
                <w:p w14:paraId="217AEE2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0.323</w:t>
                  </w:r>
                </w:p>
              </w:tc>
              <w:tc>
                <w:tcPr>
                  <w:tcW w:w="1125" w:type="dxa"/>
                  <w:tcBorders>
                    <w:tl2br w:val="nil"/>
                    <w:tr2bl w:val="nil"/>
                  </w:tcBorders>
                  <w:vAlign w:val="center"/>
                </w:tcPr>
                <w:p w14:paraId="0F6006D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1305" w:type="dxa"/>
                  <w:tcBorders>
                    <w:tl2br w:val="nil"/>
                    <w:tr2bl w:val="nil"/>
                  </w:tcBorders>
                  <w:vAlign w:val="center"/>
                </w:tcPr>
                <w:p w14:paraId="34603D3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0.200</w:t>
                  </w:r>
                </w:p>
              </w:tc>
              <w:tc>
                <w:tcPr>
                  <w:tcW w:w="1605" w:type="dxa"/>
                  <w:tcBorders>
                    <w:tl2br w:val="nil"/>
                    <w:tr2bl w:val="nil"/>
                  </w:tcBorders>
                  <w:vAlign w:val="center"/>
                </w:tcPr>
                <w:p w14:paraId="3097ABA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0.523</w:t>
                  </w:r>
                </w:p>
              </w:tc>
            </w:tr>
          </w:tbl>
          <w:p w14:paraId="27AA3488">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422" w:firstLineChars="20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注：邻苯二甲酸二甲酯、其他混合酯类、醇类、酮类、多元酸醚酯、乙二醇丁醚以非甲烷总烃计。</w:t>
            </w:r>
          </w:p>
          <w:p w14:paraId="5FFAFA32">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非挥发性组分利用率取</w:t>
            </w:r>
            <w:r>
              <w:rPr>
                <w:rFonts w:hint="eastAsia"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lang w:val="en-US" w:eastAsia="zh-CN"/>
              </w:rPr>
              <w:t>%（转化为工件表面的漆膜），本项目</w:t>
            </w:r>
            <w:r>
              <w:rPr>
                <w:rFonts w:hint="eastAsia" w:cs="Times New Roman"/>
                <w:color w:val="auto"/>
                <w:sz w:val="24"/>
                <w:szCs w:val="24"/>
                <w:highlight w:val="none"/>
                <w:lang w:val="en-US" w:eastAsia="zh-CN"/>
              </w:rPr>
              <w:t>油</w:t>
            </w:r>
            <w:r>
              <w:rPr>
                <w:rFonts w:hint="default" w:ascii="Times New Roman" w:hAnsi="Times New Roman" w:eastAsia="宋体" w:cs="Times New Roman"/>
                <w:color w:val="auto"/>
                <w:sz w:val="24"/>
                <w:szCs w:val="24"/>
                <w:highlight w:val="none"/>
                <w:lang w:val="en-US" w:eastAsia="zh-CN"/>
              </w:rPr>
              <w:t>漆中非挥发性组分</w:t>
            </w:r>
            <w:r>
              <w:rPr>
                <w:rFonts w:hint="eastAsia" w:cs="Times New Roman"/>
                <w:color w:val="auto"/>
                <w:sz w:val="24"/>
                <w:szCs w:val="24"/>
                <w:highlight w:val="none"/>
                <w:lang w:val="en-US" w:eastAsia="zh-CN"/>
              </w:rPr>
              <w:t>为0.677</w:t>
            </w:r>
            <w:r>
              <w:rPr>
                <w:rFonts w:hint="default" w:ascii="Times New Roman" w:hAnsi="Times New Roman" w:eastAsia="宋体" w:cs="Times New Roman"/>
                <w:color w:val="auto"/>
                <w:sz w:val="24"/>
                <w:szCs w:val="24"/>
                <w:highlight w:val="none"/>
                <w:lang w:val="en-US" w:eastAsia="zh-CN"/>
              </w:rPr>
              <w:t>t/a，则漆雾颗粒产生量为0.</w:t>
            </w:r>
            <w:r>
              <w:rPr>
                <w:rFonts w:hint="eastAsia" w:cs="Times New Roman"/>
                <w:color w:val="auto"/>
                <w:sz w:val="24"/>
                <w:szCs w:val="24"/>
                <w:highlight w:val="none"/>
                <w:lang w:val="en-US" w:eastAsia="zh-CN"/>
              </w:rPr>
              <w:t>135</w:t>
            </w:r>
            <w:r>
              <w:rPr>
                <w:rFonts w:hint="default" w:ascii="Times New Roman" w:hAnsi="Times New Roman" w:eastAsia="宋体" w:cs="Times New Roman"/>
                <w:color w:val="auto"/>
                <w:sz w:val="24"/>
                <w:szCs w:val="24"/>
                <w:highlight w:val="none"/>
                <w:lang w:val="en-US" w:eastAsia="zh-CN"/>
              </w:rPr>
              <w:t>t/a。</w:t>
            </w:r>
          </w:p>
          <w:p w14:paraId="1122CD5B">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szCs w:val="24"/>
                <w:highlight w:val="none"/>
                <w:lang w:val="en-US" w:eastAsia="zh-CN"/>
              </w:rPr>
              <w:t>项目喷漆在封闭式喷漆房内完成。</w:t>
            </w:r>
            <w:r>
              <w:rPr>
                <w:rFonts w:hint="default" w:ascii="Times New Roman" w:hAnsi="Times New Roman" w:eastAsia="宋体" w:cs="Times New Roman"/>
                <w:color w:val="auto"/>
                <w:sz w:val="24"/>
                <w:lang w:val="en-US" w:eastAsia="zh-CN"/>
              </w:rPr>
              <w:t>根据《主要污染物总量减排核算技术指南》（2022年修订），</w:t>
            </w:r>
            <w:r>
              <w:rPr>
                <w:rFonts w:hint="default" w:ascii="Times New Roman" w:hAnsi="Times New Roman" w:cs="Times New Roman"/>
                <w:color w:val="auto"/>
                <w:sz w:val="24"/>
                <w:highlight w:val="none"/>
                <w:lang w:val="en-US" w:eastAsia="zh-CN"/>
              </w:rPr>
              <w:t>项目废气在密</w:t>
            </w:r>
            <w:r>
              <w:rPr>
                <w:rFonts w:hint="eastAsia" w:ascii="Times New Roman" w:hAnsi="Times New Roman" w:cs="Times New Roman"/>
                <w:color w:val="auto"/>
                <w:sz w:val="24"/>
                <w:highlight w:val="none"/>
                <w:lang w:val="en-US" w:eastAsia="zh-CN"/>
              </w:rPr>
              <w:t>闭</w:t>
            </w:r>
            <w:r>
              <w:rPr>
                <w:rFonts w:hint="default" w:ascii="Times New Roman" w:hAnsi="Times New Roman" w:cs="Times New Roman"/>
                <w:color w:val="auto"/>
                <w:sz w:val="24"/>
                <w:highlight w:val="none"/>
                <w:lang w:val="en-US" w:eastAsia="zh-CN"/>
              </w:rPr>
              <w:t>空间，采用</w:t>
            </w:r>
            <w:r>
              <w:rPr>
                <w:rFonts w:hint="eastAsia" w:ascii="Times New Roman" w:hAnsi="Times New Roman" w:cs="Times New Roman"/>
                <w:color w:val="auto"/>
                <w:sz w:val="24"/>
                <w:highlight w:val="none"/>
                <w:lang w:val="en-US" w:eastAsia="zh-CN"/>
              </w:rPr>
              <w:t>负</w:t>
            </w:r>
            <w:r>
              <w:rPr>
                <w:rFonts w:hint="default" w:ascii="Times New Roman" w:hAnsi="Times New Roman" w:cs="Times New Roman"/>
                <w:color w:val="auto"/>
                <w:sz w:val="24"/>
                <w:highlight w:val="none"/>
                <w:lang w:val="en-US" w:eastAsia="zh-CN"/>
              </w:rPr>
              <w:t>压收集，</w:t>
            </w:r>
            <w:r>
              <w:rPr>
                <w:rFonts w:hint="default" w:ascii="Times New Roman" w:hAnsi="Times New Roman" w:eastAsia="宋体" w:cs="Times New Roman"/>
                <w:color w:val="auto"/>
                <w:sz w:val="24"/>
                <w:highlight w:val="none"/>
              </w:rPr>
              <w:t>废气收集率</w:t>
            </w:r>
            <w:r>
              <w:rPr>
                <w:rFonts w:hint="eastAsia" w:ascii="Times New Roman" w:hAnsi="Times New Roman" w:cs="Times New Roman"/>
                <w:color w:val="auto"/>
                <w:sz w:val="24"/>
                <w:highlight w:val="none"/>
                <w:lang w:val="en-US" w:eastAsia="zh-CN"/>
              </w:rPr>
              <w:t>9</w:t>
            </w:r>
            <w:r>
              <w:rPr>
                <w:rFonts w:hint="default" w:ascii="Times New Roman" w:hAnsi="Times New Roman" w:cs="Times New Roman"/>
                <w:color w:val="auto"/>
                <w:sz w:val="24"/>
                <w:highlight w:val="none"/>
                <w:lang w:val="en-US" w:eastAsia="zh-CN"/>
              </w:rPr>
              <w:t>0</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lang w:eastAsia="zh-CN"/>
              </w:rPr>
              <w:t>一次性活性炭吸附VOCs 去除率</w:t>
            </w:r>
            <w:r>
              <w:rPr>
                <w:rFonts w:hint="default"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本项目为</w:t>
            </w:r>
            <w:r>
              <w:rPr>
                <w:rFonts w:hint="eastAsia" w:cs="Times New Roman"/>
                <w:color w:val="auto"/>
                <w:sz w:val="24"/>
                <w:lang w:val="en-US" w:eastAsia="zh-CN"/>
              </w:rPr>
              <w:t>两</w:t>
            </w:r>
            <w:r>
              <w:rPr>
                <w:rFonts w:hint="eastAsia" w:cs="Times New Roman"/>
                <w:b w:val="0"/>
                <w:bCs w:val="0"/>
                <w:color w:val="auto"/>
                <w:sz w:val="24"/>
                <w:szCs w:val="24"/>
                <w:highlight w:val="none"/>
                <w:lang w:val="zh-CN" w:eastAsia="zh-CN"/>
              </w:rPr>
              <w:t>级活性炭吸附装置</w:t>
            </w:r>
            <w:r>
              <w:rPr>
                <w:rFonts w:hint="default" w:ascii="Times New Roman" w:hAnsi="Times New Roman" w:eastAsia="宋体" w:cs="Times New Roman"/>
                <w:b w:val="0"/>
                <w:bCs w:val="0"/>
                <w:color w:val="auto"/>
                <w:sz w:val="24"/>
                <w:szCs w:val="24"/>
                <w:highlight w:val="none"/>
                <w:lang w:val="zh-CN" w:eastAsia="zh-CN"/>
              </w:rPr>
              <w:t>，</w:t>
            </w:r>
            <w:r>
              <w:rPr>
                <w:rFonts w:hint="eastAsia" w:cs="Times New Roman"/>
                <w:color w:val="auto"/>
                <w:sz w:val="24"/>
                <w:highlight w:val="none"/>
                <w:lang w:val="en-US" w:eastAsia="zh-CN"/>
              </w:rPr>
              <w:t>根据VOCs去除率公式（η=η</w:t>
            </w:r>
            <w:r>
              <w:rPr>
                <w:rFonts w:hint="eastAsia" w:cs="Times New Roman"/>
                <w:color w:val="auto"/>
                <w:sz w:val="24"/>
                <w:highlight w:val="none"/>
                <w:vertAlign w:val="subscript"/>
                <w:lang w:val="en-US" w:eastAsia="zh-CN"/>
              </w:rPr>
              <w:t>1</w:t>
            </w:r>
            <w:r>
              <w:rPr>
                <w:rFonts w:hint="eastAsia" w:cs="Times New Roman"/>
                <w:color w:val="auto"/>
                <w:sz w:val="24"/>
                <w:highlight w:val="none"/>
                <w:lang w:val="en-US" w:eastAsia="zh-CN"/>
              </w:rPr>
              <w:t>+(1-η</w:t>
            </w:r>
            <w:r>
              <w:rPr>
                <w:rFonts w:hint="eastAsia" w:cs="Times New Roman"/>
                <w:color w:val="auto"/>
                <w:sz w:val="24"/>
                <w:highlight w:val="none"/>
                <w:vertAlign w:val="subscript"/>
                <w:lang w:val="en-US" w:eastAsia="zh-CN"/>
              </w:rPr>
              <w:t>1</w:t>
            </w:r>
            <w:r>
              <w:rPr>
                <w:rFonts w:hint="eastAsia" w:cs="Times New Roman"/>
                <w:color w:val="auto"/>
                <w:sz w:val="24"/>
                <w:highlight w:val="none"/>
                <w:lang w:val="en-US" w:eastAsia="zh-CN"/>
              </w:rPr>
              <w:t>)×η</w:t>
            </w:r>
            <w:r>
              <w:rPr>
                <w:rFonts w:hint="eastAsia" w:cs="Times New Roman"/>
                <w:color w:val="auto"/>
                <w:sz w:val="24"/>
                <w:highlight w:val="none"/>
                <w:vertAlign w:val="subscript"/>
                <w:lang w:val="en-US" w:eastAsia="zh-CN"/>
              </w:rPr>
              <w:t>2</w:t>
            </w:r>
            <w:r>
              <w:rPr>
                <w:rFonts w:hint="eastAsia" w:cs="Times New Roman"/>
                <w:color w:val="auto"/>
                <w:sz w:val="24"/>
                <w:highlight w:val="none"/>
                <w:lang w:val="en-US" w:eastAsia="zh-CN"/>
              </w:rPr>
              <w:t>）计算，</w:t>
            </w:r>
            <w:r>
              <w:rPr>
                <w:rFonts w:hint="default" w:ascii="Times New Roman" w:hAnsi="Times New Roman" w:eastAsia="宋体" w:cs="Times New Roman"/>
                <w:b w:val="0"/>
                <w:bCs w:val="0"/>
                <w:color w:val="auto"/>
                <w:sz w:val="24"/>
                <w:szCs w:val="24"/>
                <w:highlight w:val="none"/>
                <w:lang w:val="en-US" w:eastAsia="zh-CN"/>
              </w:rPr>
              <w:t>则</w:t>
            </w:r>
            <w:r>
              <w:rPr>
                <w:rFonts w:hint="default" w:ascii="Times New Roman" w:hAnsi="Times New Roman" w:eastAsia="宋体" w:cs="Times New Roman"/>
                <w:color w:val="auto"/>
                <w:sz w:val="24"/>
                <w:lang w:eastAsia="zh-CN"/>
              </w:rPr>
              <w:t>VOCs去除率</w:t>
            </w:r>
            <w:r>
              <w:rPr>
                <w:rFonts w:hint="eastAsia" w:ascii="Times New Roman" w:hAnsi="Times New Roman" w:eastAsia="宋体" w:cs="Times New Roman"/>
                <w:color w:val="auto"/>
                <w:sz w:val="24"/>
                <w:lang w:val="en-US" w:eastAsia="zh-CN"/>
              </w:rPr>
              <w:t>为</w:t>
            </w:r>
            <w:r>
              <w:rPr>
                <w:rFonts w:hint="default" w:ascii="Times New Roman" w:hAnsi="Times New Roman" w:eastAsia="宋体" w:cs="Times New Roman"/>
                <w:color w:val="auto"/>
                <w:sz w:val="24"/>
                <w:lang w:val="en-US" w:eastAsia="zh-CN"/>
              </w:rPr>
              <w:t>27.75</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r>
              <w:rPr>
                <w:rFonts w:hint="eastAsia" w:cs="Times New Roman"/>
                <w:color w:val="auto"/>
                <w:sz w:val="24"/>
                <w:highlight w:val="none"/>
                <w:lang w:eastAsia="zh-CN"/>
              </w:rPr>
              <w:t>漆雾去处理效率以9</w:t>
            </w:r>
            <w:r>
              <w:rPr>
                <w:rFonts w:hint="eastAsia" w:cs="Times New Roman"/>
                <w:color w:val="auto"/>
                <w:sz w:val="24"/>
                <w:highlight w:val="none"/>
                <w:lang w:val="en-US" w:eastAsia="zh-CN"/>
              </w:rPr>
              <w:t>0</w:t>
            </w:r>
            <w:r>
              <w:rPr>
                <w:rFonts w:hint="eastAsia" w:cs="Times New Roman"/>
                <w:color w:val="auto"/>
                <w:sz w:val="24"/>
                <w:highlight w:val="none"/>
                <w:lang w:eastAsia="zh-CN"/>
              </w:rPr>
              <w:t>%计，排放总风量为</w:t>
            </w:r>
            <w:r>
              <w:rPr>
                <w:rFonts w:hint="eastAsia" w:cs="Times New Roman"/>
                <w:color w:val="auto"/>
                <w:sz w:val="24"/>
                <w:highlight w:val="none"/>
                <w:lang w:val="en-US" w:eastAsia="zh-CN"/>
              </w:rPr>
              <w:t>2</w:t>
            </w:r>
            <w:r>
              <w:rPr>
                <w:rFonts w:hint="eastAsia" w:cs="Times New Roman"/>
                <w:color w:val="auto"/>
                <w:sz w:val="24"/>
                <w:highlight w:val="none"/>
                <w:lang w:eastAsia="zh-CN"/>
              </w:rPr>
              <w:t>000m</w:t>
            </w:r>
            <w:r>
              <w:rPr>
                <w:rFonts w:hint="eastAsia" w:cs="Times New Roman"/>
                <w:color w:val="auto"/>
                <w:sz w:val="24"/>
                <w:highlight w:val="none"/>
                <w:vertAlign w:val="superscript"/>
                <w:lang w:val="en-US" w:eastAsia="zh-CN"/>
              </w:rPr>
              <w:t>3</w:t>
            </w:r>
            <w:r>
              <w:rPr>
                <w:rFonts w:hint="eastAsia" w:cs="Times New Roman"/>
                <w:color w:val="auto"/>
                <w:sz w:val="24"/>
                <w:highlight w:val="none"/>
                <w:lang w:eastAsia="zh-CN"/>
              </w:rPr>
              <w:t>/h；调漆时间约2h/d，喷漆时间约</w:t>
            </w:r>
            <w:r>
              <w:rPr>
                <w:rFonts w:hint="eastAsia" w:cs="Times New Roman"/>
                <w:color w:val="auto"/>
                <w:sz w:val="24"/>
                <w:highlight w:val="none"/>
                <w:lang w:val="en-US" w:eastAsia="zh-CN"/>
              </w:rPr>
              <w:t>6</w:t>
            </w:r>
            <w:r>
              <w:rPr>
                <w:rFonts w:hint="eastAsia" w:cs="Times New Roman"/>
                <w:color w:val="auto"/>
                <w:sz w:val="24"/>
                <w:highlight w:val="none"/>
                <w:lang w:eastAsia="zh-CN"/>
              </w:rPr>
              <w:t>h/d，</w:t>
            </w:r>
            <w:r>
              <w:rPr>
                <w:rFonts w:hint="eastAsia" w:cs="Times New Roman"/>
                <w:color w:val="auto"/>
                <w:sz w:val="24"/>
                <w:highlight w:val="none"/>
                <w:lang w:val="en-US" w:eastAsia="zh-CN"/>
              </w:rPr>
              <w:t>则项目调漆和喷漆过程中有机废气排放情况见下表。</w:t>
            </w:r>
          </w:p>
          <w:p w14:paraId="071F5A59">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4-</w:t>
            </w:r>
            <w:r>
              <w:rPr>
                <w:rFonts w:hint="eastAsia" w:ascii="Times New Roman" w:hAnsi="Times New Roman" w:eastAsia="宋体" w:cs="Times New Roman"/>
                <w:b/>
                <w:bCs/>
                <w:color w:val="auto"/>
                <w:lang w:val="en-US" w:eastAsia="zh-CN"/>
              </w:rPr>
              <w:t xml:space="preserve">3  </w:t>
            </w:r>
            <w:r>
              <w:rPr>
                <w:rFonts w:hint="default" w:ascii="Times New Roman" w:hAnsi="Times New Roman" w:eastAsia="宋体" w:cs="Times New Roman"/>
                <w:b/>
                <w:bCs/>
                <w:color w:val="auto"/>
                <w:lang w:eastAsia="zh-CN"/>
              </w:rPr>
              <w:t>VOCs 废气收集率</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006"/>
              <w:gridCol w:w="1009"/>
              <w:gridCol w:w="1009"/>
              <w:gridCol w:w="1009"/>
              <w:gridCol w:w="1009"/>
              <w:gridCol w:w="1009"/>
              <w:gridCol w:w="1009"/>
            </w:tblGrid>
            <w:tr w14:paraId="7DAE81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tcBorders>
                    <w:tl2br w:val="nil"/>
                    <w:tr2bl w:val="nil"/>
                  </w:tcBorders>
                  <w:noWrap w:val="0"/>
                  <w:vAlign w:val="center"/>
                </w:tcPr>
                <w:p w14:paraId="5E469E4A">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废气收集方式</w:t>
                  </w:r>
                </w:p>
              </w:tc>
              <w:tc>
                <w:tcPr>
                  <w:tcW w:w="623" w:type="pct"/>
                  <w:tcBorders>
                    <w:tl2br w:val="nil"/>
                    <w:tr2bl w:val="nil"/>
                  </w:tcBorders>
                  <w:noWrap w:val="0"/>
                  <w:vAlign w:val="center"/>
                </w:tcPr>
                <w:p w14:paraId="4815F311">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密闭管道</w:t>
                  </w:r>
                </w:p>
              </w:tc>
              <w:tc>
                <w:tcPr>
                  <w:tcW w:w="1250" w:type="pct"/>
                  <w:gridSpan w:val="2"/>
                  <w:tcBorders>
                    <w:tl2br w:val="nil"/>
                    <w:tr2bl w:val="nil"/>
                  </w:tcBorders>
                  <w:noWrap w:val="0"/>
                  <w:vAlign w:val="center"/>
                </w:tcPr>
                <w:p w14:paraId="44403BB5">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密闭空间（含密闭式集气罩）</w:t>
                  </w:r>
                </w:p>
              </w:tc>
              <w:tc>
                <w:tcPr>
                  <w:tcW w:w="625" w:type="pct"/>
                  <w:tcBorders>
                    <w:tl2br w:val="nil"/>
                    <w:tr2bl w:val="nil"/>
                  </w:tcBorders>
                  <w:noWrap w:val="0"/>
                  <w:vAlign w:val="center"/>
                </w:tcPr>
                <w:p w14:paraId="4E56D035">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半密闭集气罩 （含排气柜）</w:t>
                  </w:r>
                </w:p>
              </w:tc>
              <w:tc>
                <w:tcPr>
                  <w:tcW w:w="625" w:type="pct"/>
                  <w:tcBorders>
                    <w:tl2br w:val="nil"/>
                    <w:tr2bl w:val="nil"/>
                  </w:tcBorders>
                  <w:noWrap w:val="0"/>
                  <w:vAlign w:val="center"/>
                </w:tcPr>
                <w:p w14:paraId="67A809C3">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包围型集气罩 （含软帘）</w:t>
                  </w:r>
                </w:p>
              </w:tc>
              <w:tc>
                <w:tcPr>
                  <w:tcW w:w="625" w:type="pct"/>
                  <w:tcBorders>
                    <w:tl2br w:val="nil"/>
                    <w:tr2bl w:val="nil"/>
                  </w:tcBorders>
                  <w:noWrap w:val="0"/>
                  <w:vAlign w:val="center"/>
                </w:tcPr>
                <w:p w14:paraId="4C47A229">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符合标准要求 的外部集气罩</w:t>
                  </w:r>
                </w:p>
              </w:tc>
              <w:tc>
                <w:tcPr>
                  <w:tcW w:w="625" w:type="pct"/>
                  <w:tcBorders>
                    <w:tl2br w:val="nil"/>
                    <w:tr2bl w:val="nil"/>
                  </w:tcBorders>
                  <w:noWrap w:val="0"/>
                  <w:vAlign w:val="center"/>
                </w:tcPr>
                <w:p w14:paraId="5C6A0187">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其他收集方式</w:t>
                  </w:r>
                </w:p>
              </w:tc>
            </w:tr>
            <w:tr w14:paraId="13489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restart"/>
                  <w:tcBorders>
                    <w:tl2br w:val="nil"/>
                    <w:tr2bl w:val="nil"/>
                  </w:tcBorders>
                  <w:noWrap w:val="0"/>
                  <w:vAlign w:val="center"/>
                </w:tcPr>
                <w:p w14:paraId="5213E787">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废气收集率</w:t>
                  </w:r>
                </w:p>
              </w:tc>
              <w:tc>
                <w:tcPr>
                  <w:tcW w:w="623" w:type="pct"/>
                  <w:vMerge w:val="restart"/>
                  <w:tcBorders>
                    <w:tl2br w:val="nil"/>
                    <w:tr2bl w:val="nil"/>
                  </w:tcBorders>
                  <w:noWrap w:val="0"/>
                  <w:vAlign w:val="center"/>
                </w:tcPr>
                <w:p w14:paraId="203999FE">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95%</w:t>
                  </w:r>
                </w:p>
              </w:tc>
              <w:tc>
                <w:tcPr>
                  <w:tcW w:w="625" w:type="pct"/>
                  <w:tcBorders>
                    <w:tl2br w:val="nil"/>
                    <w:tr2bl w:val="nil"/>
                  </w:tcBorders>
                  <w:noWrap w:val="0"/>
                  <w:vAlign w:val="center"/>
                </w:tcPr>
                <w:p w14:paraId="22642212">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负压</w:t>
                  </w:r>
                </w:p>
              </w:tc>
              <w:tc>
                <w:tcPr>
                  <w:tcW w:w="625" w:type="pct"/>
                  <w:tcBorders>
                    <w:tl2br w:val="nil"/>
                    <w:tr2bl w:val="nil"/>
                  </w:tcBorders>
                  <w:noWrap w:val="0"/>
                  <w:vAlign w:val="center"/>
                </w:tcPr>
                <w:p w14:paraId="62A985B8">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正压</w:t>
                  </w:r>
                </w:p>
              </w:tc>
              <w:tc>
                <w:tcPr>
                  <w:tcW w:w="625" w:type="pct"/>
                  <w:vMerge w:val="restart"/>
                  <w:tcBorders>
                    <w:tl2br w:val="nil"/>
                    <w:tr2bl w:val="nil"/>
                  </w:tcBorders>
                  <w:noWrap w:val="0"/>
                  <w:vAlign w:val="center"/>
                </w:tcPr>
                <w:p w14:paraId="08472947">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65%</w:t>
                  </w:r>
                </w:p>
              </w:tc>
              <w:tc>
                <w:tcPr>
                  <w:tcW w:w="625" w:type="pct"/>
                  <w:vMerge w:val="restart"/>
                  <w:tcBorders>
                    <w:tl2br w:val="nil"/>
                    <w:tr2bl w:val="nil"/>
                  </w:tcBorders>
                  <w:noWrap w:val="0"/>
                  <w:vAlign w:val="center"/>
                </w:tcPr>
                <w:p w14:paraId="38D3ED10">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625" w:type="pct"/>
                  <w:vMerge w:val="restart"/>
                  <w:tcBorders>
                    <w:tl2br w:val="nil"/>
                    <w:tr2bl w:val="nil"/>
                  </w:tcBorders>
                  <w:noWrap w:val="0"/>
                  <w:vAlign w:val="center"/>
                </w:tcPr>
                <w:p w14:paraId="7D28FCD0">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625" w:type="pct"/>
                  <w:vMerge w:val="restart"/>
                  <w:tcBorders>
                    <w:tl2br w:val="nil"/>
                    <w:tr2bl w:val="nil"/>
                  </w:tcBorders>
                  <w:noWrap w:val="0"/>
                  <w:vAlign w:val="center"/>
                </w:tcPr>
                <w:p w14:paraId="357890BB">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r>
            <w:tr w14:paraId="476B4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623" w:type="pct"/>
                  <w:vMerge w:val="continue"/>
                  <w:tcBorders>
                    <w:tl2br w:val="nil"/>
                    <w:tr2bl w:val="nil"/>
                  </w:tcBorders>
                  <w:noWrap w:val="0"/>
                  <w:vAlign w:val="center"/>
                </w:tcPr>
                <w:p w14:paraId="0D2B360D">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3" w:type="pct"/>
                  <w:vMerge w:val="continue"/>
                  <w:tcBorders>
                    <w:tl2br w:val="nil"/>
                    <w:tr2bl w:val="nil"/>
                  </w:tcBorders>
                  <w:noWrap w:val="0"/>
                  <w:vAlign w:val="center"/>
                </w:tcPr>
                <w:p w14:paraId="09B0E968">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tcBorders>
                    <w:tl2br w:val="nil"/>
                    <w:tr2bl w:val="nil"/>
                  </w:tcBorders>
                  <w:noWrap w:val="0"/>
                  <w:vAlign w:val="center"/>
                </w:tcPr>
                <w:p w14:paraId="2FF45E5A">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90%</w:t>
                  </w:r>
                </w:p>
              </w:tc>
              <w:tc>
                <w:tcPr>
                  <w:tcW w:w="625" w:type="pct"/>
                  <w:tcBorders>
                    <w:tl2br w:val="nil"/>
                    <w:tr2bl w:val="nil"/>
                  </w:tcBorders>
                  <w:noWrap w:val="0"/>
                  <w:vAlign w:val="center"/>
                </w:tcPr>
                <w:p w14:paraId="3E39464A">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80%</w:t>
                  </w:r>
                </w:p>
              </w:tc>
              <w:tc>
                <w:tcPr>
                  <w:tcW w:w="625" w:type="pct"/>
                  <w:vMerge w:val="continue"/>
                  <w:tcBorders>
                    <w:tl2br w:val="nil"/>
                    <w:tr2bl w:val="nil"/>
                  </w:tcBorders>
                  <w:noWrap w:val="0"/>
                  <w:vAlign w:val="center"/>
                </w:tcPr>
                <w:p w14:paraId="48361FE5">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vMerge w:val="continue"/>
                  <w:tcBorders>
                    <w:tl2br w:val="nil"/>
                    <w:tr2bl w:val="nil"/>
                  </w:tcBorders>
                  <w:noWrap w:val="0"/>
                  <w:vAlign w:val="center"/>
                </w:tcPr>
                <w:p w14:paraId="273C0090">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3AE78EFE">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7E289DC2">
                  <w:pPr>
                    <w:pStyle w:val="14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r>
          </w:tbl>
          <w:p w14:paraId="1FBF2CCC">
            <w:pPr>
              <w:pStyle w:val="146"/>
              <w:keepNext w:val="0"/>
              <w:keepLines w:val="0"/>
              <w:pageBreakBefore w:val="0"/>
              <w:widowControl w:val="0"/>
              <w:kinsoku/>
              <w:wordWrap/>
              <w:overflowPunct/>
              <w:topLinePunct w:val="0"/>
              <w:autoSpaceDE/>
              <w:autoSpaceDN/>
              <w:bidi w:val="0"/>
              <w:adjustRightInd/>
              <w:snapToGrid/>
              <w:spacing w:before="157" w:beforeLines="50"/>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4-</w:t>
            </w:r>
            <w:r>
              <w:rPr>
                <w:rFonts w:hint="eastAsia" w:ascii="Times New Roman" w:hAnsi="Times New Roman" w:eastAsia="宋体" w:cs="Times New Roman"/>
                <w:b/>
                <w:bCs/>
                <w:color w:val="auto"/>
                <w:lang w:val="en-US" w:eastAsia="zh-CN"/>
              </w:rPr>
              <w:t>4</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eastAsia="zh-CN"/>
              </w:rPr>
              <w:t xml:space="preserve"> VOCs 治理设施去除率通用系数</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162"/>
              <w:gridCol w:w="1746"/>
              <w:gridCol w:w="2690"/>
            </w:tblGrid>
            <w:tr w14:paraId="7D0FDB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tcBorders>
                    <w:tl2br w:val="nil"/>
                    <w:tr2bl w:val="nil"/>
                  </w:tcBorders>
                  <w:noWrap w:val="0"/>
                  <w:vAlign w:val="center"/>
                </w:tcPr>
                <w:p w14:paraId="213291A1">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技 术</w:t>
                  </w:r>
                </w:p>
              </w:tc>
              <w:tc>
                <w:tcPr>
                  <w:tcW w:w="2422" w:type="pct"/>
                  <w:gridSpan w:val="2"/>
                  <w:tcBorders>
                    <w:tl2br w:val="nil"/>
                    <w:tr2bl w:val="nil"/>
                  </w:tcBorders>
                  <w:noWrap w:val="0"/>
                  <w:vAlign w:val="center"/>
                </w:tcPr>
                <w:p w14:paraId="2BA76176">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工 艺</w:t>
                  </w:r>
                </w:p>
              </w:tc>
              <w:tc>
                <w:tcPr>
                  <w:tcW w:w="1667" w:type="pct"/>
                  <w:tcBorders>
                    <w:tl2br w:val="nil"/>
                    <w:tr2bl w:val="nil"/>
                  </w:tcBorders>
                  <w:noWrap w:val="0"/>
                  <w:vAlign w:val="center"/>
                </w:tcPr>
                <w:p w14:paraId="01275731">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VOCs 去除率</w:t>
                  </w:r>
                </w:p>
              </w:tc>
            </w:tr>
            <w:tr w14:paraId="6D6FDD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0" w:type="pct"/>
                  <w:vMerge w:val="restart"/>
                  <w:tcBorders>
                    <w:tl2br w:val="nil"/>
                    <w:tr2bl w:val="nil"/>
                  </w:tcBorders>
                  <w:noWrap w:val="0"/>
                  <w:vAlign w:val="center"/>
                </w:tcPr>
                <w:p w14:paraId="4E84C5D3">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吸附及其组合技术</w:t>
                  </w:r>
                </w:p>
              </w:tc>
              <w:tc>
                <w:tcPr>
                  <w:tcW w:w="1340" w:type="pct"/>
                  <w:vMerge w:val="restart"/>
                  <w:tcBorders>
                    <w:tl2br w:val="nil"/>
                    <w:tr2bl w:val="nil"/>
                  </w:tcBorders>
                  <w:noWrap w:val="0"/>
                  <w:vAlign w:val="center"/>
                </w:tcPr>
                <w:p w14:paraId="3B2B37C3">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一次性活性炭吸附</w:t>
                  </w:r>
                </w:p>
              </w:tc>
              <w:tc>
                <w:tcPr>
                  <w:tcW w:w="1082" w:type="pct"/>
                  <w:tcBorders>
                    <w:tl2br w:val="nil"/>
                    <w:tr2bl w:val="nil"/>
                  </w:tcBorders>
                  <w:noWrap w:val="0"/>
                  <w:vAlign w:val="center"/>
                </w:tcPr>
                <w:p w14:paraId="25665FD1">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集中再生并活化</w:t>
                  </w:r>
                </w:p>
              </w:tc>
              <w:tc>
                <w:tcPr>
                  <w:tcW w:w="1667" w:type="pct"/>
                  <w:tcBorders>
                    <w:tl2br w:val="nil"/>
                    <w:tr2bl w:val="nil"/>
                  </w:tcBorders>
                  <w:noWrap w:val="0"/>
                  <w:vAlign w:val="center"/>
                </w:tcPr>
                <w:p w14:paraId="2B7544C6">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50%</w:t>
                  </w:r>
                </w:p>
              </w:tc>
            </w:tr>
            <w:tr w14:paraId="7FD73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67E05B10">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72707D90">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508C18BC">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w:t>
                  </w:r>
                </w:p>
              </w:tc>
              <w:tc>
                <w:tcPr>
                  <w:tcW w:w="1667" w:type="pct"/>
                  <w:tcBorders>
                    <w:tl2br w:val="nil"/>
                    <w:tr2bl w:val="nil"/>
                  </w:tcBorders>
                  <w:noWrap w:val="0"/>
                  <w:vAlign w:val="center"/>
                </w:tcPr>
                <w:p w14:paraId="6BC56B2F">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30%</w:t>
                  </w:r>
                </w:p>
              </w:tc>
            </w:tr>
            <w:tr w14:paraId="2FD3C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3DEA8E5E">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743455D5">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0003B4CC">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不再生</w:t>
                  </w:r>
                </w:p>
              </w:tc>
              <w:tc>
                <w:tcPr>
                  <w:tcW w:w="1667" w:type="pct"/>
                  <w:tcBorders>
                    <w:tl2br w:val="nil"/>
                    <w:tr2bl w:val="nil"/>
                  </w:tcBorders>
                  <w:noWrap w:val="0"/>
                  <w:vAlign w:val="center"/>
                </w:tcPr>
                <w:p w14:paraId="3DCE8026">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15%</w:t>
                  </w:r>
                </w:p>
              </w:tc>
            </w:tr>
            <w:tr w14:paraId="2A32E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19AC1E43">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2422" w:type="pct"/>
                  <w:gridSpan w:val="2"/>
                  <w:tcBorders>
                    <w:tl2br w:val="nil"/>
                    <w:tr2bl w:val="nil"/>
                  </w:tcBorders>
                  <w:noWrap w:val="0"/>
                  <w:vAlign w:val="center"/>
                </w:tcPr>
                <w:p w14:paraId="3112B5F9">
                  <w:pPr>
                    <w:pStyle w:val="146"/>
                    <w:keepNext w:val="0"/>
                    <w:keepLines w:val="0"/>
                    <w:pageBreakBefore w:val="0"/>
                    <w:widowControl w:val="0"/>
                    <w:kinsoku/>
                    <w:wordWrap/>
                    <w:overflowPunct/>
                    <w:topLinePunct w:val="0"/>
                    <w:autoSpaceDE/>
                    <w:autoSpaceDN/>
                    <w:bidi w:val="0"/>
                    <w:adjustRightInd/>
                    <w:snapToGrid/>
                    <w:ind w:firstLine="0"/>
                    <w:jc w:val="left"/>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低温等离子体/光解/光催化-一次性活性炭吸附</w:t>
                  </w:r>
                </w:p>
              </w:tc>
              <w:tc>
                <w:tcPr>
                  <w:tcW w:w="1667" w:type="pct"/>
                  <w:tcBorders>
                    <w:tl2br w:val="nil"/>
                    <w:tr2bl w:val="nil"/>
                  </w:tcBorders>
                  <w:noWrap w:val="0"/>
                  <w:vAlign w:val="center"/>
                </w:tcPr>
                <w:p w14:paraId="2E97B192">
                  <w:pPr>
                    <w:pStyle w:val="14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bl>
          <w:p w14:paraId="1A1DC7AE">
            <w:pPr>
              <w:pStyle w:val="146"/>
              <w:keepNext w:val="0"/>
              <w:keepLines w:val="0"/>
              <w:pageBreakBefore w:val="0"/>
              <w:widowControl w:val="0"/>
              <w:kinsoku/>
              <w:wordWrap/>
              <w:overflowPunct/>
              <w:topLinePunct w:val="0"/>
              <w:autoSpaceDE/>
              <w:autoSpaceDN/>
              <w:bidi w:val="0"/>
              <w:adjustRightInd/>
              <w:snapToGrid/>
              <w:spacing w:before="157" w:beforeLines="50"/>
              <w:ind w:firstLine="0"/>
              <w:jc w:val="center"/>
              <w:textAlignment w:val="auto"/>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表4-5  调漆和喷漆过程中有机废气产生和排放情况一览表</w:t>
            </w:r>
          </w:p>
          <w:tbl>
            <w:tblPr>
              <w:tblStyle w:val="34"/>
              <w:tblW w:w="819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1"/>
              <w:gridCol w:w="911"/>
              <w:gridCol w:w="722"/>
              <w:gridCol w:w="666"/>
              <w:gridCol w:w="734"/>
              <w:gridCol w:w="900"/>
              <w:gridCol w:w="705"/>
              <w:gridCol w:w="810"/>
              <w:gridCol w:w="765"/>
              <w:gridCol w:w="750"/>
              <w:gridCol w:w="792"/>
            </w:tblGrid>
            <w:tr w14:paraId="57357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restart"/>
                  <w:vAlign w:val="center"/>
                </w:tcPr>
                <w:p w14:paraId="3FCAFBA8">
                  <w:pPr>
                    <w:jc w:val="center"/>
                    <w:rPr>
                      <w:b/>
                      <w:color w:val="auto"/>
                      <w:szCs w:val="21"/>
                    </w:rPr>
                  </w:pPr>
                  <w:r>
                    <w:rPr>
                      <w:rFonts w:hint="eastAsia"/>
                      <w:b/>
                      <w:color w:val="auto"/>
                      <w:szCs w:val="21"/>
                    </w:rPr>
                    <w:t>产生工序</w:t>
                  </w:r>
                </w:p>
              </w:tc>
              <w:tc>
                <w:tcPr>
                  <w:tcW w:w="911" w:type="dxa"/>
                  <w:vMerge w:val="restart"/>
                  <w:vAlign w:val="center"/>
                </w:tcPr>
                <w:p w14:paraId="3FE420DD">
                  <w:pPr>
                    <w:jc w:val="center"/>
                    <w:rPr>
                      <w:b/>
                      <w:color w:val="auto"/>
                      <w:szCs w:val="21"/>
                    </w:rPr>
                  </w:pPr>
                  <w:r>
                    <w:rPr>
                      <w:rFonts w:hint="eastAsia"/>
                      <w:b/>
                      <w:color w:val="auto"/>
                      <w:szCs w:val="21"/>
                    </w:rPr>
                    <w:t>污染物</w:t>
                  </w:r>
                </w:p>
              </w:tc>
              <w:tc>
                <w:tcPr>
                  <w:tcW w:w="722" w:type="dxa"/>
                  <w:vMerge w:val="restart"/>
                  <w:vAlign w:val="center"/>
                </w:tcPr>
                <w:p w14:paraId="1A60B253">
                  <w:pPr>
                    <w:jc w:val="center"/>
                    <w:rPr>
                      <w:b/>
                      <w:color w:val="auto"/>
                      <w:szCs w:val="21"/>
                    </w:rPr>
                  </w:pPr>
                  <w:r>
                    <w:rPr>
                      <w:rFonts w:hint="eastAsia"/>
                      <w:b/>
                      <w:color w:val="auto"/>
                      <w:szCs w:val="21"/>
                    </w:rPr>
                    <w:t>产生量(</w:t>
                  </w:r>
                  <w:r>
                    <w:rPr>
                      <w:rFonts w:hint="eastAsia"/>
                      <w:b/>
                      <w:color w:val="auto"/>
                      <w:szCs w:val="21"/>
                      <w:lang w:val="en-US" w:eastAsia="zh-CN"/>
                    </w:rPr>
                    <w:t>t</w:t>
                  </w:r>
                  <w:r>
                    <w:rPr>
                      <w:rFonts w:hint="eastAsia"/>
                      <w:b/>
                      <w:color w:val="auto"/>
                      <w:szCs w:val="21"/>
                    </w:rPr>
                    <w:t>/a)</w:t>
                  </w:r>
                </w:p>
              </w:tc>
              <w:tc>
                <w:tcPr>
                  <w:tcW w:w="666" w:type="dxa"/>
                  <w:vMerge w:val="restart"/>
                  <w:vAlign w:val="center"/>
                </w:tcPr>
                <w:p w14:paraId="15312175">
                  <w:pPr>
                    <w:jc w:val="center"/>
                    <w:rPr>
                      <w:rFonts w:hint="eastAsia" w:eastAsia="宋体"/>
                      <w:b/>
                      <w:color w:val="auto"/>
                      <w:szCs w:val="21"/>
                      <w:lang w:eastAsia="zh-CN"/>
                    </w:rPr>
                  </w:pPr>
                  <w:r>
                    <w:rPr>
                      <w:rFonts w:hint="eastAsia"/>
                      <w:b/>
                      <w:color w:val="auto"/>
                      <w:szCs w:val="21"/>
                    </w:rPr>
                    <w:t>收集效率</w:t>
                  </w:r>
                  <w:r>
                    <w:rPr>
                      <w:rFonts w:hint="eastAsia"/>
                      <w:b/>
                      <w:color w:val="auto"/>
                      <w:szCs w:val="21"/>
                      <w:lang w:val="en-US" w:eastAsia="zh-CN"/>
                    </w:rPr>
                    <w:t>(%)</w:t>
                  </w:r>
                </w:p>
              </w:tc>
              <w:tc>
                <w:tcPr>
                  <w:tcW w:w="734" w:type="dxa"/>
                  <w:vMerge w:val="restart"/>
                  <w:vAlign w:val="center"/>
                </w:tcPr>
                <w:p w14:paraId="1004FE78">
                  <w:pPr>
                    <w:jc w:val="center"/>
                    <w:rPr>
                      <w:rFonts w:hint="default" w:eastAsia="宋体"/>
                      <w:b/>
                      <w:color w:val="auto"/>
                      <w:szCs w:val="21"/>
                      <w:lang w:val="en-US" w:eastAsia="zh-CN"/>
                    </w:rPr>
                  </w:pPr>
                  <w:r>
                    <w:rPr>
                      <w:rFonts w:hint="eastAsia"/>
                      <w:b/>
                      <w:color w:val="auto"/>
                      <w:szCs w:val="21"/>
                      <w:lang w:val="en-US" w:eastAsia="zh-CN"/>
                    </w:rPr>
                    <w:t>风量（m</w:t>
                  </w:r>
                  <w:r>
                    <w:rPr>
                      <w:rFonts w:hint="eastAsia"/>
                      <w:b/>
                      <w:color w:val="auto"/>
                      <w:szCs w:val="21"/>
                      <w:vertAlign w:val="superscript"/>
                      <w:lang w:val="en-US" w:eastAsia="zh-CN"/>
                    </w:rPr>
                    <w:t>3</w:t>
                  </w:r>
                  <w:r>
                    <w:rPr>
                      <w:rFonts w:hint="eastAsia"/>
                      <w:b/>
                      <w:color w:val="auto"/>
                      <w:szCs w:val="21"/>
                      <w:lang w:val="en-US" w:eastAsia="zh-CN"/>
                    </w:rPr>
                    <w:t>/h）</w:t>
                  </w:r>
                </w:p>
              </w:tc>
              <w:tc>
                <w:tcPr>
                  <w:tcW w:w="3180" w:type="dxa"/>
                  <w:gridSpan w:val="4"/>
                  <w:vAlign w:val="center"/>
                </w:tcPr>
                <w:p w14:paraId="3BB667AD">
                  <w:pPr>
                    <w:jc w:val="center"/>
                    <w:rPr>
                      <w:b/>
                      <w:color w:val="auto"/>
                      <w:szCs w:val="21"/>
                    </w:rPr>
                  </w:pPr>
                  <w:r>
                    <w:rPr>
                      <w:rFonts w:hint="eastAsia"/>
                      <w:b/>
                      <w:color w:val="auto"/>
                      <w:szCs w:val="21"/>
                    </w:rPr>
                    <w:t>有组织</w:t>
                  </w:r>
                </w:p>
              </w:tc>
              <w:tc>
                <w:tcPr>
                  <w:tcW w:w="1542" w:type="dxa"/>
                  <w:gridSpan w:val="2"/>
                  <w:vAlign w:val="center"/>
                </w:tcPr>
                <w:p w14:paraId="0C4B68DB">
                  <w:pPr>
                    <w:jc w:val="center"/>
                    <w:rPr>
                      <w:b/>
                      <w:color w:val="auto"/>
                      <w:szCs w:val="21"/>
                    </w:rPr>
                  </w:pPr>
                  <w:r>
                    <w:rPr>
                      <w:rFonts w:hint="eastAsia"/>
                      <w:b/>
                      <w:color w:val="auto"/>
                      <w:szCs w:val="21"/>
                    </w:rPr>
                    <w:t>无组织</w:t>
                  </w:r>
                </w:p>
              </w:tc>
            </w:tr>
            <w:tr w14:paraId="0052F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vAlign w:val="center"/>
                </w:tcPr>
                <w:p w14:paraId="42ACBB57">
                  <w:pPr>
                    <w:jc w:val="center"/>
                    <w:rPr>
                      <w:color w:val="auto"/>
                      <w:szCs w:val="21"/>
                    </w:rPr>
                  </w:pPr>
                </w:p>
              </w:tc>
              <w:tc>
                <w:tcPr>
                  <w:tcW w:w="911" w:type="dxa"/>
                  <w:vMerge w:val="continue"/>
                  <w:vAlign w:val="center"/>
                </w:tcPr>
                <w:p w14:paraId="347D16DF">
                  <w:pPr>
                    <w:jc w:val="center"/>
                    <w:rPr>
                      <w:color w:val="auto"/>
                      <w:szCs w:val="21"/>
                    </w:rPr>
                  </w:pPr>
                </w:p>
              </w:tc>
              <w:tc>
                <w:tcPr>
                  <w:tcW w:w="722" w:type="dxa"/>
                  <w:vMerge w:val="continue"/>
                  <w:vAlign w:val="center"/>
                </w:tcPr>
                <w:p w14:paraId="6CDE5F3A">
                  <w:pPr>
                    <w:jc w:val="center"/>
                    <w:rPr>
                      <w:color w:val="auto"/>
                      <w:szCs w:val="21"/>
                    </w:rPr>
                  </w:pPr>
                </w:p>
              </w:tc>
              <w:tc>
                <w:tcPr>
                  <w:tcW w:w="666" w:type="dxa"/>
                  <w:vMerge w:val="continue"/>
                  <w:vAlign w:val="center"/>
                </w:tcPr>
                <w:p w14:paraId="541BD007">
                  <w:pPr>
                    <w:jc w:val="center"/>
                    <w:rPr>
                      <w:color w:val="auto"/>
                      <w:szCs w:val="21"/>
                    </w:rPr>
                  </w:pPr>
                </w:p>
              </w:tc>
              <w:tc>
                <w:tcPr>
                  <w:tcW w:w="734" w:type="dxa"/>
                  <w:vMerge w:val="continue"/>
                  <w:vAlign w:val="center"/>
                </w:tcPr>
                <w:p w14:paraId="2E3025A2">
                  <w:pPr>
                    <w:jc w:val="center"/>
                    <w:rPr>
                      <w:color w:val="auto"/>
                      <w:szCs w:val="21"/>
                    </w:rPr>
                  </w:pPr>
                </w:p>
              </w:tc>
              <w:tc>
                <w:tcPr>
                  <w:tcW w:w="900" w:type="dxa"/>
                  <w:shd w:val="clear" w:color="auto" w:fill="auto"/>
                  <w:vAlign w:val="center"/>
                </w:tcPr>
                <w:p w14:paraId="69D056A0">
                  <w:pPr>
                    <w:jc w:val="center"/>
                    <w:rPr>
                      <w:rFonts w:ascii="Times New Roman" w:hAnsi="Times New Roman" w:eastAsia="宋体" w:cs="Times New Roman"/>
                      <w:color w:val="auto"/>
                      <w:kern w:val="2"/>
                      <w:sz w:val="21"/>
                      <w:szCs w:val="21"/>
                      <w:lang w:val="en-US" w:eastAsia="zh-CN" w:bidi="ar-SA"/>
                    </w:rPr>
                  </w:pPr>
                  <w:r>
                    <w:rPr>
                      <w:rFonts w:hint="eastAsia"/>
                      <w:b/>
                      <w:color w:val="auto"/>
                      <w:szCs w:val="21"/>
                    </w:rPr>
                    <w:t>集气罩收集量(</w:t>
                  </w:r>
                  <w:r>
                    <w:rPr>
                      <w:rFonts w:hint="eastAsia"/>
                      <w:b/>
                      <w:color w:val="auto"/>
                      <w:szCs w:val="21"/>
                      <w:lang w:val="en-US" w:eastAsia="zh-CN"/>
                    </w:rPr>
                    <w:t>t</w:t>
                  </w:r>
                  <w:r>
                    <w:rPr>
                      <w:rFonts w:hint="eastAsia"/>
                      <w:b/>
                      <w:color w:val="auto"/>
                      <w:szCs w:val="21"/>
                    </w:rPr>
                    <w:t>/a)</w:t>
                  </w:r>
                </w:p>
              </w:tc>
              <w:tc>
                <w:tcPr>
                  <w:tcW w:w="705" w:type="dxa"/>
                  <w:vAlign w:val="center"/>
                </w:tcPr>
                <w:p w14:paraId="5A57D179">
                  <w:pPr>
                    <w:jc w:val="center"/>
                    <w:rPr>
                      <w:rFonts w:hint="default" w:eastAsia="宋体"/>
                      <w:color w:val="auto"/>
                      <w:szCs w:val="21"/>
                      <w:lang w:val="en-US" w:eastAsia="zh-CN"/>
                    </w:rPr>
                  </w:pPr>
                  <w:r>
                    <w:rPr>
                      <w:rFonts w:hint="eastAsia"/>
                      <w:b/>
                      <w:bCs/>
                      <w:color w:val="auto"/>
                      <w:szCs w:val="21"/>
                      <w:lang w:val="en-US" w:eastAsia="zh-CN"/>
                    </w:rPr>
                    <w:t>处理效率(%)</w:t>
                  </w:r>
                </w:p>
              </w:tc>
              <w:tc>
                <w:tcPr>
                  <w:tcW w:w="810" w:type="dxa"/>
                  <w:vAlign w:val="center"/>
                </w:tcPr>
                <w:p w14:paraId="6C345724">
                  <w:pPr>
                    <w:jc w:val="center"/>
                    <w:rPr>
                      <w:rFonts w:hint="eastAsia" w:eastAsia="宋体"/>
                      <w:color w:val="auto"/>
                      <w:szCs w:val="21"/>
                      <w:lang w:eastAsia="zh-CN"/>
                    </w:rPr>
                  </w:pPr>
                  <w:r>
                    <w:rPr>
                      <w:rFonts w:hint="eastAsia"/>
                      <w:b/>
                      <w:color w:val="auto"/>
                      <w:szCs w:val="21"/>
                    </w:rPr>
                    <w:t>排放量</w:t>
                  </w:r>
                  <w:r>
                    <w:rPr>
                      <w:rFonts w:hint="eastAsia"/>
                      <w:b/>
                      <w:color w:val="auto"/>
                      <w:szCs w:val="21"/>
                      <w:lang w:val="en-US" w:eastAsia="zh-CN"/>
                    </w:rPr>
                    <w:t>(t</w:t>
                  </w:r>
                  <w:r>
                    <w:rPr>
                      <w:rFonts w:hint="eastAsia"/>
                      <w:b/>
                      <w:color w:val="auto"/>
                      <w:szCs w:val="21"/>
                    </w:rPr>
                    <w:t>/a</w:t>
                  </w:r>
                  <w:r>
                    <w:rPr>
                      <w:rFonts w:hint="eastAsia"/>
                      <w:b/>
                      <w:color w:val="auto"/>
                      <w:szCs w:val="21"/>
                      <w:lang w:val="en-US" w:eastAsia="zh-CN"/>
                    </w:rPr>
                    <w:t>)</w:t>
                  </w:r>
                </w:p>
              </w:tc>
              <w:tc>
                <w:tcPr>
                  <w:tcW w:w="765" w:type="dxa"/>
                  <w:vAlign w:val="center"/>
                </w:tcPr>
                <w:p w14:paraId="7BAEA03D">
                  <w:pPr>
                    <w:jc w:val="center"/>
                    <w:rPr>
                      <w:color w:val="auto"/>
                      <w:szCs w:val="21"/>
                    </w:rPr>
                  </w:pPr>
                  <w:r>
                    <w:rPr>
                      <w:rFonts w:hint="eastAsia"/>
                      <w:b/>
                      <w:color w:val="auto"/>
                      <w:szCs w:val="21"/>
                    </w:rPr>
                    <w:t>排放速率(kg/h)</w:t>
                  </w:r>
                </w:p>
              </w:tc>
              <w:tc>
                <w:tcPr>
                  <w:tcW w:w="750" w:type="dxa"/>
                  <w:vAlign w:val="center"/>
                </w:tcPr>
                <w:p w14:paraId="03EB184D">
                  <w:pPr>
                    <w:jc w:val="center"/>
                    <w:rPr>
                      <w:color w:val="auto"/>
                      <w:szCs w:val="21"/>
                    </w:rPr>
                  </w:pPr>
                  <w:r>
                    <w:rPr>
                      <w:rFonts w:hint="eastAsia"/>
                      <w:b/>
                      <w:color w:val="auto"/>
                      <w:szCs w:val="21"/>
                    </w:rPr>
                    <w:t>排放量(</w:t>
                  </w:r>
                  <w:r>
                    <w:rPr>
                      <w:rFonts w:hint="eastAsia"/>
                      <w:b/>
                      <w:color w:val="auto"/>
                      <w:szCs w:val="21"/>
                      <w:lang w:val="en-US" w:eastAsia="zh-CN"/>
                    </w:rPr>
                    <w:t>t</w:t>
                  </w:r>
                  <w:r>
                    <w:rPr>
                      <w:rFonts w:hint="eastAsia"/>
                      <w:b/>
                      <w:color w:val="auto"/>
                      <w:szCs w:val="21"/>
                    </w:rPr>
                    <w:t>/a)</w:t>
                  </w:r>
                </w:p>
              </w:tc>
              <w:tc>
                <w:tcPr>
                  <w:tcW w:w="792" w:type="dxa"/>
                  <w:vAlign w:val="center"/>
                </w:tcPr>
                <w:p w14:paraId="3C8FA667">
                  <w:pPr>
                    <w:jc w:val="center"/>
                    <w:rPr>
                      <w:color w:val="auto"/>
                      <w:szCs w:val="21"/>
                    </w:rPr>
                  </w:pPr>
                  <w:r>
                    <w:rPr>
                      <w:rFonts w:hint="eastAsia"/>
                      <w:b/>
                      <w:color w:val="auto"/>
                      <w:szCs w:val="21"/>
                    </w:rPr>
                    <w:t>排放速率(kg/h)</w:t>
                  </w:r>
                </w:p>
              </w:tc>
            </w:tr>
            <w:tr w14:paraId="5E83F7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41" w:type="dxa"/>
                  <w:vMerge w:val="restart"/>
                  <w:vAlign w:val="center"/>
                </w:tcPr>
                <w:p w14:paraId="244A47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szCs w:val="21"/>
                      <w:lang w:val="en-US" w:eastAsia="zh-CN"/>
                    </w:rPr>
                  </w:pPr>
                  <w:r>
                    <w:rPr>
                      <w:rFonts w:hint="eastAsia"/>
                      <w:color w:val="auto"/>
                      <w:szCs w:val="21"/>
                      <w:lang w:val="en-US" w:eastAsia="zh-CN"/>
                    </w:rPr>
                    <w:t>调漆、喷漆</w:t>
                  </w:r>
                </w:p>
              </w:tc>
              <w:tc>
                <w:tcPr>
                  <w:tcW w:w="911" w:type="dxa"/>
                  <w:vAlign w:val="center"/>
                </w:tcPr>
                <w:p w14:paraId="13ECF52A">
                  <w:pPr>
                    <w:jc w:val="center"/>
                    <w:rPr>
                      <w:rFonts w:hint="default" w:eastAsia="宋体"/>
                      <w:color w:val="auto"/>
                      <w:szCs w:val="21"/>
                      <w:lang w:val="en-US" w:eastAsia="zh-CN"/>
                    </w:rPr>
                  </w:pPr>
                  <w:r>
                    <w:rPr>
                      <w:rFonts w:hint="eastAsia"/>
                      <w:color w:val="auto"/>
                      <w:szCs w:val="21"/>
                      <w:lang w:val="en-US" w:eastAsia="zh-CN"/>
                    </w:rPr>
                    <w:t>二甲苯</w:t>
                  </w:r>
                </w:p>
              </w:tc>
              <w:tc>
                <w:tcPr>
                  <w:tcW w:w="722" w:type="dxa"/>
                  <w:vAlign w:val="center"/>
                </w:tcPr>
                <w:p w14:paraId="78600713">
                  <w:pPr>
                    <w:keepNext w:val="0"/>
                    <w:keepLines w:val="0"/>
                    <w:widowControl/>
                    <w:suppressLineNumbers w:val="0"/>
                    <w:jc w:val="center"/>
                    <w:textAlignment w:val="center"/>
                    <w:rPr>
                      <w:rFonts w:hint="default" w:eastAsia="宋体"/>
                      <w:color w:val="auto"/>
                      <w:szCs w:val="21"/>
                      <w:lang w:val="en-US" w:eastAsia="zh-CN"/>
                    </w:rPr>
                  </w:pPr>
                  <w:r>
                    <w:rPr>
                      <w:rFonts w:hint="eastAsia" w:eastAsia="宋体"/>
                      <w:color w:val="auto"/>
                      <w:szCs w:val="21"/>
                      <w:lang w:val="en-US" w:eastAsia="zh-CN"/>
                    </w:rPr>
                    <w:t>0.080</w:t>
                  </w:r>
                </w:p>
              </w:tc>
              <w:tc>
                <w:tcPr>
                  <w:tcW w:w="666" w:type="dxa"/>
                  <w:vMerge w:val="restart"/>
                  <w:vAlign w:val="center"/>
                </w:tcPr>
                <w:p w14:paraId="15575708">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90</w:t>
                  </w:r>
                </w:p>
              </w:tc>
              <w:tc>
                <w:tcPr>
                  <w:tcW w:w="734" w:type="dxa"/>
                  <w:vMerge w:val="restart"/>
                  <w:vAlign w:val="center"/>
                </w:tcPr>
                <w:p w14:paraId="743CB6AE">
                  <w:pPr>
                    <w:jc w:val="center"/>
                    <w:rPr>
                      <w:rFonts w:hint="default"/>
                      <w:color w:val="auto"/>
                      <w:szCs w:val="21"/>
                      <w:lang w:val="en-US" w:eastAsia="zh-CN"/>
                    </w:rPr>
                  </w:pPr>
                  <w:r>
                    <w:rPr>
                      <w:rFonts w:hint="eastAsia"/>
                      <w:color w:val="auto"/>
                      <w:szCs w:val="21"/>
                      <w:lang w:val="en-US" w:eastAsia="zh-CN"/>
                    </w:rPr>
                    <w:t>2000</w:t>
                  </w:r>
                </w:p>
              </w:tc>
              <w:tc>
                <w:tcPr>
                  <w:tcW w:w="900" w:type="dxa"/>
                  <w:shd w:val="clear" w:color="auto" w:fill="auto"/>
                  <w:vAlign w:val="center"/>
                </w:tcPr>
                <w:p w14:paraId="0F6B07FC">
                  <w:pPr>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0.072</w:t>
                  </w:r>
                </w:p>
              </w:tc>
              <w:tc>
                <w:tcPr>
                  <w:tcW w:w="705" w:type="dxa"/>
                  <w:vAlign w:val="center"/>
                </w:tcPr>
                <w:p w14:paraId="6015E25A">
                  <w:pPr>
                    <w:jc w:val="center"/>
                    <w:rPr>
                      <w:rFonts w:hint="default" w:eastAsia="宋体"/>
                      <w:color w:val="auto"/>
                      <w:szCs w:val="21"/>
                      <w:lang w:val="en-US" w:eastAsia="zh-CN"/>
                    </w:rPr>
                  </w:pPr>
                  <w:r>
                    <w:rPr>
                      <w:rFonts w:hint="eastAsia" w:eastAsia="宋体"/>
                      <w:color w:val="auto"/>
                      <w:szCs w:val="21"/>
                      <w:lang w:val="en-US" w:eastAsia="zh-CN"/>
                    </w:rPr>
                    <w:t>27.75</w:t>
                  </w:r>
                </w:p>
              </w:tc>
              <w:tc>
                <w:tcPr>
                  <w:tcW w:w="810" w:type="dxa"/>
                  <w:vAlign w:val="center"/>
                </w:tcPr>
                <w:p w14:paraId="47682229">
                  <w:pPr>
                    <w:jc w:val="center"/>
                    <w:rPr>
                      <w:rFonts w:hint="default" w:eastAsia="宋体"/>
                      <w:color w:val="auto"/>
                      <w:szCs w:val="21"/>
                      <w:lang w:val="en-US" w:eastAsia="zh-CN"/>
                    </w:rPr>
                  </w:pPr>
                  <w:r>
                    <w:rPr>
                      <w:rFonts w:hint="eastAsia" w:eastAsia="宋体"/>
                      <w:color w:val="auto"/>
                      <w:szCs w:val="21"/>
                      <w:lang w:val="en-US" w:eastAsia="zh-CN"/>
                    </w:rPr>
                    <w:t>0.052</w:t>
                  </w:r>
                </w:p>
              </w:tc>
              <w:tc>
                <w:tcPr>
                  <w:tcW w:w="765" w:type="dxa"/>
                  <w:vAlign w:val="center"/>
                </w:tcPr>
                <w:p w14:paraId="5E624432">
                  <w:pPr>
                    <w:jc w:val="center"/>
                    <w:rPr>
                      <w:rFonts w:hint="default" w:eastAsia="宋体"/>
                      <w:color w:val="auto"/>
                      <w:szCs w:val="21"/>
                      <w:lang w:val="en-US" w:eastAsia="zh-CN"/>
                    </w:rPr>
                  </w:pPr>
                  <w:r>
                    <w:rPr>
                      <w:rFonts w:hint="eastAsia" w:eastAsia="宋体"/>
                      <w:color w:val="auto"/>
                      <w:szCs w:val="21"/>
                      <w:lang w:val="en-US" w:eastAsia="zh-CN"/>
                    </w:rPr>
                    <w:t>0.022</w:t>
                  </w:r>
                </w:p>
              </w:tc>
              <w:tc>
                <w:tcPr>
                  <w:tcW w:w="750" w:type="dxa"/>
                  <w:vAlign w:val="center"/>
                </w:tcPr>
                <w:p w14:paraId="6B859A28">
                  <w:pPr>
                    <w:jc w:val="center"/>
                    <w:rPr>
                      <w:rFonts w:hint="default" w:eastAsia="宋体"/>
                      <w:color w:val="auto"/>
                      <w:szCs w:val="21"/>
                      <w:lang w:val="en-US" w:eastAsia="zh-CN"/>
                    </w:rPr>
                  </w:pPr>
                  <w:r>
                    <w:rPr>
                      <w:rFonts w:hint="eastAsia" w:eastAsia="宋体"/>
                      <w:color w:val="auto"/>
                      <w:szCs w:val="21"/>
                      <w:lang w:val="en-US" w:eastAsia="zh-CN"/>
                    </w:rPr>
                    <w:t>0.008</w:t>
                  </w:r>
                </w:p>
              </w:tc>
              <w:tc>
                <w:tcPr>
                  <w:tcW w:w="792" w:type="dxa"/>
                  <w:vAlign w:val="center"/>
                </w:tcPr>
                <w:p w14:paraId="486160DC">
                  <w:pPr>
                    <w:jc w:val="center"/>
                    <w:rPr>
                      <w:rFonts w:hint="default" w:eastAsia="宋体"/>
                      <w:color w:val="auto"/>
                      <w:szCs w:val="21"/>
                      <w:lang w:val="en-US" w:eastAsia="zh-CN"/>
                    </w:rPr>
                  </w:pPr>
                  <w:r>
                    <w:rPr>
                      <w:rFonts w:hint="eastAsia" w:eastAsia="宋体"/>
                      <w:color w:val="auto"/>
                      <w:szCs w:val="21"/>
                      <w:lang w:val="en-US" w:eastAsia="zh-CN"/>
                    </w:rPr>
                    <w:t>0.003</w:t>
                  </w:r>
                </w:p>
              </w:tc>
            </w:tr>
            <w:tr w14:paraId="258B84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dxa"/>
                  <w:vMerge w:val="continue"/>
                  <w:vAlign w:val="center"/>
                </w:tcPr>
                <w:p w14:paraId="4A6DD838">
                  <w:pPr>
                    <w:jc w:val="center"/>
                    <w:rPr>
                      <w:rFonts w:hint="eastAsia"/>
                      <w:color w:val="auto"/>
                      <w:szCs w:val="21"/>
                      <w:lang w:val="en-US" w:eastAsia="zh-CN"/>
                    </w:rPr>
                  </w:pPr>
                </w:p>
              </w:tc>
              <w:tc>
                <w:tcPr>
                  <w:tcW w:w="911" w:type="dxa"/>
                  <w:shd w:val="clear" w:color="auto" w:fill="auto"/>
                  <w:vAlign w:val="center"/>
                </w:tcPr>
                <w:p w14:paraId="61ACCA56">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rPr>
                    <w:t>非甲烷总烃</w:t>
                  </w:r>
                </w:p>
              </w:tc>
              <w:tc>
                <w:tcPr>
                  <w:tcW w:w="722" w:type="dxa"/>
                  <w:shd w:val="clear" w:color="auto" w:fill="auto"/>
                  <w:vAlign w:val="center"/>
                </w:tcPr>
                <w:p w14:paraId="00AD339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0.443</w:t>
                  </w:r>
                </w:p>
              </w:tc>
              <w:tc>
                <w:tcPr>
                  <w:tcW w:w="666" w:type="dxa"/>
                  <w:vMerge w:val="continue"/>
                  <w:vAlign w:val="center"/>
                </w:tcPr>
                <w:p w14:paraId="476D95F0">
                  <w:pPr>
                    <w:jc w:val="center"/>
                    <w:rPr>
                      <w:rFonts w:hint="default"/>
                      <w:color w:val="auto"/>
                      <w:szCs w:val="21"/>
                      <w:lang w:val="en-US" w:eastAsia="zh-CN"/>
                    </w:rPr>
                  </w:pPr>
                </w:p>
              </w:tc>
              <w:tc>
                <w:tcPr>
                  <w:tcW w:w="734" w:type="dxa"/>
                  <w:vMerge w:val="continue"/>
                  <w:vAlign w:val="center"/>
                </w:tcPr>
                <w:p w14:paraId="56A80943">
                  <w:pPr>
                    <w:jc w:val="center"/>
                    <w:rPr>
                      <w:rFonts w:hint="eastAsia"/>
                      <w:color w:val="auto"/>
                      <w:szCs w:val="21"/>
                      <w:lang w:val="en-US" w:eastAsia="zh-CN"/>
                    </w:rPr>
                  </w:pPr>
                </w:p>
              </w:tc>
              <w:tc>
                <w:tcPr>
                  <w:tcW w:w="900" w:type="dxa"/>
                  <w:shd w:val="clear" w:color="auto" w:fill="auto"/>
                  <w:vAlign w:val="center"/>
                </w:tcPr>
                <w:p w14:paraId="37E8883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0.399</w:t>
                  </w:r>
                </w:p>
              </w:tc>
              <w:tc>
                <w:tcPr>
                  <w:tcW w:w="705" w:type="dxa"/>
                  <w:shd w:val="clear" w:color="auto" w:fill="auto"/>
                  <w:vAlign w:val="center"/>
                </w:tcPr>
                <w:p w14:paraId="65F81E88">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27.75</w:t>
                  </w:r>
                </w:p>
              </w:tc>
              <w:tc>
                <w:tcPr>
                  <w:tcW w:w="810" w:type="dxa"/>
                  <w:vAlign w:val="center"/>
                </w:tcPr>
                <w:p w14:paraId="0247BD56">
                  <w:pPr>
                    <w:jc w:val="center"/>
                    <w:rPr>
                      <w:rFonts w:hint="default" w:eastAsia="宋体"/>
                      <w:color w:val="auto"/>
                      <w:szCs w:val="21"/>
                      <w:lang w:val="en-US" w:eastAsia="zh-CN"/>
                    </w:rPr>
                  </w:pPr>
                  <w:r>
                    <w:rPr>
                      <w:rFonts w:hint="eastAsia" w:eastAsia="宋体"/>
                      <w:color w:val="auto"/>
                      <w:szCs w:val="21"/>
                      <w:lang w:val="en-US" w:eastAsia="zh-CN"/>
                    </w:rPr>
                    <w:t>0.288</w:t>
                  </w:r>
                </w:p>
              </w:tc>
              <w:tc>
                <w:tcPr>
                  <w:tcW w:w="765" w:type="dxa"/>
                  <w:vAlign w:val="center"/>
                </w:tcPr>
                <w:p w14:paraId="5267D6A2">
                  <w:pPr>
                    <w:jc w:val="center"/>
                    <w:rPr>
                      <w:rFonts w:hint="default" w:eastAsia="宋体"/>
                      <w:color w:val="auto"/>
                      <w:szCs w:val="21"/>
                      <w:lang w:val="en-US" w:eastAsia="zh-CN"/>
                    </w:rPr>
                  </w:pPr>
                  <w:r>
                    <w:rPr>
                      <w:rFonts w:hint="eastAsia" w:eastAsia="宋体"/>
                      <w:color w:val="auto"/>
                      <w:szCs w:val="21"/>
                      <w:lang w:val="en-US" w:eastAsia="zh-CN"/>
                    </w:rPr>
                    <w:t>0.12</w:t>
                  </w:r>
                </w:p>
              </w:tc>
              <w:tc>
                <w:tcPr>
                  <w:tcW w:w="750" w:type="dxa"/>
                  <w:vAlign w:val="center"/>
                </w:tcPr>
                <w:p w14:paraId="1A9CB447">
                  <w:pPr>
                    <w:jc w:val="center"/>
                    <w:rPr>
                      <w:rFonts w:hint="default" w:eastAsia="宋体"/>
                      <w:color w:val="auto"/>
                      <w:szCs w:val="21"/>
                      <w:lang w:val="en-US" w:eastAsia="zh-CN"/>
                    </w:rPr>
                  </w:pPr>
                  <w:r>
                    <w:rPr>
                      <w:rFonts w:hint="eastAsia" w:eastAsia="宋体"/>
                      <w:color w:val="auto"/>
                      <w:szCs w:val="21"/>
                      <w:lang w:val="en-US" w:eastAsia="zh-CN"/>
                    </w:rPr>
                    <w:t>0.044</w:t>
                  </w:r>
                </w:p>
              </w:tc>
              <w:tc>
                <w:tcPr>
                  <w:tcW w:w="792" w:type="dxa"/>
                  <w:vAlign w:val="center"/>
                </w:tcPr>
                <w:p w14:paraId="4BEFD1AE">
                  <w:pPr>
                    <w:jc w:val="center"/>
                    <w:rPr>
                      <w:rFonts w:hint="default" w:eastAsia="宋体"/>
                      <w:color w:val="auto"/>
                      <w:szCs w:val="21"/>
                      <w:lang w:val="en-US" w:eastAsia="zh-CN"/>
                    </w:rPr>
                  </w:pPr>
                  <w:r>
                    <w:rPr>
                      <w:rFonts w:hint="eastAsia" w:eastAsia="宋体"/>
                      <w:color w:val="auto"/>
                      <w:szCs w:val="21"/>
                      <w:lang w:val="en-US" w:eastAsia="zh-CN"/>
                    </w:rPr>
                    <w:t>0.018</w:t>
                  </w:r>
                </w:p>
              </w:tc>
            </w:tr>
            <w:tr w14:paraId="3E259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vAlign w:val="center"/>
                </w:tcPr>
                <w:p w14:paraId="611936A7">
                  <w:pPr>
                    <w:jc w:val="center"/>
                    <w:rPr>
                      <w:rFonts w:hint="eastAsia"/>
                      <w:color w:val="auto"/>
                      <w:szCs w:val="21"/>
                      <w:lang w:val="en-US" w:eastAsia="zh-CN"/>
                    </w:rPr>
                  </w:pPr>
                </w:p>
              </w:tc>
              <w:tc>
                <w:tcPr>
                  <w:tcW w:w="911" w:type="dxa"/>
                  <w:vAlign w:val="center"/>
                </w:tcPr>
                <w:p w14:paraId="01DD051A">
                  <w:pPr>
                    <w:jc w:val="center"/>
                    <w:rPr>
                      <w:rFonts w:hint="default" w:eastAsia="宋体"/>
                      <w:color w:val="auto"/>
                      <w:szCs w:val="21"/>
                      <w:lang w:val="en-US" w:eastAsia="zh-CN"/>
                    </w:rPr>
                  </w:pPr>
                  <w:r>
                    <w:rPr>
                      <w:rFonts w:hint="eastAsia"/>
                      <w:color w:val="auto"/>
                      <w:szCs w:val="21"/>
                      <w:lang w:val="en-US" w:eastAsia="zh-CN"/>
                    </w:rPr>
                    <w:t>漆雾</w:t>
                  </w:r>
                </w:p>
              </w:tc>
              <w:tc>
                <w:tcPr>
                  <w:tcW w:w="722" w:type="dxa"/>
                  <w:vAlign w:val="center"/>
                </w:tcPr>
                <w:p w14:paraId="33E73BD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0.135</w:t>
                  </w:r>
                </w:p>
              </w:tc>
              <w:tc>
                <w:tcPr>
                  <w:tcW w:w="666" w:type="dxa"/>
                  <w:vMerge w:val="continue"/>
                  <w:vAlign w:val="center"/>
                </w:tcPr>
                <w:p w14:paraId="14FD15CD">
                  <w:pPr>
                    <w:jc w:val="center"/>
                    <w:rPr>
                      <w:rFonts w:hint="default" w:ascii="Times New Roman" w:hAnsi="Times New Roman" w:eastAsia="宋体" w:cs="Times New Roman"/>
                      <w:color w:val="auto"/>
                      <w:kern w:val="2"/>
                      <w:sz w:val="21"/>
                      <w:szCs w:val="21"/>
                      <w:lang w:val="en-US" w:eastAsia="zh-CN" w:bidi="ar-SA"/>
                    </w:rPr>
                  </w:pPr>
                </w:p>
              </w:tc>
              <w:tc>
                <w:tcPr>
                  <w:tcW w:w="734" w:type="dxa"/>
                  <w:vMerge w:val="continue"/>
                  <w:vAlign w:val="center"/>
                </w:tcPr>
                <w:p w14:paraId="2D06CDAA">
                  <w:pPr>
                    <w:jc w:val="center"/>
                    <w:rPr>
                      <w:rFonts w:hint="eastAsia" w:ascii="Times New Roman" w:hAnsi="Times New Roman" w:eastAsia="宋体" w:cs="Times New Roman"/>
                      <w:color w:val="auto"/>
                      <w:kern w:val="2"/>
                      <w:sz w:val="21"/>
                      <w:szCs w:val="21"/>
                      <w:lang w:val="en-US" w:eastAsia="zh-CN" w:bidi="ar-SA"/>
                    </w:rPr>
                  </w:pPr>
                </w:p>
              </w:tc>
              <w:tc>
                <w:tcPr>
                  <w:tcW w:w="900" w:type="dxa"/>
                  <w:shd w:val="clear" w:color="auto" w:fill="auto"/>
                  <w:vAlign w:val="center"/>
                </w:tcPr>
                <w:p w14:paraId="73088494">
                  <w:pPr>
                    <w:jc w:val="center"/>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0.122</w:t>
                  </w:r>
                </w:p>
              </w:tc>
              <w:tc>
                <w:tcPr>
                  <w:tcW w:w="705" w:type="dxa"/>
                  <w:vAlign w:val="center"/>
                </w:tcPr>
                <w:p w14:paraId="68C44CB6">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90</w:t>
                  </w:r>
                </w:p>
              </w:tc>
              <w:tc>
                <w:tcPr>
                  <w:tcW w:w="810" w:type="dxa"/>
                  <w:vAlign w:val="center"/>
                </w:tcPr>
                <w:p w14:paraId="2CDB8497">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0.012</w:t>
                  </w:r>
                </w:p>
              </w:tc>
              <w:tc>
                <w:tcPr>
                  <w:tcW w:w="765" w:type="dxa"/>
                  <w:vAlign w:val="center"/>
                </w:tcPr>
                <w:p w14:paraId="53AE417C">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0.005</w:t>
                  </w:r>
                </w:p>
              </w:tc>
              <w:tc>
                <w:tcPr>
                  <w:tcW w:w="750" w:type="dxa"/>
                  <w:vAlign w:val="center"/>
                </w:tcPr>
                <w:p w14:paraId="3F01EF5A">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0.013</w:t>
                  </w:r>
                </w:p>
              </w:tc>
              <w:tc>
                <w:tcPr>
                  <w:tcW w:w="792" w:type="dxa"/>
                  <w:vAlign w:val="center"/>
                </w:tcPr>
                <w:p w14:paraId="05EC7F64">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0.005</w:t>
                  </w:r>
                </w:p>
              </w:tc>
            </w:tr>
          </w:tbl>
          <w:p w14:paraId="31548B8A">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喷漆（经过水帘处理）和调漆</w:t>
            </w:r>
            <w:r>
              <w:rPr>
                <w:rFonts w:hint="default" w:cs="Times New Roman"/>
                <w:color w:val="auto"/>
                <w:sz w:val="24"/>
                <w:szCs w:val="24"/>
                <w:highlight w:val="none"/>
                <w:lang w:val="en-US" w:eastAsia="zh-CN"/>
              </w:rPr>
              <w:t>过</w:t>
            </w:r>
            <w:r>
              <w:rPr>
                <w:rFonts w:hint="default" w:ascii="Times New Roman" w:hAnsi="Times New Roman" w:eastAsia="宋体" w:cs="Times New Roman"/>
                <w:color w:val="auto"/>
                <w:sz w:val="24"/>
                <w:szCs w:val="24"/>
                <w:highlight w:val="none"/>
                <w:lang w:val="en-US" w:eastAsia="zh-CN"/>
              </w:rPr>
              <w:t>程中产生的有机废气经负压式抽风收集，经1套多级过滤+</w:t>
            </w:r>
            <w:r>
              <w:rPr>
                <w:rFonts w:hint="default" w:cs="Times New Roman"/>
                <w:color w:val="auto"/>
                <w:sz w:val="24"/>
                <w:szCs w:val="24"/>
                <w:highlight w:val="none"/>
                <w:lang w:val="en-US" w:eastAsia="zh-CN"/>
              </w:rPr>
              <w:t>两</w:t>
            </w:r>
            <w:r>
              <w:rPr>
                <w:rFonts w:hint="default" w:ascii="Times New Roman" w:hAnsi="Times New Roman" w:eastAsia="宋体" w:cs="Times New Roman"/>
                <w:color w:val="auto"/>
                <w:sz w:val="24"/>
                <w:szCs w:val="24"/>
                <w:highlight w:val="none"/>
                <w:lang w:val="en-US" w:eastAsia="zh-CN"/>
              </w:rPr>
              <w:t>级活性炭吸附装置处理后，经15m高排气筒（DA00</w:t>
            </w:r>
            <w:r>
              <w:rPr>
                <w:rFonts w:hint="default"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）排放</w:t>
            </w:r>
            <w:r>
              <w:rPr>
                <w:rFonts w:hint="default" w:cs="Times New Roman"/>
                <w:color w:val="auto"/>
                <w:sz w:val="24"/>
                <w:szCs w:val="24"/>
                <w:highlight w:val="none"/>
                <w:lang w:val="en-US" w:eastAsia="zh-CN"/>
              </w:rPr>
              <w:t>。</w:t>
            </w:r>
          </w:p>
          <w:p w14:paraId="7089AA01">
            <w:pPr>
              <w:widowControl/>
              <w:snapToGrid/>
              <w:spacing w:line="360" w:lineRule="auto"/>
              <w:ind w:firstLineChars="200"/>
              <w:jc w:val="both"/>
              <w:rPr>
                <w:rFonts w:hint="default" w:cs="Times New Roman"/>
                <w:color w:val="0000FF"/>
                <w:sz w:val="24"/>
                <w:highlight w:val="none"/>
              </w:rPr>
            </w:pPr>
            <w:r>
              <w:rPr>
                <w:rFonts w:hint="default" w:cs="Times New Roman"/>
                <w:color w:val="0000FF"/>
                <w:sz w:val="24"/>
                <w:highlight w:val="none"/>
              </w:rPr>
              <w:t>未经收集的废气在车间内呈无组织排放，</w:t>
            </w:r>
            <w:r>
              <w:rPr>
                <w:rFonts w:hint="eastAsia" w:cs="Times New Roman"/>
                <w:color w:val="0000FF"/>
                <w:sz w:val="24"/>
                <w:highlight w:val="none"/>
                <w:lang w:val="en-US" w:eastAsia="zh-CN"/>
              </w:rPr>
              <w:t>废气收集率为90%。则</w:t>
            </w:r>
            <w:r>
              <w:rPr>
                <w:rFonts w:hint="default" w:cs="Times New Roman"/>
                <w:color w:val="0000FF"/>
                <w:sz w:val="24"/>
                <w:highlight w:val="none"/>
              </w:rPr>
              <w:t>二甲苯无组织排放量为0.0</w:t>
            </w:r>
            <w:r>
              <w:rPr>
                <w:rFonts w:hint="eastAsia" w:cs="Times New Roman"/>
                <w:color w:val="0000FF"/>
                <w:sz w:val="24"/>
                <w:highlight w:val="none"/>
                <w:lang w:val="en-US" w:eastAsia="zh-CN"/>
              </w:rPr>
              <w:t>08</w:t>
            </w:r>
            <w:r>
              <w:rPr>
                <w:rFonts w:hint="default" w:cs="Times New Roman"/>
                <w:color w:val="0000FF"/>
                <w:sz w:val="24"/>
                <w:highlight w:val="none"/>
              </w:rPr>
              <w:t>t/a（0.0</w:t>
            </w:r>
            <w:r>
              <w:rPr>
                <w:rFonts w:hint="eastAsia" w:cs="Times New Roman"/>
                <w:color w:val="0000FF"/>
                <w:sz w:val="24"/>
                <w:highlight w:val="none"/>
                <w:lang w:val="en-US" w:eastAsia="zh-CN"/>
              </w:rPr>
              <w:t>03</w:t>
            </w:r>
            <w:r>
              <w:rPr>
                <w:rFonts w:hint="default" w:cs="Times New Roman"/>
                <w:color w:val="0000FF"/>
                <w:sz w:val="24"/>
                <w:highlight w:val="none"/>
              </w:rPr>
              <w:t>kg/h</w:t>
            </w:r>
            <w:r>
              <w:rPr>
                <w:rFonts w:hint="eastAsia" w:cs="Times New Roman"/>
                <w:color w:val="0000FF"/>
                <w:sz w:val="24"/>
                <w:highlight w:val="none"/>
                <w:lang w:eastAsia="zh-CN"/>
              </w:rPr>
              <w:t>）、</w:t>
            </w:r>
            <w:r>
              <w:rPr>
                <w:rFonts w:hint="default" w:cs="Times New Roman"/>
                <w:color w:val="0000FF"/>
                <w:sz w:val="24"/>
                <w:highlight w:val="none"/>
              </w:rPr>
              <w:t>非甲烷总烃无组织排放量为0.0</w:t>
            </w:r>
            <w:r>
              <w:rPr>
                <w:rFonts w:hint="eastAsia" w:cs="Times New Roman"/>
                <w:color w:val="0000FF"/>
                <w:sz w:val="24"/>
                <w:highlight w:val="none"/>
                <w:lang w:eastAsia="zh-CN"/>
              </w:rPr>
              <w:t>4</w:t>
            </w:r>
            <w:r>
              <w:rPr>
                <w:rFonts w:hint="eastAsia" w:cs="Times New Roman"/>
                <w:color w:val="0000FF"/>
                <w:sz w:val="24"/>
                <w:highlight w:val="none"/>
                <w:lang w:val="en-US" w:eastAsia="zh-CN"/>
              </w:rPr>
              <w:t>4</w:t>
            </w:r>
            <w:r>
              <w:rPr>
                <w:rFonts w:hint="default" w:cs="Times New Roman"/>
                <w:color w:val="0000FF"/>
                <w:sz w:val="24"/>
                <w:highlight w:val="none"/>
              </w:rPr>
              <w:t>t/a（0.01</w:t>
            </w:r>
            <w:r>
              <w:rPr>
                <w:rFonts w:hint="eastAsia" w:cs="Times New Roman"/>
                <w:color w:val="0000FF"/>
                <w:sz w:val="24"/>
                <w:highlight w:val="none"/>
                <w:lang w:eastAsia="zh-CN"/>
              </w:rPr>
              <w:t>8</w:t>
            </w:r>
            <w:r>
              <w:rPr>
                <w:rFonts w:hint="default" w:cs="Times New Roman"/>
                <w:color w:val="0000FF"/>
                <w:sz w:val="24"/>
                <w:highlight w:val="none"/>
              </w:rPr>
              <w:t>kg/h）</w:t>
            </w:r>
            <w:r>
              <w:rPr>
                <w:rFonts w:hint="eastAsia" w:cs="Times New Roman"/>
                <w:color w:val="0000FF"/>
                <w:sz w:val="24"/>
                <w:highlight w:val="none"/>
                <w:lang w:eastAsia="zh-CN"/>
              </w:rPr>
              <w:t>、</w:t>
            </w:r>
            <w:r>
              <w:rPr>
                <w:rFonts w:hint="eastAsia" w:cs="Times New Roman"/>
                <w:color w:val="0000FF"/>
                <w:sz w:val="24"/>
                <w:highlight w:val="none"/>
                <w:lang w:val="en-US" w:eastAsia="zh-CN"/>
              </w:rPr>
              <w:t>漆雾无组织排放量为0.014t/a（0.006kg/h）</w:t>
            </w:r>
            <w:r>
              <w:rPr>
                <w:rFonts w:hint="default" w:cs="Times New Roman"/>
                <w:color w:val="0000FF"/>
                <w:sz w:val="24"/>
                <w:highlight w:val="none"/>
              </w:rPr>
              <w:t>。</w:t>
            </w:r>
          </w:p>
          <w:p w14:paraId="29B420CF">
            <w:pPr>
              <w:widowControl/>
              <w:snapToGrid/>
              <w:spacing w:line="360" w:lineRule="auto"/>
              <w:ind w:firstLineChars="200"/>
              <w:jc w:val="both"/>
              <w:rPr>
                <w:rFonts w:hint="default" w:cs="Times New Roman"/>
                <w:color w:val="0000FF"/>
                <w:sz w:val="24"/>
                <w:highlight w:val="none"/>
              </w:rPr>
            </w:pPr>
            <w:r>
              <w:rPr>
                <w:rFonts w:hint="default" w:cs="Times New Roman"/>
                <w:color w:val="0000FF"/>
                <w:sz w:val="24"/>
                <w:highlight w:val="none"/>
              </w:rPr>
              <w:t>油漆平衡图表如下：</w:t>
            </w:r>
          </w:p>
          <w:p w14:paraId="38E46FC4">
            <w:pPr>
              <w:pStyle w:val="146"/>
              <w:widowControl w:val="0"/>
              <w:spacing w:before="157" w:beforeLines="50"/>
              <w:ind w:firstLine="0"/>
              <w:jc w:val="center"/>
              <w:rPr>
                <w:rFonts w:hint="eastAsia" w:ascii="Times New Roman" w:hAnsi="Times New Roman" w:cs="Times New Roman"/>
                <w:b/>
                <w:bCs/>
                <w:color w:val="0000FF"/>
                <w:sz w:val="21"/>
                <w:szCs w:val="24"/>
              </w:rPr>
            </w:pPr>
            <w:r>
              <w:rPr>
                <w:rFonts w:hint="eastAsia" w:ascii="Times New Roman" w:hAnsi="Times New Roman" w:cs="Times New Roman"/>
                <w:b/>
                <w:bCs/>
                <w:color w:val="0000FF"/>
                <w:sz w:val="21"/>
                <w:szCs w:val="24"/>
              </w:rPr>
              <w:t>表4-</w:t>
            </w:r>
            <w:r>
              <w:rPr>
                <w:rFonts w:hint="eastAsia" w:cs="Times New Roman"/>
                <w:b/>
                <w:bCs/>
                <w:color w:val="0000FF"/>
                <w:sz w:val="21"/>
                <w:szCs w:val="24"/>
                <w:lang w:val="en-US" w:eastAsia="zh-CN"/>
              </w:rPr>
              <w:t xml:space="preserve">6 </w:t>
            </w:r>
            <w:r>
              <w:rPr>
                <w:rFonts w:hint="eastAsia" w:ascii="Times New Roman" w:hAnsi="Times New Roman" w:cs="Times New Roman"/>
                <w:b/>
                <w:bCs/>
                <w:color w:val="0000FF"/>
                <w:sz w:val="21"/>
                <w:szCs w:val="24"/>
              </w:rPr>
              <w:t xml:space="preserve"> 油漆平衡表</w:t>
            </w:r>
            <w:r>
              <w:rPr>
                <w:rFonts w:hint="eastAsia" w:cs="Times New Roman"/>
                <w:b/>
                <w:bCs/>
                <w:color w:val="0000FF"/>
                <w:sz w:val="21"/>
                <w:szCs w:val="24"/>
                <w:lang w:val="en-US" w:eastAsia="zh-CN"/>
              </w:rPr>
              <w:t xml:space="preserve">    单位：</w:t>
            </w:r>
            <w:r>
              <w:rPr>
                <w:rFonts w:hint="eastAsia" w:ascii="Times New Roman" w:hAnsi="Times New Roman" w:cs="Times New Roman"/>
                <w:b/>
                <w:bCs/>
                <w:color w:val="0000FF"/>
                <w:sz w:val="21"/>
                <w:szCs w:val="24"/>
              </w:rPr>
              <w:t>t/a</w:t>
            </w:r>
          </w:p>
          <w:tbl>
            <w:tblPr>
              <w:tblStyle w:val="33"/>
              <w:tblW w:w="81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335"/>
              <w:gridCol w:w="906"/>
              <w:gridCol w:w="754"/>
              <w:gridCol w:w="960"/>
              <w:gridCol w:w="1301"/>
              <w:gridCol w:w="1471"/>
            </w:tblGrid>
            <w:tr w14:paraId="53C9B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89" w:type="pct"/>
                  <w:vMerge w:val="restart"/>
                  <w:tcBorders>
                    <w:tl2br w:val="nil"/>
                    <w:tr2bl w:val="nil"/>
                  </w:tcBorders>
                  <w:vAlign w:val="center"/>
                </w:tcPr>
                <w:p w14:paraId="42216794">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喷漆前</w:t>
                  </w:r>
                </w:p>
              </w:tc>
              <w:tc>
                <w:tcPr>
                  <w:tcW w:w="815" w:type="pct"/>
                  <w:vMerge w:val="restart"/>
                  <w:tcBorders>
                    <w:tl2br w:val="nil"/>
                    <w:tr2bl w:val="nil"/>
                  </w:tcBorders>
                  <w:vAlign w:val="center"/>
                </w:tcPr>
                <w:p w14:paraId="2757D6D3">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挥发分</w:t>
                  </w:r>
                  <w:r>
                    <w:rPr>
                      <w:rFonts w:hint="default" w:ascii="Times New Roman" w:hAnsi="Times New Roman" w:cs="Times New Roman"/>
                      <w:color w:val="0000FF"/>
                      <w:sz w:val="21"/>
                      <w:szCs w:val="21"/>
                    </w:rPr>
                    <w:t>占比</w:t>
                  </w:r>
                </w:p>
              </w:tc>
              <w:tc>
                <w:tcPr>
                  <w:tcW w:w="553" w:type="pct"/>
                  <w:vMerge w:val="restart"/>
                  <w:tcBorders>
                    <w:tl2br w:val="nil"/>
                    <w:tr2bl w:val="nil"/>
                  </w:tcBorders>
                  <w:vAlign w:val="center"/>
                </w:tcPr>
                <w:p w14:paraId="5C7BF34E">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含量</w:t>
                  </w:r>
                </w:p>
              </w:tc>
              <w:tc>
                <w:tcPr>
                  <w:tcW w:w="2741" w:type="pct"/>
                  <w:gridSpan w:val="4"/>
                  <w:tcBorders>
                    <w:tl2br w:val="nil"/>
                    <w:tr2bl w:val="nil"/>
                  </w:tcBorders>
                  <w:vAlign w:val="center"/>
                </w:tcPr>
                <w:p w14:paraId="120B1AF9">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喷漆后</w:t>
                  </w:r>
                </w:p>
              </w:tc>
            </w:tr>
            <w:tr w14:paraId="220045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89" w:type="pct"/>
                  <w:vMerge w:val="continue"/>
                  <w:tcBorders>
                    <w:tl2br w:val="nil"/>
                    <w:tr2bl w:val="nil"/>
                  </w:tcBorders>
                  <w:vAlign w:val="center"/>
                </w:tcPr>
                <w:p w14:paraId="48EAD84B">
                  <w:pPr>
                    <w:pStyle w:val="171"/>
                    <w:rPr>
                      <w:rFonts w:ascii="Times New Roman" w:hAnsi="Times New Roman" w:cs="Times New Roman"/>
                      <w:color w:val="0000FF"/>
                      <w:sz w:val="21"/>
                      <w:szCs w:val="21"/>
                    </w:rPr>
                  </w:pPr>
                </w:p>
              </w:tc>
              <w:tc>
                <w:tcPr>
                  <w:tcW w:w="815" w:type="pct"/>
                  <w:vMerge w:val="continue"/>
                  <w:tcBorders>
                    <w:tl2br w:val="nil"/>
                    <w:tr2bl w:val="nil"/>
                  </w:tcBorders>
                  <w:vAlign w:val="center"/>
                </w:tcPr>
                <w:p w14:paraId="33626465">
                  <w:pPr>
                    <w:pStyle w:val="171"/>
                    <w:rPr>
                      <w:rFonts w:ascii="Times New Roman" w:hAnsi="Times New Roman" w:cs="Times New Roman"/>
                      <w:color w:val="0000FF"/>
                      <w:sz w:val="21"/>
                      <w:szCs w:val="21"/>
                    </w:rPr>
                  </w:pPr>
                </w:p>
              </w:tc>
              <w:tc>
                <w:tcPr>
                  <w:tcW w:w="553" w:type="pct"/>
                  <w:vMerge w:val="continue"/>
                  <w:tcBorders>
                    <w:tl2br w:val="nil"/>
                    <w:tr2bl w:val="nil"/>
                  </w:tcBorders>
                  <w:vAlign w:val="center"/>
                </w:tcPr>
                <w:p w14:paraId="7557BFF9">
                  <w:pPr>
                    <w:pStyle w:val="171"/>
                    <w:rPr>
                      <w:rFonts w:ascii="Times New Roman" w:hAnsi="Times New Roman" w:cs="Times New Roman"/>
                      <w:color w:val="0000FF"/>
                      <w:sz w:val="21"/>
                      <w:szCs w:val="21"/>
                    </w:rPr>
                  </w:pPr>
                </w:p>
              </w:tc>
              <w:tc>
                <w:tcPr>
                  <w:tcW w:w="1047" w:type="pct"/>
                  <w:gridSpan w:val="2"/>
                  <w:tcBorders>
                    <w:tl2br w:val="nil"/>
                    <w:tr2bl w:val="nil"/>
                  </w:tcBorders>
                  <w:vAlign w:val="center"/>
                </w:tcPr>
                <w:p w14:paraId="2E664F05">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进入产品</w:t>
                  </w:r>
                </w:p>
              </w:tc>
              <w:tc>
                <w:tcPr>
                  <w:tcW w:w="1693" w:type="pct"/>
                  <w:gridSpan w:val="2"/>
                  <w:tcBorders>
                    <w:tl2br w:val="nil"/>
                    <w:tr2bl w:val="nil"/>
                  </w:tcBorders>
                  <w:vAlign w:val="center"/>
                </w:tcPr>
                <w:p w14:paraId="5259EFF9">
                  <w:pPr>
                    <w:pStyle w:val="171"/>
                    <w:rPr>
                      <w:rFonts w:ascii="Times New Roman" w:hAnsi="Times New Roman" w:cs="Times New Roman"/>
                      <w:color w:val="0000FF"/>
                      <w:sz w:val="21"/>
                      <w:szCs w:val="21"/>
                    </w:rPr>
                  </w:pPr>
                </w:p>
              </w:tc>
            </w:tr>
            <w:tr w14:paraId="5AD47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89" w:type="pct"/>
                  <w:vMerge w:val="restart"/>
                  <w:tcBorders>
                    <w:tl2br w:val="nil"/>
                    <w:tr2bl w:val="nil"/>
                  </w:tcBorders>
                  <w:vAlign w:val="center"/>
                </w:tcPr>
                <w:p w14:paraId="671E5A0E">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油</w:t>
                  </w:r>
                  <w:r>
                    <w:rPr>
                      <w:rFonts w:hint="default" w:ascii="Times New Roman" w:hAnsi="Times New Roman" w:cs="Times New Roman"/>
                      <w:color w:val="0000FF"/>
                      <w:sz w:val="21"/>
                      <w:szCs w:val="21"/>
                    </w:rPr>
                    <w:t>漆</w:t>
                  </w:r>
                  <w:r>
                    <w:rPr>
                      <w:rFonts w:hint="eastAsia" w:ascii="Times New Roman" w:hAnsi="Times New Roman" w:cs="Times New Roman"/>
                      <w:color w:val="0000FF"/>
                      <w:sz w:val="21"/>
                      <w:szCs w:val="21"/>
                      <w:lang w:eastAsia="zh-CN"/>
                    </w:rPr>
                    <w:t>1</w:t>
                  </w:r>
                  <w:r>
                    <w:rPr>
                      <w:rFonts w:hint="eastAsia" w:ascii="Times New Roman" w:hAnsi="Times New Roman" w:cs="Times New Roman"/>
                      <w:color w:val="0000FF"/>
                      <w:sz w:val="21"/>
                      <w:szCs w:val="21"/>
                      <w:lang w:val="en-US" w:eastAsia="zh-CN"/>
                    </w:rPr>
                    <w:t>.0</w:t>
                  </w:r>
                  <w:r>
                    <w:rPr>
                      <w:rFonts w:hint="default" w:ascii="Times New Roman" w:hAnsi="Times New Roman" w:cs="Times New Roman"/>
                      <w:color w:val="0000FF"/>
                      <w:sz w:val="21"/>
                      <w:szCs w:val="21"/>
                    </w:rPr>
                    <w:t>t/a</w:t>
                  </w:r>
                </w:p>
              </w:tc>
              <w:tc>
                <w:tcPr>
                  <w:tcW w:w="815" w:type="pct"/>
                  <w:tcBorders>
                    <w:tl2br w:val="nil"/>
                    <w:tr2bl w:val="nil"/>
                  </w:tcBorders>
                  <w:vAlign w:val="center"/>
                </w:tcPr>
                <w:p w14:paraId="099CDA07">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eastAsia="zh-CN"/>
                    </w:rPr>
                    <w:t>3</w:t>
                  </w:r>
                  <w:r>
                    <w:rPr>
                      <w:rFonts w:hint="eastAsia" w:ascii="Times New Roman" w:hAnsi="Times New Roman" w:cs="Times New Roman"/>
                      <w:color w:val="0000FF"/>
                      <w:sz w:val="21"/>
                      <w:szCs w:val="21"/>
                      <w:lang w:val="en-US" w:eastAsia="zh-CN"/>
                    </w:rPr>
                    <w:t>2.3</w:t>
                  </w:r>
                  <w:r>
                    <w:rPr>
                      <w:rFonts w:hint="default" w:ascii="Times New Roman" w:hAnsi="Times New Roman" w:cs="Times New Roman"/>
                      <w:color w:val="0000FF"/>
                      <w:sz w:val="21"/>
                      <w:szCs w:val="21"/>
                    </w:rPr>
                    <w:t>%</w:t>
                  </w:r>
                </w:p>
              </w:tc>
              <w:tc>
                <w:tcPr>
                  <w:tcW w:w="553" w:type="pct"/>
                  <w:tcBorders>
                    <w:tl2br w:val="nil"/>
                    <w:tr2bl w:val="nil"/>
                  </w:tcBorders>
                  <w:vAlign w:val="center"/>
                </w:tcPr>
                <w:p w14:paraId="7294E258">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eastAsia="zh-CN"/>
                    </w:rPr>
                    <w:t>0</w:t>
                  </w:r>
                  <w:r>
                    <w:rPr>
                      <w:rFonts w:hint="eastAsia" w:ascii="Times New Roman" w:hAnsi="Times New Roman" w:cs="Times New Roman"/>
                      <w:color w:val="0000FF"/>
                      <w:sz w:val="21"/>
                      <w:szCs w:val="21"/>
                      <w:lang w:val="en-US" w:eastAsia="zh-CN"/>
                    </w:rPr>
                    <w:t>.323</w:t>
                  </w:r>
                </w:p>
              </w:tc>
              <w:tc>
                <w:tcPr>
                  <w:tcW w:w="460" w:type="pct"/>
                  <w:vMerge w:val="restart"/>
                  <w:tcBorders>
                    <w:tl2br w:val="nil"/>
                    <w:tr2bl w:val="nil"/>
                  </w:tcBorders>
                  <w:vAlign w:val="center"/>
                </w:tcPr>
                <w:p w14:paraId="440BEA98">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废气</w:t>
                  </w:r>
                </w:p>
              </w:tc>
              <w:tc>
                <w:tcPr>
                  <w:tcW w:w="586" w:type="pct"/>
                  <w:vMerge w:val="restart"/>
                  <w:tcBorders>
                    <w:tl2br w:val="nil"/>
                    <w:tr2bl w:val="nil"/>
                  </w:tcBorders>
                  <w:vAlign w:val="center"/>
                </w:tcPr>
                <w:p w14:paraId="37526895">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有组织</w:t>
                  </w:r>
                </w:p>
              </w:tc>
              <w:tc>
                <w:tcPr>
                  <w:tcW w:w="794" w:type="pct"/>
                  <w:tcBorders>
                    <w:tl2br w:val="nil"/>
                    <w:tr2bl w:val="nil"/>
                  </w:tcBorders>
                  <w:vAlign w:val="center"/>
                </w:tcPr>
                <w:p w14:paraId="62BA6CC6">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漆雾</w:t>
                  </w:r>
                </w:p>
              </w:tc>
              <w:tc>
                <w:tcPr>
                  <w:tcW w:w="898" w:type="pct"/>
                  <w:tcBorders>
                    <w:tl2br w:val="nil"/>
                    <w:tr2bl w:val="nil"/>
                  </w:tcBorders>
                  <w:vAlign w:val="center"/>
                </w:tcPr>
                <w:p w14:paraId="435C99DD">
                  <w:pPr>
                    <w:pStyle w:val="171"/>
                    <w:rPr>
                      <w:rFonts w:hint="default" w:ascii="Times New Roman" w:hAnsi="Times New Roman" w:cs="Times New Roman"/>
                      <w:color w:val="0000FF"/>
                      <w:sz w:val="21"/>
                      <w:szCs w:val="21"/>
                    </w:rPr>
                  </w:pPr>
                  <w:r>
                    <w:rPr>
                      <w:rFonts w:hint="eastAsia" w:eastAsia="宋体" w:cs="Times New Roman"/>
                      <w:color w:val="0000FF"/>
                      <w:kern w:val="2"/>
                      <w:sz w:val="21"/>
                      <w:szCs w:val="21"/>
                      <w:lang w:val="en-US" w:eastAsia="zh-CN" w:bidi="ar-SA"/>
                    </w:rPr>
                    <w:t>0.01</w:t>
                  </w:r>
                  <w:r>
                    <w:rPr>
                      <w:rFonts w:hint="eastAsia" w:cs="Times New Roman"/>
                      <w:color w:val="0000FF"/>
                      <w:kern w:val="2"/>
                      <w:sz w:val="21"/>
                      <w:szCs w:val="21"/>
                      <w:lang w:val="en-US" w:eastAsia="zh-CN" w:bidi="ar-SA"/>
                    </w:rPr>
                    <w:t>2</w:t>
                  </w:r>
                </w:p>
              </w:tc>
            </w:tr>
            <w:tr w14:paraId="0F821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9" w:type="pct"/>
                  <w:vMerge w:val="continue"/>
                  <w:tcBorders>
                    <w:tl2br w:val="nil"/>
                    <w:tr2bl w:val="nil"/>
                  </w:tcBorders>
                  <w:shd w:val="clear" w:color="auto" w:fill="auto"/>
                  <w:vAlign w:val="center"/>
                </w:tcPr>
                <w:p w14:paraId="38095A03">
                  <w:pPr>
                    <w:pStyle w:val="171"/>
                    <w:rPr>
                      <w:rFonts w:hint="eastAsia" w:ascii="Times New Roman" w:hAnsi="Times New Roman" w:eastAsia="宋体" w:cs="Times New Roman"/>
                      <w:color w:val="0000FF"/>
                      <w:kern w:val="2"/>
                      <w:sz w:val="21"/>
                      <w:szCs w:val="21"/>
                      <w:lang w:val="en-US" w:eastAsia="zh-CN" w:bidi="ar-SA"/>
                    </w:rPr>
                  </w:pPr>
                </w:p>
              </w:tc>
              <w:tc>
                <w:tcPr>
                  <w:tcW w:w="815" w:type="pct"/>
                  <w:tcBorders>
                    <w:tl2br w:val="nil"/>
                    <w:tr2bl w:val="nil"/>
                  </w:tcBorders>
                  <w:shd w:val="clear" w:color="auto" w:fill="auto"/>
                  <w:vAlign w:val="center"/>
                </w:tcPr>
                <w:p w14:paraId="745FF5C8">
                  <w:pPr>
                    <w:pStyle w:val="171"/>
                    <w:rPr>
                      <w:rFonts w:hint="default" w:ascii="Times New Roman" w:hAnsi="Times New Roman" w:eastAsia="宋体" w:cs="Times New Roman"/>
                      <w:color w:val="0000FF"/>
                      <w:kern w:val="2"/>
                      <w:sz w:val="21"/>
                      <w:szCs w:val="21"/>
                      <w:lang w:val="en-US" w:eastAsia="zh-CN" w:bidi="ar-SA"/>
                    </w:rPr>
                  </w:pPr>
                  <w:r>
                    <w:rPr>
                      <w:rFonts w:hint="eastAsia" w:cs="Times New Roman"/>
                      <w:color w:val="0000FF"/>
                      <w:kern w:val="2"/>
                      <w:sz w:val="21"/>
                      <w:szCs w:val="21"/>
                      <w:lang w:val="en-US" w:eastAsia="zh-CN" w:bidi="ar-SA"/>
                    </w:rPr>
                    <w:t>67.7%×0.2</w:t>
                  </w:r>
                </w:p>
              </w:tc>
              <w:tc>
                <w:tcPr>
                  <w:tcW w:w="553" w:type="pct"/>
                  <w:tcBorders>
                    <w:tl2br w:val="nil"/>
                    <w:tr2bl w:val="nil"/>
                  </w:tcBorders>
                  <w:shd w:val="clear" w:color="auto" w:fill="auto"/>
                  <w:vAlign w:val="center"/>
                </w:tcPr>
                <w:p w14:paraId="28420F28">
                  <w:pPr>
                    <w:pStyle w:val="171"/>
                    <w:rPr>
                      <w:rFonts w:hint="default" w:ascii="Times New Roman" w:hAnsi="Times New Roman" w:eastAsia="宋体" w:cs="Times New Roman"/>
                      <w:color w:val="0000FF"/>
                      <w:kern w:val="2"/>
                      <w:sz w:val="21"/>
                      <w:szCs w:val="21"/>
                      <w:lang w:val="en-US" w:eastAsia="zh-CN" w:bidi="ar-SA"/>
                    </w:rPr>
                  </w:pPr>
                  <w:r>
                    <w:rPr>
                      <w:rFonts w:hint="eastAsia" w:cs="Times New Roman"/>
                      <w:color w:val="0000FF"/>
                      <w:kern w:val="2"/>
                      <w:sz w:val="21"/>
                      <w:szCs w:val="21"/>
                      <w:lang w:val="en-US" w:eastAsia="zh-CN" w:bidi="ar-SA"/>
                    </w:rPr>
                    <w:t>0.135</w:t>
                  </w:r>
                </w:p>
              </w:tc>
              <w:tc>
                <w:tcPr>
                  <w:tcW w:w="460" w:type="pct"/>
                  <w:vMerge w:val="continue"/>
                  <w:tcBorders>
                    <w:tl2br w:val="nil"/>
                    <w:tr2bl w:val="nil"/>
                  </w:tcBorders>
                  <w:vAlign w:val="center"/>
                </w:tcPr>
                <w:p w14:paraId="31E86D90">
                  <w:pPr>
                    <w:pStyle w:val="171"/>
                    <w:rPr>
                      <w:rFonts w:hint="default" w:ascii="Times New Roman" w:hAnsi="Times New Roman" w:cs="Times New Roman"/>
                      <w:color w:val="0000FF"/>
                      <w:sz w:val="21"/>
                      <w:szCs w:val="21"/>
                    </w:rPr>
                  </w:pPr>
                </w:p>
              </w:tc>
              <w:tc>
                <w:tcPr>
                  <w:tcW w:w="586" w:type="pct"/>
                  <w:vMerge w:val="continue"/>
                  <w:tcBorders>
                    <w:tl2br w:val="nil"/>
                    <w:tr2bl w:val="nil"/>
                  </w:tcBorders>
                  <w:vAlign w:val="center"/>
                </w:tcPr>
                <w:p w14:paraId="4C2BAFCB">
                  <w:pPr>
                    <w:pStyle w:val="171"/>
                    <w:rPr>
                      <w:rFonts w:hint="default" w:ascii="Times New Roman" w:hAnsi="Times New Roman" w:cs="Times New Roman"/>
                      <w:color w:val="0000FF"/>
                      <w:sz w:val="21"/>
                      <w:szCs w:val="21"/>
                    </w:rPr>
                  </w:pPr>
                </w:p>
              </w:tc>
              <w:tc>
                <w:tcPr>
                  <w:tcW w:w="794" w:type="pct"/>
                  <w:tcBorders>
                    <w:tl2br w:val="nil"/>
                    <w:tr2bl w:val="nil"/>
                  </w:tcBorders>
                  <w:vAlign w:val="center"/>
                </w:tcPr>
                <w:p w14:paraId="2E2E0C5C">
                  <w:pPr>
                    <w:pStyle w:val="171"/>
                    <w:rPr>
                      <w:rFonts w:hint="default"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二甲苯</w:t>
                  </w:r>
                </w:p>
              </w:tc>
              <w:tc>
                <w:tcPr>
                  <w:tcW w:w="898" w:type="pct"/>
                  <w:tcBorders>
                    <w:tl2br w:val="nil"/>
                    <w:tr2bl w:val="nil"/>
                  </w:tcBorders>
                  <w:vAlign w:val="center"/>
                </w:tcPr>
                <w:p w14:paraId="486C01BE">
                  <w:pPr>
                    <w:pStyle w:val="171"/>
                    <w:rPr>
                      <w:rFonts w:hint="default" w:ascii="Times New Roman" w:hAnsi="Times New Roman" w:cs="Times New Roman"/>
                      <w:color w:val="0000FF"/>
                      <w:sz w:val="21"/>
                      <w:szCs w:val="21"/>
                      <w:lang w:val="en-US" w:eastAsia="zh-CN"/>
                    </w:rPr>
                  </w:pPr>
                  <w:r>
                    <w:rPr>
                      <w:rFonts w:hint="eastAsia" w:eastAsia="宋体"/>
                      <w:color w:val="0000FF"/>
                      <w:szCs w:val="21"/>
                      <w:lang w:val="en-US" w:eastAsia="zh-CN"/>
                    </w:rPr>
                    <w:t>0.052</w:t>
                  </w:r>
                </w:p>
              </w:tc>
            </w:tr>
            <w:tr w14:paraId="5DE89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889" w:type="pct"/>
                  <w:tcBorders>
                    <w:tl2br w:val="nil"/>
                    <w:tr2bl w:val="nil"/>
                  </w:tcBorders>
                  <w:shd w:val="clear" w:color="auto" w:fill="auto"/>
                  <w:vAlign w:val="center"/>
                </w:tcPr>
                <w:p w14:paraId="02793500">
                  <w:pPr>
                    <w:pStyle w:val="171"/>
                    <w:rPr>
                      <w:rFonts w:hint="eastAsia"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稀释剂</w:t>
                  </w:r>
                  <w:r>
                    <w:rPr>
                      <w:rFonts w:hint="eastAsia" w:ascii="Times New Roman" w:hAnsi="Times New Roman" w:cs="Times New Roman"/>
                      <w:color w:val="0000FF"/>
                      <w:sz w:val="21"/>
                      <w:szCs w:val="21"/>
                      <w:lang w:eastAsia="zh-CN"/>
                    </w:rPr>
                    <w:t>0</w:t>
                  </w:r>
                  <w:r>
                    <w:rPr>
                      <w:rFonts w:hint="eastAsia" w:ascii="Times New Roman" w:hAnsi="Times New Roman" w:cs="Times New Roman"/>
                      <w:color w:val="0000FF"/>
                      <w:sz w:val="21"/>
                      <w:szCs w:val="21"/>
                      <w:lang w:val="en-US" w:eastAsia="zh-CN"/>
                    </w:rPr>
                    <w:t>.2</w:t>
                  </w:r>
                  <w:r>
                    <w:rPr>
                      <w:rFonts w:hint="default" w:ascii="Times New Roman" w:hAnsi="Times New Roman" w:cs="Times New Roman"/>
                      <w:color w:val="0000FF"/>
                      <w:sz w:val="21"/>
                      <w:szCs w:val="21"/>
                    </w:rPr>
                    <w:t>t/a</w:t>
                  </w:r>
                </w:p>
              </w:tc>
              <w:tc>
                <w:tcPr>
                  <w:tcW w:w="815" w:type="pct"/>
                  <w:tcBorders>
                    <w:tl2br w:val="nil"/>
                    <w:tr2bl w:val="nil"/>
                  </w:tcBorders>
                  <w:shd w:val="clear" w:color="auto" w:fill="auto"/>
                  <w:vAlign w:val="center"/>
                </w:tcPr>
                <w:p w14:paraId="6EF1D6A4">
                  <w:pPr>
                    <w:pStyle w:val="171"/>
                    <w:rPr>
                      <w:rFonts w:hint="eastAsia" w:ascii="Times New Roman" w:hAnsi="Times New Roman" w:cs="Times New Roman"/>
                      <w:color w:val="0000FF"/>
                      <w:sz w:val="21"/>
                      <w:szCs w:val="21"/>
                    </w:rPr>
                  </w:pPr>
                  <w:r>
                    <w:rPr>
                      <w:rFonts w:hint="eastAsia" w:cs="Times New Roman"/>
                      <w:color w:val="0000FF"/>
                      <w:sz w:val="21"/>
                      <w:szCs w:val="21"/>
                      <w:lang w:val="en-US" w:eastAsia="zh-CN"/>
                    </w:rPr>
                    <w:t>10</w:t>
                  </w:r>
                  <w:r>
                    <w:rPr>
                      <w:rFonts w:hint="eastAsia" w:ascii="Times New Roman" w:hAnsi="Times New Roman" w:cs="Times New Roman"/>
                      <w:color w:val="0000FF"/>
                      <w:sz w:val="21"/>
                      <w:szCs w:val="21"/>
                      <w:lang w:val="en-US" w:eastAsia="zh-CN"/>
                    </w:rPr>
                    <w:t>0</w:t>
                  </w:r>
                  <w:r>
                    <w:rPr>
                      <w:rFonts w:hint="default" w:ascii="Times New Roman" w:hAnsi="Times New Roman" w:cs="Times New Roman"/>
                      <w:color w:val="0000FF"/>
                      <w:sz w:val="21"/>
                      <w:szCs w:val="21"/>
                    </w:rPr>
                    <w:t>%</w:t>
                  </w:r>
                </w:p>
              </w:tc>
              <w:tc>
                <w:tcPr>
                  <w:tcW w:w="553" w:type="pct"/>
                  <w:tcBorders>
                    <w:tl2br w:val="nil"/>
                    <w:tr2bl w:val="nil"/>
                  </w:tcBorders>
                  <w:shd w:val="clear" w:color="auto" w:fill="auto"/>
                  <w:vAlign w:val="center"/>
                </w:tcPr>
                <w:p w14:paraId="36609258">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eastAsia="zh-CN"/>
                    </w:rPr>
                    <w:t>0</w:t>
                  </w:r>
                  <w:r>
                    <w:rPr>
                      <w:rFonts w:hint="eastAsia" w:ascii="Times New Roman" w:hAnsi="Times New Roman" w:cs="Times New Roman"/>
                      <w:color w:val="0000FF"/>
                      <w:sz w:val="21"/>
                      <w:szCs w:val="21"/>
                      <w:lang w:val="en-US" w:eastAsia="zh-CN"/>
                    </w:rPr>
                    <w:t>.2</w:t>
                  </w:r>
                </w:p>
              </w:tc>
              <w:tc>
                <w:tcPr>
                  <w:tcW w:w="460" w:type="pct"/>
                  <w:vMerge w:val="continue"/>
                  <w:tcBorders>
                    <w:tl2br w:val="nil"/>
                    <w:tr2bl w:val="nil"/>
                  </w:tcBorders>
                  <w:vAlign w:val="center"/>
                </w:tcPr>
                <w:p w14:paraId="5752FFDB">
                  <w:pPr>
                    <w:pStyle w:val="171"/>
                    <w:rPr>
                      <w:rFonts w:ascii="Times New Roman" w:hAnsi="Times New Roman" w:cs="Times New Roman"/>
                      <w:color w:val="0000FF"/>
                      <w:sz w:val="21"/>
                      <w:szCs w:val="21"/>
                    </w:rPr>
                  </w:pPr>
                </w:p>
              </w:tc>
              <w:tc>
                <w:tcPr>
                  <w:tcW w:w="586" w:type="pct"/>
                  <w:vMerge w:val="continue"/>
                  <w:tcBorders>
                    <w:tl2br w:val="nil"/>
                    <w:tr2bl w:val="nil"/>
                  </w:tcBorders>
                  <w:vAlign w:val="center"/>
                </w:tcPr>
                <w:p w14:paraId="7458FDE7">
                  <w:pPr>
                    <w:pStyle w:val="171"/>
                    <w:rPr>
                      <w:rFonts w:ascii="Times New Roman" w:hAnsi="Times New Roman" w:cs="Times New Roman"/>
                      <w:color w:val="0000FF"/>
                      <w:sz w:val="21"/>
                      <w:szCs w:val="21"/>
                    </w:rPr>
                  </w:pPr>
                </w:p>
              </w:tc>
              <w:tc>
                <w:tcPr>
                  <w:tcW w:w="794" w:type="pct"/>
                  <w:tcBorders>
                    <w:tl2br w:val="nil"/>
                    <w:tr2bl w:val="nil"/>
                  </w:tcBorders>
                  <w:vAlign w:val="center"/>
                </w:tcPr>
                <w:p w14:paraId="4FBD5BEA">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非甲烷总烃</w:t>
                  </w:r>
                </w:p>
              </w:tc>
              <w:tc>
                <w:tcPr>
                  <w:tcW w:w="898" w:type="pct"/>
                  <w:tcBorders>
                    <w:tl2br w:val="nil"/>
                    <w:tr2bl w:val="nil"/>
                  </w:tcBorders>
                  <w:vAlign w:val="center"/>
                </w:tcPr>
                <w:p w14:paraId="3FD73028">
                  <w:pPr>
                    <w:pStyle w:val="171"/>
                    <w:rPr>
                      <w:rFonts w:hint="default" w:ascii="Times New Roman" w:hAnsi="Times New Roman" w:cs="Times New Roman"/>
                      <w:color w:val="0000FF"/>
                      <w:sz w:val="21"/>
                      <w:szCs w:val="21"/>
                    </w:rPr>
                  </w:pPr>
                  <w:r>
                    <w:rPr>
                      <w:rFonts w:hint="eastAsia" w:eastAsia="宋体"/>
                      <w:color w:val="0000FF"/>
                      <w:szCs w:val="21"/>
                      <w:lang w:val="en-US" w:eastAsia="zh-CN"/>
                    </w:rPr>
                    <w:t>0.288</w:t>
                  </w:r>
                </w:p>
              </w:tc>
            </w:tr>
            <w:tr w14:paraId="0884D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89" w:type="pct"/>
                  <w:tcBorders>
                    <w:tl2br w:val="nil"/>
                    <w:tr2bl w:val="nil"/>
                  </w:tcBorders>
                  <w:vAlign w:val="center"/>
                </w:tcPr>
                <w:p w14:paraId="759BCCC2">
                  <w:pPr>
                    <w:pStyle w:val="171"/>
                    <w:rPr>
                      <w:rFonts w:ascii="Times New Roman" w:hAnsi="Times New Roman" w:cs="Times New Roman"/>
                      <w:color w:val="0000FF"/>
                      <w:sz w:val="21"/>
                      <w:szCs w:val="21"/>
                    </w:rPr>
                  </w:pPr>
                </w:p>
              </w:tc>
              <w:tc>
                <w:tcPr>
                  <w:tcW w:w="815" w:type="pct"/>
                  <w:tcBorders>
                    <w:tl2br w:val="nil"/>
                    <w:tr2bl w:val="nil"/>
                  </w:tcBorders>
                  <w:vAlign w:val="center"/>
                </w:tcPr>
                <w:p w14:paraId="2584B928">
                  <w:pPr>
                    <w:pStyle w:val="171"/>
                    <w:rPr>
                      <w:rFonts w:ascii="Times New Roman" w:hAnsi="Times New Roman" w:cs="Times New Roman"/>
                      <w:color w:val="0000FF"/>
                      <w:sz w:val="21"/>
                      <w:szCs w:val="21"/>
                    </w:rPr>
                  </w:pPr>
                </w:p>
              </w:tc>
              <w:tc>
                <w:tcPr>
                  <w:tcW w:w="553" w:type="pct"/>
                  <w:tcBorders>
                    <w:tl2br w:val="nil"/>
                    <w:tr2bl w:val="nil"/>
                  </w:tcBorders>
                  <w:vAlign w:val="center"/>
                </w:tcPr>
                <w:p w14:paraId="057D1E9D">
                  <w:pPr>
                    <w:pStyle w:val="171"/>
                    <w:rPr>
                      <w:rFonts w:ascii="Times New Roman" w:hAnsi="Times New Roman" w:cs="Times New Roman"/>
                      <w:color w:val="0000FF"/>
                      <w:sz w:val="21"/>
                      <w:szCs w:val="21"/>
                    </w:rPr>
                  </w:pPr>
                </w:p>
              </w:tc>
              <w:tc>
                <w:tcPr>
                  <w:tcW w:w="460" w:type="pct"/>
                  <w:vMerge w:val="continue"/>
                  <w:tcBorders>
                    <w:tl2br w:val="nil"/>
                    <w:tr2bl w:val="nil"/>
                  </w:tcBorders>
                  <w:vAlign w:val="center"/>
                </w:tcPr>
                <w:p w14:paraId="327D54C1">
                  <w:pPr>
                    <w:pStyle w:val="171"/>
                    <w:rPr>
                      <w:rFonts w:ascii="Times New Roman" w:hAnsi="Times New Roman" w:cs="Times New Roman"/>
                      <w:color w:val="0000FF"/>
                      <w:sz w:val="21"/>
                      <w:szCs w:val="21"/>
                    </w:rPr>
                  </w:pPr>
                </w:p>
              </w:tc>
              <w:tc>
                <w:tcPr>
                  <w:tcW w:w="586" w:type="pct"/>
                  <w:vMerge w:val="restart"/>
                  <w:tcBorders>
                    <w:tl2br w:val="nil"/>
                    <w:tr2bl w:val="nil"/>
                  </w:tcBorders>
                  <w:vAlign w:val="center"/>
                </w:tcPr>
                <w:p w14:paraId="140780B6">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无组织</w:t>
                  </w:r>
                </w:p>
              </w:tc>
              <w:tc>
                <w:tcPr>
                  <w:tcW w:w="794" w:type="pct"/>
                  <w:tcBorders>
                    <w:tl2br w:val="nil"/>
                    <w:tr2bl w:val="nil"/>
                  </w:tcBorders>
                  <w:vAlign w:val="center"/>
                </w:tcPr>
                <w:p w14:paraId="5AF631CC">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漆雾</w:t>
                  </w:r>
                </w:p>
              </w:tc>
              <w:tc>
                <w:tcPr>
                  <w:tcW w:w="898" w:type="pct"/>
                  <w:tcBorders>
                    <w:tl2br w:val="nil"/>
                    <w:tr2bl w:val="nil"/>
                  </w:tcBorders>
                  <w:vAlign w:val="center"/>
                </w:tcPr>
                <w:p w14:paraId="7F1BC130">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0.0</w:t>
                  </w:r>
                  <w:r>
                    <w:rPr>
                      <w:rFonts w:hint="eastAsia" w:ascii="Times New Roman" w:hAnsi="Times New Roman" w:cs="Times New Roman"/>
                      <w:color w:val="0000FF"/>
                      <w:sz w:val="21"/>
                      <w:szCs w:val="21"/>
                      <w:lang w:eastAsia="zh-CN"/>
                    </w:rPr>
                    <w:t>1</w:t>
                  </w:r>
                  <w:r>
                    <w:rPr>
                      <w:rFonts w:hint="eastAsia" w:ascii="Times New Roman" w:hAnsi="Times New Roman" w:cs="Times New Roman"/>
                      <w:color w:val="0000FF"/>
                      <w:sz w:val="21"/>
                      <w:szCs w:val="21"/>
                      <w:lang w:val="en-US" w:eastAsia="zh-CN"/>
                    </w:rPr>
                    <w:t>4</w:t>
                  </w:r>
                </w:p>
              </w:tc>
            </w:tr>
            <w:tr w14:paraId="7E4666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89" w:type="pct"/>
                  <w:tcBorders>
                    <w:tl2br w:val="nil"/>
                    <w:tr2bl w:val="nil"/>
                  </w:tcBorders>
                  <w:vAlign w:val="center"/>
                </w:tcPr>
                <w:p w14:paraId="02A25AF3">
                  <w:pPr>
                    <w:pStyle w:val="171"/>
                    <w:rPr>
                      <w:rFonts w:ascii="Times New Roman" w:hAnsi="Times New Roman" w:cs="Times New Roman"/>
                      <w:color w:val="0000FF"/>
                      <w:sz w:val="21"/>
                      <w:szCs w:val="21"/>
                    </w:rPr>
                  </w:pPr>
                </w:p>
              </w:tc>
              <w:tc>
                <w:tcPr>
                  <w:tcW w:w="815" w:type="pct"/>
                  <w:tcBorders>
                    <w:tl2br w:val="nil"/>
                    <w:tr2bl w:val="nil"/>
                  </w:tcBorders>
                  <w:vAlign w:val="center"/>
                </w:tcPr>
                <w:p w14:paraId="7584D4A3">
                  <w:pPr>
                    <w:pStyle w:val="171"/>
                    <w:rPr>
                      <w:rFonts w:ascii="Times New Roman" w:hAnsi="Times New Roman" w:cs="Times New Roman"/>
                      <w:color w:val="0000FF"/>
                      <w:sz w:val="21"/>
                      <w:szCs w:val="21"/>
                    </w:rPr>
                  </w:pPr>
                </w:p>
              </w:tc>
              <w:tc>
                <w:tcPr>
                  <w:tcW w:w="553" w:type="pct"/>
                  <w:tcBorders>
                    <w:tl2br w:val="nil"/>
                    <w:tr2bl w:val="nil"/>
                  </w:tcBorders>
                  <w:vAlign w:val="center"/>
                </w:tcPr>
                <w:p w14:paraId="17A5B891">
                  <w:pPr>
                    <w:pStyle w:val="171"/>
                    <w:rPr>
                      <w:rFonts w:ascii="Times New Roman" w:hAnsi="Times New Roman" w:cs="Times New Roman"/>
                      <w:color w:val="0000FF"/>
                      <w:sz w:val="21"/>
                      <w:szCs w:val="21"/>
                    </w:rPr>
                  </w:pPr>
                </w:p>
              </w:tc>
              <w:tc>
                <w:tcPr>
                  <w:tcW w:w="460" w:type="pct"/>
                  <w:vMerge w:val="continue"/>
                  <w:tcBorders>
                    <w:tl2br w:val="nil"/>
                    <w:tr2bl w:val="nil"/>
                  </w:tcBorders>
                  <w:vAlign w:val="center"/>
                </w:tcPr>
                <w:p w14:paraId="718F88EE">
                  <w:pPr>
                    <w:pStyle w:val="171"/>
                    <w:rPr>
                      <w:rFonts w:ascii="Times New Roman" w:hAnsi="Times New Roman" w:cs="Times New Roman"/>
                      <w:color w:val="0000FF"/>
                      <w:sz w:val="21"/>
                      <w:szCs w:val="21"/>
                    </w:rPr>
                  </w:pPr>
                </w:p>
              </w:tc>
              <w:tc>
                <w:tcPr>
                  <w:tcW w:w="586" w:type="pct"/>
                  <w:vMerge w:val="continue"/>
                  <w:tcBorders>
                    <w:tl2br w:val="nil"/>
                    <w:tr2bl w:val="nil"/>
                  </w:tcBorders>
                  <w:vAlign w:val="center"/>
                </w:tcPr>
                <w:p w14:paraId="28F90561">
                  <w:pPr>
                    <w:pStyle w:val="171"/>
                    <w:rPr>
                      <w:rFonts w:hint="default" w:ascii="Times New Roman" w:hAnsi="Times New Roman" w:cs="Times New Roman"/>
                      <w:color w:val="0000FF"/>
                      <w:sz w:val="21"/>
                      <w:szCs w:val="21"/>
                    </w:rPr>
                  </w:pPr>
                </w:p>
              </w:tc>
              <w:tc>
                <w:tcPr>
                  <w:tcW w:w="794" w:type="pct"/>
                  <w:tcBorders>
                    <w:tl2br w:val="nil"/>
                    <w:tr2bl w:val="nil"/>
                  </w:tcBorders>
                  <w:vAlign w:val="center"/>
                </w:tcPr>
                <w:p w14:paraId="700B6EF5">
                  <w:pPr>
                    <w:pStyle w:val="171"/>
                    <w:rPr>
                      <w:rFonts w:hint="eastAsia"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二甲苯</w:t>
                  </w:r>
                </w:p>
              </w:tc>
              <w:tc>
                <w:tcPr>
                  <w:tcW w:w="898" w:type="pct"/>
                  <w:tcBorders>
                    <w:tl2br w:val="nil"/>
                    <w:tr2bl w:val="nil"/>
                  </w:tcBorders>
                  <w:vAlign w:val="center"/>
                </w:tcPr>
                <w:p w14:paraId="01145253">
                  <w:pPr>
                    <w:pStyle w:val="171"/>
                    <w:rPr>
                      <w:rFonts w:hint="default" w:ascii="Times New Roman" w:hAnsi="Times New Roman" w:eastAsia="宋体" w:cs="Times New Roman"/>
                      <w:color w:val="0000FF"/>
                      <w:sz w:val="21"/>
                      <w:szCs w:val="21"/>
                      <w:lang w:val="en-US" w:eastAsia="zh-CN"/>
                    </w:rPr>
                  </w:pPr>
                  <w:r>
                    <w:rPr>
                      <w:rFonts w:hint="eastAsia" w:ascii="Times New Roman" w:hAnsi="Times New Roman" w:cs="Times New Roman"/>
                      <w:color w:val="0000FF"/>
                      <w:sz w:val="21"/>
                      <w:szCs w:val="21"/>
                      <w:lang w:val="en-US" w:eastAsia="zh-CN"/>
                    </w:rPr>
                    <w:t>0.008</w:t>
                  </w:r>
                </w:p>
              </w:tc>
            </w:tr>
            <w:tr w14:paraId="010E4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89" w:type="pct"/>
                  <w:tcBorders>
                    <w:tl2br w:val="nil"/>
                    <w:tr2bl w:val="nil"/>
                  </w:tcBorders>
                  <w:vAlign w:val="center"/>
                </w:tcPr>
                <w:p w14:paraId="3C660971">
                  <w:pPr>
                    <w:pStyle w:val="171"/>
                    <w:rPr>
                      <w:rFonts w:ascii="Times New Roman" w:hAnsi="Times New Roman" w:cs="Times New Roman"/>
                      <w:color w:val="0000FF"/>
                      <w:sz w:val="21"/>
                      <w:szCs w:val="21"/>
                    </w:rPr>
                  </w:pPr>
                </w:p>
              </w:tc>
              <w:tc>
                <w:tcPr>
                  <w:tcW w:w="815" w:type="pct"/>
                  <w:tcBorders>
                    <w:tl2br w:val="nil"/>
                    <w:tr2bl w:val="nil"/>
                  </w:tcBorders>
                  <w:vAlign w:val="center"/>
                </w:tcPr>
                <w:p w14:paraId="4BCF5845">
                  <w:pPr>
                    <w:pStyle w:val="171"/>
                    <w:rPr>
                      <w:rFonts w:ascii="Times New Roman" w:hAnsi="Times New Roman" w:cs="Times New Roman"/>
                      <w:color w:val="0000FF"/>
                      <w:sz w:val="21"/>
                      <w:szCs w:val="21"/>
                    </w:rPr>
                  </w:pPr>
                </w:p>
              </w:tc>
              <w:tc>
                <w:tcPr>
                  <w:tcW w:w="553" w:type="pct"/>
                  <w:tcBorders>
                    <w:tl2br w:val="nil"/>
                    <w:tr2bl w:val="nil"/>
                  </w:tcBorders>
                  <w:vAlign w:val="center"/>
                </w:tcPr>
                <w:p w14:paraId="036FB1FD">
                  <w:pPr>
                    <w:pStyle w:val="171"/>
                    <w:rPr>
                      <w:rFonts w:ascii="Times New Roman" w:hAnsi="Times New Roman" w:cs="Times New Roman"/>
                      <w:color w:val="0000FF"/>
                      <w:sz w:val="21"/>
                      <w:szCs w:val="21"/>
                    </w:rPr>
                  </w:pPr>
                </w:p>
              </w:tc>
              <w:tc>
                <w:tcPr>
                  <w:tcW w:w="460" w:type="pct"/>
                  <w:vMerge w:val="continue"/>
                  <w:tcBorders>
                    <w:tl2br w:val="nil"/>
                    <w:tr2bl w:val="nil"/>
                  </w:tcBorders>
                  <w:vAlign w:val="center"/>
                </w:tcPr>
                <w:p w14:paraId="2DB028A1">
                  <w:pPr>
                    <w:pStyle w:val="171"/>
                    <w:rPr>
                      <w:rFonts w:ascii="Times New Roman" w:hAnsi="Times New Roman" w:cs="Times New Roman"/>
                      <w:color w:val="0000FF"/>
                      <w:sz w:val="21"/>
                      <w:szCs w:val="21"/>
                    </w:rPr>
                  </w:pPr>
                </w:p>
              </w:tc>
              <w:tc>
                <w:tcPr>
                  <w:tcW w:w="586" w:type="pct"/>
                  <w:vMerge w:val="continue"/>
                  <w:tcBorders>
                    <w:tl2br w:val="nil"/>
                    <w:tr2bl w:val="nil"/>
                  </w:tcBorders>
                  <w:vAlign w:val="center"/>
                </w:tcPr>
                <w:p w14:paraId="5769D8A6">
                  <w:pPr>
                    <w:pStyle w:val="171"/>
                    <w:rPr>
                      <w:rFonts w:ascii="Times New Roman" w:hAnsi="Times New Roman" w:cs="Times New Roman"/>
                      <w:color w:val="0000FF"/>
                      <w:sz w:val="21"/>
                      <w:szCs w:val="21"/>
                    </w:rPr>
                  </w:pPr>
                </w:p>
              </w:tc>
              <w:tc>
                <w:tcPr>
                  <w:tcW w:w="794" w:type="pct"/>
                  <w:tcBorders>
                    <w:tl2br w:val="nil"/>
                    <w:tr2bl w:val="nil"/>
                  </w:tcBorders>
                  <w:vAlign w:val="center"/>
                </w:tcPr>
                <w:p w14:paraId="09B0D820">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非甲烷总烃</w:t>
                  </w:r>
                </w:p>
              </w:tc>
              <w:tc>
                <w:tcPr>
                  <w:tcW w:w="898" w:type="pct"/>
                  <w:tcBorders>
                    <w:tl2br w:val="nil"/>
                    <w:tr2bl w:val="nil"/>
                  </w:tcBorders>
                  <w:vAlign w:val="center"/>
                </w:tcPr>
                <w:p w14:paraId="72F5D619">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0.</w:t>
                  </w:r>
                  <w:r>
                    <w:rPr>
                      <w:rFonts w:hint="eastAsia" w:ascii="Times New Roman" w:hAnsi="Times New Roman" w:cs="Times New Roman"/>
                      <w:color w:val="0000FF"/>
                      <w:sz w:val="21"/>
                      <w:szCs w:val="21"/>
                      <w:lang w:val="en-US" w:eastAsia="zh-CN"/>
                    </w:rPr>
                    <w:t>044</w:t>
                  </w:r>
                </w:p>
              </w:tc>
            </w:tr>
            <w:tr w14:paraId="35C5A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89" w:type="pct"/>
                  <w:tcBorders>
                    <w:tl2br w:val="nil"/>
                    <w:tr2bl w:val="nil"/>
                  </w:tcBorders>
                  <w:vAlign w:val="center"/>
                </w:tcPr>
                <w:p w14:paraId="38BD1DC1">
                  <w:pPr>
                    <w:pStyle w:val="171"/>
                    <w:rPr>
                      <w:rFonts w:ascii="Times New Roman" w:hAnsi="Times New Roman" w:cs="Times New Roman"/>
                      <w:color w:val="0000FF"/>
                      <w:sz w:val="21"/>
                      <w:szCs w:val="21"/>
                    </w:rPr>
                  </w:pPr>
                </w:p>
              </w:tc>
              <w:tc>
                <w:tcPr>
                  <w:tcW w:w="815" w:type="pct"/>
                  <w:tcBorders>
                    <w:tl2br w:val="nil"/>
                    <w:tr2bl w:val="nil"/>
                  </w:tcBorders>
                  <w:vAlign w:val="center"/>
                </w:tcPr>
                <w:p w14:paraId="3893D67A">
                  <w:pPr>
                    <w:pStyle w:val="171"/>
                    <w:rPr>
                      <w:rFonts w:ascii="Times New Roman" w:hAnsi="Times New Roman" w:cs="Times New Roman"/>
                      <w:color w:val="0000FF"/>
                      <w:sz w:val="21"/>
                      <w:szCs w:val="21"/>
                    </w:rPr>
                  </w:pPr>
                </w:p>
              </w:tc>
              <w:tc>
                <w:tcPr>
                  <w:tcW w:w="553" w:type="pct"/>
                  <w:tcBorders>
                    <w:tl2br w:val="nil"/>
                    <w:tr2bl w:val="nil"/>
                  </w:tcBorders>
                  <w:vAlign w:val="center"/>
                </w:tcPr>
                <w:p w14:paraId="6779BC44">
                  <w:pPr>
                    <w:pStyle w:val="171"/>
                    <w:rPr>
                      <w:rFonts w:ascii="Times New Roman" w:hAnsi="Times New Roman" w:cs="Times New Roman"/>
                      <w:color w:val="0000FF"/>
                      <w:sz w:val="21"/>
                      <w:szCs w:val="21"/>
                    </w:rPr>
                  </w:pPr>
                </w:p>
              </w:tc>
              <w:tc>
                <w:tcPr>
                  <w:tcW w:w="1047" w:type="pct"/>
                  <w:gridSpan w:val="2"/>
                  <w:tcBorders>
                    <w:tl2br w:val="nil"/>
                    <w:tr2bl w:val="nil"/>
                  </w:tcBorders>
                  <w:vAlign w:val="center"/>
                </w:tcPr>
                <w:p w14:paraId="07069D63">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纤维过滤棉去除</w:t>
                  </w:r>
                </w:p>
              </w:tc>
              <w:tc>
                <w:tcPr>
                  <w:tcW w:w="794" w:type="pct"/>
                  <w:tcBorders>
                    <w:tl2br w:val="nil"/>
                    <w:tr2bl w:val="nil"/>
                  </w:tcBorders>
                  <w:vAlign w:val="center"/>
                </w:tcPr>
                <w:p w14:paraId="2BB67858">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漆雾</w:t>
                  </w:r>
                </w:p>
              </w:tc>
              <w:tc>
                <w:tcPr>
                  <w:tcW w:w="898" w:type="pct"/>
                  <w:tcBorders>
                    <w:tl2br w:val="nil"/>
                    <w:tr2bl w:val="nil"/>
                  </w:tcBorders>
                  <w:vAlign w:val="center"/>
                </w:tcPr>
                <w:p w14:paraId="5B17C2A1">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0.1</w:t>
                  </w:r>
                  <w:r>
                    <w:rPr>
                      <w:rFonts w:hint="eastAsia" w:ascii="Times New Roman" w:hAnsi="Times New Roman" w:cs="Times New Roman"/>
                      <w:color w:val="0000FF"/>
                      <w:sz w:val="21"/>
                      <w:szCs w:val="21"/>
                      <w:lang w:val="en-US" w:eastAsia="zh-CN"/>
                    </w:rPr>
                    <w:t>0</w:t>
                  </w:r>
                  <w:r>
                    <w:rPr>
                      <w:rFonts w:hint="default" w:ascii="Times New Roman" w:hAnsi="Times New Roman" w:cs="Times New Roman"/>
                      <w:color w:val="0000FF"/>
                      <w:sz w:val="21"/>
                      <w:szCs w:val="21"/>
                    </w:rPr>
                    <w:t>9</w:t>
                  </w:r>
                </w:p>
              </w:tc>
            </w:tr>
            <w:tr w14:paraId="2B1C45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889" w:type="pct"/>
                  <w:tcBorders>
                    <w:tl2br w:val="nil"/>
                    <w:tr2bl w:val="nil"/>
                  </w:tcBorders>
                  <w:vAlign w:val="center"/>
                </w:tcPr>
                <w:p w14:paraId="3D1BB17A">
                  <w:pPr>
                    <w:pStyle w:val="171"/>
                    <w:rPr>
                      <w:rFonts w:ascii="Times New Roman" w:hAnsi="Times New Roman" w:cs="Times New Roman"/>
                      <w:color w:val="0000FF"/>
                      <w:sz w:val="21"/>
                      <w:szCs w:val="21"/>
                    </w:rPr>
                  </w:pPr>
                </w:p>
              </w:tc>
              <w:tc>
                <w:tcPr>
                  <w:tcW w:w="815" w:type="pct"/>
                  <w:tcBorders>
                    <w:tl2br w:val="nil"/>
                    <w:tr2bl w:val="nil"/>
                  </w:tcBorders>
                  <w:vAlign w:val="center"/>
                </w:tcPr>
                <w:p w14:paraId="0B26D764">
                  <w:pPr>
                    <w:pStyle w:val="171"/>
                    <w:rPr>
                      <w:rFonts w:ascii="Times New Roman" w:hAnsi="Times New Roman" w:cs="Times New Roman"/>
                      <w:color w:val="0000FF"/>
                      <w:sz w:val="21"/>
                      <w:szCs w:val="21"/>
                    </w:rPr>
                  </w:pPr>
                </w:p>
              </w:tc>
              <w:tc>
                <w:tcPr>
                  <w:tcW w:w="553" w:type="pct"/>
                  <w:tcBorders>
                    <w:tl2br w:val="nil"/>
                    <w:tr2bl w:val="nil"/>
                  </w:tcBorders>
                  <w:vAlign w:val="center"/>
                </w:tcPr>
                <w:p w14:paraId="5C02E1F9">
                  <w:pPr>
                    <w:pStyle w:val="171"/>
                    <w:rPr>
                      <w:rFonts w:ascii="Times New Roman" w:hAnsi="Times New Roman" w:cs="Times New Roman"/>
                      <w:color w:val="0000FF"/>
                      <w:sz w:val="21"/>
                      <w:szCs w:val="21"/>
                    </w:rPr>
                  </w:pPr>
                </w:p>
              </w:tc>
              <w:tc>
                <w:tcPr>
                  <w:tcW w:w="1047" w:type="pct"/>
                  <w:gridSpan w:val="2"/>
                  <w:vMerge w:val="restart"/>
                  <w:tcBorders>
                    <w:tl2br w:val="nil"/>
                    <w:tr2bl w:val="nil"/>
                  </w:tcBorders>
                  <w:vAlign w:val="center"/>
                </w:tcPr>
                <w:p w14:paraId="47A5D884">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两级活性炭去除</w:t>
                  </w:r>
                </w:p>
              </w:tc>
              <w:tc>
                <w:tcPr>
                  <w:tcW w:w="794" w:type="pct"/>
                  <w:tcBorders>
                    <w:tl2br w:val="nil"/>
                    <w:tr2bl w:val="nil"/>
                  </w:tcBorders>
                  <w:vAlign w:val="center"/>
                </w:tcPr>
                <w:p w14:paraId="0B26475B">
                  <w:pPr>
                    <w:pStyle w:val="171"/>
                    <w:rPr>
                      <w:rFonts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二甲苯</w:t>
                  </w:r>
                </w:p>
              </w:tc>
              <w:tc>
                <w:tcPr>
                  <w:tcW w:w="898" w:type="pct"/>
                  <w:tcBorders>
                    <w:tl2br w:val="nil"/>
                    <w:tr2bl w:val="nil"/>
                  </w:tcBorders>
                  <w:vAlign w:val="center"/>
                </w:tcPr>
                <w:p w14:paraId="3661C9E1">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0.</w:t>
                  </w:r>
                  <w:r>
                    <w:rPr>
                      <w:rFonts w:hint="eastAsia" w:ascii="Times New Roman" w:hAnsi="Times New Roman" w:cs="Times New Roman"/>
                      <w:color w:val="0000FF"/>
                      <w:sz w:val="21"/>
                      <w:szCs w:val="21"/>
                      <w:lang w:eastAsia="zh-CN"/>
                    </w:rPr>
                    <w:t>0</w:t>
                  </w:r>
                  <w:r>
                    <w:rPr>
                      <w:rFonts w:hint="eastAsia" w:ascii="Times New Roman" w:hAnsi="Times New Roman" w:cs="Times New Roman"/>
                      <w:color w:val="0000FF"/>
                      <w:sz w:val="21"/>
                      <w:szCs w:val="21"/>
                      <w:lang w:val="en-US" w:eastAsia="zh-CN"/>
                    </w:rPr>
                    <w:t>20</w:t>
                  </w:r>
                </w:p>
              </w:tc>
            </w:tr>
            <w:tr w14:paraId="19D64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889" w:type="pct"/>
                  <w:tcBorders>
                    <w:tl2br w:val="nil"/>
                    <w:tr2bl w:val="nil"/>
                  </w:tcBorders>
                  <w:vAlign w:val="center"/>
                </w:tcPr>
                <w:p w14:paraId="1B314379">
                  <w:pPr>
                    <w:pStyle w:val="171"/>
                    <w:rPr>
                      <w:rFonts w:ascii="Times New Roman" w:hAnsi="Times New Roman" w:cs="Times New Roman"/>
                      <w:color w:val="0000FF"/>
                      <w:sz w:val="21"/>
                      <w:szCs w:val="21"/>
                    </w:rPr>
                  </w:pPr>
                </w:p>
              </w:tc>
              <w:tc>
                <w:tcPr>
                  <w:tcW w:w="815" w:type="pct"/>
                  <w:tcBorders>
                    <w:tl2br w:val="nil"/>
                    <w:tr2bl w:val="nil"/>
                  </w:tcBorders>
                  <w:vAlign w:val="center"/>
                </w:tcPr>
                <w:p w14:paraId="73EB5C47">
                  <w:pPr>
                    <w:pStyle w:val="171"/>
                    <w:rPr>
                      <w:rFonts w:hint="default" w:ascii="Times New Roman" w:hAnsi="Times New Roman" w:cs="Times New Roman"/>
                      <w:color w:val="0000FF"/>
                      <w:sz w:val="21"/>
                      <w:szCs w:val="21"/>
                    </w:rPr>
                  </w:pPr>
                </w:p>
              </w:tc>
              <w:tc>
                <w:tcPr>
                  <w:tcW w:w="553" w:type="pct"/>
                  <w:tcBorders>
                    <w:tl2br w:val="nil"/>
                    <w:tr2bl w:val="nil"/>
                  </w:tcBorders>
                  <w:vAlign w:val="center"/>
                </w:tcPr>
                <w:p w14:paraId="3CBB1991">
                  <w:pPr>
                    <w:pStyle w:val="171"/>
                    <w:rPr>
                      <w:rFonts w:hint="default" w:ascii="Times New Roman" w:hAnsi="Times New Roman" w:cs="Times New Roman"/>
                      <w:color w:val="0000FF"/>
                      <w:sz w:val="21"/>
                      <w:szCs w:val="21"/>
                    </w:rPr>
                  </w:pPr>
                </w:p>
              </w:tc>
              <w:tc>
                <w:tcPr>
                  <w:tcW w:w="1047" w:type="pct"/>
                  <w:gridSpan w:val="2"/>
                  <w:vMerge w:val="continue"/>
                  <w:tcBorders>
                    <w:tl2br w:val="nil"/>
                    <w:tr2bl w:val="nil"/>
                  </w:tcBorders>
                  <w:vAlign w:val="center"/>
                </w:tcPr>
                <w:p w14:paraId="4506665D">
                  <w:pPr>
                    <w:pStyle w:val="171"/>
                    <w:rPr>
                      <w:rFonts w:hint="default" w:ascii="Times New Roman" w:hAnsi="Times New Roman" w:cs="Times New Roman"/>
                      <w:color w:val="0000FF"/>
                      <w:sz w:val="21"/>
                      <w:szCs w:val="21"/>
                    </w:rPr>
                  </w:pPr>
                </w:p>
              </w:tc>
              <w:tc>
                <w:tcPr>
                  <w:tcW w:w="794" w:type="pct"/>
                  <w:tcBorders>
                    <w:tl2br w:val="nil"/>
                    <w:tr2bl w:val="nil"/>
                  </w:tcBorders>
                  <w:vAlign w:val="center"/>
                </w:tcPr>
                <w:p w14:paraId="7758AA32">
                  <w:pPr>
                    <w:pStyle w:val="171"/>
                    <w:rPr>
                      <w:rFonts w:hint="default" w:ascii="Times New Roman" w:hAnsi="Times New Roman" w:cs="Times New Roman"/>
                      <w:color w:val="0000FF"/>
                      <w:sz w:val="21"/>
                      <w:szCs w:val="21"/>
                    </w:rPr>
                  </w:pPr>
                  <w:r>
                    <w:rPr>
                      <w:rFonts w:hint="default" w:ascii="Times New Roman" w:hAnsi="Times New Roman" w:cs="Times New Roman"/>
                      <w:color w:val="0000FF"/>
                      <w:sz w:val="21"/>
                      <w:szCs w:val="21"/>
                    </w:rPr>
                    <w:t>非甲烷总烃</w:t>
                  </w:r>
                </w:p>
              </w:tc>
              <w:tc>
                <w:tcPr>
                  <w:tcW w:w="898" w:type="pct"/>
                  <w:tcBorders>
                    <w:tl2br w:val="nil"/>
                    <w:tr2bl w:val="nil"/>
                  </w:tcBorders>
                  <w:vAlign w:val="center"/>
                </w:tcPr>
                <w:p w14:paraId="7F84DC4E">
                  <w:pPr>
                    <w:pStyle w:val="171"/>
                    <w:rPr>
                      <w:rFonts w:hint="default" w:ascii="Times New Roman" w:hAnsi="Times New Roman" w:eastAsia="宋体" w:cs="Times New Roman"/>
                      <w:color w:val="0000FF"/>
                      <w:sz w:val="21"/>
                      <w:szCs w:val="21"/>
                      <w:lang w:val="en-US" w:eastAsia="zh-CN"/>
                    </w:rPr>
                  </w:pPr>
                  <w:r>
                    <w:rPr>
                      <w:rFonts w:hint="eastAsia" w:ascii="Times New Roman" w:hAnsi="Times New Roman" w:cs="Times New Roman"/>
                      <w:color w:val="0000FF"/>
                      <w:sz w:val="21"/>
                      <w:szCs w:val="21"/>
                      <w:lang w:val="en-US" w:eastAsia="zh-CN"/>
                    </w:rPr>
                    <w:t>0.111</w:t>
                  </w:r>
                </w:p>
              </w:tc>
            </w:tr>
            <w:tr w14:paraId="5C2D1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89" w:type="pct"/>
                  <w:tcBorders>
                    <w:tl2br w:val="nil"/>
                    <w:tr2bl w:val="nil"/>
                  </w:tcBorders>
                  <w:vAlign w:val="center"/>
                </w:tcPr>
                <w:p w14:paraId="35CC3B73">
                  <w:pPr>
                    <w:pStyle w:val="171"/>
                    <w:rPr>
                      <w:rFonts w:ascii="Times New Roman" w:hAnsi="Times New Roman" w:cs="Times New Roman"/>
                      <w:color w:val="0000FF"/>
                      <w:sz w:val="21"/>
                      <w:szCs w:val="21"/>
                    </w:rPr>
                  </w:pPr>
                </w:p>
              </w:tc>
              <w:tc>
                <w:tcPr>
                  <w:tcW w:w="815" w:type="pct"/>
                  <w:tcBorders>
                    <w:tl2br w:val="nil"/>
                    <w:tr2bl w:val="nil"/>
                  </w:tcBorders>
                  <w:vAlign w:val="center"/>
                </w:tcPr>
                <w:p w14:paraId="0A8F8631">
                  <w:pPr>
                    <w:pStyle w:val="171"/>
                    <w:rPr>
                      <w:rFonts w:ascii="Times New Roman" w:hAnsi="Times New Roman" w:cs="Times New Roman"/>
                      <w:color w:val="0000FF"/>
                      <w:sz w:val="21"/>
                      <w:szCs w:val="21"/>
                    </w:rPr>
                  </w:pPr>
                </w:p>
              </w:tc>
              <w:tc>
                <w:tcPr>
                  <w:tcW w:w="553" w:type="pct"/>
                  <w:tcBorders>
                    <w:tl2br w:val="nil"/>
                    <w:tr2bl w:val="nil"/>
                  </w:tcBorders>
                  <w:vAlign w:val="center"/>
                </w:tcPr>
                <w:p w14:paraId="64089D83">
                  <w:pPr>
                    <w:pStyle w:val="171"/>
                    <w:rPr>
                      <w:rFonts w:ascii="Times New Roman" w:hAnsi="Times New Roman" w:cs="Times New Roman"/>
                      <w:color w:val="0000FF"/>
                      <w:sz w:val="21"/>
                      <w:szCs w:val="21"/>
                    </w:rPr>
                  </w:pPr>
                </w:p>
              </w:tc>
              <w:tc>
                <w:tcPr>
                  <w:tcW w:w="1047" w:type="pct"/>
                  <w:gridSpan w:val="2"/>
                  <w:tcBorders>
                    <w:tl2br w:val="nil"/>
                    <w:tr2bl w:val="nil"/>
                  </w:tcBorders>
                  <w:vAlign w:val="center"/>
                </w:tcPr>
                <w:p w14:paraId="5E49FFC5">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固废</w:t>
                  </w:r>
                </w:p>
              </w:tc>
              <w:tc>
                <w:tcPr>
                  <w:tcW w:w="794" w:type="pct"/>
                  <w:tcBorders>
                    <w:tl2br w:val="nil"/>
                    <w:tr2bl w:val="nil"/>
                  </w:tcBorders>
                  <w:vAlign w:val="center"/>
                </w:tcPr>
                <w:p w14:paraId="3143D550">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漆渣</w:t>
                  </w:r>
                </w:p>
              </w:tc>
              <w:tc>
                <w:tcPr>
                  <w:tcW w:w="898" w:type="pct"/>
                  <w:tcBorders>
                    <w:tl2br w:val="nil"/>
                    <w:tr2bl w:val="nil"/>
                  </w:tcBorders>
                  <w:vAlign w:val="center"/>
                </w:tcPr>
                <w:p w14:paraId="0206AE09">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0.109（去除漆雾）</w:t>
                  </w:r>
                </w:p>
              </w:tc>
            </w:tr>
            <w:tr w14:paraId="3EFA2A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889" w:type="pct"/>
                  <w:tcBorders>
                    <w:tl2br w:val="nil"/>
                    <w:tr2bl w:val="nil"/>
                  </w:tcBorders>
                  <w:vAlign w:val="center"/>
                </w:tcPr>
                <w:p w14:paraId="6EEC8FE1">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合计</w:t>
                  </w:r>
                </w:p>
              </w:tc>
              <w:tc>
                <w:tcPr>
                  <w:tcW w:w="815" w:type="pct"/>
                  <w:tcBorders>
                    <w:tl2br w:val="nil"/>
                    <w:tr2bl w:val="nil"/>
                  </w:tcBorders>
                  <w:vAlign w:val="center"/>
                </w:tcPr>
                <w:p w14:paraId="479D07EC">
                  <w:pPr>
                    <w:pStyle w:val="171"/>
                    <w:rPr>
                      <w:rFonts w:ascii="Times New Roman" w:hAnsi="Times New Roman" w:cs="Times New Roman"/>
                      <w:color w:val="0000FF"/>
                      <w:sz w:val="21"/>
                      <w:szCs w:val="21"/>
                    </w:rPr>
                  </w:pPr>
                </w:p>
              </w:tc>
              <w:tc>
                <w:tcPr>
                  <w:tcW w:w="553" w:type="pct"/>
                  <w:tcBorders>
                    <w:tl2br w:val="nil"/>
                    <w:tr2bl w:val="nil"/>
                  </w:tcBorders>
                  <w:vAlign w:val="center"/>
                </w:tcPr>
                <w:p w14:paraId="290EF635">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0.658</w:t>
                  </w:r>
                </w:p>
              </w:tc>
              <w:tc>
                <w:tcPr>
                  <w:tcW w:w="1842" w:type="pct"/>
                  <w:gridSpan w:val="3"/>
                  <w:tcBorders>
                    <w:tl2br w:val="nil"/>
                    <w:tr2bl w:val="nil"/>
                  </w:tcBorders>
                  <w:vAlign w:val="center"/>
                </w:tcPr>
                <w:p w14:paraId="14DEAF86">
                  <w:pPr>
                    <w:pStyle w:val="171"/>
                    <w:rPr>
                      <w:rFonts w:ascii="Times New Roman" w:hAnsi="Times New Roman" w:cs="Times New Roman"/>
                      <w:color w:val="0000FF"/>
                      <w:sz w:val="21"/>
                      <w:szCs w:val="21"/>
                    </w:rPr>
                  </w:pPr>
                  <w:r>
                    <w:rPr>
                      <w:rFonts w:hint="default" w:ascii="Times New Roman" w:hAnsi="Times New Roman" w:cs="Times New Roman"/>
                      <w:color w:val="0000FF"/>
                      <w:sz w:val="21"/>
                      <w:szCs w:val="21"/>
                    </w:rPr>
                    <w:t>合计</w:t>
                  </w:r>
                </w:p>
              </w:tc>
              <w:tc>
                <w:tcPr>
                  <w:tcW w:w="898" w:type="pct"/>
                  <w:tcBorders>
                    <w:tl2br w:val="nil"/>
                    <w:tr2bl w:val="nil"/>
                  </w:tcBorders>
                  <w:vAlign w:val="center"/>
                </w:tcPr>
                <w:p w14:paraId="3A954313">
                  <w:pPr>
                    <w:pStyle w:val="171"/>
                    <w:rPr>
                      <w:rFonts w:hint="default" w:ascii="Times New Roman" w:hAnsi="Times New Roman" w:cs="Times New Roman"/>
                      <w:color w:val="0000FF"/>
                      <w:sz w:val="21"/>
                      <w:szCs w:val="21"/>
                    </w:rPr>
                  </w:pPr>
                  <w:r>
                    <w:rPr>
                      <w:rFonts w:hint="eastAsia" w:ascii="Times New Roman" w:hAnsi="Times New Roman" w:cs="Times New Roman"/>
                      <w:color w:val="0000FF"/>
                      <w:sz w:val="21"/>
                      <w:szCs w:val="21"/>
                      <w:lang w:val="en-US" w:eastAsia="zh-CN"/>
                    </w:rPr>
                    <w:t>0.658</w:t>
                  </w:r>
                </w:p>
              </w:tc>
            </w:tr>
          </w:tbl>
          <w:p w14:paraId="0698DC2A">
            <w:pPr>
              <w:keepNext w:val="0"/>
              <w:keepLines w:val="0"/>
              <w:pageBreakBefore w:val="0"/>
              <w:widowControl/>
              <w:kinsoku/>
              <w:wordWrap/>
              <w:overflowPunct/>
              <w:topLinePunct w:val="0"/>
              <w:autoSpaceDE/>
              <w:autoSpaceDN/>
              <w:bidi w:val="0"/>
              <w:adjustRightInd/>
              <w:snapToGrid/>
              <w:spacing w:before="0" w:beforeLines="-2147483648" w:line="360" w:lineRule="auto"/>
              <w:ind w:firstLine="0" w:firstLineChars="0"/>
              <w:textAlignment w:val="auto"/>
              <w:rPr>
                <w:rFonts w:hint="default" w:cs="Times New Roman"/>
                <w:color w:val="auto"/>
                <w:sz w:val="24"/>
                <w:szCs w:val="24"/>
                <w:highlight w:val="none"/>
                <w:lang w:val="en-US" w:eastAsia="zh-CN"/>
              </w:rPr>
            </w:pPr>
          </w:p>
          <w:p w14:paraId="7CEDC6FE">
            <w:pPr>
              <w:keepNext w:val="0"/>
              <w:keepLines w:val="0"/>
              <w:pageBreakBefore w:val="0"/>
              <w:widowControl/>
              <w:kinsoku/>
              <w:wordWrap/>
              <w:overflowPunct/>
              <w:topLinePunct w:val="0"/>
              <w:autoSpaceDE/>
              <w:autoSpaceDN/>
              <w:bidi w:val="0"/>
              <w:adjustRightInd/>
              <w:snapToGrid/>
              <w:spacing w:before="0" w:beforeLines="-2147483648" w:line="360" w:lineRule="auto"/>
              <w:ind w:firstLine="0" w:firstLineChars="0"/>
              <w:textAlignment w:val="auto"/>
              <w:rPr>
                <w:rFonts w:hint="default" w:cs="Times New Roman"/>
                <w:color w:val="auto"/>
                <w:sz w:val="24"/>
                <w:szCs w:val="24"/>
                <w:highlight w:val="none"/>
                <w:lang w:val="en-US" w:eastAsia="zh-CN"/>
              </w:rPr>
            </w:pPr>
            <w:r>
              <w:rPr>
                <w:rFonts w:hint="default" w:cs="Times New Roman"/>
                <w:color w:val="auto"/>
                <w:sz w:val="24"/>
                <w:szCs w:val="24"/>
                <w:highlight w:val="none"/>
                <w:lang w:val="en-US" w:eastAsia="zh-CN"/>
              </w:rPr>
              <w:object>
                <v:shape id="_x0000_i1027" o:spt="75" type="#_x0000_t75" style="height:178.2pt;width:403.35pt;" o:ole="t" filled="f" o:preferrelative="t" stroked="f" coordsize="21600,21600">
                  <v:path/>
                  <v:fill on="f" focussize="0,0"/>
                  <v:stroke on="f"/>
                  <v:imagedata r:id="rId15" o:title=""/>
                  <o:lock v:ext="edit" aspectratio="f"/>
                  <w10:wrap type="none"/>
                  <w10:anchorlock/>
                </v:shape>
                <o:OLEObject Type="Embed" ProgID="Visio.Drawing.15" ShapeID="_x0000_i1027" DrawAspect="Content" ObjectID="_1468075727" r:id="rId14">
                  <o:LockedField>false</o:LockedField>
                </o:OLEObject>
              </w:object>
            </w:r>
          </w:p>
          <w:p w14:paraId="6B11F78F">
            <w:pPr>
              <w:keepNext w:val="0"/>
              <w:keepLines w:val="0"/>
              <w:pageBreakBefore w:val="0"/>
              <w:widowControl/>
              <w:kinsoku/>
              <w:wordWrap/>
              <w:overflowPunct/>
              <w:topLinePunct w:val="0"/>
              <w:autoSpaceDE/>
              <w:autoSpaceDN/>
              <w:bidi w:val="0"/>
              <w:adjustRightInd/>
              <w:snapToGrid/>
              <w:spacing w:before="0" w:beforeLines="-2147483648" w:line="360" w:lineRule="auto"/>
              <w:ind w:firstLine="0" w:firstLineChars="0"/>
              <w:jc w:val="center"/>
              <w:textAlignment w:val="auto"/>
              <w:rPr>
                <w:rFonts w:hint="default" w:cs="Times New Roman"/>
                <w:color w:val="0000FF"/>
                <w:sz w:val="21"/>
                <w:szCs w:val="21"/>
                <w:highlight w:val="none"/>
                <w:lang w:val="en-US" w:eastAsia="zh-CN"/>
              </w:rPr>
            </w:pPr>
            <w:r>
              <w:rPr>
                <w:rFonts w:hint="eastAsia"/>
                <w:b/>
                <w:bCs/>
                <w:color w:val="0000FF"/>
                <w:szCs w:val="21"/>
              </w:rPr>
              <w:t>图4-1  有机废气</w:t>
            </w:r>
            <w:r>
              <w:rPr>
                <w:rFonts w:hint="eastAsia"/>
                <w:b/>
                <w:bCs/>
                <w:color w:val="0000FF"/>
                <w:szCs w:val="21"/>
                <w:lang w:eastAsia="zh-CN"/>
              </w:rPr>
              <w:t>（</w:t>
            </w:r>
            <w:r>
              <w:rPr>
                <w:rFonts w:hint="eastAsia"/>
                <w:b/>
                <w:bCs/>
                <w:color w:val="0000FF"/>
                <w:szCs w:val="21"/>
                <w:lang w:val="en-US" w:eastAsia="zh-CN"/>
              </w:rPr>
              <w:t>VOC、二甲苯</w:t>
            </w:r>
            <w:r>
              <w:rPr>
                <w:rFonts w:hint="eastAsia"/>
                <w:b/>
                <w:bCs/>
                <w:color w:val="0000FF"/>
                <w:szCs w:val="21"/>
                <w:lang w:eastAsia="zh-CN"/>
              </w:rPr>
              <w:t>）</w:t>
            </w:r>
            <w:r>
              <w:rPr>
                <w:rFonts w:hint="eastAsia"/>
                <w:b/>
                <w:bCs/>
                <w:color w:val="0000FF"/>
                <w:szCs w:val="21"/>
              </w:rPr>
              <w:t>平衡图（</w:t>
            </w:r>
            <w:r>
              <w:rPr>
                <w:rFonts w:hint="eastAsia"/>
                <w:b/>
                <w:bCs/>
                <w:color w:val="0000FF"/>
                <w:szCs w:val="21"/>
                <w:lang w:val="en-US" w:eastAsia="zh-CN"/>
              </w:rPr>
              <w:t>单位：</w:t>
            </w:r>
            <w:r>
              <w:rPr>
                <w:rFonts w:hint="eastAsia"/>
                <w:b/>
                <w:bCs/>
                <w:color w:val="0000FF"/>
                <w:szCs w:val="21"/>
              </w:rPr>
              <w:t>t/a）</w:t>
            </w:r>
          </w:p>
          <w:p w14:paraId="4BD03062">
            <w:pPr>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175"/>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食堂油烟</w:t>
            </w:r>
          </w:p>
          <w:p w14:paraId="7B8008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改扩建</w:t>
            </w:r>
            <w:r>
              <w:rPr>
                <w:rFonts w:hint="default" w:ascii="Times New Roman" w:hAnsi="Times New Roman" w:eastAsia="宋体" w:cs="Times New Roman"/>
                <w:color w:val="auto"/>
                <w:sz w:val="24"/>
                <w:szCs w:val="24"/>
                <w:highlight w:val="none"/>
                <w:lang w:val="en-US" w:eastAsia="zh-CN"/>
              </w:rPr>
              <w:t>项目</w:t>
            </w:r>
            <w:r>
              <w:rPr>
                <w:rFonts w:hint="eastAsia" w:cs="Times New Roman"/>
                <w:color w:val="auto"/>
                <w:sz w:val="24"/>
                <w:szCs w:val="24"/>
                <w:highlight w:val="none"/>
                <w:lang w:val="en-US" w:eastAsia="zh-CN"/>
              </w:rPr>
              <w:t>建成后</w:t>
            </w:r>
            <w:r>
              <w:rPr>
                <w:rFonts w:hint="default" w:ascii="Times New Roman" w:hAnsi="Times New Roman" w:eastAsia="宋体" w:cs="Times New Roman"/>
                <w:color w:val="auto"/>
                <w:sz w:val="24"/>
                <w:szCs w:val="24"/>
                <w:highlight w:val="none"/>
                <w:lang w:val="en-US" w:eastAsia="zh-CN"/>
              </w:rPr>
              <w:t>劳动定员</w:t>
            </w:r>
            <w:r>
              <w:rPr>
                <w:rFonts w:hint="eastAsia" w:cs="Times New Roman"/>
                <w:color w:val="auto"/>
                <w:sz w:val="24"/>
                <w:szCs w:val="24"/>
                <w:highlight w:val="none"/>
                <w:lang w:val="en-US" w:eastAsia="zh-CN"/>
              </w:rPr>
              <w:t>100人</w:t>
            </w:r>
            <w:r>
              <w:rPr>
                <w:rFonts w:hint="default" w:ascii="Times New Roman" w:hAnsi="Times New Roman" w:eastAsia="宋体" w:cs="Times New Roman"/>
                <w:color w:val="auto"/>
                <w:sz w:val="24"/>
                <w:szCs w:val="24"/>
                <w:highlight w:val="none"/>
                <w:lang w:val="en-US" w:eastAsia="zh-CN"/>
              </w:rPr>
              <w:t>，在食堂用餐。</w:t>
            </w:r>
            <w:r>
              <w:rPr>
                <w:rFonts w:hint="default" w:ascii="Times New Roman" w:hAnsi="Times New Roman" w:eastAsia="宋体" w:cs="Times New Roman"/>
                <w:color w:val="auto"/>
                <w:sz w:val="24"/>
                <w:szCs w:val="24"/>
                <w:highlight w:val="none"/>
              </w:rPr>
              <w:t>食堂总共设置</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个灶头，属于</w:t>
            </w:r>
            <w:r>
              <w:rPr>
                <w:rFonts w:hint="eastAsia" w:cs="Times New Roman"/>
                <w:color w:val="auto"/>
                <w:sz w:val="24"/>
                <w:szCs w:val="24"/>
                <w:highlight w:val="none"/>
                <w:lang w:val="en-US" w:eastAsia="zh-CN"/>
              </w:rPr>
              <w:t>小</w:t>
            </w:r>
            <w:r>
              <w:rPr>
                <w:rFonts w:hint="default" w:ascii="Times New Roman" w:hAnsi="Times New Roman" w:eastAsia="宋体" w:cs="Times New Roman"/>
                <w:color w:val="auto"/>
                <w:sz w:val="24"/>
                <w:szCs w:val="24"/>
                <w:highlight w:val="none"/>
              </w:rPr>
              <w:t>型规模，每天作业时间为5h/d，年工作</w:t>
            </w:r>
            <w:r>
              <w:rPr>
                <w:rFonts w:hint="eastAsia" w:cs="Times New Roman"/>
                <w:color w:val="auto"/>
                <w:sz w:val="24"/>
                <w:szCs w:val="24"/>
                <w:highlight w:val="none"/>
                <w:lang w:val="en-US" w:eastAsia="zh-CN"/>
              </w:rPr>
              <w:t>300</w:t>
            </w:r>
            <w:r>
              <w:rPr>
                <w:rFonts w:hint="default" w:ascii="Times New Roman" w:hAnsi="Times New Roman" w:eastAsia="宋体" w:cs="Times New Roman"/>
                <w:color w:val="auto"/>
                <w:sz w:val="24"/>
                <w:szCs w:val="24"/>
                <w:highlight w:val="none"/>
                <w:lang w:val="en-US" w:eastAsia="zh-CN"/>
              </w:rPr>
              <w:t>天</w:t>
            </w:r>
            <w:r>
              <w:rPr>
                <w:rFonts w:hint="default" w:ascii="Times New Roman" w:hAnsi="Times New Roman" w:eastAsia="宋体" w:cs="Times New Roman"/>
                <w:color w:val="auto"/>
                <w:sz w:val="24"/>
                <w:szCs w:val="24"/>
                <w:highlight w:val="none"/>
              </w:rPr>
              <w:t>，项目食用油用量平均按0.03kg/人·天计，则</w:t>
            </w:r>
            <w:r>
              <w:rPr>
                <w:rFonts w:hint="eastAsia" w:cs="Times New Roman"/>
                <w:color w:val="auto"/>
                <w:sz w:val="24"/>
                <w:szCs w:val="24"/>
                <w:highlight w:val="none"/>
                <w:lang w:val="en-US" w:eastAsia="zh-CN"/>
              </w:rPr>
              <w:t>本项目</w:t>
            </w:r>
            <w:r>
              <w:rPr>
                <w:rFonts w:hint="default" w:ascii="Times New Roman" w:hAnsi="Times New Roman" w:eastAsia="宋体" w:cs="Times New Roman"/>
                <w:color w:val="auto"/>
                <w:sz w:val="24"/>
                <w:szCs w:val="24"/>
                <w:highlight w:val="none"/>
              </w:rPr>
              <w:t>年耗油量为</w:t>
            </w:r>
            <w:r>
              <w:rPr>
                <w:rFonts w:hint="default" w:ascii="Times New Roman" w:hAnsi="Times New Roman" w:eastAsia="宋体" w:cs="Times New Roman"/>
                <w:color w:val="auto"/>
                <w:sz w:val="24"/>
                <w:szCs w:val="24"/>
                <w:highlight w:val="none"/>
                <w:lang w:val="en-US" w:eastAsia="zh-CN"/>
              </w:rPr>
              <w:t>0.</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t/a。据调查，油的平均挥发量为总耗油量的</w:t>
            </w:r>
            <w:r>
              <w:rPr>
                <w:rFonts w:hint="eastAsia" w:cs="Times New Roman"/>
                <w:color w:val="auto"/>
                <w:sz w:val="24"/>
                <w:szCs w:val="24"/>
                <w:highlight w:val="none"/>
                <w:lang w:val="en-US" w:eastAsia="zh-CN"/>
              </w:rPr>
              <w:t>2~4%（取</w:t>
            </w:r>
            <w:r>
              <w:rPr>
                <w:rFonts w:hint="default" w:ascii="Times New Roman" w:hAnsi="Times New Roman" w:eastAsia="宋体" w:cs="Times New Roman"/>
                <w:color w:val="auto"/>
                <w:sz w:val="24"/>
                <w:szCs w:val="24"/>
                <w:highlight w:val="none"/>
              </w:rPr>
              <w:t>3%</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，则项目</w:t>
            </w:r>
            <w:r>
              <w:rPr>
                <w:rFonts w:hint="default" w:ascii="Times New Roman" w:hAnsi="Times New Roman" w:eastAsia="宋体" w:cs="Times New Roman"/>
                <w:color w:val="auto"/>
                <w:sz w:val="24"/>
                <w:szCs w:val="24"/>
                <w:highlight w:val="none"/>
                <w:lang w:val="en-US" w:eastAsia="zh-CN"/>
              </w:rPr>
              <w:t>食堂油烟新增产生</w:t>
            </w:r>
            <w:r>
              <w:rPr>
                <w:rFonts w:hint="default" w:ascii="Times New Roman" w:hAnsi="Times New Roman" w:eastAsia="宋体" w:cs="Times New Roman"/>
                <w:color w:val="auto"/>
                <w:sz w:val="24"/>
                <w:szCs w:val="24"/>
                <w:highlight w:val="none"/>
              </w:rPr>
              <w:t>量为</w:t>
            </w:r>
            <w:r>
              <w:rPr>
                <w:rFonts w:hint="default" w:ascii="Times New Roman" w:hAnsi="Times New Roman" w:eastAsia="宋体" w:cs="Times New Roman"/>
                <w:color w:val="auto"/>
                <w:sz w:val="24"/>
                <w:szCs w:val="24"/>
                <w:highlight w:val="none"/>
                <w:lang w:val="en-US" w:eastAsia="zh-CN"/>
              </w:rPr>
              <w:t>0.02</w:t>
            </w:r>
            <w:r>
              <w:rPr>
                <w:rFonts w:hint="eastAsia"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US" w:eastAsia="zh-CN"/>
              </w:rPr>
              <w:t>（产生速率为0.01</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kg/h</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排放浓度为</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mg/</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油烟废气经过油烟净化器处理</w:t>
            </w:r>
            <w:r>
              <w:rPr>
                <w:rFonts w:hint="default" w:ascii="Times New Roman" w:hAnsi="Times New Roman" w:eastAsia="宋体" w:cs="Times New Roman"/>
                <w:color w:val="auto"/>
                <w:sz w:val="24"/>
                <w:szCs w:val="24"/>
                <w:highlight w:val="none"/>
                <w:lang w:eastAsia="zh-CN"/>
              </w:rPr>
              <w:t>后排放</w:t>
            </w:r>
            <w:r>
              <w:rPr>
                <w:rFonts w:hint="default" w:ascii="Times New Roman" w:hAnsi="Times New Roman" w:eastAsia="宋体" w:cs="Times New Roman"/>
                <w:color w:val="auto"/>
                <w:sz w:val="24"/>
                <w:szCs w:val="24"/>
                <w:highlight w:val="none"/>
              </w:rPr>
              <w:t>，油烟净化器</w:t>
            </w:r>
            <w:r>
              <w:rPr>
                <w:rFonts w:hint="default" w:ascii="Times New Roman" w:hAnsi="Times New Roman" w:eastAsia="宋体" w:cs="Times New Roman"/>
                <w:color w:val="auto"/>
                <w:sz w:val="24"/>
                <w:szCs w:val="24"/>
                <w:highlight w:val="none"/>
                <w:lang w:eastAsia="zh-CN"/>
              </w:rPr>
              <w:t>效率</w:t>
            </w:r>
            <w:r>
              <w:rPr>
                <w:rFonts w:hint="eastAsia" w:cs="Times New Roman"/>
                <w:color w:val="auto"/>
                <w:sz w:val="24"/>
                <w:szCs w:val="24"/>
                <w:highlight w:val="none"/>
                <w:lang w:val="en-US" w:eastAsia="zh-CN"/>
              </w:rPr>
              <w:t>最低为6</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%，每个灶头风量按2000</w:t>
            </w:r>
            <w:r>
              <w:rPr>
                <w:rFonts w:hint="eastAsia"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eastAsia" w:cs="Times New Roman"/>
                <w:color w:val="auto"/>
                <w:sz w:val="24"/>
                <w:szCs w:val="24"/>
                <w:highlight w:val="none"/>
                <w:lang w:val="en-US" w:eastAsia="zh-CN"/>
              </w:rPr>
              <w:t>/h</w:t>
            </w:r>
            <w:r>
              <w:rPr>
                <w:rFonts w:hint="default" w:ascii="Times New Roman" w:hAnsi="Times New Roman" w:eastAsia="宋体" w:cs="Times New Roman"/>
                <w:color w:val="auto"/>
                <w:sz w:val="24"/>
                <w:szCs w:val="24"/>
                <w:highlight w:val="none"/>
              </w:rPr>
              <w:t>计，</w:t>
            </w:r>
            <w:r>
              <w:rPr>
                <w:rFonts w:hint="eastAsia" w:cs="Times New Roman"/>
                <w:color w:val="auto"/>
                <w:sz w:val="24"/>
                <w:szCs w:val="24"/>
                <w:highlight w:val="none"/>
                <w:lang w:val="en-US" w:eastAsia="zh-CN"/>
              </w:rPr>
              <w:t>2个灶头风量为4000m</w:t>
            </w:r>
            <w:r>
              <w:rPr>
                <w:rFonts w:hint="eastAsia" w:cs="Times New Roman"/>
                <w:color w:val="auto"/>
                <w:sz w:val="24"/>
                <w:szCs w:val="24"/>
                <w:highlight w:val="none"/>
                <w:vertAlign w:val="superscript"/>
                <w:lang w:val="en-US" w:eastAsia="zh-CN"/>
              </w:rPr>
              <w:t>3</w:t>
            </w:r>
            <w:r>
              <w:rPr>
                <w:rFonts w:hint="eastAsia" w:cs="Times New Roman"/>
                <w:color w:val="auto"/>
                <w:sz w:val="24"/>
                <w:szCs w:val="24"/>
                <w:highlight w:val="none"/>
                <w:lang w:val="en-US" w:eastAsia="zh-CN"/>
              </w:rPr>
              <w:t>/h，</w:t>
            </w:r>
            <w:r>
              <w:rPr>
                <w:rFonts w:hint="default" w:ascii="Times New Roman" w:hAnsi="Times New Roman" w:eastAsia="宋体" w:cs="Times New Roman"/>
                <w:color w:val="auto"/>
                <w:sz w:val="24"/>
                <w:szCs w:val="24"/>
                <w:highlight w:val="none"/>
              </w:rPr>
              <w:t>则油烟排放量为</w:t>
            </w:r>
            <w:r>
              <w:rPr>
                <w:rFonts w:hint="default" w:ascii="Times New Roman" w:hAnsi="Times New Roman" w:eastAsia="宋体" w:cs="Times New Roman"/>
                <w:color w:val="auto"/>
                <w:sz w:val="24"/>
                <w:szCs w:val="24"/>
                <w:highlight w:val="none"/>
                <w:lang w:val="en-US" w:eastAsia="zh-CN"/>
              </w:rPr>
              <w:t>0.0</w:t>
            </w:r>
            <w:r>
              <w:rPr>
                <w:rFonts w:hint="eastAsia" w:cs="Times New Roman"/>
                <w:color w:val="auto"/>
                <w:sz w:val="24"/>
                <w:szCs w:val="24"/>
                <w:highlight w:val="none"/>
                <w:lang w:val="en-US" w:eastAsia="zh-CN"/>
              </w:rPr>
              <w:t>108</w:t>
            </w:r>
            <w:r>
              <w:rPr>
                <w:rFonts w:hint="default" w:ascii="Times New Roman" w:hAnsi="Times New Roman" w:eastAsia="宋体"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排放速率为0.00</w:t>
            </w:r>
            <w:r>
              <w:rPr>
                <w:rFonts w:hint="eastAsia" w:cs="Times New Roman"/>
                <w:color w:val="auto"/>
                <w:sz w:val="24"/>
                <w:szCs w:val="24"/>
                <w:highlight w:val="none"/>
                <w:lang w:val="en-US" w:eastAsia="zh-CN"/>
              </w:rPr>
              <w:t>72</w:t>
            </w:r>
            <w:r>
              <w:rPr>
                <w:rFonts w:hint="default" w:ascii="Times New Roman" w:hAnsi="Times New Roman" w:eastAsia="宋体" w:cs="Times New Roman"/>
                <w:color w:val="auto"/>
                <w:sz w:val="24"/>
                <w:szCs w:val="24"/>
                <w:highlight w:val="none"/>
                <w:lang w:val="en-US" w:eastAsia="zh-CN"/>
              </w:rPr>
              <w:t>kg/h</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排放浓度为</w:t>
            </w:r>
            <w:r>
              <w:rPr>
                <w:rFonts w:hint="eastAsia"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rPr>
              <w:t>mg/</w:t>
            </w:r>
            <w:r>
              <w:rPr>
                <w:rFonts w:hint="default" w:ascii="Times New Roman" w:hAnsi="Times New Roman" w:eastAsia="宋体" w:cs="Times New Roman"/>
                <w:color w:val="auto"/>
                <w:sz w:val="24"/>
                <w:szCs w:val="24"/>
                <w:highlight w:val="none"/>
                <w:lang w:val="en-US" w:eastAsia="zh-CN"/>
              </w:rPr>
              <w:t>m³</w:t>
            </w:r>
            <w:r>
              <w:rPr>
                <w:rFonts w:hint="eastAsia" w:cs="Times New Roman"/>
                <w:color w:val="auto"/>
                <w:sz w:val="24"/>
                <w:szCs w:val="24"/>
                <w:highlight w:val="none"/>
                <w:lang w:val="en-US" w:eastAsia="zh-CN"/>
              </w:rPr>
              <w:t>，满足</w:t>
            </w:r>
            <w:r>
              <w:rPr>
                <w:rFonts w:hint="eastAsia" w:ascii="Times New Roman" w:hAnsi="Times New Roman" w:eastAsia="宋体" w:cs="Times New Roman"/>
                <w:color w:val="auto"/>
                <w:sz w:val="24"/>
                <w:szCs w:val="24"/>
              </w:rPr>
              <w:t>《饮</w:t>
            </w:r>
            <w:r>
              <w:rPr>
                <w:rFonts w:hint="eastAsia" w:ascii="Times New Roman" w:hAnsi="Times New Roman" w:eastAsia="宋体" w:cs="Times New Roman"/>
                <w:color w:val="auto"/>
                <w:spacing w:val="0"/>
                <w:sz w:val="24"/>
                <w:szCs w:val="24"/>
              </w:rPr>
              <w:t>食业油烟排放标准》（试行）（</w:t>
            </w:r>
            <w:r>
              <w:rPr>
                <w:rFonts w:hint="eastAsia" w:ascii="Times New Roman" w:hAnsi="Times New Roman" w:eastAsia="宋体" w:cs="Times New Roman"/>
                <w:color w:val="auto"/>
                <w:sz w:val="24"/>
                <w:szCs w:val="24"/>
              </w:rPr>
              <w:t>GB</w:t>
            </w:r>
            <w:r>
              <w:rPr>
                <w:rFonts w:hint="eastAsia" w:ascii="Times New Roman" w:hAnsi="Times New Roman" w:eastAsia="宋体" w:cs="Times New Roman"/>
                <w:color w:val="auto"/>
                <w:spacing w:val="0"/>
                <w:sz w:val="24"/>
                <w:szCs w:val="24"/>
              </w:rPr>
              <w:t>18483-2001）中</w:t>
            </w:r>
            <w:r>
              <w:rPr>
                <w:rFonts w:hint="eastAsia" w:ascii="Times New Roman" w:hAnsi="Times New Roman" w:eastAsia="宋体" w:cs="Times New Roman"/>
                <w:color w:val="auto"/>
                <w:spacing w:val="0"/>
                <w:sz w:val="24"/>
                <w:szCs w:val="24"/>
                <w:lang w:val="en-US" w:eastAsia="zh-CN"/>
              </w:rPr>
              <w:t>小型标准。</w:t>
            </w:r>
          </w:p>
          <w:p w14:paraId="0724CF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根据上述分析，改</w:t>
            </w:r>
            <w:r>
              <w:rPr>
                <w:rFonts w:hint="eastAsia" w:cs="Times New Roman"/>
                <w:color w:val="auto"/>
                <w:sz w:val="24"/>
                <w:szCs w:val="24"/>
                <w:highlight w:val="none"/>
                <w:lang w:val="en-US" w:eastAsia="zh-CN"/>
              </w:rPr>
              <w:t>扩建</w:t>
            </w:r>
            <w:r>
              <w:rPr>
                <w:rFonts w:hint="default" w:ascii="Times New Roman" w:hAnsi="Times New Roman" w:eastAsia="宋体" w:cs="Times New Roman"/>
                <w:color w:val="auto"/>
                <w:sz w:val="24"/>
                <w:szCs w:val="24"/>
                <w:highlight w:val="none"/>
              </w:rPr>
              <w:t>项目废气产排情况汇总见表</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、表4-</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w:t>
            </w:r>
          </w:p>
          <w:p w14:paraId="5C69406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1"/>
                <w:szCs w:val="21"/>
                <w:highlight w:val="none"/>
                <w:lang w:val="en-US" w:eastAsia="zh-CN"/>
              </w:rPr>
              <w:t>表4-</w:t>
            </w:r>
            <w:r>
              <w:rPr>
                <w:rFonts w:hint="eastAsia" w:cs="Times New Roman"/>
                <w:b/>
                <w:bCs/>
                <w:color w:val="auto"/>
                <w:sz w:val="21"/>
                <w:szCs w:val="21"/>
                <w:highlight w:val="none"/>
                <w:lang w:val="en-US" w:eastAsia="zh-CN"/>
              </w:rPr>
              <w:t xml:space="preserve">7 </w:t>
            </w:r>
            <w:r>
              <w:rPr>
                <w:rFonts w:hint="default" w:ascii="Times New Roman" w:hAnsi="Times New Roman" w:eastAsia="宋体" w:cs="Times New Roman"/>
                <w:b/>
                <w:bCs/>
                <w:color w:val="auto"/>
                <w:sz w:val="21"/>
                <w:szCs w:val="21"/>
                <w:highlight w:val="none"/>
                <w:lang w:val="en-US" w:eastAsia="zh-CN"/>
              </w:rPr>
              <w:t xml:space="preserve"> 改</w:t>
            </w: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项目新增废气污染源源强及相关参数一览表</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5"/>
              <w:gridCol w:w="924"/>
              <w:gridCol w:w="897"/>
              <w:gridCol w:w="812"/>
              <w:gridCol w:w="909"/>
              <w:gridCol w:w="969"/>
              <w:gridCol w:w="834"/>
              <w:gridCol w:w="894"/>
              <w:gridCol w:w="961"/>
            </w:tblGrid>
            <w:tr w14:paraId="01205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restart"/>
                  <w:tcBorders>
                    <w:tl2br w:val="nil"/>
                    <w:tr2bl w:val="nil"/>
                  </w:tcBorders>
                  <w:noWrap w:val="0"/>
                  <w:vAlign w:val="center"/>
                </w:tcPr>
                <w:p w14:paraId="4A45C07E">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废气产污环节</w:t>
                  </w:r>
                </w:p>
              </w:tc>
              <w:tc>
                <w:tcPr>
                  <w:tcW w:w="572" w:type="pct"/>
                  <w:vMerge w:val="restart"/>
                  <w:tcBorders>
                    <w:tl2br w:val="nil"/>
                    <w:tr2bl w:val="nil"/>
                  </w:tcBorders>
                  <w:noWrap w:val="0"/>
                  <w:vAlign w:val="center"/>
                </w:tcPr>
                <w:p w14:paraId="43EFBBAF">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污染物种类</w:t>
                  </w:r>
                </w:p>
              </w:tc>
              <w:tc>
                <w:tcPr>
                  <w:tcW w:w="555" w:type="pct"/>
                  <w:vMerge w:val="restart"/>
                  <w:tcBorders>
                    <w:tl2br w:val="nil"/>
                    <w:tr2bl w:val="nil"/>
                  </w:tcBorders>
                  <w:noWrap w:val="0"/>
                  <w:vAlign w:val="center"/>
                </w:tcPr>
                <w:p w14:paraId="54C10709">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排放形式</w:t>
                  </w:r>
                </w:p>
              </w:tc>
              <w:tc>
                <w:tcPr>
                  <w:tcW w:w="1667" w:type="pct"/>
                  <w:gridSpan w:val="3"/>
                  <w:tcBorders>
                    <w:tl2br w:val="nil"/>
                    <w:tr2bl w:val="nil"/>
                  </w:tcBorders>
                  <w:noWrap w:val="0"/>
                  <w:vAlign w:val="center"/>
                </w:tcPr>
                <w:p w14:paraId="7844738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污染物产生量</w:t>
                  </w:r>
                </w:p>
              </w:tc>
              <w:tc>
                <w:tcPr>
                  <w:tcW w:w="1667" w:type="pct"/>
                  <w:gridSpan w:val="3"/>
                  <w:tcBorders>
                    <w:tl2br w:val="nil"/>
                    <w:tr2bl w:val="nil"/>
                  </w:tcBorders>
                  <w:noWrap w:val="0"/>
                  <w:vAlign w:val="center"/>
                </w:tcPr>
                <w:p w14:paraId="41B3E548">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污染物排放量</w:t>
                  </w:r>
                </w:p>
              </w:tc>
            </w:tr>
            <w:tr w14:paraId="5CA86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2D2CE9AD">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72" w:type="pct"/>
                  <w:vMerge w:val="continue"/>
                  <w:tcBorders>
                    <w:tl2br w:val="nil"/>
                    <w:tr2bl w:val="nil"/>
                  </w:tcBorders>
                  <w:noWrap w:val="0"/>
                  <w:vAlign w:val="center"/>
                </w:tcPr>
                <w:p w14:paraId="2CC53E94">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71E8E76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03" w:type="pct"/>
                  <w:tcBorders>
                    <w:tl2br w:val="nil"/>
                    <w:tr2bl w:val="nil"/>
                  </w:tcBorders>
                  <w:noWrap w:val="0"/>
                  <w:vAlign w:val="center"/>
                </w:tcPr>
                <w:p w14:paraId="617E8AB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产生量t/a</w:t>
                  </w:r>
                </w:p>
              </w:tc>
              <w:tc>
                <w:tcPr>
                  <w:tcW w:w="563" w:type="pct"/>
                  <w:tcBorders>
                    <w:tl2br w:val="nil"/>
                    <w:tr2bl w:val="nil"/>
                  </w:tcBorders>
                  <w:noWrap w:val="0"/>
                  <w:vAlign w:val="center"/>
                </w:tcPr>
                <w:p w14:paraId="4D320155">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产生速率kg/h</w:t>
                  </w:r>
                </w:p>
              </w:tc>
              <w:tc>
                <w:tcPr>
                  <w:tcW w:w="601" w:type="pct"/>
                  <w:tcBorders>
                    <w:tl2br w:val="nil"/>
                    <w:tr2bl w:val="nil"/>
                  </w:tcBorders>
                  <w:noWrap w:val="0"/>
                  <w:vAlign w:val="center"/>
                </w:tcPr>
                <w:p w14:paraId="7E08272E">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产生浓度mg/m</w:t>
                  </w:r>
                  <w:r>
                    <w:rPr>
                      <w:rFonts w:hint="eastAsia" w:cs="Times New Roman"/>
                      <w:b/>
                      <w:bCs/>
                      <w:color w:val="auto"/>
                      <w:sz w:val="21"/>
                      <w:szCs w:val="21"/>
                      <w:highlight w:val="none"/>
                      <w:vertAlign w:val="superscript"/>
                      <w:lang w:val="en-US" w:eastAsia="zh-CN"/>
                    </w:rPr>
                    <w:t>3</w:t>
                  </w:r>
                </w:p>
              </w:tc>
              <w:tc>
                <w:tcPr>
                  <w:tcW w:w="516" w:type="pct"/>
                  <w:tcBorders>
                    <w:tl2br w:val="nil"/>
                    <w:tr2bl w:val="nil"/>
                  </w:tcBorders>
                  <w:noWrap w:val="0"/>
                  <w:vAlign w:val="center"/>
                </w:tcPr>
                <w:p w14:paraId="26513753">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排放量t/a</w:t>
                  </w:r>
                </w:p>
              </w:tc>
              <w:tc>
                <w:tcPr>
                  <w:tcW w:w="554" w:type="pct"/>
                  <w:tcBorders>
                    <w:tl2br w:val="nil"/>
                    <w:tr2bl w:val="nil"/>
                  </w:tcBorders>
                  <w:noWrap w:val="0"/>
                  <w:vAlign w:val="center"/>
                </w:tcPr>
                <w:p w14:paraId="6451FA61">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排放速率kg/h</w:t>
                  </w:r>
                </w:p>
              </w:tc>
              <w:tc>
                <w:tcPr>
                  <w:tcW w:w="596" w:type="pct"/>
                  <w:tcBorders>
                    <w:tl2br w:val="nil"/>
                    <w:tr2bl w:val="nil"/>
                  </w:tcBorders>
                  <w:noWrap w:val="0"/>
                  <w:vAlign w:val="center"/>
                </w:tcPr>
                <w:p w14:paraId="0E393EF5">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排放浓度mg/m</w:t>
                  </w:r>
                  <w:r>
                    <w:rPr>
                      <w:rFonts w:hint="eastAsia" w:cs="Times New Roman"/>
                      <w:b/>
                      <w:bCs/>
                      <w:color w:val="auto"/>
                      <w:sz w:val="21"/>
                      <w:szCs w:val="21"/>
                      <w:highlight w:val="none"/>
                      <w:vertAlign w:val="superscript"/>
                      <w:lang w:val="en-US" w:eastAsia="zh-CN"/>
                    </w:rPr>
                    <w:t>3</w:t>
                  </w:r>
                </w:p>
              </w:tc>
            </w:tr>
            <w:tr w14:paraId="4D11E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tcBorders>
                    <w:tl2br w:val="nil"/>
                    <w:tr2bl w:val="nil"/>
                  </w:tcBorders>
                  <w:noWrap w:val="0"/>
                  <w:vAlign w:val="center"/>
                </w:tcPr>
                <w:p w14:paraId="4EB2ABC4">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w:t>
                  </w:r>
                </w:p>
              </w:tc>
              <w:tc>
                <w:tcPr>
                  <w:tcW w:w="572" w:type="pct"/>
                  <w:tcBorders>
                    <w:tl2br w:val="nil"/>
                    <w:tr2bl w:val="nil"/>
                  </w:tcBorders>
                  <w:noWrap w:val="0"/>
                  <w:vAlign w:val="center"/>
                </w:tcPr>
                <w:p w14:paraId="7C41E273">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555" w:type="pct"/>
                  <w:tcBorders>
                    <w:tl2br w:val="nil"/>
                    <w:tr2bl w:val="nil"/>
                  </w:tcBorders>
                  <w:noWrap w:val="0"/>
                  <w:vAlign w:val="center"/>
                </w:tcPr>
                <w:p w14:paraId="5631AB37">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tcBorders>
                    <w:tl2br w:val="nil"/>
                    <w:tr2bl w:val="nil"/>
                  </w:tcBorders>
                  <w:noWrap w:val="0"/>
                  <w:vAlign w:val="center"/>
                </w:tcPr>
                <w:p w14:paraId="7F2700A2">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w:t>
                  </w:r>
                  <w:r>
                    <w:rPr>
                      <w:rFonts w:hint="eastAsia" w:cs="Times New Roman"/>
                      <w:color w:val="auto"/>
                      <w:highlight w:val="none"/>
                      <w:lang w:val="en-US" w:eastAsia="zh-CN"/>
                    </w:rPr>
                    <w:t>27</w:t>
                  </w:r>
                </w:p>
              </w:tc>
              <w:tc>
                <w:tcPr>
                  <w:tcW w:w="563" w:type="pct"/>
                  <w:tcBorders>
                    <w:tl2br w:val="nil"/>
                    <w:tr2bl w:val="nil"/>
                  </w:tcBorders>
                  <w:noWrap w:val="0"/>
                  <w:vAlign w:val="center"/>
                </w:tcPr>
                <w:p w14:paraId="3444AAC2">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0.01</w:t>
                  </w:r>
                  <w:r>
                    <w:rPr>
                      <w:rFonts w:hint="eastAsia" w:cs="Times New Roman"/>
                      <w:color w:val="auto"/>
                      <w:highlight w:val="none"/>
                      <w:lang w:val="en-US" w:eastAsia="zh-CN"/>
                    </w:rPr>
                    <w:t>8</w:t>
                  </w:r>
                </w:p>
              </w:tc>
              <w:tc>
                <w:tcPr>
                  <w:tcW w:w="601" w:type="pct"/>
                  <w:tcBorders>
                    <w:tl2br w:val="nil"/>
                    <w:tr2bl w:val="nil"/>
                  </w:tcBorders>
                  <w:noWrap w:val="0"/>
                  <w:vAlign w:val="center"/>
                </w:tcPr>
                <w:p w14:paraId="67DDA66C">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.5</w:t>
                  </w:r>
                </w:p>
              </w:tc>
              <w:tc>
                <w:tcPr>
                  <w:tcW w:w="516" w:type="pct"/>
                  <w:tcBorders>
                    <w:tl2br w:val="nil"/>
                    <w:tr2bl w:val="nil"/>
                  </w:tcBorders>
                  <w:noWrap w:val="0"/>
                  <w:vAlign w:val="center"/>
                </w:tcPr>
                <w:p w14:paraId="551702E9">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w:t>
                  </w:r>
                  <w:r>
                    <w:rPr>
                      <w:rFonts w:hint="eastAsia" w:cs="Times New Roman"/>
                      <w:color w:val="auto"/>
                      <w:highlight w:val="none"/>
                      <w:lang w:val="en-US" w:eastAsia="zh-CN"/>
                    </w:rPr>
                    <w:t>108</w:t>
                  </w:r>
                </w:p>
              </w:tc>
              <w:tc>
                <w:tcPr>
                  <w:tcW w:w="554" w:type="pct"/>
                  <w:tcBorders>
                    <w:tl2br w:val="nil"/>
                    <w:tr2bl w:val="nil"/>
                  </w:tcBorders>
                  <w:noWrap w:val="0"/>
                  <w:vAlign w:val="center"/>
                </w:tcPr>
                <w:p w14:paraId="7105DC46">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0.00</w:t>
                  </w:r>
                  <w:r>
                    <w:rPr>
                      <w:rFonts w:hint="eastAsia" w:cs="Times New Roman"/>
                      <w:color w:val="auto"/>
                      <w:highlight w:val="none"/>
                      <w:lang w:val="en-US" w:eastAsia="zh-CN"/>
                    </w:rPr>
                    <w:t>72</w:t>
                  </w:r>
                </w:p>
              </w:tc>
              <w:tc>
                <w:tcPr>
                  <w:tcW w:w="596" w:type="pct"/>
                  <w:tcBorders>
                    <w:tl2br w:val="nil"/>
                    <w:tr2bl w:val="nil"/>
                  </w:tcBorders>
                  <w:noWrap w:val="0"/>
                  <w:vAlign w:val="center"/>
                </w:tcPr>
                <w:p w14:paraId="7A56AA86">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highlight w:val="none"/>
                      <w:lang w:val="en-US" w:eastAsia="zh-CN"/>
                    </w:rPr>
                    <w:t>1.8</w:t>
                  </w:r>
                </w:p>
              </w:tc>
            </w:tr>
            <w:tr w14:paraId="4681F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restart"/>
                  <w:tcBorders>
                    <w:tl2br w:val="nil"/>
                    <w:tr2bl w:val="nil"/>
                  </w:tcBorders>
                  <w:noWrap w:val="0"/>
                  <w:vAlign w:val="center"/>
                </w:tcPr>
                <w:p w14:paraId="7D134001">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调漆和喷漆废气</w:t>
                  </w:r>
                </w:p>
              </w:tc>
              <w:tc>
                <w:tcPr>
                  <w:tcW w:w="572" w:type="pct"/>
                  <w:vMerge w:val="restart"/>
                  <w:tcBorders>
                    <w:tl2br w:val="nil"/>
                    <w:tr2bl w:val="nil"/>
                  </w:tcBorders>
                  <w:noWrap w:val="0"/>
                  <w:vAlign w:val="center"/>
                </w:tcPr>
                <w:p w14:paraId="0DB3DEDB">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lang w:val="en-US" w:eastAsia="zh-CN"/>
                    </w:rPr>
                    <w:t>二甲苯</w:t>
                  </w:r>
                </w:p>
              </w:tc>
              <w:tc>
                <w:tcPr>
                  <w:tcW w:w="555" w:type="pct"/>
                  <w:tcBorders>
                    <w:tl2br w:val="nil"/>
                    <w:tr2bl w:val="nil"/>
                  </w:tcBorders>
                  <w:noWrap w:val="0"/>
                  <w:vAlign w:val="center"/>
                </w:tcPr>
                <w:p w14:paraId="047B61DF">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tcBorders>
                    <w:tl2br w:val="nil"/>
                    <w:tr2bl w:val="nil"/>
                  </w:tcBorders>
                  <w:shd w:val="clear" w:color="auto" w:fill="auto"/>
                  <w:noWrap w:val="0"/>
                  <w:vAlign w:val="center"/>
                </w:tcPr>
                <w:p w14:paraId="48155DC0">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0.072</w:t>
                  </w:r>
                </w:p>
              </w:tc>
              <w:tc>
                <w:tcPr>
                  <w:tcW w:w="563" w:type="pct"/>
                  <w:tcBorders>
                    <w:tl2br w:val="nil"/>
                    <w:tr2bl w:val="nil"/>
                  </w:tcBorders>
                  <w:shd w:val="clear" w:color="auto" w:fill="auto"/>
                  <w:noWrap w:val="0"/>
                  <w:vAlign w:val="center"/>
                </w:tcPr>
                <w:p w14:paraId="2A6E2D9C">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0.03</w:t>
                  </w:r>
                </w:p>
              </w:tc>
              <w:tc>
                <w:tcPr>
                  <w:tcW w:w="601" w:type="pct"/>
                  <w:tcBorders>
                    <w:tl2br w:val="nil"/>
                    <w:tr2bl w:val="nil"/>
                  </w:tcBorders>
                  <w:shd w:val="clear" w:color="auto" w:fill="auto"/>
                  <w:noWrap w:val="0"/>
                  <w:vAlign w:val="center"/>
                </w:tcPr>
                <w:p w14:paraId="658F7859">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15</w:t>
                  </w:r>
                </w:p>
              </w:tc>
              <w:tc>
                <w:tcPr>
                  <w:tcW w:w="516" w:type="pct"/>
                  <w:tcBorders>
                    <w:tl2br w:val="nil"/>
                    <w:tr2bl w:val="nil"/>
                  </w:tcBorders>
                  <w:shd w:val="clear" w:color="auto" w:fill="auto"/>
                  <w:noWrap w:val="0"/>
                  <w:vAlign w:val="center"/>
                </w:tcPr>
                <w:p w14:paraId="25E948C8">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0.052</w:t>
                  </w:r>
                </w:p>
              </w:tc>
              <w:tc>
                <w:tcPr>
                  <w:tcW w:w="554" w:type="pct"/>
                  <w:tcBorders>
                    <w:tl2br w:val="nil"/>
                    <w:tr2bl w:val="nil"/>
                  </w:tcBorders>
                  <w:shd w:val="clear" w:color="auto" w:fill="auto"/>
                  <w:noWrap w:val="0"/>
                  <w:vAlign w:val="center"/>
                </w:tcPr>
                <w:p w14:paraId="6FF86512">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0.022</w:t>
                  </w:r>
                </w:p>
              </w:tc>
              <w:tc>
                <w:tcPr>
                  <w:tcW w:w="596" w:type="pct"/>
                  <w:tcBorders>
                    <w:tl2br w:val="nil"/>
                    <w:tr2bl w:val="nil"/>
                  </w:tcBorders>
                  <w:shd w:val="clear" w:color="auto" w:fill="auto"/>
                  <w:noWrap w:val="0"/>
                  <w:vAlign w:val="center"/>
                </w:tcPr>
                <w:p w14:paraId="6063BB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11</w:t>
                  </w:r>
                </w:p>
              </w:tc>
            </w:tr>
            <w:tr w14:paraId="7558D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639E35A8">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72" w:type="pct"/>
                  <w:vMerge w:val="continue"/>
                  <w:tcBorders>
                    <w:tl2br w:val="nil"/>
                    <w:tr2bl w:val="nil"/>
                  </w:tcBorders>
                  <w:noWrap w:val="0"/>
                  <w:vAlign w:val="center"/>
                </w:tcPr>
                <w:p w14:paraId="19928019">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3FBC8894">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503" w:type="pct"/>
                  <w:tcBorders>
                    <w:tl2br w:val="nil"/>
                    <w:tr2bl w:val="nil"/>
                  </w:tcBorders>
                  <w:shd w:val="clear" w:color="auto" w:fill="auto"/>
                  <w:noWrap w:val="0"/>
                  <w:vAlign w:val="center"/>
                </w:tcPr>
                <w:p w14:paraId="7999859D">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0.008</w:t>
                  </w:r>
                </w:p>
              </w:tc>
              <w:tc>
                <w:tcPr>
                  <w:tcW w:w="563" w:type="pct"/>
                  <w:tcBorders>
                    <w:tl2br w:val="nil"/>
                    <w:tr2bl w:val="nil"/>
                  </w:tcBorders>
                  <w:shd w:val="clear" w:color="auto" w:fill="auto"/>
                  <w:noWrap w:val="0"/>
                  <w:vAlign w:val="center"/>
                </w:tcPr>
                <w:p w14:paraId="7D485974">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0.003</w:t>
                  </w:r>
                </w:p>
              </w:tc>
              <w:tc>
                <w:tcPr>
                  <w:tcW w:w="601" w:type="pct"/>
                  <w:tcBorders>
                    <w:tl2br w:val="nil"/>
                    <w:tr2bl w:val="nil"/>
                  </w:tcBorders>
                  <w:shd w:val="clear" w:color="auto" w:fill="auto"/>
                  <w:noWrap w:val="0"/>
                  <w:vAlign w:val="center"/>
                </w:tcPr>
                <w:p w14:paraId="7214E9BC">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516" w:type="pct"/>
                  <w:tcBorders>
                    <w:tl2br w:val="nil"/>
                    <w:tr2bl w:val="nil"/>
                  </w:tcBorders>
                  <w:shd w:val="clear" w:color="auto" w:fill="auto"/>
                  <w:noWrap w:val="0"/>
                  <w:vAlign w:val="center"/>
                </w:tcPr>
                <w:p w14:paraId="27620AD3">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0.008</w:t>
                  </w:r>
                </w:p>
              </w:tc>
              <w:tc>
                <w:tcPr>
                  <w:tcW w:w="554" w:type="pct"/>
                  <w:tcBorders>
                    <w:tl2br w:val="nil"/>
                    <w:tr2bl w:val="nil"/>
                  </w:tcBorders>
                  <w:shd w:val="clear" w:color="auto" w:fill="auto"/>
                  <w:noWrap w:val="0"/>
                  <w:vAlign w:val="center"/>
                </w:tcPr>
                <w:p w14:paraId="5DD7DC69">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0.003</w:t>
                  </w:r>
                </w:p>
              </w:tc>
              <w:tc>
                <w:tcPr>
                  <w:tcW w:w="596" w:type="pct"/>
                  <w:tcBorders>
                    <w:tl2br w:val="nil"/>
                    <w:tr2bl w:val="nil"/>
                  </w:tcBorders>
                  <w:shd w:val="clear" w:color="auto" w:fill="auto"/>
                  <w:noWrap w:val="0"/>
                  <w:vAlign w:val="center"/>
                </w:tcPr>
                <w:p w14:paraId="31C2DC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21E26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1F9C5C97">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72" w:type="pct"/>
                  <w:vMerge w:val="restart"/>
                  <w:tcBorders>
                    <w:tl2br w:val="nil"/>
                    <w:tr2bl w:val="nil"/>
                  </w:tcBorders>
                  <w:noWrap w:val="0"/>
                  <w:vAlign w:val="center"/>
                </w:tcPr>
                <w:p w14:paraId="100E896F">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非甲烷总烃</w:t>
                  </w:r>
                </w:p>
              </w:tc>
              <w:tc>
                <w:tcPr>
                  <w:tcW w:w="555" w:type="pct"/>
                  <w:tcBorders>
                    <w:tl2br w:val="nil"/>
                    <w:tr2bl w:val="nil"/>
                  </w:tcBorders>
                  <w:noWrap w:val="0"/>
                  <w:vAlign w:val="center"/>
                </w:tcPr>
                <w:p w14:paraId="306E333C">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tcBorders>
                    <w:tl2br w:val="nil"/>
                    <w:tr2bl w:val="nil"/>
                  </w:tcBorders>
                  <w:shd w:val="clear" w:color="auto" w:fill="auto"/>
                  <w:noWrap w:val="0"/>
                  <w:vAlign w:val="center"/>
                </w:tcPr>
                <w:p w14:paraId="2D1AA64C">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0.399</w:t>
                  </w:r>
                </w:p>
              </w:tc>
              <w:tc>
                <w:tcPr>
                  <w:tcW w:w="563" w:type="pct"/>
                  <w:tcBorders>
                    <w:tl2br w:val="nil"/>
                    <w:tr2bl w:val="nil"/>
                  </w:tcBorders>
                  <w:shd w:val="clear" w:color="auto" w:fill="auto"/>
                  <w:noWrap w:val="0"/>
                  <w:vAlign w:val="center"/>
                </w:tcPr>
                <w:p w14:paraId="21AABA40">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0.166</w:t>
                  </w:r>
                </w:p>
              </w:tc>
              <w:tc>
                <w:tcPr>
                  <w:tcW w:w="601" w:type="pct"/>
                  <w:tcBorders>
                    <w:tl2br w:val="nil"/>
                    <w:tr2bl w:val="nil"/>
                  </w:tcBorders>
                  <w:shd w:val="clear" w:color="auto" w:fill="auto"/>
                  <w:noWrap w:val="0"/>
                  <w:vAlign w:val="center"/>
                </w:tcPr>
                <w:p w14:paraId="5B4FBF3E">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83.13</w:t>
                  </w:r>
                </w:p>
              </w:tc>
              <w:tc>
                <w:tcPr>
                  <w:tcW w:w="516" w:type="pct"/>
                  <w:tcBorders>
                    <w:tl2br w:val="nil"/>
                    <w:tr2bl w:val="nil"/>
                  </w:tcBorders>
                  <w:shd w:val="clear" w:color="auto" w:fill="auto"/>
                  <w:noWrap w:val="0"/>
                  <w:vAlign w:val="center"/>
                </w:tcPr>
                <w:p w14:paraId="4BB95ADD">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0.288</w:t>
                  </w:r>
                </w:p>
              </w:tc>
              <w:tc>
                <w:tcPr>
                  <w:tcW w:w="554" w:type="pct"/>
                  <w:tcBorders>
                    <w:tl2br w:val="nil"/>
                    <w:tr2bl w:val="nil"/>
                  </w:tcBorders>
                  <w:shd w:val="clear" w:color="auto" w:fill="auto"/>
                  <w:noWrap w:val="0"/>
                  <w:vAlign w:val="center"/>
                </w:tcPr>
                <w:p w14:paraId="4EFFD658">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0.12</w:t>
                  </w:r>
                </w:p>
              </w:tc>
              <w:tc>
                <w:tcPr>
                  <w:tcW w:w="596" w:type="pct"/>
                  <w:tcBorders>
                    <w:tl2br w:val="nil"/>
                    <w:tr2bl w:val="nil"/>
                  </w:tcBorders>
                  <w:shd w:val="clear" w:color="auto" w:fill="auto"/>
                  <w:noWrap w:val="0"/>
                  <w:vAlign w:val="center"/>
                </w:tcPr>
                <w:p w14:paraId="6EF6E7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60</w:t>
                  </w:r>
                </w:p>
              </w:tc>
            </w:tr>
            <w:tr w14:paraId="55902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3495B06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72" w:type="pct"/>
                  <w:vMerge w:val="continue"/>
                  <w:tcBorders>
                    <w:tl2br w:val="nil"/>
                    <w:tr2bl w:val="nil"/>
                  </w:tcBorders>
                  <w:noWrap w:val="0"/>
                  <w:vAlign w:val="center"/>
                </w:tcPr>
                <w:p w14:paraId="61FAE18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7D5ABCD0">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503" w:type="pct"/>
                  <w:tcBorders>
                    <w:tl2br w:val="nil"/>
                    <w:tr2bl w:val="nil"/>
                  </w:tcBorders>
                  <w:shd w:val="clear" w:color="auto" w:fill="auto"/>
                  <w:noWrap w:val="0"/>
                  <w:vAlign w:val="center"/>
                </w:tcPr>
                <w:p w14:paraId="0137E951">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0.044</w:t>
                  </w:r>
                </w:p>
              </w:tc>
              <w:tc>
                <w:tcPr>
                  <w:tcW w:w="563" w:type="pct"/>
                  <w:tcBorders>
                    <w:tl2br w:val="nil"/>
                    <w:tr2bl w:val="nil"/>
                  </w:tcBorders>
                  <w:shd w:val="clear" w:color="auto" w:fill="auto"/>
                  <w:noWrap w:val="0"/>
                  <w:vAlign w:val="center"/>
                </w:tcPr>
                <w:p w14:paraId="0655A81A">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0.018</w:t>
                  </w:r>
                </w:p>
              </w:tc>
              <w:tc>
                <w:tcPr>
                  <w:tcW w:w="601" w:type="pct"/>
                  <w:tcBorders>
                    <w:tl2br w:val="nil"/>
                    <w:tr2bl w:val="nil"/>
                  </w:tcBorders>
                  <w:noWrap w:val="0"/>
                  <w:vAlign w:val="center"/>
                </w:tcPr>
                <w:p w14:paraId="6262E3D8">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c>
                <w:tcPr>
                  <w:tcW w:w="516" w:type="pct"/>
                  <w:tcBorders>
                    <w:tl2br w:val="nil"/>
                    <w:tr2bl w:val="nil"/>
                  </w:tcBorders>
                  <w:shd w:val="clear" w:color="auto" w:fill="auto"/>
                  <w:noWrap w:val="0"/>
                  <w:vAlign w:val="center"/>
                </w:tcPr>
                <w:p w14:paraId="77D53C56">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0.044</w:t>
                  </w:r>
                </w:p>
              </w:tc>
              <w:tc>
                <w:tcPr>
                  <w:tcW w:w="554" w:type="pct"/>
                  <w:tcBorders>
                    <w:tl2br w:val="nil"/>
                    <w:tr2bl w:val="nil"/>
                  </w:tcBorders>
                  <w:shd w:val="clear" w:color="auto" w:fill="auto"/>
                  <w:noWrap w:val="0"/>
                  <w:vAlign w:val="center"/>
                </w:tcPr>
                <w:p w14:paraId="3CCDD754">
                  <w:pPr>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0.018</w:t>
                  </w:r>
                </w:p>
              </w:tc>
              <w:tc>
                <w:tcPr>
                  <w:tcW w:w="596" w:type="pct"/>
                  <w:tcBorders>
                    <w:tl2br w:val="nil"/>
                    <w:tr2bl w:val="nil"/>
                  </w:tcBorders>
                  <w:shd w:val="clear" w:color="auto" w:fill="auto"/>
                  <w:noWrap w:val="0"/>
                  <w:vAlign w:val="center"/>
                </w:tcPr>
                <w:p w14:paraId="5A5A65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14D0F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03C9B27A">
                  <w:pPr>
                    <w:widowControl/>
                    <w:jc w:val="center"/>
                    <w:rPr>
                      <w:rFonts w:hint="default" w:ascii="Times New Roman" w:hAnsi="Times New Roman" w:eastAsia="宋体" w:cs="Times New Roman"/>
                      <w:color w:val="auto"/>
                      <w:kern w:val="2"/>
                      <w:sz w:val="21"/>
                      <w:szCs w:val="21"/>
                      <w:highlight w:val="none"/>
                      <w:lang w:val="en-US" w:eastAsia="zh-CN" w:bidi="ar-SA"/>
                    </w:rPr>
                  </w:pPr>
                </w:p>
              </w:tc>
              <w:tc>
                <w:tcPr>
                  <w:tcW w:w="572" w:type="pct"/>
                  <w:vMerge w:val="restart"/>
                  <w:tcBorders>
                    <w:tl2br w:val="nil"/>
                    <w:tr2bl w:val="nil"/>
                  </w:tcBorders>
                  <w:noWrap w:val="0"/>
                  <w:vAlign w:val="center"/>
                </w:tcPr>
                <w:p w14:paraId="04AF51BD">
                  <w:pPr>
                    <w:widowControl/>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漆雾</w:t>
                  </w:r>
                </w:p>
              </w:tc>
              <w:tc>
                <w:tcPr>
                  <w:tcW w:w="555" w:type="pct"/>
                  <w:tcBorders>
                    <w:tl2br w:val="nil"/>
                    <w:tr2bl w:val="nil"/>
                  </w:tcBorders>
                  <w:noWrap w:val="0"/>
                  <w:vAlign w:val="center"/>
                </w:tcPr>
                <w:p w14:paraId="34E6297B">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tcBorders>
                    <w:tl2br w:val="nil"/>
                    <w:tr2bl w:val="nil"/>
                  </w:tcBorders>
                  <w:shd w:val="clear" w:color="auto" w:fill="auto"/>
                  <w:noWrap w:val="0"/>
                  <w:vAlign w:val="center"/>
                </w:tcPr>
                <w:p w14:paraId="53E33614">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0.122</w:t>
                  </w:r>
                </w:p>
              </w:tc>
              <w:tc>
                <w:tcPr>
                  <w:tcW w:w="563" w:type="pct"/>
                  <w:tcBorders>
                    <w:tl2br w:val="nil"/>
                    <w:tr2bl w:val="nil"/>
                  </w:tcBorders>
                  <w:shd w:val="clear" w:color="auto" w:fill="auto"/>
                  <w:noWrap w:val="0"/>
                  <w:vAlign w:val="center"/>
                </w:tcPr>
                <w:p w14:paraId="4F594623">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lang w:val="en-US" w:eastAsia="zh-CN"/>
                    </w:rPr>
                    <w:t>0.051</w:t>
                  </w:r>
                </w:p>
              </w:tc>
              <w:tc>
                <w:tcPr>
                  <w:tcW w:w="601" w:type="pct"/>
                  <w:tcBorders>
                    <w:tl2br w:val="nil"/>
                    <w:tr2bl w:val="nil"/>
                  </w:tcBorders>
                  <w:noWrap w:val="0"/>
                  <w:vAlign w:val="center"/>
                </w:tcPr>
                <w:p w14:paraId="44520CA5">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color w:val="auto"/>
                      <w:lang w:val="en-US" w:eastAsia="zh-CN"/>
                    </w:rPr>
                    <w:t>25.42</w:t>
                  </w:r>
                </w:p>
              </w:tc>
              <w:tc>
                <w:tcPr>
                  <w:tcW w:w="516" w:type="pct"/>
                  <w:tcBorders>
                    <w:tl2br w:val="nil"/>
                    <w:tr2bl w:val="nil"/>
                  </w:tcBorders>
                  <w:shd w:val="clear" w:color="auto" w:fill="auto"/>
                  <w:noWrap w:val="0"/>
                  <w:vAlign w:val="center"/>
                </w:tcPr>
                <w:p w14:paraId="3978CE87">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0.012</w:t>
                  </w:r>
                </w:p>
              </w:tc>
              <w:tc>
                <w:tcPr>
                  <w:tcW w:w="554" w:type="pct"/>
                  <w:tcBorders>
                    <w:tl2br w:val="nil"/>
                    <w:tr2bl w:val="nil"/>
                  </w:tcBorders>
                  <w:shd w:val="clear" w:color="auto" w:fill="auto"/>
                  <w:noWrap w:val="0"/>
                  <w:vAlign w:val="center"/>
                </w:tcPr>
                <w:p w14:paraId="7CDA82A7">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0.005</w:t>
                  </w:r>
                </w:p>
              </w:tc>
              <w:tc>
                <w:tcPr>
                  <w:tcW w:w="596" w:type="pct"/>
                  <w:tcBorders>
                    <w:tl2br w:val="nil"/>
                    <w:tr2bl w:val="nil"/>
                  </w:tcBorders>
                  <w:shd w:val="clear" w:color="auto" w:fill="auto"/>
                  <w:noWrap w:val="0"/>
                  <w:vAlign w:val="center"/>
                </w:tcPr>
                <w:p w14:paraId="3C3AC505">
                  <w:pPr>
                    <w:widowControl/>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i w:val="0"/>
                      <w:iCs w:val="0"/>
                      <w:color w:val="auto"/>
                      <w:kern w:val="0"/>
                      <w:sz w:val="21"/>
                      <w:szCs w:val="21"/>
                      <w:highlight w:val="none"/>
                      <w:u w:val="none"/>
                      <w:lang w:val="en-US" w:eastAsia="zh-CN" w:bidi="ar"/>
                    </w:rPr>
                    <w:t>2.5</w:t>
                  </w:r>
                </w:p>
              </w:tc>
            </w:tr>
            <w:tr w14:paraId="1A592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6" w:type="pct"/>
                  <w:vMerge w:val="continue"/>
                  <w:tcBorders>
                    <w:tl2br w:val="nil"/>
                    <w:tr2bl w:val="nil"/>
                  </w:tcBorders>
                  <w:noWrap w:val="0"/>
                  <w:vAlign w:val="center"/>
                </w:tcPr>
                <w:p w14:paraId="2AFD456A">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72" w:type="pct"/>
                  <w:vMerge w:val="continue"/>
                  <w:tcBorders>
                    <w:tl2br w:val="nil"/>
                    <w:tr2bl w:val="nil"/>
                  </w:tcBorders>
                  <w:noWrap w:val="0"/>
                  <w:vAlign w:val="center"/>
                </w:tcPr>
                <w:p w14:paraId="2835DB44">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0106B28D">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503" w:type="pct"/>
                  <w:tcBorders>
                    <w:tl2br w:val="nil"/>
                    <w:tr2bl w:val="nil"/>
                  </w:tcBorders>
                  <w:shd w:val="clear" w:color="auto" w:fill="auto"/>
                  <w:noWrap w:val="0"/>
                  <w:vAlign w:val="center"/>
                </w:tcPr>
                <w:p w14:paraId="43DDD14D">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0.013</w:t>
                  </w:r>
                </w:p>
              </w:tc>
              <w:tc>
                <w:tcPr>
                  <w:tcW w:w="563" w:type="pct"/>
                  <w:tcBorders>
                    <w:tl2br w:val="nil"/>
                    <w:tr2bl w:val="nil"/>
                  </w:tcBorders>
                  <w:shd w:val="clear" w:color="auto" w:fill="auto"/>
                  <w:noWrap w:val="0"/>
                  <w:vAlign w:val="center"/>
                </w:tcPr>
                <w:p w14:paraId="3AD5E09A">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0.005</w:t>
                  </w:r>
                </w:p>
              </w:tc>
              <w:tc>
                <w:tcPr>
                  <w:tcW w:w="601" w:type="pct"/>
                  <w:tcBorders>
                    <w:tl2br w:val="nil"/>
                    <w:tr2bl w:val="nil"/>
                  </w:tcBorders>
                  <w:noWrap w:val="0"/>
                  <w:vAlign w:val="center"/>
                </w:tcPr>
                <w:p w14:paraId="13503671">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c>
                <w:tcPr>
                  <w:tcW w:w="516" w:type="pct"/>
                  <w:tcBorders>
                    <w:tl2br w:val="nil"/>
                    <w:tr2bl w:val="nil"/>
                  </w:tcBorders>
                  <w:shd w:val="clear" w:color="auto" w:fill="auto"/>
                  <w:noWrap w:val="0"/>
                  <w:vAlign w:val="center"/>
                </w:tcPr>
                <w:p w14:paraId="00BCA703">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0.013</w:t>
                  </w:r>
                </w:p>
              </w:tc>
              <w:tc>
                <w:tcPr>
                  <w:tcW w:w="554" w:type="pct"/>
                  <w:tcBorders>
                    <w:tl2br w:val="nil"/>
                    <w:tr2bl w:val="nil"/>
                  </w:tcBorders>
                  <w:shd w:val="clear" w:color="auto" w:fill="auto"/>
                  <w:noWrap w:val="0"/>
                  <w:vAlign w:val="center"/>
                </w:tcPr>
                <w:p w14:paraId="25CB5C6E">
                  <w:pPr>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0.005</w:t>
                  </w:r>
                </w:p>
              </w:tc>
              <w:tc>
                <w:tcPr>
                  <w:tcW w:w="596" w:type="pct"/>
                  <w:tcBorders>
                    <w:tl2br w:val="nil"/>
                    <w:tr2bl w:val="nil"/>
                  </w:tcBorders>
                  <w:noWrap w:val="0"/>
                  <w:vAlign w:val="center"/>
                </w:tcPr>
                <w:p w14:paraId="58F32234">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14:paraId="1F902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restart"/>
                  <w:tcBorders>
                    <w:tl2br w:val="nil"/>
                    <w:tr2bl w:val="nil"/>
                  </w:tcBorders>
                  <w:noWrap w:val="0"/>
                  <w:vAlign w:val="center"/>
                </w:tcPr>
                <w:p w14:paraId="19A61ED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合计</w:t>
                  </w:r>
                </w:p>
              </w:tc>
              <w:tc>
                <w:tcPr>
                  <w:tcW w:w="1667" w:type="pct"/>
                  <w:gridSpan w:val="3"/>
                  <w:tcBorders>
                    <w:tl2br w:val="nil"/>
                    <w:tr2bl w:val="nil"/>
                  </w:tcBorders>
                  <w:noWrap w:val="0"/>
                  <w:vAlign w:val="center"/>
                </w:tcPr>
                <w:p w14:paraId="268D3A30">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1667" w:type="pct"/>
                  <w:gridSpan w:val="3"/>
                  <w:tcBorders>
                    <w:tl2br w:val="nil"/>
                    <w:tr2bl w:val="nil"/>
                  </w:tcBorders>
                  <w:noWrap w:val="0"/>
                  <w:vAlign w:val="center"/>
                </w:tcPr>
                <w:p w14:paraId="4ABE1D1C">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0.0</w:t>
                  </w:r>
                  <w:r>
                    <w:rPr>
                      <w:rFonts w:hint="eastAsia" w:cs="Times New Roman"/>
                      <w:b w:val="0"/>
                      <w:bCs w:val="0"/>
                      <w:color w:val="auto"/>
                      <w:sz w:val="21"/>
                      <w:szCs w:val="21"/>
                      <w:highlight w:val="none"/>
                      <w:vertAlign w:val="baseline"/>
                      <w:lang w:val="en-US" w:eastAsia="zh-CN"/>
                    </w:rPr>
                    <w:t>108</w:t>
                  </w:r>
                </w:p>
              </w:tc>
            </w:tr>
            <w:tr w14:paraId="246BD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continue"/>
                  <w:tcBorders>
                    <w:tl2br w:val="nil"/>
                    <w:tr2bl w:val="nil"/>
                  </w:tcBorders>
                  <w:noWrap w:val="0"/>
                  <w:vAlign w:val="center"/>
                </w:tcPr>
                <w:p w14:paraId="200035ED">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1667" w:type="pct"/>
                  <w:gridSpan w:val="3"/>
                  <w:tcBorders>
                    <w:tl2br w:val="nil"/>
                    <w:tr2bl w:val="nil"/>
                  </w:tcBorders>
                  <w:noWrap w:val="0"/>
                  <w:vAlign w:val="center"/>
                </w:tcPr>
                <w:p w14:paraId="1552962D">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二甲苯</w:t>
                  </w:r>
                </w:p>
              </w:tc>
              <w:tc>
                <w:tcPr>
                  <w:tcW w:w="1667" w:type="pct"/>
                  <w:gridSpan w:val="3"/>
                  <w:tcBorders>
                    <w:tl2br w:val="nil"/>
                    <w:tr2bl w:val="nil"/>
                  </w:tcBorders>
                  <w:noWrap w:val="0"/>
                  <w:vAlign w:val="center"/>
                </w:tcPr>
                <w:p w14:paraId="1008E54B">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0.052</w:t>
                  </w:r>
                </w:p>
              </w:tc>
            </w:tr>
            <w:tr w14:paraId="7EE02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continue"/>
                  <w:tcBorders>
                    <w:tl2br w:val="nil"/>
                    <w:tr2bl w:val="nil"/>
                  </w:tcBorders>
                  <w:noWrap w:val="0"/>
                  <w:vAlign w:val="center"/>
                </w:tcPr>
                <w:p w14:paraId="08EC8C61">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1667" w:type="pct"/>
                  <w:gridSpan w:val="3"/>
                  <w:tcBorders>
                    <w:tl2br w:val="nil"/>
                    <w:tr2bl w:val="nil"/>
                  </w:tcBorders>
                  <w:noWrap w:val="0"/>
                  <w:vAlign w:val="center"/>
                </w:tcPr>
                <w:p w14:paraId="725612A6">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非甲烷总烃</w:t>
                  </w:r>
                </w:p>
              </w:tc>
              <w:tc>
                <w:tcPr>
                  <w:tcW w:w="1667" w:type="pct"/>
                  <w:gridSpan w:val="3"/>
                  <w:tcBorders>
                    <w:tl2br w:val="nil"/>
                    <w:tr2bl w:val="nil"/>
                  </w:tcBorders>
                  <w:noWrap w:val="0"/>
                  <w:vAlign w:val="center"/>
                </w:tcPr>
                <w:p w14:paraId="192FD7BF">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w:t>
                  </w:r>
                  <w:r>
                    <w:rPr>
                      <w:rFonts w:hint="eastAsia" w:cs="Times New Roman"/>
                      <w:b w:val="0"/>
                      <w:bCs w:val="0"/>
                      <w:color w:val="auto"/>
                      <w:sz w:val="21"/>
                      <w:szCs w:val="21"/>
                      <w:highlight w:val="none"/>
                      <w:vertAlign w:val="baseline"/>
                      <w:lang w:val="en-US" w:eastAsia="zh-CN"/>
                    </w:rPr>
                    <w:t>288</w:t>
                  </w:r>
                </w:p>
              </w:tc>
            </w:tr>
            <w:tr w14:paraId="1E83D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continue"/>
                  <w:tcBorders>
                    <w:tl2br w:val="nil"/>
                    <w:tr2bl w:val="nil"/>
                  </w:tcBorders>
                  <w:noWrap w:val="0"/>
                  <w:vAlign w:val="center"/>
                </w:tcPr>
                <w:p w14:paraId="71D71B1F">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1667" w:type="pct"/>
                  <w:gridSpan w:val="3"/>
                  <w:tcBorders>
                    <w:tl2br w:val="nil"/>
                    <w:tr2bl w:val="nil"/>
                  </w:tcBorders>
                  <w:noWrap w:val="0"/>
                  <w:vAlign w:val="center"/>
                </w:tcPr>
                <w:p w14:paraId="5340C4EE">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漆雾</w:t>
                  </w:r>
                </w:p>
              </w:tc>
              <w:tc>
                <w:tcPr>
                  <w:tcW w:w="1667" w:type="pct"/>
                  <w:gridSpan w:val="3"/>
                  <w:tcBorders>
                    <w:tl2br w:val="nil"/>
                    <w:tr2bl w:val="nil"/>
                  </w:tcBorders>
                  <w:noWrap w:val="0"/>
                  <w:vAlign w:val="center"/>
                </w:tcPr>
                <w:p w14:paraId="4FDA020D">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color w:val="auto"/>
                      <w:kern w:val="2"/>
                      <w:sz w:val="21"/>
                      <w:szCs w:val="21"/>
                      <w:lang w:val="en-US" w:eastAsia="zh-CN" w:bidi="ar-SA"/>
                    </w:rPr>
                    <w:t>0.012</w:t>
                  </w:r>
                </w:p>
              </w:tc>
            </w:tr>
          </w:tbl>
          <w:p w14:paraId="0F1B574F">
            <w:pPr>
              <w:keepNext w:val="0"/>
              <w:keepLines w:val="0"/>
              <w:pageBreakBefore w:val="0"/>
              <w:widowControl w:val="0"/>
              <w:suppressLineNumbers w:val="0"/>
              <w:kinsoku/>
              <w:wordWrap/>
              <w:overflowPunct/>
              <w:topLinePunct w:val="0"/>
              <w:autoSpaceDE w:val="0"/>
              <w:autoSpaceDN w:val="0"/>
              <w:bidi w:val="0"/>
              <w:adjustRightInd/>
              <w:snapToGrid w:val="0"/>
              <w:spacing w:before="157" w:beforeLines="50" w:beforeAutospacing="0" w:after="0" w:afterLines="0" w:afterAutospacing="0" w:line="240" w:lineRule="auto"/>
              <w:ind w:left="0" w:right="0"/>
              <w:jc w:val="center"/>
              <w:textAlignment w:val="center"/>
              <w:rPr>
                <w:rFonts w:hint="default" w:ascii="Times New Roman" w:hAnsi="Times New Roman" w:eastAsia="宋体" w:cs="Times New Roman"/>
                <w:b/>
                <w:bCs w:val="0"/>
                <w:color w:val="auto"/>
                <w:kern w:val="2"/>
                <w:sz w:val="21"/>
                <w:szCs w:val="21"/>
                <w:highlight w:val="none"/>
                <w:lang w:val="zh-CN" w:eastAsia="zh-CN" w:bidi="ar"/>
              </w:rPr>
            </w:pPr>
            <w:r>
              <w:rPr>
                <w:rFonts w:hint="default" w:ascii="Times New Roman" w:hAnsi="Times New Roman" w:eastAsia="宋体" w:cs="Times New Roman"/>
                <w:b/>
                <w:bCs w:val="0"/>
                <w:color w:val="auto"/>
                <w:kern w:val="2"/>
                <w:sz w:val="21"/>
                <w:szCs w:val="21"/>
                <w:highlight w:val="none"/>
                <w:lang w:val="zh-CN" w:eastAsia="zh-CN" w:bidi="ar"/>
              </w:rPr>
              <w:t>表</w:t>
            </w:r>
            <w:r>
              <w:rPr>
                <w:rFonts w:hint="default" w:ascii="Times New Roman" w:hAnsi="Times New Roman" w:eastAsia="宋体" w:cs="Times New Roman"/>
                <w:b/>
                <w:bCs w:val="0"/>
                <w:color w:val="auto"/>
                <w:kern w:val="2"/>
                <w:sz w:val="21"/>
                <w:szCs w:val="21"/>
                <w:highlight w:val="none"/>
                <w:lang w:val="en-US" w:eastAsia="zh-CN" w:bidi="ar"/>
              </w:rPr>
              <w:t>4-</w:t>
            </w:r>
            <w:r>
              <w:rPr>
                <w:rFonts w:hint="eastAsia" w:cs="Times New Roman"/>
                <w:b/>
                <w:bCs w:val="0"/>
                <w:color w:val="auto"/>
                <w:kern w:val="2"/>
                <w:sz w:val="21"/>
                <w:szCs w:val="21"/>
                <w:highlight w:val="none"/>
                <w:lang w:val="en-US" w:eastAsia="zh-CN" w:bidi="ar"/>
              </w:rPr>
              <w:t>8</w:t>
            </w:r>
            <w:r>
              <w:rPr>
                <w:rFonts w:hint="default" w:ascii="Times New Roman" w:hAnsi="Times New Roman" w:eastAsia="宋体" w:cs="Times New Roman"/>
                <w:b/>
                <w:bCs w:val="0"/>
                <w:color w:val="auto"/>
                <w:kern w:val="2"/>
                <w:sz w:val="21"/>
                <w:szCs w:val="21"/>
                <w:highlight w:val="none"/>
                <w:lang w:val="en-US" w:eastAsia="zh-CN" w:bidi="ar"/>
              </w:rPr>
              <w:t xml:space="preserve">  </w:t>
            </w:r>
            <w:r>
              <w:rPr>
                <w:rFonts w:hint="default" w:ascii="Times New Roman" w:hAnsi="Times New Roman" w:eastAsia="宋体" w:cs="Times New Roman"/>
                <w:b/>
                <w:bCs w:val="0"/>
                <w:color w:val="auto"/>
                <w:kern w:val="2"/>
                <w:sz w:val="21"/>
                <w:szCs w:val="21"/>
                <w:highlight w:val="none"/>
                <w:lang w:val="zh-CN" w:eastAsia="zh-CN" w:bidi="ar"/>
              </w:rPr>
              <w:t>项目大气污染物排放口基本情况一览表</w:t>
            </w:r>
          </w:p>
          <w:tbl>
            <w:tblPr>
              <w:tblStyle w:val="33"/>
              <w:tblW w:w="80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168"/>
              <w:gridCol w:w="920"/>
              <w:gridCol w:w="682"/>
              <w:gridCol w:w="655"/>
              <w:gridCol w:w="682"/>
              <w:gridCol w:w="709"/>
              <w:gridCol w:w="790"/>
              <w:gridCol w:w="1564"/>
            </w:tblGrid>
            <w:tr w14:paraId="781AA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tblHeader/>
                <w:jc w:val="center"/>
              </w:trPr>
              <w:tc>
                <w:tcPr>
                  <w:tcW w:w="895" w:type="dxa"/>
                  <w:vMerge w:val="restart"/>
                  <w:noWrap w:val="0"/>
                  <w:vAlign w:val="center"/>
                </w:tcPr>
                <w:p w14:paraId="07BDA66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lang w:eastAsia="zh-CN"/>
                    </w:rPr>
                  </w:pPr>
                  <w:r>
                    <w:rPr>
                      <w:rFonts w:hint="default" w:ascii="Times New Roman" w:hAnsi="Times New Roman" w:eastAsia="宋体" w:cs="Times New Roman"/>
                      <w:b/>
                      <w:color w:val="auto"/>
                      <w:kern w:val="0"/>
                      <w:sz w:val="21"/>
                      <w:szCs w:val="21"/>
                      <w:highlight w:val="none"/>
                      <w:lang w:eastAsia="zh-CN"/>
                    </w:rPr>
                    <w:t>产污</w:t>
                  </w:r>
                  <w:r>
                    <w:rPr>
                      <w:rFonts w:hint="default" w:ascii="Times New Roman" w:hAnsi="Times New Roman" w:eastAsia="宋体" w:cs="Times New Roman"/>
                      <w:b/>
                      <w:color w:val="auto"/>
                      <w:kern w:val="0"/>
                      <w:sz w:val="21"/>
                      <w:szCs w:val="21"/>
                      <w:highlight w:val="none"/>
                      <w:lang w:val="en-US" w:eastAsia="zh-CN"/>
                    </w:rPr>
                    <w:t>位置/</w:t>
                  </w:r>
                  <w:r>
                    <w:rPr>
                      <w:rFonts w:hint="default" w:ascii="Times New Roman" w:hAnsi="Times New Roman" w:eastAsia="宋体" w:cs="Times New Roman"/>
                      <w:b/>
                      <w:color w:val="auto"/>
                      <w:kern w:val="0"/>
                      <w:sz w:val="21"/>
                      <w:szCs w:val="21"/>
                      <w:highlight w:val="none"/>
                      <w:lang w:eastAsia="zh-CN"/>
                    </w:rPr>
                    <w:t>环节</w:t>
                  </w:r>
                </w:p>
              </w:tc>
              <w:tc>
                <w:tcPr>
                  <w:tcW w:w="1168" w:type="dxa"/>
                  <w:vMerge w:val="restart"/>
                  <w:noWrap w:val="0"/>
                  <w:vAlign w:val="center"/>
                </w:tcPr>
                <w:p w14:paraId="3461744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污染物种类</w:t>
                  </w:r>
                </w:p>
              </w:tc>
              <w:tc>
                <w:tcPr>
                  <w:tcW w:w="6002" w:type="dxa"/>
                  <w:gridSpan w:val="7"/>
                  <w:noWrap w:val="0"/>
                  <w:vAlign w:val="center"/>
                </w:tcPr>
                <w:p w14:paraId="01EE88C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排</w:t>
                  </w:r>
                  <w:r>
                    <w:rPr>
                      <w:rFonts w:hint="default" w:ascii="Times New Roman" w:hAnsi="Times New Roman" w:eastAsia="宋体" w:cs="Times New Roman"/>
                      <w:b/>
                      <w:color w:val="auto"/>
                      <w:kern w:val="0"/>
                      <w:sz w:val="21"/>
                      <w:szCs w:val="21"/>
                      <w:highlight w:val="none"/>
                      <w:lang w:eastAsia="zh-CN"/>
                    </w:rPr>
                    <w:t>放口基本情况</w:t>
                  </w:r>
                </w:p>
              </w:tc>
            </w:tr>
            <w:tr w14:paraId="5859F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895" w:type="dxa"/>
                  <w:vMerge w:val="continue"/>
                  <w:noWrap w:val="0"/>
                  <w:vAlign w:val="center"/>
                </w:tcPr>
                <w:p w14:paraId="7E1C4BA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1168" w:type="dxa"/>
                  <w:vMerge w:val="continue"/>
                  <w:noWrap w:val="0"/>
                  <w:vAlign w:val="center"/>
                </w:tcPr>
                <w:p w14:paraId="3D3223C6">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920" w:type="dxa"/>
                  <w:vMerge w:val="restart"/>
                  <w:noWrap w:val="0"/>
                  <w:vAlign w:val="center"/>
                </w:tcPr>
                <w:p w14:paraId="1A1D3909">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lang w:eastAsia="zh-CN"/>
                    </w:rPr>
                  </w:pPr>
                  <w:r>
                    <w:rPr>
                      <w:rFonts w:hint="default" w:ascii="Times New Roman" w:hAnsi="Times New Roman" w:eastAsia="宋体" w:cs="Times New Roman"/>
                      <w:b/>
                      <w:bCs w:val="0"/>
                      <w:color w:val="auto"/>
                      <w:kern w:val="0"/>
                      <w:sz w:val="21"/>
                      <w:szCs w:val="21"/>
                      <w:highlight w:val="none"/>
                    </w:rPr>
                    <w:t>编号</w:t>
                  </w:r>
                  <w:r>
                    <w:rPr>
                      <w:rFonts w:hint="default" w:ascii="Times New Roman" w:hAnsi="Times New Roman" w:eastAsia="宋体" w:cs="Times New Roman"/>
                      <w:b/>
                      <w:bCs w:val="0"/>
                      <w:color w:val="auto"/>
                      <w:kern w:val="0"/>
                      <w:sz w:val="21"/>
                      <w:szCs w:val="21"/>
                      <w:highlight w:val="none"/>
                      <w:lang w:eastAsia="zh-CN"/>
                    </w:rPr>
                    <w:t>及名称</w:t>
                  </w:r>
                </w:p>
              </w:tc>
              <w:tc>
                <w:tcPr>
                  <w:tcW w:w="682" w:type="dxa"/>
                  <w:noWrap w:val="0"/>
                  <w:vAlign w:val="center"/>
                </w:tcPr>
                <w:p w14:paraId="0D0A9157">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高度</w:t>
                  </w:r>
                </w:p>
              </w:tc>
              <w:tc>
                <w:tcPr>
                  <w:tcW w:w="655" w:type="dxa"/>
                  <w:noWrap w:val="0"/>
                  <w:vAlign w:val="center"/>
                </w:tcPr>
                <w:p w14:paraId="2AA632DE">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内径</w:t>
                  </w:r>
                </w:p>
              </w:tc>
              <w:tc>
                <w:tcPr>
                  <w:tcW w:w="682" w:type="dxa"/>
                  <w:noWrap w:val="0"/>
                  <w:vAlign w:val="center"/>
                </w:tcPr>
                <w:p w14:paraId="0682F93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温度</w:t>
                  </w:r>
                </w:p>
              </w:tc>
              <w:tc>
                <w:tcPr>
                  <w:tcW w:w="709" w:type="dxa"/>
                  <w:noWrap w:val="0"/>
                  <w:vAlign w:val="center"/>
                </w:tcPr>
                <w:p w14:paraId="5CD5CBB6">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eastAsia="zh-CN"/>
                    </w:rPr>
                    <w:t>风速</w:t>
                  </w:r>
                </w:p>
              </w:tc>
              <w:tc>
                <w:tcPr>
                  <w:tcW w:w="790" w:type="dxa"/>
                  <w:vMerge w:val="restart"/>
                  <w:noWrap w:val="0"/>
                  <w:vAlign w:val="center"/>
                </w:tcPr>
                <w:p w14:paraId="00E530BF">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类型</w:t>
                  </w:r>
                </w:p>
              </w:tc>
              <w:tc>
                <w:tcPr>
                  <w:tcW w:w="1564" w:type="dxa"/>
                  <w:vMerge w:val="restart"/>
                  <w:noWrap w:val="0"/>
                  <w:vAlign w:val="center"/>
                </w:tcPr>
                <w:p w14:paraId="563A22B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地理坐标</w:t>
                  </w:r>
                </w:p>
              </w:tc>
            </w:tr>
            <w:tr w14:paraId="05496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895" w:type="dxa"/>
                  <w:vMerge w:val="continue"/>
                  <w:noWrap w:val="0"/>
                  <w:vAlign w:val="center"/>
                </w:tcPr>
                <w:p w14:paraId="1CF6492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1168" w:type="dxa"/>
                  <w:vMerge w:val="continue"/>
                  <w:noWrap w:val="0"/>
                  <w:vAlign w:val="center"/>
                </w:tcPr>
                <w:p w14:paraId="5C5FDA7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920" w:type="dxa"/>
                  <w:vMerge w:val="continue"/>
                  <w:noWrap w:val="0"/>
                  <w:vAlign w:val="center"/>
                </w:tcPr>
                <w:p w14:paraId="6D37D48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p>
              </w:tc>
              <w:tc>
                <w:tcPr>
                  <w:tcW w:w="682" w:type="dxa"/>
                  <w:noWrap w:val="0"/>
                  <w:vAlign w:val="center"/>
                </w:tcPr>
                <w:p w14:paraId="45B30DE5">
                  <w:pPr>
                    <w:pStyle w:val="1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rPr>
                    <w:t>m</w:t>
                  </w:r>
                </w:p>
              </w:tc>
              <w:tc>
                <w:tcPr>
                  <w:tcW w:w="655" w:type="dxa"/>
                  <w:noWrap w:val="0"/>
                  <w:vAlign w:val="center"/>
                </w:tcPr>
                <w:p w14:paraId="27F6FEAD">
                  <w:pPr>
                    <w:pStyle w:val="1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m</w:t>
                  </w:r>
                </w:p>
              </w:tc>
              <w:tc>
                <w:tcPr>
                  <w:tcW w:w="682" w:type="dxa"/>
                  <w:noWrap w:val="0"/>
                  <w:vAlign w:val="center"/>
                </w:tcPr>
                <w:p w14:paraId="2D71297C">
                  <w:pPr>
                    <w:pStyle w:val="1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w:t>
                  </w:r>
                </w:p>
              </w:tc>
              <w:tc>
                <w:tcPr>
                  <w:tcW w:w="709" w:type="dxa"/>
                  <w:noWrap w:val="0"/>
                  <w:vAlign w:val="center"/>
                </w:tcPr>
                <w:p w14:paraId="03EE5321">
                  <w:pPr>
                    <w:pStyle w:val="1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eastAsia="zh-CN"/>
                    </w:rPr>
                  </w:pPr>
                  <w:r>
                    <w:rPr>
                      <w:rFonts w:hint="default" w:ascii="Times New Roman" w:hAnsi="Times New Roman" w:eastAsia="宋体" w:cs="Times New Roman"/>
                      <w:b/>
                      <w:bCs w:val="0"/>
                      <w:color w:val="auto"/>
                      <w:sz w:val="21"/>
                      <w:szCs w:val="21"/>
                    </w:rPr>
                    <w:t>m/s</w:t>
                  </w:r>
                </w:p>
              </w:tc>
              <w:tc>
                <w:tcPr>
                  <w:tcW w:w="790" w:type="dxa"/>
                  <w:vMerge w:val="continue"/>
                  <w:noWrap w:val="0"/>
                  <w:vAlign w:val="center"/>
                </w:tcPr>
                <w:p w14:paraId="6D4D483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c>
                <w:tcPr>
                  <w:tcW w:w="1564" w:type="dxa"/>
                  <w:vMerge w:val="continue"/>
                  <w:noWrap w:val="0"/>
                  <w:vAlign w:val="center"/>
                </w:tcPr>
                <w:p w14:paraId="166B385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r>
            <w:tr w14:paraId="2A989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41" w:hRule="atLeast"/>
                <w:jc w:val="center"/>
              </w:trPr>
              <w:tc>
                <w:tcPr>
                  <w:tcW w:w="895" w:type="dxa"/>
                  <w:noWrap w:val="0"/>
                  <w:vAlign w:val="center"/>
                </w:tcPr>
                <w:p w14:paraId="1DEE909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sz w:val="21"/>
                      <w:szCs w:val="21"/>
                      <w:highlight w:val="none"/>
                      <w:lang w:val="en-US" w:eastAsia="zh-CN"/>
                    </w:rPr>
                    <w:t>调漆和喷漆废气</w:t>
                  </w:r>
                </w:p>
              </w:tc>
              <w:tc>
                <w:tcPr>
                  <w:tcW w:w="1168" w:type="dxa"/>
                  <w:noWrap w:val="0"/>
                  <w:vAlign w:val="center"/>
                </w:tcPr>
                <w:p w14:paraId="3394E3E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二甲苯、</w:t>
                  </w:r>
                  <w:r>
                    <w:rPr>
                      <w:rFonts w:hint="default" w:ascii="Times New Roman" w:hAnsi="Times New Roman" w:eastAsia="宋体" w:cs="Times New Roman"/>
                      <w:color w:val="auto"/>
                      <w:kern w:val="0"/>
                      <w:sz w:val="21"/>
                      <w:szCs w:val="21"/>
                      <w:highlight w:val="none"/>
                      <w:lang w:val="en-US" w:eastAsia="zh-CN"/>
                    </w:rPr>
                    <w:t>非甲烷总烃</w:t>
                  </w:r>
                  <w:r>
                    <w:rPr>
                      <w:rFonts w:hint="eastAsia" w:cs="Times New Roman"/>
                      <w:color w:val="auto"/>
                      <w:kern w:val="0"/>
                      <w:sz w:val="21"/>
                      <w:szCs w:val="21"/>
                      <w:highlight w:val="none"/>
                      <w:lang w:val="en-US" w:eastAsia="zh-CN"/>
                    </w:rPr>
                    <w:t>、漆雾</w:t>
                  </w:r>
                </w:p>
              </w:tc>
              <w:tc>
                <w:tcPr>
                  <w:tcW w:w="920" w:type="dxa"/>
                  <w:noWrap w:val="0"/>
                  <w:vAlign w:val="center"/>
                </w:tcPr>
                <w:p w14:paraId="76442DD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DA00</w:t>
                  </w:r>
                  <w:r>
                    <w:rPr>
                      <w:rFonts w:hint="eastAsia" w:cs="Times New Roman"/>
                      <w:color w:val="auto"/>
                      <w:kern w:val="0"/>
                      <w:sz w:val="21"/>
                      <w:szCs w:val="21"/>
                      <w:highlight w:val="none"/>
                      <w:lang w:val="en-US" w:eastAsia="zh-CN"/>
                    </w:rPr>
                    <w:t>2</w:t>
                  </w:r>
                </w:p>
              </w:tc>
              <w:tc>
                <w:tcPr>
                  <w:tcW w:w="682" w:type="dxa"/>
                  <w:noWrap w:val="0"/>
                  <w:vAlign w:val="center"/>
                </w:tcPr>
                <w:p w14:paraId="3E1A2CD8">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w:t>
                  </w:r>
                </w:p>
              </w:tc>
              <w:tc>
                <w:tcPr>
                  <w:tcW w:w="655" w:type="dxa"/>
                  <w:noWrap w:val="0"/>
                  <w:vAlign w:val="center"/>
                </w:tcPr>
                <w:p w14:paraId="2133B281">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0.</w:t>
                  </w:r>
                  <w:r>
                    <w:rPr>
                      <w:rFonts w:hint="eastAsia" w:cs="Times New Roman"/>
                      <w:color w:val="auto"/>
                      <w:kern w:val="0"/>
                      <w:sz w:val="21"/>
                      <w:szCs w:val="21"/>
                      <w:highlight w:val="none"/>
                      <w:lang w:val="en-US" w:eastAsia="zh-CN"/>
                    </w:rPr>
                    <w:t>2</w:t>
                  </w:r>
                </w:p>
              </w:tc>
              <w:tc>
                <w:tcPr>
                  <w:tcW w:w="682" w:type="dxa"/>
                  <w:noWrap w:val="0"/>
                  <w:vAlign w:val="center"/>
                </w:tcPr>
                <w:p w14:paraId="23B7F6E1">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30</w:t>
                  </w:r>
                </w:p>
              </w:tc>
              <w:tc>
                <w:tcPr>
                  <w:tcW w:w="709" w:type="dxa"/>
                  <w:noWrap w:val="0"/>
                  <w:vAlign w:val="center"/>
                </w:tcPr>
                <w:p w14:paraId="53E9997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17.69</w:t>
                  </w:r>
                </w:p>
              </w:tc>
              <w:tc>
                <w:tcPr>
                  <w:tcW w:w="790" w:type="dxa"/>
                  <w:noWrap w:val="0"/>
                  <w:vAlign w:val="center"/>
                </w:tcPr>
                <w:p w14:paraId="3774B60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一般排放口</w:t>
                  </w:r>
                </w:p>
              </w:tc>
              <w:tc>
                <w:tcPr>
                  <w:tcW w:w="1564" w:type="dxa"/>
                  <w:noWrap w:val="0"/>
                  <w:vAlign w:val="center"/>
                </w:tcPr>
                <w:p w14:paraId="30C9457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color w:val="auto"/>
                    </w:rPr>
                    <w:t>E115.396479°</w:t>
                  </w:r>
                  <w:r>
                    <w:rPr>
                      <w:rFonts w:hint="eastAsia"/>
                      <w:color w:val="auto"/>
                      <w:lang w:eastAsia="zh-CN"/>
                    </w:rPr>
                    <w:t>，</w:t>
                  </w:r>
                  <w:r>
                    <w:rPr>
                      <w:rFonts w:hint="default"/>
                      <w:color w:val="auto"/>
                    </w:rPr>
                    <w:t>N28.466968°</w:t>
                  </w:r>
                </w:p>
              </w:tc>
            </w:tr>
            <w:tr w14:paraId="7E9EE7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95" w:type="dxa"/>
                  <w:noWrap w:val="0"/>
                  <w:vAlign w:val="center"/>
                </w:tcPr>
                <w:p w14:paraId="7FD5937C">
                  <w:pPr>
                    <w:keepNext w:val="0"/>
                    <w:keepLines w:val="0"/>
                    <w:pageBreakBefore w:val="0"/>
                    <w:widowControl/>
                    <w:kinsoku/>
                    <w:wordWrap/>
                    <w:overflowPunct/>
                    <w:topLinePunct w:val="0"/>
                    <w:autoSpaceDE/>
                    <w:autoSpaceDN/>
                    <w:bidi w:val="0"/>
                    <w:spacing w:line="240" w:lineRule="auto"/>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食堂</w:t>
                  </w:r>
                </w:p>
              </w:tc>
              <w:tc>
                <w:tcPr>
                  <w:tcW w:w="1168" w:type="dxa"/>
                  <w:noWrap w:val="0"/>
                  <w:vAlign w:val="center"/>
                </w:tcPr>
                <w:p w14:paraId="6D3D437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油烟</w:t>
                  </w:r>
                </w:p>
              </w:tc>
              <w:tc>
                <w:tcPr>
                  <w:tcW w:w="920" w:type="dxa"/>
                  <w:noWrap w:val="0"/>
                  <w:vAlign w:val="center"/>
                </w:tcPr>
                <w:p w14:paraId="0A088C2C">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DA001</w:t>
                  </w:r>
                </w:p>
              </w:tc>
              <w:tc>
                <w:tcPr>
                  <w:tcW w:w="682" w:type="dxa"/>
                  <w:noWrap w:val="0"/>
                  <w:vAlign w:val="center"/>
                </w:tcPr>
                <w:p w14:paraId="74244256">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w:t>
                  </w:r>
                </w:p>
              </w:tc>
              <w:tc>
                <w:tcPr>
                  <w:tcW w:w="655" w:type="dxa"/>
                  <w:noWrap w:val="0"/>
                  <w:vAlign w:val="center"/>
                </w:tcPr>
                <w:p w14:paraId="11CC48FC">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w:t>
                  </w:r>
                </w:p>
              </w:tc>
              <w:tc>
                <w:tcPr>
                  <w:tcW w:w="682" w:type="dxa"/>
                  <w:noWrap w:val="0"/>
                  <w:vAlign w:val="center"/>
                </w:tcPr>
                <w:p w14:paraId="16AB1D77">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50</w:t>
                  </w:r>
                </w:p>
              </w:tc>
              <w:tc>
                <w:tcPr>
                  <w:tcW w:w="709" w:type="dxa"/>
                  <w:noWrap w:val="0"/>
                  <w:vAlign w:val="center"/>
                </w:tcPr>
                <w:p w14:paraId="04D5D81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8.85</w:t>
                  </w:r>
                </w:p>
              </w:tc>
              <w:tc>
                <w:tcPr>
                  <w:tcW w:w="790" w:type="dxa"/>
                  <w:noWrap w:val="0"/>
                  <w:vAlign w:val="center"/>
                </w:tcPr>
                <w:p w14:paraId="5E378E4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一般排放口</w:t>
                  </w:r>
                </w:p>
              </w:tc>
              <w:tc>
                <w:tcPr>
                  <w:tcW w:w="1564" w:type="dxa"/>
                  <w:noWrap w:val="0"/>
                  <w:vAlign w:val="center"/>
                </w:tcPr>
                <w:p w14:paraId="39AD2D1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color w:val="auto"/>
                    </w:rPr>
                  </w:pPr>
                  <w:r>
                    <w:rPr>
                      <w:rFonts w:hint="eastAsia"/>
                      <w:color w:val="auto"/>
                      <w:lang w:val="en-US" w:eastAsia="zh-CN"/>
                    </w:rPr>
                    <w:t>E115.397177</w:t>
                  </w:r>
                  <w:r>
                    <w:rPr>
                      <w:rFonts w:hint="default"/>
                      <w:color w:val="auto"/>
                    </w:rPr>
                    <w:t>°</w:t>
                  </w:r>
                  <w:r>
                    <w:rPr>
                      <w:rFonts w:hint="eastAsia"/>
                      <w:color w:val="auto"/>
                      <w:lang w:val="en-US" w:eastAsia="zh-CN"/>
                    </w:rPr>
                    <w:t>，N28.468014</w:t>
                  </w:r>
                  <w:r>
                    <w:rPr>
                      <w:rFonts w:hint="default"/>
                      <w:color w:val="auto"/>
                    </w:rPr>
                    <w:t>°</w:t>
                  </w:r>
                </w:p>
              </w:tc>
            </w:tr>
          </w:tbl>
          <w:p w14:paraId="29F4798A">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表4-</w:t>
            </w:r>
            <w:r>
              <w:rPr>
                <w:rFonts w:hint="eastAsia" w:cs="Times New Roman"/>
                <w:b/>
                <w:bCs/>
                <w:color w:val="auto"/>
                <w:sz w:val="21"/>
                <w:szCs w:val="21"/>
                <w:highlight w:val="none"/>
                <w:lang w:val="en-US" w:eastAsia="zh-CN"/>
              </w:rPr>
              <w:t>9</w:t>
            </w:r>
            <w:r>
              <w:rPr>
                <w:rFonts w:hint="default" w:ascii="Times New Roman" w:hAnsi="Times New Roman" w:eastAsia="宋体" w:cs="Times New Roman"/>
                <w:b/>
                <w:bCs/>
                <w:color w:val="auto"/>
                <w:sz w:val="21"/>
                <w:szCs w:val="21"/>
                <w:highlight w:val="none"/>
                <w:lang w:val="en-US" w:eastAsia="zh-CN"/>
              </w:rPr>
              <w:t xml:space="preserve">  非正常情况废气污染物排放情况表</w:t>
            </w:r>
          </w:p>
          <w:tbl>
            <w:tblPr>
              <w:tblStyle w:val="34"/>
              <w:tblW w:w="813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140"/>
              <w:gridCol w:w="1110"/>
              <w:gridCol w:w="990"/>
              <w:gridCol w:w="839"/>
              <w:gridCol w:w="944"/>
              <w:gridCol w:w="742"/>
              <w:gridCol w:w="1256"/>
            </w:tblGrid>
            <w:tr w14:paraId="42EEC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82" w:type="pct"/>
                  <w:vAlign w:val="center"/>
                </w:tcPr>
                <w:p w14:paraId="378C6D88">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701" w:type="pct"/>
                  <w:vAlign w:val="center"/>
                </w:tcPr>
                <w:p w14:paraId="00C09B6E">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682" w:type="pct"/>
                  <w:vAlign w:val="center"/>
                </w:tcPr>
                <w:p w14:paraId="2387D203">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排放浓度</w:t>
                  </w:r>
                </w:p>
                <w:p w14:paraId="08120985">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mg/m</w:t>
                  </w:r>
                  <w:r>
                    <w:rPr>
                      <w:rFonts w:hint="default" w:ascii="Times New Roman" w:hAnsi="Times New Roman" w:eastAsia="宋体" w:cs="Times New Roman"/>
                      <w:b/>
                      <w:color w:val="auto"/>
                      <w:sz w:val="21"/>
                      <w:szCs w:val="21"/>
                      <w:vertAlign w:val="superscript"/>
                    </w:rPr>
                    <w:t>3</w:t>
                  </w:r>
                </w:p>
              </w:tc>
              <w:tc>
                <w:tcPr>
                  <w:tcW w:w="608" w:type="pct"/>
                  <w:vAlign w:val="center"/>
                </w:tcPr>
                <w:p w14:paraId="510F7A26">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w:t>
                  </w:r>
                </w:p>
                <w:p w14:paraId="401EB0FE">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kg/h</w:t>
                  </w:r>
                </w:p>
              </w:tc>
              <w:tc>
                <w:tcPr>
                  <w:tcW w:w="515" w:type="pct"/>
                  <w:vAlign w:val="center"/>
                </w:tcPr>
                <w:p w14:paraId="30D98107">
                  <w:pPr>
                    <w:pStyle w:val="150"/>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排放量</w:t>
                  </w:r>
                  <w:r>
                    <w:rPr>
                      <w:rFonts w:hint="eastAsia" w:cs="Times New Roman"/>
                      <w:b/>
                      <w:color w:val="auto"/>
                      <w:sz w:val="21"/>
                      <w:szCs w:val="21"/>
                      <w:lang w:val="en-US" w:eastAsia="zh-CN"/>
                    </w:rPr>
                    <w:t>t</w:t>
                  </w: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val="en-US" w:eastAsia="zh-CN"/>
                    </w:rPr>
                    <w:t>a</w:t>
                  </w:r>
                </w:p>
              </w:tc>
              <w:tc>
                <w:tcPr>
                  <w:tcW w:w="580" w:type="pct"/>
                  <w:vAlign w:val="center"/>
                </w:tcPr>
                <w:p w14:paraId="22381581">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单次持续时间/h</w:t>
                  </w:r>
                </w:p>
              </w:tc>
              <w:tc>
                <w:tcPr>
                  <w:tcW w:w="456" w:type="pct"/>
                  <w:vAlign w:val="center"/>
                </w:tcPr>
                <w:p w14:paraId="4A9DBE05">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发生频次</w:t>
                  </w:r>
                </w:p>
              </w:tc>
              <w:tc>
                <w:tcPr>
                  <w:tcW w:w="772" w:type="pct"/>
                  <w:vAlign w:val="center"/>
                </w:tcPr>
                <w:p w14:paraId="595D2765">
                  <w:pPr>
                    <w:pStyle w:val="15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应对措施</w:t>
                  </w:r>
                </w:p>
              </w:tc>
            </w:tr>
            <w:tr w14:paraId="7DFA9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pct"/>
                  <w:vMerge w:val="restart"/>
                  <w:vAlign w:val="center"/>
                </w:tcPr>
                <w:p w14:paraId="79D44B85">
                  <w:pPr>
                    <w:pStyle w:val="150"/>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油漆废气</w:t>
                  </w:r>
                </w:p>
              </w:tc>
              <w:tc>
                <w:tcPr>
                  <w:tcW w:w="701" w:type="pct"/>
                  <w:vAlign w:val="center"/>
                </w:tcPr>
                <w:p w14:paraId="758F20E7">
                  <w:pPr>
                    <w:jc w:val="center"/>
                    <w:rPr>
                      <w:rFonts w:hint="default" w:ascii="Times New Roman" w:hAnsi="Times New Roman" w:eastAsia="宋体" w:cs="Times New Roman"/>
                      <w:color w:val="auto"/>
                      <w:sz w:val="21"/>
                      <w:szCs w:val="21"/>
                    </w:rPr>
                  </w:pPr>
                  <w:r>
                    <w:rPr>
                      <w:rFonts w:hint="eastAsia"/>
                      <w:color w:val="auto"/>
                      <w:szCs w:val="21"/>
                      <w:lang w:val="en-US" w:eastAsia="zh-CN"/>
                    </w:rPr>
                    <w:t>二甲苯</w:t>
                  </w:r>
                </w:p>
              </w:tc>
              <w:tc>
                <w:tcPr>
                  <w:tcW w:w="682" w:type="pct"/>
                  <w:vAlign w:val="center"/>
                </w:tcPr>
                <w:p w14:paraId="53DC1D63">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sz w:val="21"/>
                      <w:szCs w:val="21"/>
                      <w:lang w:val="en-US" w:eastAsia="zh-CN"/>
                    </w:rPr>
                  </w:pPr>
                  <w:r>
                    <w:rPr>
                      <w:rFonts w:hint="eastAsia" w:eastAsia="宋体" w:cs="Times New Roman"/>
                      <w:color w:val="auto"/>
                      <w:lang w:val="en-US" w:eastAsia="zh-CN"/>
                    </w:rPr>
                    <w:t>15</w:t>
                  </w:r>
                </w:p>
              </w:tc>
              <w:tc>
                <w:tcPr>
                  <w:tcW w:w="608" w:type="pct"/>
                  <w:vAlign w:val="center"/>
                </w:tcPr>
                <w:p w14:paraId="2780F2D8">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sz w:val="21"/>
                      <w:szCs w:val="21"/>
                      <w:lang w:val="en-US" w:eastAsia="zh-CN"/>
                    </w:rPr>
                  </w:pPr>
                  <w:r>
                    <w:rPr>
                      <w:rFonts w:hint="eastAsia" w:eastAsia="宋体" w:cs="Times New Roman"/>
                      <w:color w:val="auto"/>
                      <w:lang w:val="en-US" w:eastAsia="zh-CN"/>
                    </w:rPr>
                    <w:t>0.03</w:t>
                  </w:r>
                </w:p>
              </w:tc>
              <w:tc>
                <w:tcPr>
                  <w:tcW w:w="515" w:type="pct"/>
                  <w:vAlign w:val="center"/>
                </w:tcPr>
                <w:p w14:paraId="135BFE18">
                  <w:pPr>
                    <w:pStyle w:val="163"/>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auto"/>
                      <w:sz w:val="21"/>
                      <w:szCs w:val="21"/>
                      <w:lang w:val="en-US" w:eastAsia="zh-CN" w:bidi="ar-SA"/>
                    </w:rPr>
                  </w:pPr>
                  <w:r>
                    <w:rPr>
                      <w:rFonts w:hint="eastAsia" w:eastAsia="宋体" w:cs="Times New Roman"/>
                      <w:color w:val="auto"/>
                      <w:lang w:val="en-US" w:eastAsia="zh-CN"/>
                    </w:rPr>
                    <w:t>0.072</w:t>
                  </w:r>
                </w:p>
              </w:tc>
              <w:tc>
                <w:tcPr>
                  <w:tcW w:w="580" w:type="pct"/>
                  <w:vMerge w:val="restart"/>
                  <w:vAlign w:val="center"/>
                </w:tcPr>
                <w:p w14:paraId="3C77EF29">
                  <w:pPr>
                    <w:pStyle w:val="15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456" w:type="pct"/>
                  <w:vMerge w:val="restart"/>
                  <w:vAlign w:val="center"/>
                </w:tcPr>
                <w:p w14:paraId="53B10232">
                  <w:pPr>
                    <w:pStyle w:val="15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2次/季</w:t>
                  </w:r>
                </w:p>
              </w:tc>
              <w:tc>
                <w:tcPr>
                  <w:tcW w:w="772" w:type="pct"/>
                  <w:vMerge w:val="restart"/>
                  <w:vAlign w:val="center"/>
                </w:tcPr>
                <w:p w14:paraId="3F9919B6">
                  <w:pPr>
                    <w:pStyle w:val="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发现非正常排放情况时，立即暂停生产，进行环保设备检修。</w:t>
                  </w:r>
                </w:p>
              </w:tc>
            </w:tr>
            <w:tr w14:paraId="2386D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pct"/>
                  <w:vMerge w:val="continue"/>
                  <w:vAlign w:val="center"/>
                </w:tcPr>
                <w:p w14:paraId="629E4A24">
                  <w:pPr>
                    <w:pStyle w:val="150"/>
                    <w:rPr>
                      <w:rFonts w:hint="eastAsia" w:cs="Times New Roman"/>
                      <w:color w:val="auto"/>
                      <w:sz w:val="21"/>
                      <w:szCs w:val="21"/>
                      <w:highlight w:val="none"/>
                      <w:lang w:val="en-US" w:eastAsia="zh-CN"/>
                    </w:rPr>
                  </w:pPr>
                </w:p>
              </w:tc>
              <w:tc>
                <w:tcPr>
                  <w:tcW w:w="701" w:type="pct"/>
                  <w:vAlign w:val="center"/>
                </w:tcPr>
                <w:p w14:paraId="39A944D3">
                  <w:pPr>
                    <w:jc w:val="center"/>
                    <w:rPr>
                      <w:rFonts w:hint="default" w:ascii="Times New Roman" w:hAnsi="Times New Roman" w:eastAsia="宋体" w:cs="Times New Roman"/>
                      <w:b w:val="0"/>
                      <w:bCs w:val="0"/>
                      <w:color w:val="auto"/>
                      <w:sz w:val="21"/>
                      <w:szCs w:val="21"/>
                      <w:highlight w:val="none"/>
                      <w:lang w:val="en-US" w:eastAsia="zh-CN"/>
                    </w:rPr>
                  </w:pPr>
                  <w:r>
                    <w:rPr>
                      <w:rFonts w:hint="eastAsia"/>
                      <w:color w:val="auto"/>
                      <w:szCs w:val="21"/>
                    </w:rPr>
                    <w:t>非甲烷总烃</w:t>
                  </w:r>
                </w:p>
              </w:tc>
              <w:tc>
                <w:tcPr>
                  <w:tcW w:w="682" w:type="pct"/>
                  <w:vAlign w:val="center"/>
                </w:tcPr>
                <w:p w14:paraId="2E8CF9A8">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83.13</w:t>
                  </w:r>
                </w:p>
              </w:tc>
              <w:tc>
                <w:tcPr>
                  <w:tcW w:w="608" w:type="pct"/>
                  <w:vAlign w:val="center"/>
                </w:tcPr>
                <w:p w14:paraId="52350CC6">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0.166</w:t>
                  </w:r>
                </w:p>
              </w:tc>
              <w:tc>
                <w:tcPr>
                  <w:tcW w:w="515" w:type="pct"/>
                  <w:vAlign w:val="center"/>
                </w:tcPr>
                <w:p w14:paraId="13A29014">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0.399</w:t>
                  </w:r>
                </w:p>
              </w:tc>
              <w:tc>
                <w:tcPr>
                  <w:tcW w:w="580" w:type="pct"/>
                  <w:vMerge w:val="continue"/>
                  <w:vAlign w:val="center"/>
                </w:tcPr>
                <w:p w14:paraId="2D288E0D">
                  <w:pPr>
                    <w:pStyle w:val="150"/>
                    <w:rPr>
                      <w:rFonts w:hint="default" w:ascii="Times New Roman" w:hAnsi="Times New Roman" w:eastAsia="宋体" w:cs="Times New Roman"/>
                      <w:color w:val="auto"/>
                      <w:sz w:val="21"/>
                      <w:szCs w:val="21"/>
                    </w:rPr>
                  </w:pPr>
                </w:p>
              </w:tc>
              <w:tc>
                <w:tcPr>
                  <w:tcW w:w="456" w:type="pct"/>
                  <w:vMerge w:val="continue"/>
                  <w:vAlign w:val="center"/>
                </w:tcPr>
                <w:p w14:paraId="4882804D">
                  <w:pPr>
                    <w:pStyle w:val="150"/>
                    <w:rPr>
                      <w:rFonts w:hint="default" w:ascii="Times New Roman" w:hAnsi="Times New Roman" w:eastAsia="宋体" w:cs="Times New Roman"/>
                      <w:color w:val="auto"/>
                      <w:sz w:val="21"/>
                      <w:szCs w:val="21"/>
                    </w:rPr>
                  </w:pPr>
                </w:p>
              </w:tc>
              <w:tc>
                <w:tcPr>
                  <w:tcW w:w="772" w:type="pct"/>
                  <w:vMerge w:val="continue"/>
                  <w:vAlign w:val="center"/>
                </w:tcPr>
                <w:p w14:paraId="6382AD43">
                  <w:pPr>
                    <w:pStyle w:val="150"/>
                    <w:jc w:val="both"/>
                    <w:rPr>
                      <w:rFonts w:hint="default" w:ascii="Times New Roman" w:hAnsi="Times New Roman" w:eastAsia="宋体" w:cs="Times New Roman"/>
                      <w:color w:val="auto"/>
                      <w:sz w:val="21"/>
                      <w:szCs w:val="21"/>
                    </w:rPr>
                  </w:pPr>
                </w:p>
              </w:tc>
            </w:tr>
            <w:tr w14:paraId="1851E1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pct"/>
                  <w:vMerge w:val="continue"/>
                  <w:vAlign w:val="center"/>
                </w:tcPr>
                <w:p w14:paraId="38BAD525">
                  <w:pPr>
                    <w:pStyle w:val="150"/>
                    <w:rPr>
                      <w:rFonts w:hint="eastAsia" w:cs="Times New Roman"/>
                      <w:color w:val="auto"/>
                      <w:sz w:val="21"/>
                      <w:szCs w:val="21"/>
                      <w:highlight w:val="none"/>
                      <w:lang w:val="en-US" w:eastAsia="zh-CN"/>
                    </w:rPr>
                  </w:pPr>
                </w:p>
              </w:tc>
              <w:tc>
                <w:tcPr>
                  <w:tcW w:w="701" w:type="pct"/>
                  <w:vAlign w:val="center"/>
                </w:tcPr>
                <w:p w14:paraId="52001AFC">
                  <w:pPr>
                    <w:jc w:val="center"/>
                    <w:rPr>
                      <w:rFonts w:hint="default" w:ascii="Times New Roman" w:hAnsi="Times New Roman" w:eastAsia="宋体" w:cs="Times New Roman"/>
                      <w:b w:val="0"/>
                      <w:bCs w:val="0"/>
                      <w:color w:val="auto"/>
                      <w:sz w:val="21"/>
                      <w:szCs w:val="21"/>
                      <w:highlight w:val="none"/>
                      <w:lang w:val="en-US" w:eastAsia="zh-CN"/>
                    </w:rPr>
                  </w:pPr>
                  <w:r>
                    <w:rPr>
                      <w:rFonts w:hint="eastAsia"/>
                      <w:color w:val="auto"/>
                      <w:szCs w:val="21"/>
                      <w:lang w:val="en-US" w:eastAsia="zh-CN"/>
                    </w:rPr>
                    <w:t>漆雾</w:t>
                  </w:r>
                </w:p>
              </w:tc>
              <w:tc>
                <w:tcPr>
                  <w:tcW w:w="682" w:type="pct"/>
                  <w:vAlign w:val="center"/>
                </w:tcPr>
                <w:p w14:paraId="0E60F53D">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25.42</w:t>
                  </w:r>
                </w:p>
              </w:tc>
              <w:tc>
                <w:tcPr>
                  <w:tcW w:w="608" w:type="pct"/>
                  <w:vAlign w:val="center"/>
                </w:tcPr>
                <w:p w14:paraId="08033B13">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0.051</w:t>
                  </w:r>
                </w:p>
              </w:tc>
              <w:tc>
                <w:tcPr>
                  <w:tcW w:w="515" w:type="pct"/>
                  <w:vAlign w:val="center"/>
                </w:tcPr>
                <w:p w14:paraId="7355F784">
                  <w:pPr>
                    <w:pStyle w:val="163"/>
                    <w:keepNext w:val="0"/>
                    <w:keepLines w:val="0"/>
                    <w:suppressLineNumbers w:val="0"/>
                    <w:spacing w:before="0" w:beforeAutospacing="0" w:after="0" w:afterAutospacing="0"/>
                    <w:ind w:left="-105" w:leftChars="-50" w:right="-105" w:rightChars="-50"/>
                    <w:rPr>
                      <w:rFonts w:hint="default" w:ascii="Times New Roman" w:hAnsi="Times New Roman" w:cs="Times New Roman"/>
                      <w:color w:val="auto"/>
                      <w:sz w:val="21"/>
                      <w:szCs w:val="21"/>
                      <w:lang w:val="en-US" w:eastAsia="zh-CN"/>
                    </w:rPr>
                  </w:pPr>
                  <w:r>
                    <w:rPr>
                      <w:rFonts w:hint="eastAsia" w:eastAsia="宋体" w:cs="Times New Roman"/>
                      <w:color w:val="auto"/>
                      <w:lang w:val="en-US" w:eastAsia="zh-CN"/>
                    </w:rPr>
                    <w:t>0.122</w:t>
                  </w:r>
                </w:p>
              </w:tc>
              <w:tc>
                <w:tcPr>
                  <w:tcW w:w="580" w:type="pct"/>
                  <w:vMerge w:val="continue"/>
                  <w:vAlign w:val="center"/>
                </w:tcPr>
                <w:p w14:paraId="73C47F8F">
                  <w:pPr>
                    <w:pStyle w:val="150"/>
                    <w:rPr>
                      <w:rFonts w:hint="default" w:ascii="Times New Roman" w:hAnsi="Times New Roman" w:eastAsia="宋体" w:cs="Times New Roman"/>
                      <w:color w:val="auto"/>
                      <w:sz w:val="21"/>
                      <w:szCs w:val="21"/>
                    </w:rPr>
                  </w:pPr>
                </w:p>
              </w:tc>
              <w:tc>
                <w:tcPr>
                  <w:tcW w:w="456" w:type="pct"/>
                  <w:vMerge w:val="continue"/>
                  <w:vAlign w:val="center"/>
                </w:tcPr>
                <w:p w14:paraId="6694C1D0">
                  <w:pPr>
                    <w:pStyle w:val="150"/>
                    <w:rPr>
                      <w:rFonts w:hint="default" w:ascii="Times New Roman" w:hAnsi="Times New Roman" w:eastAsia="宋体" w:cs="Times New Roman"/>
                      <w:color w:val="auto"/>
                      <w:sz w:val="21"/>
                      <w:szCs w:val="21"/>
                    </w:rPr>
                  </w:pPr>
                </w:p>
              </w:tc>
              <w:tc>
                <w:tcPr>
                  <w:tcW w:w="772" w:type="pct"/>
                  <w:vMerge w:val="continue"/>
                  <w:vAlign w:val="center"/>
                </w:tcPr>
                <w:p w14:paraId="1C2E135F">
                  <w:pPr>
                    <w:pStyle w:val="150"/>
                    <w:jc w:val="both"/>
                    <w:rPr>
                      <w:rFonts w:hint="default" w:ascii="Times New Roman" w:hAnsi="Times New Roman" w:eastAsia="宋体" w:cs="Times New Roman"/>
                      <w:color w:val="auto"/>
                      <w:sz w:val="21"/>
                      <w:szCs w:val="21"/>
                    </w:rPr>
                  </w:pPr>
                </w:p>
              </w:tc>
            </w:tr>
            <w:tr w14:paraId="1F673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pct"/>
                  <w:vAlign w:val="center"/>
                </w:tcPr>
                <w:p w14:paraId="232FBF7F">
                  <w:pPr>
                    <w:pStyle w:val="15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食堂油烟</w:t>
                  </w:r>
                </w:p>
              </w:tc>
              <w:tc>
                <w:tcPr>
                  <w:tcW w:w="701" w:type="pct"/>
                  <w:vAlign w:val="center"/>
                </w:tcPr>
                <w:p w14:paraId="21B0CB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682" w:type="pct"/>
                  <w:vAlign w:val="center"/>
                </w:tcPr>
                <w:p w14:paraId="3800F159">
                  <w:pPr>
                    <w:pStyle w:val="15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608" w:type="pct"/>
                  <w:vAlign w:val="center"/>
                </w:tcPr>
                <w:p w14:paraId="3063AA72">
                  <w:pPr>
                    <w:pStyle w:val="15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0.013</w:t>
                  </w:r>
                </w:p>
              </w:tc>
              <w:tc>
                <w:tcPr>
                  <w:tcW w:w="515" w:type="pct"/>
                  <w:vAlign w:val="center"/>
                </w:tcPr>
                <w:p w14:paraId="66FD4730">
                  <w:pPr>
                    <w:pStyle w:val="150"/>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0.013</w:t>
                  </w:r>
                </w:p>
              </w:tc>
              <w:tc>
                <w:tcPr>
                  <w:tcW w:w="580" w:type="pct"/>
                  <w:vMerge w:val="continue"/>
                  <w:vAlign w:val="center"/>
                </w:tcPr>
                <w:p w14:paraId="0F0586BA">
                  <w:pPr>
                    <w:pStyle w:val="150"/>
                    <w:rPr>
                      <w:rFonts w:hint="default" w:ascii="Times New Roman" w:hAnsi="Times New Roman" w:eastAsia="宋体" w:cs="Times New Roman"/>
                      <w:color w:val="auto"/>
                      <w:sz w:val="21"/>
                      <w:szCs w:val="21"/>
                    </w:rPr>
                  </w:pPr>
                </w:p>
              </w:tc>
              <w:tc>
                <w:tcPr>
                  <w:tcW w:w="456" w:type="pct"/>
                  <w:vMerge w:val="continue"/>
                  <w:vAlign w:val="center"/>
                </w:tcPr>
                <w:p w14:paraId="164EC3E7">
                  <w:pPr>
                    <w:pStyle w:val="150"/>
                    <w:rPr>
                      <w:rFonts w:hint="default" w:ascii="Times New Roman" w:hAnsi="Times New Roman" w:eastAsia="宋体" w:cs="Times New Roman"/>
                      <w:color w:val="auto"/>
                      <w:sz w:val="21"/>
                      <w:szCs w:val="21"/>
                    </w:rPr>
                  </w:pPr>
                </w:p>
              </w:tc>
              <w:tc>
                <w:tcPr>
                  <w:tcW w:w="772" w:type="pct"/>
                  <w:vMerge w:val="continue"/>
                  <w:vAlign w:val="center"/>
                </w:tcPr>
                <w:p w14:paraId="2C629A05">
                  <w:pPr>
                    <w:pStyle w:val="150"/>
                    <w:jc w:val="both"/>
                    <w:rPr>
                      <w:rFonts w:hint="default" w:ascii="Times New Roman" w:hAnsi="Times New Roman" w:eastAsia="宋体" w:cs="Times New Roman"/>
                      <w:color w:val="auto"/>
                      <w:sz w:val="21"/>
                      <w:szCs w:val="21"/>
                    </w:rPr>
                  </w:pPr>
                </w:p>
              </w:tc>
            </w:tr>
          </w:tbl>
          <w:p w14:paraId="5310810C">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本评价建议企业采取以下措施，确保废气处理设备正常运行。</w:t>
            </w:r>
          </w:p>
          <w:p w14:paraId="46A15953">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1）在废气处理设备异常或停止运行时，产生废气的各工序必须相应停止</w:t>
            </w:r>
          </w:p>
          <w:p w14:paraId="5B7C6370">
            <w:pPr>
              <w:numPr>
                <w:ilvl w:val="0"/>
                <w:numId w:val="0"/>
              </w:numPr>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运行；</w:t>
            </w:r>
          </w:p>
          <w:p w14:paraId="16A47A4F">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2）在选择设备时，采用成熟可靠的产品，减少设备产生故障的概率；</w:t>
            </w:r>
          </w:p>
          <w:p w14:paraId="70E6D021">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3）建立健全的环保管理机构，对环保管理人员和技术人员进行岗位培训，委托具有专业资质的环境检测单位对排放的各类废气污染物进行定期检测；</w:t>
            </w:r>
          </w:p>
          <w:p w14:paraId="1D2B8451">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安排专人负责环保设备的日常维护和管理，每隔固定时间检查、汇报情况。为防止非正常排放工况产生，企业应严格环保管理，建立净化装置运行台账，及时发现处理设备的隐患，保持设备净化能力，避免废气净化装置失效情况的发生。</w:t>
            </w:r>
          </w:p>
          <w:p w14:paraId="1BB3AB09">
            <w:pPr>
              <w:numPr>
                <w:ilvl w:val="0"/>
                <w:numId w:val="0"/>
              </w:numPr>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eastAsia"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lang w:val="en-US" w:eastAsia="zh-CN"/>
              </w:rPr>
              <w:t>、大气环境影响分析</w:t>
            </w:r>
          </w:p>
          <w:p w14:paraId="4B40AEBA">
            <w:pPr>
              <w:pStyle w:val="7"/>
              <w:spacing w:line="360" w:lineRule="auto"/>
              <w:ind w:firstLine="0"/>
              <w:jc w:val="center"/>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object>
                <v:shape id="_x0000_i1028" o:spt="75" type="#_x0000_t75" style="height:127.8pt;width:340.2pt;" o:ole="t" filled="f" o:preferrelative="t" stroked="f" coordsize="21600,21600">
                  <v:path/>
                  <v:fill on="f" focussize="0,0"/>
                  <v:stroke on="f"/>
                  <v:imagedata r:id="rId17" o:title=""/>
                  <o:lock v:ext="edit" aspectratio="f"/>
                  <w10:wrap type="none"/>
                  <w10:anchorlock/>
                </v:shape>
                <o:OLEObject Type="Embed" ProgID="Visio.Drawing.15" ShapeID="_x0000_i1028" DrawAspect="Content" ObjectID="_1468075728" r:id="rId16">
                  <o:LockedField>false</o:LockedField>
                </o:OLEObject>
              </w:object>
            </w:r>
          </w:p>
          <w:p w14:paraId="6B269DC5">
            <w:pPr>
              <w:widowControl/>
              <w:spacing w:line="360" w:lineRule="auto"/>
              <w:ind w:firstLine="0"/>
              <w:jc w:val="center"/>
              <w:rPr>
                <w:rFonts w:hint="default" w:cs="Times New Roman"/>
                <w:b/>
                <w:bCs/>
                <w:color w:val="0000FF"/>
                <w:sz w:val="21"/>
                <w:szCs w:val="21"/>
                <w:highlight w:val="none"/>
                <w:lang w:val="en-US" w:eastAsia="zh-CN"/>
              </w:rPr>
            </w:pPr>
            <w:r>
              <w:rPr>
                <w:rFonts w:hint="eastAsia" w:ascii="Times New Roman" w:hAnsi="Times New Roman" w:eastAsia="宋体" w:cs="Times New Roman"/>
                <w:b/>
                <w:bCs/>
                <w:color w:val="0000FF"/>
                <w:szCs w:val="21"/>
              </w:rPr>
              <w:t>图</w:t>
            </w:r>
            <w:r>
              <w:rPr>
                <w:rFonts w:hint="eastAsia" w:ascii="Times New Roman" w:hAnsi="Times New Roman" w:cs="Times New Roman"/>
                <w:b/>
                <w:bCs/>
                <w:color w:val="0000FF"/>
                <w:szCs w:val="21"/>
              </w:rPr>
              <w:t>4</w:t>
            </w:r>
            <w:r>
              <w:rPr>
                <w:rFonts w:hint="eastAsia" w:ascii="Times New Roman" w:hAnsi="Times New Roman" w:eastAsia="宋体" w:cs="Times New Roman"/>
                <w:b/>
                <w:bCs/>
                <w:color w:val="0000FF"/>
                <w:szCs w:val="21"/>
              </w:rPr>
              <w:t xml:space="preserve">-2 </w:t>
            </w:r>
            <w:r>
              <w:rPr>
                <w:rFonts w:hint="eastAsia" w:cs="Times New Roman"/>
                <w:b/>
                <w:bCs/>
                <w:color w:val="0000FF"/>
                <w:szCs w:val="21"/>
                <w:lang w:val="en-US" w:eastAsia="zh-CN"/>
              </w:rPr>
              <w:t xml:space="preserve"> </w:t>
            </w:r>
            <w:r>
              <w:rPr>
                <w:rFonts w:hint="eastAsia" w:ascii="Times New Roman" w:hAnsi="Times New Roman" w:eastAsia="宋体" w:cs="Times New Roman"/>
                <w:b/>
                <w:bCs/>
                <w:color w:val="0000FF"/>
                <w:szCs w:val="21"/>
              </w:rPr>
              <w:t>全厂废气处理</w:t>
            </w:r>
            <w:r>
              <w:rPr>
                <w:rFonts w:hint="eastAsia" w:cs="Times New Roman"/>
                <w:b/>
                <w:bCs/>
                <w:color w:val="0000FF"/>
                <w:szCs w:val="21"/>
                <w:lang w:val="en-US" w:eastAsia="zh-CN"/>
              </w:rPr>
              <w:t>工艺流程</w:t>
            </w:r>
            <w:r>
              <w:rPr>
                <w:rFonts w:hint="eastAsia" w:ascii="Times New Roman" w:hAnsi="Times New Roman" w:eastAsia="宋体" w:cs="Times New Roman"/>
                <w:b/>
                <w:bCs/>
                <w:color w:val="0000FF"/>
                <w:szCs w:val="21"/>
              </w:rPr>
              <w:t>图</w:t>
            </w:r>
            <w:r>
              <w:rPr>
                <w:rFonts w:hint="eastAsia" w:cs="Times New Roman"/>
                <w:b/>
                <w:bCs/>
                <w:color w:val="0000FF"/>
                <w:szCs w:val="21"/>
                <w:lang w:val="en-US" w:eastAsia="zh-CN"/>
              </w:rPr>
              <w:t xml:space="preserve">    图中二级改为两级</w:t>
            </w:r>
          </w:p>
          <w:p w14:paraId="53C5DE87">
            <w:pPr>
              <w:pStyle w:val="7"/>
              <w:spacing w:line="360" w:lineRule="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项目产生的油漆废气通过集气罩收集</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多级过滤+两级活性炭吸附装置处理后满足</w:t>
            </w:r>
            <w:r>
              <w:rPr>
                <w:rFonts w:hint="default" w:ascii="Times New Roman" w:hAnsi="Times New Roman" w:eastAsia="宋体" w:cs="Times New Roman"/>
                <w:color w:val="auto"/>
                <w:sz w:val="24"/>
                <w:lang w:val="en-US" w:eastAsia="zh-CN"/>
              </w:rPr>
              <w:t>《挥发性有机物综合排放控制标准（试行）》（DB36/2186—2025）表1中有组织排放限值</w:t>
            </w:r>
            <w:r>
              <w:rPr>
                <w:rFonts w:hint="eastAsia" w:cs="Times New Roman"/>
                <w:color w:val="auto"/>
                <w:sz w:val="24"/>
                <w:highlight w:val="none"/>
                <w:lang w:val="en-US" w:eastAsia="zh-CN"/>
              </w:rPr>
              <w:t>要求及表2、表3无组织排放限值要求后经</w:t>
            </w:r>
            <w:r>
              <w:rPr>
                <w:rFonts w:hint="default" w:ascii="Times New Roman" w:hAnsi="Times New Roman" w:eastAsia="宋体" w:cs="Times New Roman"/>
                <w:color w:val="auto"/>
                <w:sz w:val="24"/>
                <w:szCs w:val="24"/>
                <w:highlight w:val="none"/>
                <w:lang w:val="en-US" w:eastAsia="zh-CN"/>
              </w:rPr>
              <w:t>一根15m高排气筒（DA002）排放</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食堂油烟通过油烟净化器处理</w:t>
            </w:r>
            <w:r>
              <w:rPr>
                <w:rFonts w:hint="eastAsia" w:cs="Times New Roman"/>
                <w:color w:val="auto"/>
                <w:sz w:val="24"/>
                <w:szCs w:val="24"/>
                <w:highlight w:val="none"/>
                <w:lang w:val="en-US" w:eastAsia="zh-CN"/>
              </w:rPr>
              <w:t>后经15m高烟道（DA001）排放，满足</w:t>
            </w:r>
            <w:r>
              <w:rPr>
                <w:rFonts w:hint="eastAsia" w:ascii="Times New Roman" w:hAnsi="Times New Roman" w:eastAsia="宋体" w:cs="Times New Roman"/>
                <w:color w:val="auto"/>
                <w:sz w:val="24"/>
                <w:szCs w:val="24"/>
              </w:rPr>
              <w:t>《饮</w:t>
            </w:r>
            <w:r>
              <w:rPr>
                <w:rFonts w:hint="eastAsia" w:ascii="Times New Roman" w:hAnsi="Times New Roman" w:eastAsia="宋体" w:cs="Times New Roman"/>
                <w:color w:val="auto"/>
                <w:spacing w:val="0"/>
                <w:sz w:val="24"/>
                <w:szCs w:val="24"/>
              </w:rPr>
              <w:t>食业油烟排放标准》（试行）（</w:t>
            </w:r>
            <w:r>
              <w:rPr>
                <w:rFonts w:hint="eastAsia" w:ascii="Times New Roman" w:hAnsi="Times New Roman" w:eastAsia="宋体" w:cs="Times New Roman"/>
                <w:color w:val="auto"/>
                <w:sz w:val="24"/>
                <w:szCs w:val="24"/>
              </w:rPr>
              <w:t>GB</w:t>
            </w:r>
            <w:r>
              <w:rPr>
                <w:rFonts w:hint="eastAsia" w:ascii="Times New Roman" w:hAnsi="Times New Roman" w:eastAsia="宋体" w:cs="Times New Roman"/>
                <w:color w:val="auto"/>
                <w:spacing w:val="0"/>
                <w:sz w:val="24"/>
                <w:szCs w:val="24"/>
              </w:rPr>
              <w:t>18483-2001）中</w:t>
            </w:r>
            <w:r>
              <w:rPr>
                <w:rFonts w:hint="eastAsia" w:ascii="Times New Roman" w:hAnsi="Times New Roman" w:eastAsia="宋体" w:cs="Times New Roman"/>
                <w:color w:val="auto"/>
                <w:spacing w:val="0"/>
                <w:sz w:val="24"/>
                <w:szCs w:val="24"/>
                <w:lang w:val="en-US" w:eastAsia="zh-CN"/>
              </w:rPr>
              <w:t>小型标准</w:t>
            </w:r>
            <w:r>
              <w:rPr>
                <w:rFonts w:hint="eastAsia" w:cs="Times New Roman"/>
                <w:color w:val="auto"/>
                <w:spacing w:val="0"/>
                <w:sz w:val="24"/>
                <w:szCs w:val="24"/>
                <w:lang w:val="en-US" w:eastAsia="zh-CN"/>
              </w:rPr>
              <w:t>要求</w:t>
            </w:r>
            <w:r>
              <w:rPr>
                <w:rFonts w:hint="default" w:ascii="Times New Roman" w:hAnsi="Times New Roman" w:eastAsia="宋体" w:cs="Times New Roman"/>
                <w:color w:val="auto"/>
                <w:sz w:val="24"/>
                <w:szCs w:val="24"/>
                <w:highlight w:val="none"/>
                <w:lang w:val="en-US" w:eastAsia="zh-CN"/>
              </w:rPr>
              <w:t>。通过以上措施，项目废气可达标排放。</w:t>
            </w:r>
          </w:p>
          <w:p w14:paraId="6F88FA00">
            <w:pPr>
              <w:keepNext w:val="0"/>
              <w:keepLines w:val="0"/>
              <w:suppressLineNumbers w:val="0"/>
              <w:adjustRightInd w:val="0"/>
              <w:snapToGrid w:val="0"/>
              <w:spacing w:before="0" w:beforeAutospacing="0" w:after="0" w:afterAutospacing="0" w:line="360" w:lineRule="auto"/>
              <w:ind w:left="0" w:right="0" w:firstLine="482" w:firstLineChars="200"/>
              <w:rPr>
                <w:rFonts w:hint="eastAsia" w:eastAsia="宋体"/>
                <w:b/>
                <w:bCs/>
                <w:color w:val="auto"/>
                <w:sz w:val="24"/>
                <w:lang w:eastAsia="zh-CN"/>
              </w:rPr>
            </w:pPr>
            <w:r>
              <w:rPr>
                <w:rFonts w:hint="eastAsia" w:ascii="Times New Roman" w:hAnsi="Times New Roman" w:eastAsia="宋体" w:cs="Times New Roman"/>
                <w:b/>
                <w:bCs w:val="0"/>
                <w:color w:val="auto"/>
                <w:kern w:val="0"/>
                <w:sz w:val="24"/>
              </w:rPr>
              <w:t>废气治理设施可行性分析</w:t>
            </w:r>
            <w:r>
              <w:rPr>
                <w:rFonts w:hint="eastAsia" w:ascii="Times New Roman" w:hAnsi="Times New Roman" w:cs="Times New Roman"/>
                <w:b/>
                <w:bCs w:val="0"/>
                <w:color w:val="auto"/>
                <w:kern w:val="0"/>
                <w:sz w:val="24"/>
                <w:lang w:eastAsia="zh-CN"/>
              </w:rPr>
              <w:t>：</w:t>
            </w:r>
          </w:p>
          <w:p w14:paraId="14B4BB72">
            <w:pPr>
              <w:pStyle w:val="151"/>
              <w:keepNext w:val="0"/>
              <w:keepLines w:val="0"/>
              <w:suppressLineNumbers w:val="0"/>
              <w:spacing w:before="0" w:beforeAutospacing="0" w:after="0" w:afterAutospacing="0"/>
              <w:ind w:left="0" w:right="0" w:firstLine="420"/>
              <w:rPr>
                <w:rFonts w:hint="eastAsia"/>
                <w:color w:val="0000FF"/>
                <w:sz w:val="24"/>
                <w:szCs w:val="28"/>
              </w:rPr>
            </w:pPr>
            <w:r>
              <w:rPr>
                <w:color w:val="0000FF"/>
                <w:sz w:val="24"/>
              </w:rPr>
              <w:fldChar w:fldCharType="begin"/>
            </w:r>
            <w:r>
              <w:rPr>
                <w:color w:val="0000FF"/>
                <w:sz w:val="24"/>
              </w:rPr>
              <w:instrText xml:space="preserve"> = 1 \* GB3 \* MERGEFORMAT </w:instrText>
            </w:r>
            <w:r>
              <w:rPr>
                <w:color w:val="0000FF"/>
                <w:sz w:val="24"/>
              </w:rPr>
              <w:fldChar w:fldCharType="separate"/>
            </w:r>
            <w:r>
              <w:rPr>
                <w:color w:val="0000FF"/>
                <w:sz w:val="24"/>
              </w:rPr>
              <w:t>①</w:t>
            </w:r>
            <w:r>
              <w:rPr>
                <w:color w:val="0000FF"/>
                <w:sz w:val="24"/>
              </w:rPr>
              <w:fldChar w:fldCharType="end"/>
            </w:r>
            <w:r>
              <w:rPr>
                <w:rFonts w:hint="eastAsia"/>
                <w:color w:val="0000FF"/>
                <w:sz w:val="24"/>
              </w:rPr>
              <w:t>有组织废气</w:t>
            </w:r>
            <w:r>
              <w:rPr>
                <w:bCs/>
                <w:color w:val="0000FF"/>
                <w:kern w:val="0"/>
                <w:sz w:val="24"/>
              </w:rPr>
              <w:t>防治措施及其可行性分析</w:t>
            </w:r>
          </w:p>
          <w:p w14:paraId="318D40AE">
            <w:pPr>
              <w:pStyle w:val="151"/>
              <w:keepNext w:val="0"/>
              <w:keepLines w:val="0"/>
              <w:suppressLineNumbers w:val="0"/>
              <w:spacing w:before="0" w:beforeAutospacing="0" w:after="0" w:afterAutospacing="0"/>
              <w:ind w:left="0" w:right="0" w:firstLine="420"/>
              <w:rPr>
                <w:rFonts w:hint="eastAsia"/>
                <w:color w:val="auto"/>
                <w:sz w:val="24"/>
                <w:szCs w:val="28"/>
              </w:rPr>
            </w:pPr>
            <w:r>
              <w:rPr>
                <w:rFonts w:hint="eastAsia" w:ascii="宋体" w:hAnsi="宋体" w:cs="宋体"/>
                <w:color w:val="000000"/>
                <w:sz w:val="24"/>
                <w:szCs w:val="24"/>
                <w:shd w:val="solid" w:color="FFFFFF" w:fill="D9D9D9"/>
              </w:rPr>
              <w:drawing>
                <wp:inline distT="0" distB="0" distL="114300" distR="114300">
                  <wp:extent cx="3926205" cy="2147570"/>
                  <wp:effectExtent l="0" t="0" r="5715" b="1270"/>
                  <wp:docPr id="5" name="图片 16" descr="15835637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descr="1583563771(1)"/>
                          <pic:cNvPicPr>
                            <a:picLocks noChangeAspect="1"/>
                          </pic:cNvPicPr>
                        </pic:nvPicPr>
                        <pic:blipFill>
                          <a:blip r:embed="rId18"/>
                          <a:stretch>
                            <a:fillRect/>
                          </a:stretch>
                        </pic:blipFill>
                        <pic:spPr>
                          <a:xfrm>
                            <a:off x="0" y="0"/>
                            <a:ext cx="3926205" cy="2147570"/>
                          </a:xfrm>
                          <a:prstGeom prst="rect">
                            <a:avLst/>
                          </a:prstGeom>
                          <a:noFill/>
                          <a:ln>
                            <a:noFill/>
                          </a:ln>
                        </pic:spPr>
                      </pic:pic>
                    </a:graphicData>
                  </a:graphic>
                </wp:inline>
              </w:drawing>
            </w:r>
          </w:p>
          <w:p w14:paraId="6C75D48F">
            <w:pPr>
              <w:pStyle w:val="151"/>
              <w:keepNext w:val="0"/>
              <w:keepLines w:val="0"/>
              <w:suppressLineNumbers w:val="0"/>
              <w:spacing w:before="0" w:beforeAutospacing="0" w:after="0" w:afterAutospacing="0"/>
              <w:ind w:left="0" w:right="0" w:firstLine="420"/>
              <w:rPr>
                <w:rFonts w:hint="eastAsia"/>
                <w:color w:val="auto"/>
                <w:sz w:val="24"/>
                <w:szCs w:val="28"/>
              </w:rPr>
            </w:pPr>
            <w:r>
              <w:rPr>
                <w:rFonts w:hint="eastAsia"/>
                <w:color w:val="auto"/>
                <w:sz w:val="24"/>
                <w:szCs w:val="28"/>
              </w:rPr>
              <w:t>活性炭吸附</w:t>
            </w:r>
            <w:r>
              <w:rPr>
                <w:rFonts w:hint="eastAsia"/>
                <w:color w:val="auto"/>
                <w:sz w:val="24"/>
                <w:szCs w:val="28"/>
                <w:lang w:eastAsia="zh-CN"/>
              </w:rPr>
              <w:t>：</w:t>
            </w:r>
            <w:r>
              <w:rPr>
                <w:rFonts w:hint="eastAsia"/>
                <w:color w:val="auto"/>
                <w:sz w:val="24"/>
                <w:szCs w:val="28"/>
              </w:rPr>
              <w:t>活性炭是一种多孔性的含炭物质。它具有高度发达的孔隙构造，活性炭的多孔结构为其提供了大量的表面积，能与气体</w:t>
            </w:r>
            <w:r>
              <w:rPr>
                <w:rFonts w:hint="eastAsia"/>
                <w:color w:val="auto"/>
                <w:sz w:val="24"/>
                <w:szCs w:val="28"/>
                <w:lang w:eastAsia="zh-CN"/>
              </w:rPr>
              <w:t>（</w:t>
            </w:r>
            <w:r>
              <w:rPr>
                <w:rFonts w:hint="eastAsia"/>
                <w:color w:val="auto"/>
                <w:sz w:val="24"/>
                <w:szCs w:val="28"/>
              </w:rPr>
              <w:t>杂质</w:t>
            </w:r>
            <w:r>
              <w:rPr>
                <w:rFonts w:hint="eastAsia"/>
                <w:color w:val="auto"/>
                <w:sz w:val="24"/>
                <w:szCs w:val="28"/>
                <w:lang w:eastAsia="zh-CN"/>
              </w:rPr>
              <w:t>）</w:t>
            </w:r>
            <w:r>
              <w:rPr>
                <w:rFonts w:hint="eastAsia"/>
                <w:color w:val="auto"/>
                <w:sz w:val="24"/>
                <w:szCs w:val="28"/>
              </w:rPr>
              <w:t>充分接触从而赋予了活性炭所特有的吸附性能</w:t>
            </w:r>
            <w:r>
              <w:rPr>
                <w:rFonts w:hint="eastAsia"/>
                <w:color w:val="auto"/>
                <w:sz w:val="24"/>
                <w:szCs w:val="28"/>
                <w:lang w:eastAsia="zh-CN"/>
              </w:rPr>
              <w:t>，</w:t>
            </w:r>
            <w:r>
              <w:rPr>
                <w:rFonts w:hint="eastAsia"/>
                <w:color w:val="auto"/>
                <w:sz w:val="24"/>
                <w:szCs w:val="28"/>
              </w:rPr>
              <w:t>使其非常容易达到吸收收集杂质的目的。由于活性炭固体表面上存在着未平衡和未饱和的分子引力或化学键力，当此固体表面与气体接触时，就能吸引气体分子，使其浓聚并保持在固体表面。利用活性炭固体表面的这种吸附能力，使废气与大表面、多孔性的活性炭固体物质相接触，废气中的污染物被吸附在固体表面上，使其与气体混合物分离，达到净化目的。活性炭吸附过滤装置一般由风机、箱体和装填在箱体内的活性炭吸附过滤单元组成。活性炭吸附装置可处理苯类、酮类、醇类、烷类及其混合物类有机废气。</w:t>
            </w:r>
          </w:p>
          <w:p w14:paraId="5C68CAFE">
            <w:pPr>
              <w:pStyle w:val="151"/>
              <w:keepNext w:val="0"/>
              <w:keepLines w:val="0"/>
              <w:suppressLineNumbers w:val="0"/>
              <w:spacing w:before="0" w:beforeAutospacing="0" w:after="0" w:afterAutospacing="0"/>
              <w:ind w:left="0" w:right="0" w:firstLine="420"/>
              <w:rPr>
                <w:rFonts w:hint="eastAsia"/>
                <w:color w:val="auto"/>
                <w:sz w:val="24"/>
                <w:szCs w:val="28"/>
              </w:rPr>
            </w:pPr>
            <w:r>
              <w:rPr>
                <w:rFonts w:hint="eastAsia"/>
                <w:color w:val="auto"/>
                <w:sz w:val="24"/>
                <w:szCs w:val="28"/>
                <w:lang w:val="en-US" w:eastAsia="zh-CN"/>
              </w:rPr>
              <w:t>油漆</w:t>
            </w:r>
            <w:r>
              <w:rPr>
                <w:rFonts w:hint="eastAsia"/>
                <w:color w:val="auto"/>
                <w:sz w:val="24"/>
                <w:szCs w:val="28"/>
              </w:rPr>
              <w:t>废气采用</w:t>
            </w:r>
            <w:r>
              <w:rPr>
                <w:rFonts w:hint="eastAsia"/>
                <w:color w:val="auto"/>
                <w:sz w:val="24"/>
                <w:szCs w:val="28"/>
                <w:lang w:val="en-US" w:eastAsia="zh-CN"/>
              </w:rPr>
              <w:t>两</w:t>
            </w:r>
            <w:r>
              <w:rPr>
                <w:rFonts w:hint="eastAsia"/>
                <w:color w:val="auto"/>
                <w:sz w:val="24"/>
                <w:szCs w:val="28"/>
              </w:rPr>
              <w:t>级活性炭吸附处理，经处理后通过排气筒DA00</w:t>
            </w:r>
            <w:r>
              <w:rPr>
                <w:rFonts w:hint="eastAsia"/>
                <w:color w:val="auto"/>
                <w:sz w:val="24"/>
                <w:szCs w:val="28"/>
                <w:lang w:val="en-US" w:eastAsia="zh-CN"/>
              </w:rPr>
              <w:t>2</w:t>
            </w:r>
            <w:r>
              <w:rPr>
                <w:rFonts w:hint="eastAsia"/>
                <w:color w:val="auto"/>
                <w:sz w:val="24"/>
                <w:szCs w:val="28"/>
                <w:lang w:eastAsia="zh-CN"/>
              </w:rPr>
              <w:t>（</w:t>
            </w:r>
            <w:r>
              <w:rPr>
                <w:rFonts w:hint="eastAsia"/>
                <w:color w:val="auto"/>
                <w:sz w:val="24"/>
                <w:szCs w:val="28"/>
                <w:lang w:val="en-US" w:eastAsia="zh-CN"/>
              </w:rPr>
              <w:t>不低于15</w:t>
            </w:r>
            <w:r>
              <w:rPr>
                <w:rFonts w:hint="eastAsia"/>
                <w:color w:val="auto"/>
                <w:sz w:val="24"/>
                <w:szCs w:val="28"/>
              </w:rPr>
              <w:t>m</w:t>
            </w:r>
            <w:r>
              <w:rPr>
                <w:rFonts w:hint="eastAsia"/>
                <w:color w:val="auto"/>
                <w:sz w:val="24"/>
                <w:szCs w:val="28"/>
                <w:lang w:eastAsia="zh-CN"/>
              </w:rPr>
              <w:t>）</w:t>
            </w:r>
            <w:r>
              <w:rPr>
                <w:rFonts w:hint="eastAsia"/>
                <w:color w:val="auto"/>
                <w:sz w:val="24"/>
                <w:szCs w:val="28"/>
                <w:lang w:val="en-US" w:eastAsia="zh-CN"/>
              </w:rPr>
              <w:t>排</w:t>
            </w:r>
            <w:r>
              <w:rPr>
                <w:rFonts w:hint="eastAsia"/>
                <w:color w:val="auto"/>
                <w:sz w:val="24"/>
                <w:szCs w:val="28"/>
              </w:rPr>
              <w:t>放。</w:t>
            </w:r>
            <w:r>
              <w:rPr>
                <w:rFonts w:hint="eastAsia"/>
                <w:color w:val="auto"/>
                <w:sz w:val="24"/>
                <w:szCs w:val="28"/>
                <w:lang w:val="en-US" w:eastAsia="zh-CN"/>
              </w:rPr>
              <w:t>两</w:t>
            </w:r>
            <w:r>
              <w:rPr>
                <w:rFonts w:hint="eastAsia"/>
                <w:color w:val="auto"/>
                <w:sz w:val="24"/>
                <w:szCs w:val="28"/>
              </w:rPr>
              <w:t>级活性炭对VOCs的吸附效率为</w:t>
            </w:r>
            <w:r>
              <w:rPr>
                <w:rFonts w:hint="eastAsia"/>
                <w:color w:val="auto"/>
                <w:sz w:val="24"/>
                <w:szCs w:val="28"/>
                <w:lang w:val="en-US" w:eastAsia="zh-CN"/>
              </w:rPr>
              <w:t>27.75</w:t>
            </w:r>
            <w:r>
              <w:rPr>
                <w:rFonts w:hint="eastAsia"/>
                <w:color w:val="auto"/>
                <w:sz w:val="24"/>
                <w:szCs w:val="28"/>
              </w:rPr>
              <w:t>%，</w:t>
            </w:r>
            <w:r>
              <w:rPr>
                <w:rFonts w:hint="eastAsia"/>
                <w:color w:val="auto"/>
                <w:sz w:val="24"/>
                <w:szCs w:val="28"/>
                <w:lang w:val="en-US" w:eastAsia="zh-CN"/>
              </w:rPr>
              <w:t>油漆</w:t>
            </w:r>
            <w:r>
              <w:rPr>
                <w:rFonts w:hint="eastAsia"/>
                <w:color w:val="auto"/>
                <w:sz w:val="24"/>
                <w:szCs w:val="28"/>
              </w:rPr>
              <w:t>废气经处理后能够达到</w:t>
            </w:r>
            <w:r>
              <w:rPr>
                <w:rFonts w:hint="default" w:ascii="Times New Roman" w:hAnsi="Times New Roman" w:eastAsia="宋体" w:cs="Times New Roman"/>
                <w:color w:val="auto"/>
                <w:sz w:val="24"/>
                <w:lang w:val="en-US" w:eastAsia="zh-CN"/>
              </w:rPr>
              <w:t>《挥发性有机物综合排放控制标准（试行）》（DB36/2186</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2025）表1中有组织排放限值</w:t>
            </w:r>
            <w:r>
              <w:rPr>
                <w:rFonts w:hint="eastAsia" w:cs="Times New Roman"/>
                <w:color w:val="auto"/>
                <w:sz w:val="24"/>
                <w:highlight w:val="none"/>
                <w:lang w:val="en-US" w:eastAsia="zh-CN"/>
              </w:rPr>
              <w:t>要求</w:t>
            </w:r>
            <w:r>
              <w:rPr>
                <w:rFonts w:hint="eastAsia"/>
                <w:color w:val="auto"/>
                <w:sz w:val="24"/>
                <w:szCs w:val="28"/>
              </w:rPr>
              <w:t>。因此，该处理设施有效、可行。</w:t>
            </w:r>
          </w:p>
          <w:p w14:paraId="41F4DF61">
            <w:pPr>
              <w:keepNext w:val="0"/>
              <w:keepLines w:val="0"/>
              <w:suppressLineNumbers w:val="0"/>
              <w:spacing w:before="0" w:beforeAutospacing="0" w:after="0" w:afterAutospacing="0" w:line="360" w:lineRule="auto"/>
              <w:ind w:left="0" w:right="0" w:firstLine="480" w:firstLineChars="200"/>
              <w:rPr>
                <w:rFonts w:hint="default" w:ascii="宋体" w:hAnsi="Calibri" w:eastAsia="宋体" w:cs="宋体"/>
                <w:color w:val="auto"/>
                <w:sz w:val="24"/>
                <w:szCs w:val="32"/>
                <w:lang w:val="zh-CN"/>
              </w:rPr>
            </w:pPr>
            <w:r>
              <w:rPr>
                <w:rFonts w:hint="eastAsia"/>
                <w:color w:val="auto"/>
                <w:sz w:val="24"/>
                <w:szCs w:val="28"/>
              </w:rPr>
              <w:t>根据</w:t>
            </w:r>
            <w:r>
              <w:rPr>
                <w:rFonts w:hint="eastAsia"/>
                <w:color w:val="auto"/>
                <w:sz w:val="24"/>
                <w:szCs w:val="28"/>
                <w:lang w:eastAsia="zh-CN"/>
              </w:rPr>
              <w:t>《</w:t>
            </w:r>
            <w:r>
              <w:rPr>
                <w:rFonts w:hint="eastAsia"/>
                <w:color w:val="auto"/>
                <w:sz w:val="24"/>
                <w:szCs w:val="28"/>
              </w:rPr>
              <w:t>主要污染物总量减排核算技术指南</w:t>
            </w:r>
            <w:r>
              <w:rPr>
                <w:rFonts w:hint="eastAsia"/>
                <w:color w:val="auto"/>
                <w:sz w:val="24"/>
                <w:szCs w:val="28"/>
                <w:lang w:eastAsia="zh-CN"/>
              </w:rPr>
              <w:t>》</w:t>
            </w:r>
            <w:r>
              <w:rPr>
                <w:rFonts w:hint="eastAsia"/>
                <w:color w:val="auto"/>
                <w:sz w:val="24"/>
                <w:szCs w:val="28"/>
              </w:rPr>
              <w:t>，排污单位挥发性有机物采用活性炭吸附法处理为可行技术。</w:t>
            </w:r>
          </w:p>
          <w:p w14:paraId="3E6854A6">
            <w:pPr>
              <w:adjustRightInd w:val="0"/>
              <w:snapToGrid w:val="0"/>
              <w:spacing w:line="360" w:lineRule="auto"/>
              <w:ind w:firstLine="480" w:firstLineChars="200"/>
              <w:rPr>
                <w:rFonts w:hint="default" w:ascii="Times New Roman" w:hAnsi="Times New Roman" w:eastAsia="宋体" w:cs="Times New Roman"/>
                <w:color w:val="auto"/>
                <w:sz w:val="24"/>
                <w:szCs w:val="32"/>
                <w:lang w:val="zh-CN"/>
              </w:rPr>
            </w:pPr>
            <w:r>
              <w:rPr>
                <w:rFonts w:hint="default" w:ascii="Times New Roman" w:hAnsi="Times New Roman" w:eastAsia="宋体" w:cs="Times New Roman"/>
                <w:color w:val="auto"/>
                <w:sz w:val="24"/>
                <w:szCs w:val="32"/>
                <w:lang w:val="zh-CN"/>
              </w:rPr>
              <w:t>本评价要求所用活性炭的碘值不应低于800mg</w:t>
            </w:r>
            <w:r>
              <w:rPr>
                <w:rFonts w:hint="default"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zh-CN"/>
              </w:rPr>
              <w:t>g，并应按要求足量添加、定期及时更换活性炭，并记录更换时间和使用量。</w:t>
            </w:r>
          </w:p>
          <w:p w14:paraId="611C287A">
            <w:pPr>
              <w:spacing w:line="360" w:lineRule="auto"/>
              <w:ind w:firstLine="480" w:firstLineChars="200"/>
              <w:contextualSpacing/>
              <w:jc w:val="left"/>
              <w:rPr>
                <w:rFonts w:hint="eastAsia"/>
                <w:sz w:val="24"/>
              </w:rPr>
            </w:pPr>
            <w:r>
              <w:rPr>
                <w:rFonts w:ascii="Times New Roman" w:hAnsi="Times New Roman"/>
                <w:bCs/>
                <w:color w:val="0000FF"/>
                <w:kern w:val="0"/>
                <w:sz w:val="24"/>
              </w:rPr>
              <w:t>②无组织废气防治措施及其可行性分析</w:t>
            </w:r>
          </w:p>
          <w:p w14:paraId="22337C3F">
            <w:pPr>
              <w:spacing w:line="360" w:lineRule="auto"/>
              <w:ind w:firstLine="480" w:firstLineChars="200"/>
              <w:contextualSpacing/>
              <w:jc w:val="left"/>
              <w:rPr>
                <w:rFonts w:hint="default" w:eastAsia="宋体"/>
                <w:sz w:val="24"/>
                <w:lang w:val="en-US" w:eastAsia="zh-CN"/>
              </w:rPr>
            </w:pPr>
            <w:r>
              <w:rPr>
                <w:rFonts w:hint="eastAsia" w:ascii="Times New Roman" w:hAnsi="Times New Roman" w:eastAsia="宋体" w:cs="宋体"/>
                <w:bCs/>
                <w:color w:val="0000FF"/>
                <w:kern w:val="0"/>
                <w:sz w:val="24"/>
                <w:szCs w:val="32"/>
                <w:highlight w:val="none"/>
                <w:lang w:eastAsia="zh-CN"/>
              </w:rPr>
              <w:t>项目</w:t>
            </w:r>
            <w:r>
              <w:rPr>
                <w:rFonts w:hint="eastAsia" w:cs="宋体"/>
                <w:bCs/>
                <w:color w:val="0000FF"/>
                <w:kern w:val="0"/>
                <w:sz w:val="24"/>
                <w:szCs w:val="32"/>
                <w:highlight w:val="none"/>
                <w:lang w:val="en-US" w:eastAsia="zh-CN"/>
              </w:rPr>
              <w:t>无组织排放</w:t>
            </w:r>
            <w:r>
              <w:rPr>
                <w:rFonts w:hint="eastAsia" w:ascii="Times New Roman" w:hAnsi="Times New Roman" w:eastAsia="宋体" w:cs="宋体"/>
                <w:bCs/>
                <w:color w:val="0000FF"/>
                <w:kern w:val="0"/>
                <w:sz w:val="24"/>
                <w:szCs w:val="32"/>
                <w:highlight w:val="none"/>
                <w:lang w:eastAsia="zh-CN"/>
              </w:rPr>
              <w:t>废气主要为粉尘，</w:t>
            </w:r>
            <w:r>
              <w:rPr>
                <w:rFonts w:hint="eastAsia" w:ascii="Times New Roman" w:hAnsi="Times New Roman" w:eastAsia="宋体" w:cs="宋体"/>
                <w:bCs/>
                <w:color w:val="0000FF"/>
                <w:kern w:val="0"/>
                <w:sz w:val="24"/>
                <w:szCs w:val="32"/>
                <w:highlight w:val="none"/>
                <w:lang w:val="en-US" w:eastAsia="zh-CN"/>
              </w:rPr>
              <w:t>无组织</w:t>
            </w:r>
            <w:r>
              <w:rPr>
                <w:rFonts w:hint="eastAsia" w:cs="宋体"/>
                <w:bCs/>
                <w:color w:val="0000FF"/>
                <w:kern w:val="0"/>
                <w:sz w:val="24"/>
                <w:szCs w:val="32"/>
                <w:highlight w:val="none"/>
                <w:lang w:val="en-US" w:eastAsia="zh-CN"/>
              </w:rPr>
              <w:t>排放</w:t>
            </w:r>
            <w:r>
              <w:rPr>
                <w:rFonts w:hint="eastAsia" w:ascii="Times New Roman" w:hAnsi="Times New Roman" w:eastAsia="宋体" w:cs="宋体"/>
                <w:bCs/>
                <w:color w:val="0000FF"/>
                <w:kern w:val="0"/>
                <w:sz w:val="24"/>
                <w:szCs w:val="32"/>
                <w:highlight w:val="none"/>
                <w:lang w:val="en-US" w:eastAsia="zh-CN"/>
              </w:rPr>
              <w:t>粉尘的治理措施：A、</w:t>
            </w:r>
            <w:r>
              <w:rPr>
                <w:rFonts w:ascii="Times New Roman" w:hAnsi="Times New Roman" w:eastAsia="宋体" w:cs="宋体"/>
                <w:bCs/>
                <w:color w:val="0000FF"/>
                <w:kern w:val="0"/>
                <w:sz w:val="24"/>
              </w:rPr>
              <w:t>提高废气收集效率，减少无组织排放。</w:t>
            </w:r>
            <w:r>
              <w:rPr>
                <w:rFonts w:hint="eastAsia" w:ascii="Times New Roman" w:hAnsi="Times New Roman" w:eastAsia="宋体" w:cs="宋体"/>
                <w:bCs/>
                <w:color w:val="0000FF"/>
                <w:kern w:val="0"/>
                <w:sz w:val="24"/>
                <w:lang w:val="en-US" w:eastAsia="zh-CN"/>
              </w:rPr>
              <w:t>B、</w:t>
            </w:r>
            <w:r>
              <w:rPr>
                <w:rFonts w:ascii="Times New Roman" w:hAnsi="Times New Roman" w:eastAsia="宋体" w:cs="宋体"/>
                <w:bCs/>
                <w:color w:val="0000FF"/>
                <w:kern w:val="0"/>
                <w:sz w:val="24"/>
              </w:rPr>
              <w:t>加强车间通排风，加强生产车间气流通畅，为员工配备必要的防护用品。</w:t>
            </w:r>
            <w:r>
              <w:rPr>
                <w:rFonts w:hint="eastAsia" w:ascii="Times New Roman" w:hAnsi="Times New Roman" w:eastAsia="宋体" w:cs="宋体"/>
                <w:bCs/>
                <w:color w:val="0000FF"/>
                <w:kern w:val="0"/>
                <w:sz w:val="24"/>
                <w:lang w:val="en-US" w:eastAsia="zh-CN"/>
              </w:rPr>
              <w:t>C、</w:t>
            </w:r>
            <w:r>
              <w:rPr>
                <w:rFonts w:ascii="Times New Roman" w:hAnsi="Times New Roman" w:eastAsia="宋体" w:cs="宋体"/>
                <w:bCs/>
                <w:color w:val="0000FF"/>
                <w:kern w:val="0"/>
                <w:sz w:val="24"/>
              </w:rPr>
              <w:t>厂区内加强绿化，通过绿化吸收可减少无组织废气对周边环境的影响。</w:t>
            </w:r>
            <w:r>
              <w:rPr>
                <w:bCs/>
                <w:color w:val="0000FF"/>
                <w:kern w:val="0"/>
                <w:sz w:val="24"/>
              </w:rPr>
              <w:t>采取措施后，</w:t>
            </w:r>
            <w:r>
              <w:rPr>
                <w:rFonts w:hint="eastAsia" w:ascii="Times New Roman" w:hAnsi="Times New Roman" w:cs="Times New Roman"/>
                <w:color w:val="0000FF"/>
                <w:kern w:val="0"/>
                <w:sz w:val="24"/>
                <w:szCs w:val="21"/>
                <w:highlight w:val="none"/>
                <w:lang w:eastAsia="zh-CN"/>
              </w:rPr>
              <w:t>粉尘</w:t>
            </w:r>
            <w:r>
              <w:rPr>
                <w:rFonts w:hint="default" w:ascii="Times New Roman" w:hAnsi="Times New Roman" w:cs="Times New Roman"/>
                <w:color w:val="0000FF"/>
                <w:kern w:val="0"/>
                <w:sz w:val="24"/>
                <w:szCs w:val="21"/>
                <w:highlight w:val="none"/>
              </w:rPr>
              <w:t>能满足</w:t>
            </w:r>
            <w:r>
              <w:rPr>
                <w:rFonts w:hint="default" w:ascii="Times New Roman" w:hAnsi="Times New Roman" w:cs="Times New Roman"/>
                <w:color w:val="0000FF"/>
                <w:kern w:val="0"/>
                <w:sz w:val="24"/>
                <w:highlight w:val="none"/>
              </w:rPr>
              <w:t>《大气污染物综合排放标准》（GB16297-1996）</w:t>
            </w:r>
            <w:r>
              <w:rPr>
                <w:rFonts w:hint="default" w:ascii="Times New Roman" w:hAnsi="Times New Roman" w:cs="Times New Roman"/>
                <w:color w:val="0000FF"/>
                <w:sz w:val="24"/>
              </w:rPr>
              <w:t>无组织监控浓度限值</w:t>
            </w:r>
            <w:r>
              <w:rPr>
                <w:rFonts w:hint="default" w:ascii="Times New Roman" w:hAnsi="Times New Roman" w:cs="Times New Roman"/>
                <w:color w:val="0000FF"/>
                <w:kern w:val="0"/>
                <w:sz w:val="24"/>
                <w:highlight w:val="none"/>
              </w:rPr>
              <w:t>要求</w:t>
            </w:r>
            <w:r>
              <w:rPr>
                <w:rFonts w:hint="eastAsia" w:ascii="Times New Roman" w:hAnsi="Times New Roman" w:cs="Times New Roman"/>
                <w:color w:val="0000FF"/>
                <w:kern w:val="0"/>
                <w:sz w:val="24"/>
                <w:highlight w:val="none"/>
                <w:lang w:eastAsia="zh-CN"/>
              </w:rPr>
              <w:t>。</w:t>
            </w:r>
          </w:p>
          <w:p w14:paraId="23EBD437">
            <w:pPr>
              <w:spacing w:line="360" w:lineRule="auto"/>
              <w:ind w:firstLine="480" w:firstLineChars="200"/>
              <w:contextualSpacing/>
              <w:jc w:val="left"/>
              <w:rPr>
                <w:color w:val="0000FF"/>
                <w:sz w:val="24"/>
              </w:rPr>
            </w:pPr>
            <w:r>
              <w:rPr>
                <w:rFonts w:hint="eastAsia"/>
                <w:color w:val="0000FF"/>
                <w:sz w:val="24"/>
              </w:rPr>
              <w:t>③</w:t>
            </w:r>
            <w:r>
              <w:rPr>
                <w:color w:val="0000FF"/>
                <w:sz w:val="24"/>
              </w:rPr>
              <w:t>排气筒设置合理性分析</w:t>
            </w:r>
          </w:p>
          <w:p w14:paraId="29390737">
            <w:pPr>
              <w:spacing w:line="360" w:lineRule="auto"/>
              <w:ind w:firstLine="472" w:firstLineChars="200"/>
              <w:contextualSpacing/>
              <w:jc w:val="left"/>
              <w:rPr>
                <w:color w:val="0000FF"/>
                <w:spacing w:val="-2"/>
                <w:sz w:val="24"/>
              </w:rPr>
            </w:pPr>
            <w:r>
              <w:rPr>
                <w:color w:val="0000FF"/>
                <w:spacing w:val="-2"/>
                <w:sz w:val="24"/>
              </w:rPr>
              <w:t>项目</w:t>
            </w:r>
            <w:r>
              <w:rPr>
                <w:rFonts w:hint="eastAsia"/>
                <w:color w:val="0000FF"/>
                <w:spacing w:val="-2"/>
                <w:sz w:val="24"/>
                <w:lang w:val="en-US" w:eastAsia="zh-CN"/>
              </w:rPr>
              <w:t>工艺粉尘排放</w:t>
            </w:r>
            <w:r>
              <w:rPr>
                <w:color w:val="0000FF"/>
                <w:spacing w:val="-2"/>
                <w:sz w:val="24"/>
              </w:rPr>
              <w:t>执行《大气污染物综合排放标准》（GB 16297-1996），根据该标准要求，</w:t>
            </w:r>
            <w:r>
              <w:rPr>
                <w:rFonts w:hint="eastAsia"/>
                <w:color w:val="0000FF"/>
                <w:spacing w:val="-2"/>
                <w:sz w:val="24"/>
                <w:lang w:eastAsia="zh-CN"/>
              </w:rPr>
              <w:t>“7.1 排气</w:t>
            </w:r>
            <w:r>
              <w:rPr>
                <w:rFonts w:hint="eastAsia"/>
                <w:color w:val="0000FF"/>
                <w:spacing w:val="-2"/>
                <w:sz w:val="24"/>
                <w:lang w:val="en-US" w:eastAsia="zh-CN"/>
              </w:rPr>
              <w:t>筒</w:t>
            </w:r>
            <w:r>
              <w:rPr>
                <w:rFonts w:hint="eastAsia"/>
                <w:color w:val="0000FF"/>
                <w:spacing w:val="-2"/>
                <w:sz w:val="24"/>
                <w:lang w:eastAsia="zh-CN"/>
              </w:rPr>
              <w:t>高度除须遵守表列排放速率标准值外，还应高出周围 200m 半径范围的建筑5m 以上，不能达到该要求的排气筒，应按其高度对应的表列排放速率标准值严格50%执行。”</w:t>
            </w:r>
            <w:r>
              <w:rPr>
                <w:color w:val="0000FF"/>
                <w:spacing w:val="-2"/>
                <w:sz w:val="24"/>
              </w:rPr>
              <w:t>本项目厂房最大高度</w:t>
            </w:r>
            <w:r>
              <w:rPr>
                <w:rFonts w:hint="eastAsia"/>
                <w:color w:val="0000FF"/>
                <w:spacing w:val="-2"/>
                <w:sz w:val="24"/>
                <w:lang w:eastAsia="zh-CN"/>
              </w:rPr>
              <w:t>9</w:t>
            </w:r>
            <w:r>
              <w:rPr>
                <w:color w:val="0000FF"/>
                <w:spacing w:val="-2"/>
                <w:sz w:val="24"/>
              </w:rPr>
              <w:t>m，排气筒高度为</w:t>
            </w:r>
            <w:r>
              <w:rPr>
                <w:rFonts w:hint="eastAsia"/>
                <w:color w:val="0000FF"/>
                <w:spacing w:val="-2"/>
                <w:sz w:val="24"/>
                <w:lang w:eastAsia="zh-CN"/>
              </w:rPr>
              <w:t>15m</w:t>
            </w:r>
            <w:r>
              <w:rPr>
                <w:color w:val="0000FF"/>
                <w:spacing w:val="-2"/>
                <w:sz w:val="24"/>
              </w:rPr>
              <w:t>，满足</w:t>
            </w:r>
            <w:r>
              <w:rPr>
                <w:rFonts w:hint="eastAsia"/>
                <w:color w:val="0000FF"/>
                <w:spacing w:val="-2"/>
                <w:sz w:val="24"/>
              </w:rPr>
              <w:t>“</w:t>
            </w:r>
            <w:r>
              <w:rPr>
                <w:color w:val="0000FF"/>
                <w:spacing w:val="-2"/>
                <w:sz w:val="24"/>
              </w:rPr>
              <w:t>高出周</w:t>
            </w:r>
            <w:r>
              <w:rPr>
                <w:rFonts w:hint="eastAsia"/>
                <w:color w:val="0000FF"/>
                <w:spacing w:val="-2"/>
                <w:sz w:val="24"/>
              </w:rPr>
              <w:t>边</w:t>
            </w:r>
            <w:r>
              <w:rPr>
                <w:color w:val="0000FF"/>
                <w:spacing w:val="-2"/>
                <w:sz w:val="24"/>
              </w:rPr>
              <w:t>200m范围内的建筑5m以上</w:t>
            </w:r>
            <w:r>
              <w:rPr>
                <w:rFonts w:hint="eastAsia"/>
                <w:color w:val="0000FF"/>
                <w:spacing w:val="-2"/>
                <w:sz w:val="24"/>
              </w:rPr>
              <w:t>”</w:t>
            </w:r>
            <w:r>
              <w:rPr>
                <w:color w:val="0000FF"/>
                <w:spacing w:val="-2"/>
                <w:sz w:val="24"/>
              </w:rPr>
              <w:t>的要求，因此，该排气筒</w:t>
            </w:r>
            <w:r>
              <w:rPr>
                <w:rFonts w:hint="eastAsia"/>
                <w:color w:val="0000FF"/>
                <w:spacing w:val="-2"/>
                <w:sz w:val="24"/>
              </w:rPr>
              <w:t>（DA00</w:t>
            </w:r>
            <w:r>
              <w:rPr>
                <w:rFonts w:hint="eastAsia"/>
                <w:color w:val="0000FF"/>
                <w:spacing w:val="-2"/>
                <w:sz w:val="24"/>
                <w:lang w:val="en-US" w:eastAsia="zh-CN"/>
              </w:rPr>
              <w:t>2</w:t>
            </w:r>
            <w:r>
              <w:rPr>
                <w:rFonts w:hint="eastAsia"/>
                <w:color w:val="0000FF"/>
                <w:spacing w:val="-2"/>
                <w:sz w:val="24"/>
              </w:rPr>
              <w:t>）</w:t>
            </w:r>
            <w:r>
              <w:rPr>
                <w:color w:val="0000FF"/>
                <w:spacing w:val="-2"/>
                <w:sz w:val="24"/>
              </w:rPr>
              <w:t>高度设置满足《大气污染物综合排放标准</w:t>
            </w:r>
            <w:r>
              <w:rPr>
                <w:rFonts w:hint="eastAsia"/>
                <w:color w:val="0000FF"/>
                <w:spacing w:val="-2"/>
                <w:sz w:val="24"/>
              </w:rPr>
              <w:t>》</w:t>
            </w:r>
            <w:r>
              <w:rPr>
                <w:color w:val="0000FF"/>
                <w:spacing w:val="-2"/>
                <w:sz w:val="24"/>
              </w:rPr>
              <w:t>（GB 16297-1996）。</w:t>
            </w:r>
          </w:p>
          <w:p w14:paraId="61FF8939">
            <w:pPr>
              <w:spacing w:line="360" w:lineRule="auto"/>
              <w:ind w:firstLine="472" w:firstLineChars="200"/>
              <w:contextualSpacing/>
              <w:jc w:val="left"/>
              <w:rPr>
                <w:color w:val="0000FF"/>
                <w:spacing w:val="-2"/>
                <w:sz w:val="24"/>
              </w:rPr>
            </w:pPr>
            <w:r>
              <w:rPr>
                <w:rFonts w:hint="eastAsia"/>
                <w:color w:val="0000FF"/>
                <w:spacing w:val="-2"/>
                <w:sz w:val="24"/>
              </w:rPr>
              <w:t>根据</w:t>
            </w:r>
            <w:r>
              <w:rPr>
                <w:color w:val="0000FF"/>
                <w:spacing w:val="-2"/>
                <w:sz w:val="24"/>
              </w:rPr>
              <w:t>《大气污染治理工程技术导则</w:t>
            </w:r>
            <w:r>
              <w:rPr>
                <w:rFonts w:hint="eastAsia"/>
                <w:color w:val="0000FF"/>
                <w:spacing w:val="-2"/>
                <w:sz w:val="24"/>
              </w:rPr>
              <w:t>（</w:t>
            </w:r>
            <w:r>
              <w:rPr>
                <w:color w:val="0000FF"/>
                <w:spacing w:val="-2"/>
                <w:sz w:val="24"/>
              </w:rPr>
              <w:t>HJ2000-2010</w:t>
            </w:r>
            <w:r>
              <w:rPr>
                <w:rFonts w:hint="eastAsia"/>
                <w:color w:val="0000FF"/>
                <w:spacing w:val="-2"/>
                <w:sz w:val="24"/>
              </w:rPr>
              <w:t>）</w:t>
            </w:r>
            <w:r>
              <w:rPr>
                <w:color w:val="0000FF"/>
                <w:spacing w:val="-2"/>
                <w:sz w:val="24"/>
              </w:rPr>
              <w:t>》</w:t>
            </w:r>
            <w:r>
              <w:rPr>
                <w:rFonts w:hint="eastAsia"/>
                <w:color w:val="0000FF"/>
                <w:spacing w:val="-2"/>
                <w:sz w:val="24"/>
              </w:rPr>
              <w:t>“5.3.5 排气筒的出口直径应根据出口流速确定，流速宜取15m/s左右。当采用钢管烟囱且高度较高时或烟气量较大时，可适当提高出口流速至20~25m/s。”本项目</w:t>
            </w:r>
            <w:r>
              <w:rPr>
                <w:rFonts w:hint="eastAsia"/>
                <w:color w:val="0000FF"/>
                <w:spacing w:val="-2"/>
                <w:sz w:val="24"/>
                <w:lang w:val="en-US" w:eastAsia="zh-CN"/>
              </w:rPr>
              <w:t>油漆废气排放量</w:t>
            </w:r>
            <w:r>
              <w:rPr>
                <w:rFonts w:hint="eastAsia"/>
                <w:color w:val="0000FF"/>
                <w:spacing w:val="-2"/>
                <w:sz w:val="24"/>
              </w:rPr>
              <w:t>为</w:t>
            </w:r>
            <w:r>
              <w:rPr>
                <w:rFonts w:hint="eastAsia"/>
                <w:color w:val="0000FF"/>
                <w:spacing w:val="-2"/>
                <w:sz w:val="24"/>
                <w:lang w:val="en-US" w:eastAsia="zh-CN"/>
              </w:rPr>
              <w:t>2000</w:t>
            </w:r>
            <w:r>
              <w:rPr>
                <w:bCs/>
                <w:color w:val="0000FF"/>
                <w:kern w:val="0"/>
                <w:sz w:val="24"/>
              </w:rPr>
              <w:t>m</w:t>
            </w:r>
            <w:r>
              <w:rPr>
                <w:bCs/>
                <w:color w:val="0000FF"/>
                <w:kern w:val="0"/>
                <w:sz w:val="24"/>
                <w:vertAlign w:val="superscript"/>
              </w:rPr>
              <w:t>3</w:t>
            </w:r>
            <w:r>
              <w:rPr>
                <w:bCs/>
                <w:color w:val="0000FF"/>
                <w:kern w:val="0"/>
                <w:sz w:val="24"/>
              </w:rPr>
              <w:t>/h</w:t>
            </w:r>
            <w:r>
              <w:rPr>
                <w:rFonts w:hint="eastAsia"/>
                <w:bCs/>
                <w:color w:val="0000FF"/>
                <w:kern w:val="0"/>
                <w:sz w:val="24"/>
              </w:rPr>
              <w:t>，排气筒直径设置为0.</w:t>
            </w:r>
            <w:r>
              <w:rPr>
                <w:rFonts w:hint="eastAsia"/>
                <w:bCs/>
                <w:color w:val="0000FF"/>
                <w:kern w:val="0"/>
                <w:sz w:val="24"/>
                <w:lang w:val="en-US" w:eastAsia="zh-CN"/>
              </w:rPr>
              <w:t>2</w:t>
            </w:r>
            <w:r>
              <w:rPr>
                <w:rFonts w:hint="eastAsia"/>
                <w:bCs/>
                <w:color w:val="0000FF"/>
                <w:kern w:val="0"/>
                <w:sz w:val="24"/>
              </w:rPr>
              <w:t>m，则出口流速为17.</w:t>
            </w:r>
            <w:r>
              <w:rPr>
                <w:rFonts w:hint="eastAsia"/>
                <w:bCs/>
                <w:color w:val="0000FF"/>
                <w:kern w:val="0"/>
                <w:sz w:val="24"/>
                <w:lang w:val="en-US" w:eastAsia="zh-CN"/>
              </w:rPr>
              <w:t>69</w:t>
            </w:r>
            <w:r>
              <w:rPr>
                <w:rFonts w:hint="eastAsia"/>
                <w:bCs/>
                <w:color w:val="0000FF"/>
                <w:kern w:val="0"/>
                <w:sz w:val="24"/>
              </w:rPr>
              <w:t>m/s，符合导则要求。</w:t>
            </w:r>
          </w:p>
          <w:p w14:paraId="433FAED3">
            <w:pPr>
              <w:spacing w:line="360" w:lineRule="auto"/>
              <w:ind w:firstLine="472" w:firstLineChars="200"/>
              <w:contextualSpacing/>
              <w:jc w:val="left"/>
              <w:rPr>
                <w:bCs/>
                <w:color w:val="0000FF"/>
                <w:kern w:val="0"/>
                <w:sz w:val="24"/>
              </w:rPr>
            </w:pPr>
            <w:r>
              <w:rPr>
                <w:color w:val="0000FF"/>
                <w:spacing w:val="-2"/>
                <w:sz w:val="24"/>
              </w:rPr>
              <w:t>综上所述，项目排气筒高度设置合理。</w:t>
            </w:r>
          </w:p>
          <w:p w14:paraId="7DB202BA">
            <w:pPr>
              <w:adjustRightInd w:val="0"/>
              <w:snapToGrid w:val="0"/>
              <w:spacing w:line="360" w:lineRule="auto"/>
              <w:ind w:firstLine="482"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4、</w:t>
            </w:r>
            <w:r>
              <w:rPr>
                <w:rFonts w:hint="default" w:ascii="Times New Roman" w:hAnsi="Times New Roman" w:eastAsia="宋体" w:cs="Times New Roman"/>
                <w:b/>
                <w:bCs/>
                <w:color w:val="auto"/>
                <w:kern w:val="0"/>
                <w:sz w:val="24"/>
                <w:highlight w:val="none"/>
                <w:lang w:val="en-US" w:eastAsia="zh-CN"/>
              </w:rPr>
              <w:t>卫生防护距离</w:t>
            </w:r>
          </w:p>
          <w:p w14:paraId="33F699A3">
            <w:pPr>
              <w:widowControl w:val="0"/>
              <w:spacing w:line="360" w:lineRule="auto"/>
              <w:ind w:firstLine="480" w:firstLineChars="200"/>
              <w:jc w:val="both"/>
              <w:rPr>
                <w:rFonts w:ascii="Times New Roman" w:hAnsi="Times New Roman" w:eastAsia="宋体" w:cs="Times New Roman"/>
                <w:b/>
                <w:color w:val="0000FF"/>
                <w:sz w:val="24"/>
              </w:rPr>
            </w:pPr>
            <w:r>
              <w:rPr>
                <w:rFonts w:ascii="Times New Roman" w:hAnsi="Times New Roman" w:eastAsia="宋体" w:cs="Times New Roman"/>
                <w:bCs/>
                <w:color w:val="0000FF"/>
                <w:sz w:val="24"/>
                <w:szCs w:val="20"/>
              </w:rPr>
              <w:t>卫生防护距离是为了防控通过无组织排放的大气污染物的健康危害，产生大气有害物质的生产单元（生产车间或作业场所）的边界至敏感区的最小距离。</w:t>
            </w:r>
          </w:p>
          <w:p w14:paraId="1AF3D535">
            <w:pPr>
              <w:widowControl w:val="0"/>
              <w:spacing w:line="360" w:lineRule="auto"/>
              <w:ind w:firstLine="480" w:firstLineChars="200"/>
              <w:jc w:val="both"/>
              <w:rPr>
                <w:rFonts w:ascii="Times New Roman" w:hAnsi="Times New Roman" w:eastAsia="宋体" w:cs="Times New Roman"/>
                <w:bCs/>
                <w:color w:val="0000FF"/>
                <w:sz w:val="24"/>
                <w:szCs w:val="20"/>
              </w:rPr>
            </w:pPr>
            <w:r>
              <w:rPr>
                <w:rFonts w:ascii="Times New Roman" w:hAnsi="Times New Roman" w:eastAsia="宋体" w:cs="Times New Roman"/>
                <w:bCs/>
                <w:color w:val="0000FF"/>
                <w:kern w:val="0"/>
                <w:sz w:val="24"/>
              </w:rPr>
              <w:t>1</w:t>
            </w:r>
            <w:r>
              <w:rPr>
                <w:rFonts w:hint="eastAsia" w:ascii="Times New Roman" w:hAnsi="Times New Roman" w:eastAsia="宋体" w:cs="Times New Roman"/>
                <w:bCs/>
                <w:color w:val="0000FF"/>
                <w:kern w:val="0"/>
                <w:sz w:val="24"/>
              </w:rPr>
              <w:t>）</w:t>
            </w:r>
            <w:r>
              <w:rPr>
                <w:rFonts w:ascii="Times New Roman" w:hAnsi="Times New Roman" w:eastAsia="宋体" w:cs="Times New Roman"/>
                <w:bCs/>
                <w:color w:val="0000FF"/>
                <w:sz w:val="24"/>
                <w:szCs w:val="20"/>
              </w:rPr>
              <w:t>主要特征大气有害物质确定</w:t>
            </w:r>
          </w:p>
          <w:p w14:paraId="61E2EF24">
            <w:pPr>
              <w:widowControl w:val="0"/>
              <w:spacing w:line="360" w:lineRule="auto"/>
              <w:ind w:firstLine="480" w:firstLineChars="200"/>
              <w:jc w:val="both"/>
              <w:rPr>
                <w:rFonts w:ascii="Times New Roman" w:hAnsi="Times New Roman" w:eastAsia="宋体" w:cs="Times New Roman"/>
                <w:color w:val="0000FF"/>
                <w:sz w:val="24"/>
              </w:rPr>
            </w:pPr>
            <w:r>
              <w:rPr>
                <w:rFonts w:ascii="Times New Roman" w:hAnsi="Times New Roman" w:eastAsia="宋体" w:cs="Times New Roman"/>
                <w:color w:val="0000FF"/>
                <w:sz w:val="24"/>
              </w:rPr>
              <w:t>根据《大气有害物质无组织排放卫生防护距离推导技术导则》（GB/T 39499-2020）</w:t>
            </w:r>
            <w:r>
              <w:rPr>
                <w:rFonts w:hint="eastAsia" w:ascii="宋体" w:hAnsi="宋体" w:eastAsia="宋体" w:cs="宋体"/>
                <w:color w:val="0000FF"/>
                <w:sz w:val="24"/>
              </w:rPr>
              <w:t>中“</w:t>
            </w:r>
            <w:r>
              <w:rPr>
                <w:rFonts w:ascii="Times New Roman" w:hAnsi="Times New Roman" w:eastAsia="宋体" w:cs="Times New Roman"/>
                <w:color w:val="0000FF"/>
                <w:sz w:val="24"/>
              </w:rPr>
              <w:t>4行业主要特征大气有害物质</w:t>
            </w:r>
            <w:r>
              <w:rPr>
                <w:rFonts w:hint="eastAsia" w:ascii="宋体" w:hAnsi="宋体" w:eastAsia="宋体" w:cs="宋体"/>
                <w:color w:val="0000FF"/>
                <w:sz w:val="24"/>
              </w:rPr>
              <w:t>”</w:t>
            </w:r>
            <w:r>
              <w:rPr>
                <w:rFonts w:ascii="Times New Roman" w:hAnsi="Times New Roman" w:eastAsia="宋体" w:cs="Times New Roman"/>
                <w:color w:val="0000FF"/>
                <w:sz w:val="24"/>
              </w:rPr>
              <w:t>的有关规定：</w:t>
            </w:r>
          </w:p>
          <w:p w14:paraId="564EF498">
            <w:pPr>
              <w:widowControl w:val="0"/>
              <w:spacing w:line="360" w:lineRule="auto"/>
              <w:ind w:firstLine="480" w:firstLineChars="200"/>
              <w:jc w:val="both"/>
              <w:rPr>
                <w:rFonts w:ascii="Times New Roman" w:hAnsi="Times New Roman" w:eastAsia="宋体" w:cs="Times New Roman"/>
                <w:color w:val="0000FF"/>
                <w:sz w:val="24"/>
                <w:szCs w:val="32"/>
              </w:rPr>
            </w:pPr>
            <w:r>
              <w:rPr>
                <w:rFonts w:ascii="Times New Roman" w:hAnsi="Times New Roman" w:eastAsia="宋体" w:cs="Times New Roman"/>
                <w:color w:val="0000FF"/>
                <w:sz w:val="24"/>
                <w:szCs w:val="32"/>
              </w:rPr>
              <w:t>不同行业及生产工艺产生无组织排放的特征大气有害物质差别较大。在选取特征大气有害物质时，应首先考虑其对人体健康损害毒性特点，并根据目标行业企业的产品产量及其原辅材料、工艺特征、中间产物、产排污特点等具体情况确定单个大气有害物质的无组织排放量及等标排放量</w:t>
            </w:r>
            <w:r>
              <w:rPr>
                <w:rFonts w:ascii="Times New Roman" w:hAnsi="Times New Roman" w:eastAsia="宋体" w:cs="Times New Roman"/>
                <w:color w:val="0000FF"/>
                <w:sz w:val="24"/>
              </w:rPr>
              <w:t>（</w:t>
            </w:r>
            <w:r>
              <w:rPr>
                <w:rFonts w:ascii="Times New Roman" w:hAnsi="Times New Roman" w:eastAsia="宋体" w:cs="Times New Roman"/>
                <w:color w:val="0000FF"/>
                <w:sz w:val="24"/>
                <w:szCs w:val="32"/>
              </w:rPr>
              <w:t>Qc/Cm*），最终确定卫生防护距离相关的主要特征大气有害物质1种~2种。</w:t>
            </w:r>
          </w:p>
          <w:p w14:paraId="231ED51D">
            <w:pPr>
              <w:pStyle w:val="61"/>
              <w:widowControl w:val="0"/>
              <w:spacing w:line="360" w:lineRule="auto"/>
              <w:ind w:firstLine="480" w:firstLineChars="200"/>
              <w:jc w:val="both"/>
              <w:rPr>
                <w:rFonts w:ascii="Times New Roman" w:hAnsi="Times New Roman" w:eastAsia="宋体" w:cs="Times New Roman"/>
                <w:color w:val="0000FF"/>
                <w:sz w:val="24"/>
              </w:rPr>
            </w:pPr>
            <w:r>
              <w:rPr>
                <w:rFonts w:ascii="Times New Roman" w:hAnsi="Times New Roman" w:eastAsia="宋体" w:cs="Times New Roman"/>
                <w:color w:val="0000FF"/>
                <w:sz w:val="24"/>
                <w:szCs w:val="32"/>
              </w:rPr>
              <w:t>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14:paraId="68A85BE2">
            <w:pPr>
              <w:pStyle w:val="61"/>
              <w:widowControl w:val="0"/>
              <w:spacing w:line="360" w:lineRule="auto"/>
              <w:ind w:firstLine="420" w:firstLineChars="200"/>
              <w:jc w:val="both"/>
              <w:rPr>
                <w:rFonts w:ascii="Times New Roman" w:hAnsi="Times New Roman" w:eastAsia="宋体" w:cs="Times New Roman"/>
                <w:color w:val="0000FF"/>
                <w:szCs w:val="21"/>
              </w:rPr>
            </w:pPr>
            <w:r>
              <w:rPr>
                <w:rFonts w:ascii="Times New Roman" w:hAnsi="Times New Roman" w:eastAsia="宋体" w:cs="Times New Roman"/>
                <w:color w:val="0000FF"/>
                <w:szCs w:val="21"/>
              </w:rPr>
              <w:t>（注：*等标排放量的定义为单一大气污染物的单位时间无组织排放量与污染物环境空气质量标准限值的比值，即Qc/Cm，其中Qc为无组织排放量单位为kg/h；Cm为环境空气质量的标准限值，单位为mg/m</w:t>
            </w:r>
            <w:r>
              <w:rPr>
                <w:rFonts w:ascii="Times New Roman" w:hAnsi="Times New Roman" w:eastAsia="宋体" w:cs="Times New Roman"/>
                <w:color w:val="0000FF"/>
                <w:szCs w:val="21"/>
                <w:vertAlign w:val="superscript"/>
              </w:rPr>
              <w:t>3</w:t>
            </w:r>
            <w:r>
              <w:rPr>
                <w:rFonts w:ascii="Times New Roman" w:hAnsi="Times New Roman" w:eastAsia="宋体" w:cs="Times New Roman"/>
                <w:color w:val="0000FF"/>
                <w:szCs w:val="21"/>
              </w:rPr>
              <w:t>。）</w:t>
            </w:r>
          </w:p>
          <w:p w14:paraId="638B5422">
            <w:pPr>
              <w:widowControl w:val="0"/>
              <w:spacing w:line="360" w:lineRule="auto"/>
              <w:ind w:firstLine="480" w:firstLineChars="200"/>
              <w:jc w:val="both"/>
              <w:rPr>
                <w:rFonts w:ascii="Times New Roman" w:hAnsi="Times New Roman" w:eastAsia="宋体" w:cs="Times New Roman"/>
                <w:bCs/>
                <w:color w:val="0000FF"/>
                <w:sz w:val="24"/>
              </w:rPr>
            </w:pPr>
            <w:r>
              <w:rPr>
                <w:rFonts w:ascii="Times New Roman" w:hAnsi="Times New Roman" w:eastAsia="宋体" w:cs="Times New Roman"/>
                <w:bCs/>
                <w:color w:val="0000FF"/>
                <w:sz w:val="24"/>
              </w:rPr>
              <w:t>本项目主要特征大气有害物质确定：</w:t>
            </w:r>
          </w:p>
          <w:p w14:paraId="6F1D4228">
            <w:pPr>
              <w:pStyle w:val="9"/>
              <w:widowControl w:val="0"/>
              <w:ind w:firstLine="482"/>
              <w:jc w:val="center"/>
              <w:rPr>
                <w:rFonts w:hAnsi="Times New Roman" w:eastAsia="宋体" w:cs="Times New Roman"/>
                <w:b/>
                <w:bCs/>
                <w:color w:val="0000FF"/>
                <w:sz w:val="21"/>
                <w:szCs w:val="21"/>
                <w:highlight w:val="none"/>
              </w:rPr>
            </w:pPr>
            <w:r>
              <w:rPr>
                <w:rFonts w:hint="default" w:hAnsi="Times New Roman" w:eastAsia="宋体" w:cs="Times New Roman"/>
                <w:b/>
                <w:bCs/>
                <w:color w:val="0000FF"/>
                <w:sz w:val="21"/>
                <w:szCs w:val="21"/>
                <w:highlight w:val="none"/>
              </w:rPr>
              <w:t>表</w:t>
            </w:r>
            <w:r>
              <w:rPr>
                <w:rFonts w:hint="default" w:ascii="Times New Roman" w:hAnsi="Times New Roman" w:eastAsia="宋体" w:cs="Times New Roman"/>
                <w:b/>
                <w:bCs/>
                <w:color w:val="0000FF"/>
                <w:sz w:val="21"/>
                <w:szCs w:val="21"/>
                <w:highlight w:val="none"/>
              </w:rPr>
              <w:t>4-</w:t>
            </w:r>
            <w:r>
              <w:rPr>
                <w:rFonts w:hint="default" w:ascii="Times New Roman" w:hAnsi="Times New Roman" w:eastAsia="宋体" w:cs="Times New Roman"/>
                <w:b/>
                <w:bCs/>
                <w:color w:val="0000FF"/>
                <w:sz w:val="21"/>
                <w:szCs w:val="21"/>
                <w:highlight w:val="none"/>
                <w:lang w:val="en-US" w:eastAsia="zh-CN"/>
              </w:rPr>
              <w:t>1</w:t>
            </w:r>
            <w:r>
              <w:rPr>
                <w:rFonts w:hint="eastAsia" w:ascii="Times New Roman" w:hAnsi="Times New Roman" w:eastAsia="宋体" w:cs="Times New Roman"/>
                <w:b/>
                <w:bCs/>
                <w:color w:val="0000FF"/>
                <w:sz w:val="21"/>
                <w:szCs w:val="21"/>
                <w:highlight w:val="none"/>
                <w:lang w:val="en-US" w:eastAsia="zh-CN"/>
              </w:rPr>
              <w:t>0</w:t>
            </w:r>
            <w:r>
              <w:rPr>
                <w:rFonts w:hint="default" w:hAnsi="Times New Roman" w:eastAsia="宋体" w:cs="Times New Roman"/>
                <w:b/>
                <w:bCs/>
                <w:color w:val="0000FF"/>
                <w:sz w:val="21"/>
                <w:szCs w:val="21"/>
                <w:highlight w:val="none"/>
              </w:rPr>
              <w:t xml:space="preserve"> 无组织废气排放情况一览表</w:t>
            </w:r>
          </w:p>
          <w:tbl>
            <w:tblPr>
              <w:tblStyle w:val="34"/>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320"/>
              <w:gridCol w:w="1185"/>
              <w:gridCol w:w="1579"/>
              <w:gridCol w:w="1669"/>
              <w:gridCol w:w="1378"/>
            </w:tblGrid>
            <w:tr w14:paraId="10898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9" w:type="pct"/>
                  <w:tcBorders>
                    <w:tl2br w:val="nil"/>
                    <w:tr2bl w:val="nil"/>
                  </w:tcBorders>
                  <w:vAlign w:val="center"/>
                </w:tcPr>
                <w:p w14:paraId="757CA97A">
                  <w:pPr>
                    <w:widowControl w:val="0"/>
                    <w:jc w:val="center"/>
                    <w:rPr>
                      <w:rFonts w:ascii="Times New Roman" w:hAnsi="Times New Roman" w:cs="Times New Roman"/>
                      <w:color w:val="0000FF"/>
                      <w:szCs w:val="21"/>
                    </w:rPr>
                  </w:pPr>
                  <w:r>
                    <w:rPr>
                      <w:rFonts w:ascii="Times New Roman" w:hAnsi="Times New Roman" w:cs="Times New Roman"/>
                      <w:color w:val="0000FF"/>
                      <w:szCs w:val="21"/>
                    </w:rPr>
                    <w:t>区域</w:t>
                  </w:r>
                </w:p>
              </w:tc>
              <w:tc>
                <w:tcPr>
                  <w:tcW w:w="818" w:type="pct"/>
                  <w:tcBorders>
                    <w:tl2br w:val="nil"/>
                    <w:tr2bl w:val="nil"/>
                  </w:tcBorders>
                  <w:vAlign w:val="center"/>
                </w:tcPr>
                <w:p w14:paraId="7CB8ED1A">
                  <w:pPr>
                    <w:widowControl w:val="0"/>
                    <w:jc w:val="center"/>
                    <w:rPr>
                      <w:rFonts w:ascii="Times New Roman" w:hAnsi="Times New Roman" w:cs="Times New Roman"/>
                      <w:color w:val="0000FF"/>
                      <w:szCs w:val="21"/>
                    </w:rPr>
                  </w:pPr>
                  <w:r>
                    <w:rPr>
                      <w:rFonts w:ascii="Times New Roman" w:hAnsi="Times New Roman" w:cs="Times New Roman"/>
                      <w:color w:val="0000FF"/>
                      <w:szCs w:val="21"/>
                    </w:rPr>
                    <w:t>污染物</w:t>
                  </w:r>
                </w:p>
              </w:tc>
              <w:tc>
                <w:tcPr>
                  <w:tcW w:w="734" w:type="pct"/>
                  <w:tcBorders>
                    <w:tl2br w:val="nil"/>
                    <w:tr2bl w:val="nil"/>
                  </w:tcBorders>
                  <w:vAlign w:val="center"/>
                </w:tcPr>
                <w:p w14:paraId="24EB3951">
                  <w:pPr>
                    <w:widowControl w:val="0"/>
                    <w:jc w:val="center"/>
                    <w:rPr>
                      <w:rFonts w:ascii="Times New Roman" w:hAnsi="Times New Roman" w:eastAsia="宋体" w:cs="Times New Roman"/>
                      <w:color w:val="0000FF"/>
                      <w:szCs w:val="21"/>
                    </w:rPr>
                  </w:pPr>
                  <w:r>
                    <w:rPr>
                      <w:rFonts w:hint="eastAsia" w:ascii="Times New Roman" w:hAnsi="Times New Roman" w:eastAsia="宋体" w:cs="Times New Roman"/>
                      <w:color w:val="0000FF"/>
                      <w:szCs w:val="21"/>
                    </w:rPr>
                    <w:t>排放量t/a</w:t>
                  </w:r>
                </w:p>
              </w:tc>
              <w:tc>
                <w:tcPr>
                  <w:tcW w:w="978" w:type="pct"/>
                  <w:tcBorders>
                    <w:tl2br w:val="nil"/>
                    <w:tr2bl w:val="nil"/>
                  </w:tcBorders>
                  <w:vAlign w:val="center"/>
                </w:tcPr>
                <w:p w14:paraId="24D5A894">
                  <w:pPr>
                    <w:widowControl w:val="0"/>
                    <w:jc w:val="center"/>
                    <w:rPr>
                      <w:rFonts w:ascii="Times New Roman" w:hAnsi="Times New Roman" w:cs="Times New Roman"/>
                      <w:color w:val="0000FF"/>
                      <w:szCs w:val="21"/>
                    </w:rPr>
                  </w:pPr>
                  <w:r>
                    <w:rPr>
                      <w:rFonts w:ascii="Times New Roman" w:hAnsi="Times New Roman" w:cs="Times New Roman"/>
                      <w:color w:val="0000FF"/>
                      <w:szCs w:val="21"/>
                    </w:rPr>
                    <w:t>排放速率kg/h</w:t>
                  </w:r>
                </w:p>
              </w:tc>
              <w:tc>
                <w:tcPr>
                  <w:tcW w:w="1034" w:type="pct"/>
                  <w:tcBorders>
                    <w:tl2br w:val="nil"/>
                    <w:tr2bl w:val="nil"/>
                  </w:tcBorders>
                  <w:vAlign w:val="center"/>
                </w:tcPr>
                <w:p w14:paraId="2255EAA5">
                  <w:pPr>
                    <w:widowControl w:val="0"/>
                    <w:jc w:val="center"/>
                    <w:rPr>
                      <w:rFonts w:ascii="Times New Roman" w:hAnsi="Times New Roman" w:eastAsia="宋体" w:cs="Times New Roman"/>
                      <w:color w:val="0000FF"/>
                      <w:szCs w:val="21"/>
                    </w:rPr>
                  </w:pPr>
                  <w:r>
                    <w:rPr>
                      <w:rFonts w:ascii="Times New Roman" w:hAnsi="Times New Roman" w:cs="Times New Roman"/>
                      <w:color w:val="0000FF"/>
                      <w:szCs w:val="21"/>
                    </w:rPr>
                    <w:t>标准限值</w:t>
                  </w:r>
                  <w:r>
                    <w:rPr>
                      <w:rFonts w:ascii="Times New Roman" w:hAnsi="Times New Roman" w:eastAsia="宋体" w:cs="Times New Roman"/>
                      <w:color w:val="0000FF"/>
                      <w:szCs w:val="21"/>
                    </w:rPr>
                    <w:t>mg/m</w:t>
                  </w:r>
                  <w:r>
                    <w:rPr>
                      <w:rFonts w:ascii="Times New Roman" w:hAnsi="Times New Roman" w:eastAsia="宋体" w:cs="Times New Roman"/>
                      <w:color w:val="0000FF"/>
                      <w:szCs w:val="21"/>
                      <w:vertAlign w:val="superscript"/>
                    </w:rPr>
                    <w:t>3</w:t>
                  </w:r>
                </w:p>
              </w:tc>
              <w:tc>
                <w:tcPr>
                  <w:tcW w:w="854" w:type="pct"/>
                  <w:tcBorders>
                    <w:tl2br w:val="nil"/>
                    <w:tr2bl w:val="nil"/>
                  </w:tcBorders>
                  <w:vAlign w:val="center"/>
                </w:tcPr>
                <w:p w14:paraId="3B2BB868">
                  <w:pPr>
                    <w:widowControl w:val="0"/>
                    <w:jc w:val="center"/>
                    <w:rPr>
                      <w:rFonts w:ascii="Times New Roman" w:hAnsi="Times New Roman" w:eastAsia="宋体" w:cs="Times New Roman"/>
                      <w:color w:val="0000FF"/>
                      <w:szCs w:val="21"/>
                    </w:rPr>
                  </w:pPr>
                  <w:bookmarkStart w:id="19" w:name="OLE_LINK77"/>
                  <w:bookmarkStart w:id="20" w:name="OLE_LINK76"/>
                  <w:r>
                    <w:rPr>
                      <w:rFonts w:ascii="Times New Roman" w:hAnsi="Times New Roman" w:cs="Times New Roman"/>
                      <w:color w:val="0000FF"/>
                      <w:szCs w:val="21"/>
                    </w:rPr>
                    <w:t>等标排放量</w:t>
                  </w:r>
                  <w:bookmarkEnd w:id="19"/>
                  <w:bookmarkEnd w:id="20"/>
                </w:p>
              </w:tc>
            </w:tr>
            <w:tr w14:paraId="66527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79" w:type="pct"/>
                  <w:vMerge w:val="restart"/>
                  <w:tcBorders>
                    <w:tl2br w:val="nil"/>
                    <w:tr2bl w:val="nil"/>
                  </w:tcBorders>
                  <w:vAlign w:val="center"/>
                </w:tcPr>
                <w:p w14:paraId="04948017">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喷漆房</w:t>
                  </w:r>
                </w:p>
              </w:tc>
              <w:tc>
                <w:tcPr>
                  <w:tcW w:w="818" w:type="pct"/>
                  <w:tcBorders>
                    <w:tl2br w:val="nil"/>
                    <w:tr2bl w:val="nil"/>
                  </w:tcBorders>
                  <w:vAlign w:val="center"/>
                </w:tcPr>
                <w:p w14:paraId="03F1B97B">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颗粒物</w:t>
                  </w:r>
                </w:p>
              </w:tc>
              <w:tc>
                <w:tcPr>
                  <w:tcW w:w="734" w:type="pct"/>
                  <w:tcBorders>
                    <w:tl2br w:val="nil"/>
                    <w:tr2bl w:val="nil"/>
                  </w:tcBorders>
                  <w:vAlign w:val="center"/>
                </w:tcPr>
                <w:p w14:paraId="6149ACBF">
                  <w:pPr>
                    <w:jc w:val="center"/>
                    <w:rPr>
                      <w:rFonts w:ascii="Times New Roman" w:hAnsi="Times New Roman" w:eastAsia="宋体" w:cs="Times New Roman"/>
                      <w:color w:val="0000FF"/>
                      <w:szCs w:val="21"/>
                    </w:rPr>
                  </w:pPr>
                  <w:r>
                    <w:rPr>
                      <w:rFonts w:hint="eastAsia" w:eastAsia="宋体" w:cs="Times New Roman"/>
                      <w:color w:val="0000FF"/>
                      <w:kern w:val="2"/>
                      <w:sz w:val="21"/>
                      <w:szCs w:val="21"/>
                      <w:lang w:val="en-US" w:eastAsia="zh-CN" w:bidi="ar-SA"/>
                    </w:rPr>
                    <w:t>0.013</w:t>
                  </w:r>
                </w:p>
              </w:tc>
              <w:tc>
                <w:tcPr>
                  <w:tcW w:w="978" w:type="pct"/>
                  <w:tcBorders>
                    <w:tl2br w:val="nil"/>
                    <w:tr2bl w:val="nil"/>
                  </w:tcBorders>
                  <w:vAlign w:val="center"/>
                </w:tcPr>
                <w:p w14:paraId="299F2B57">
                  <w:pPr>
                    <w:jc w:val="center"/>
                    <w:rPr>
                      <w:rFonts w:ascii="Times New Roman" w:hAnsi="Times New Roman" w:eastAsia="宋体" w:cs="Times New Roman"/>
                      <w:color w:val="0000FF"/>
                      <w:szCs w:val="21"/>
                    </w:rPr>
                  </w:pPr>
                  <w:r>
                    <w:rPr>
                      <w:rFonts w:hint="eastAsia" w:eastAsia="宋体" w:cs="Times New Roman"/>
                      <w:color w:val="0000FF"/>
                      <w:kern w:val="2"/>
                      <w:sz w:val="21"/>
                      <w:szCs w:val="21"/>
                      <w:lang w:val="en-US" w:eastAsia="zh-CN" w:bidi="ar-SA"/>
                    </w:rPr>
                    <w:t>0.005</w:t>
                  </w:r>
                </w:p>
              </w:tc>
              <w:tc>
                <w:tcPr>
                  <w:tcW w:w="1034" w:type="pct"/>
                  <w:tcBorders>
                    <w:tl2br w:val="nil"/>
                    <w:tr2bl w:val="nil"/>
                  </w:tcBorders>
                  <w:vAlign w:val="center"/>
                </w:tcPr>
                <w:p w14:paraId="1AF0D044">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0.9</w:t>
                  </w:r>
                </w:p>
              </w:tc>
              <w:tc>
                <w:tcPr>
                  <w:tcW w:w="854" w:type="pct"/>
                  <w:tcBorders>
                    <w:tl2br w:val="nil"/>
                    <w:tr2bl w:val="nil"/>
                  </w:tcBorders>
                  <w:vAlign w:val="center"/>
                </w:tcPr>
                <w:p w14:paraId="255A85B0">
                  <w:pPr>
                    <w:widowControl w:val="0"/>
                    <w:jc w:val="center"/>
                    <w:rPr>
                      <w:rFonts w:hint="eastAsia" w:ascii="Times New Roman" w:hAnsi="Times New Roman" w:eastAsia="宋体" w:cs="Times New Roman"/>
                      <w:color w:val="0000FF"/>
                      <w:szCs w:val="21"/>
                    </w:rPr>
                  </w:pPr>
                  <w:r>
                    <w:rPr>
                      <w:rFonts w:hint="eastAsia" w:ascii="Times New Roman" w:hAnsi="Times New Roman" w:eastAsia="宋体" w:cs="Times New Roman"/>
                      <w:color w:val="0000FF"/>
                      <w:szCs w:val="21"/>
                    </w:rPr>
                    <w:t>5555.5</w:t>
                  </w:r>
                  <w:r>
                    <w:rPr>
                      <w:rFonts w:hint="eastAsia" w:cs="Times New Roman"/>
                      <w:color w:val="0000FF"/>
                      <w:szCs w:val="21"/>
                      <w:lang w:val="en-US" w:eastAsia="zh-CN"/>
                    </w:rPr>
                    <w:t>6</w:t>
                  </w:r>
                </w:p>
              </w:tc>
            </w:tr>
            <w:tr w14:paraId="7E6583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79" w:type="pct"/>
                  <w:vMerge w:val="continue"/>
                  <w:tcBorders>
                    <w:tl2br w:val="nil"/>
                    <w:tr2bl w:val="nil"/>
                  </w:tcBorders>
                  <w:vAlign w:val="center"/>
                </w:tcPr>
                <w:p w14:paraId="296C450C">
                  <w:pPr>
                    <w:widowControl w:val="0"/>
                    <w:jc w:val="center"/>
                    <w:rPr>
                      <w:rFonts w:ascii="Times New Roman" w:hAnsi="Times New Roman" w:cs="Times New Roman"/>
                      <w:color w:val="0000FF"/>
                      <w:szCs w:val="21"/>
                    </w:rPr>
                  </w:pPr>
                </w:p>
              </w:tc>
              <w:tc>
                <w:tcPr>
                  <w:tcW w:w="818" w:type="pct"/>
                  <w:tcBorders>
                    <w:tl2br w:val="nil"/>
                    <w:tr2bl w:val="nil"/>
                  </w:tcBorders>
                  <w:vAlign w:val="center"/>
                </w:tcPr>
                <w:p w14:paraId="1D35E76E">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二甲苯</w:t>
                  </w:r>
                </w:p>
              </w:tc>
              <w:tc>
                <w:tcPr>
                  <w:tcW w:w="734" w:type="pct"/>
                  <w:tcBorders>
                    <w:tl2br w:val="nil"/>
                    <w:tr2bl w:val="nil"/>
                  </w:tcBorders>
                  <w:vAlign w:val="center"/>
                </w:tcPr>
                <w:p w14:paraId="0E9D4C46">
                  <w:pPr>
                    <w:jc w:val="center"/>
                    <w:rPr>
                      <w:rFonts w:ascii="Times New Roman" w:hAnsi="Times New Roman" w:eastAsia="宋体" w:cs="Times New Roman"/>
                      <w:color w:val="0000FF"/>
                      <w:szCs w:val="21"/>
                    </w:rPr>
                  </w:pPr>
                  <w:r>
                    <w:rPr>
                      <w:rFonts w:hint="eastAsia" w:eastAsia="宋体"/>
                      <w:color w:val="0000FF"/>
                      <w:szCs w:val="21"/>
                      <w:lang w:val="en-US" w:eastAsia="zh-CN"/>
                    </w:rPr>
                    <w:t>0.008</w:t>
                  </w:r>
                </w:p>
              </w:tc>
              <w:tc>
                <w:tcPr>
                  <w:tcW w:w="978" w:type="pct"/>
                  <w:tcBorders>
                    <w:tl2br w:val="nil"/>
                    <w:tr2bl w:val="nil"/>
                  </w:tcBorders>
                  <w:vAlign w:val="center"/>
                </w:tcPr>
                <w:p w14:paraId="12D60E17">
                  <w:pPr>
                    <w:jc w:val="center"/>
                    <w:rPr>
                      <w:rFonts w:ascii="Times New Roman" w:hAnsi="Times New Roman" w:eastAsia="宋体" w:cs="Times New Roman"/>
                      <w:color w:val="0000FF"/>
                      <w:szCs w:val="21"/>
                    </w:rPr>
                  </w:pPr>
                  <w:r>
                    <w:rPr>
                      <w:rFonts w:hint="eastAsia" w:eastAsia="宋体"/>
                      <w:color w:val="0000FF"/>
                      <w:szCs w:val="21"/>
                      <w:lang w:val="en-US" w:eastAsia="zh-CN"/>
                    </w:rPr>
                    <w:t>0.003</w:t>
                  </w:r>
                </w:p>
              </w:tc>
              <w:tc>
                <w:tcPr>
                  <w:tcW w:w="1034" w:type="pct"/>
                  <w:tcBorders>
                    <w:tl2br w:val="nil"/>
                    <w:tr2bl w:val="nil"/>
                  </w:tcBorders>
                  <w:vAlign w:val="center"/>
                </w:tcPr>
                <w:p w14:paraId="0FB95AF4">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0.05</w:t>
                  </w:r>
                </w:p>
              </w:tc>
              <w:tc>
                <w:tcPr>
                  <w:tcW w:w="854" w:type="pct"/>
                  <w:tcBorders>
                    <w:tl2br w:val="nil"/>
                    <w:tr2bl w:val="nil"/>
                  </w:tcBorders>
                  <w:vAlign w:val="center"/>
                </w:tcPr>
                <w:p w14:paraId="4C1EA368">
                  <w:pPr>
                    <w:widowControl w:val="0"/>
                    <w:jc w:val="center"/>
                    <w:rPr>
                      <w:rFonts w:hint="eastAsia" w:ascii="Times New Roman" w:hAnsi="Times New Roman" w:eastAsia="宋体" w:cs="Times New Roman"/>
                      <w:color w:val="0000FF"/>
                      <w:szCs w:val="21"/>
                    </w:rPr>
                  </w:pPr>
                  <w:r>
                    <w:rPr>
                      <w:rFonts w:hint="eastAsia" w:ascii="Times New Roman" w:hAnsi="Times New Roman" w:eastAsia="宋体" w:cs="Times New Roman"/>
                      <w:color w:val="0000FF"/>
                      <w:szCs w:val="21"/>
                    </w:rPr>
                    <w:t>60000</w:t>
                  </w:r>
                </w:p>
              </w:tc>
            </w:tr>
            <w:tr w14:paraId="1EB09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79" w:type="pct"/>
                  <w:vMerge w:val="continue"/>
                  <w:tcBorders>
                    <w:tl2br w:val="nil"/>
                    <w:tr2bl w:val="nil"/>
                  </w:tcBorders>
                  <w:vAlign w:val="center"/>
                </w:tcPr>
                <w:p w14:paraId="51FB9388">
                  <w:pPr>
                    <w:widowControl w:val="0"/>
                    <w:jc w:val="center"/>
                    <w:rPr>
                      <w:rFonts w:ascii="Times New Roman" w:hAnsi="Times New Roman" w:cs="Times New Roman"/>
                      <w:color w:val="0000FF"/>
                      <w:szCs w:val="21"/>
                    </w:rPr>
                  </w:pPr>
                </w:p>
              </w:tc>
              <w:tc>
                <w:tcPr>
                  <w:tcW w:w="818" w:type="pct"/>
                  <w:tcBorders>
                    <w:tl2br w:val="nil"/>
                    <w:tr2bl w:val="nil"/>
                  </w:tcBorders>
                  <w:vAlign w:val="center"/>
                </w:tcPr>
                <w:p w14:paraId="63727EB9">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非甲烷总烃</w:t>
                  </w:r>
                </w:p>
              </w:tc>
              <w:tc>
                <w:tcPr>
                  <w:tcW w:w="1185" w:type="dxa"/>
                  <w:tcBorders>
                    <w:tl2br w:val="nil"/>
                    <w:tr2bl w:val="nil"/>
                  </w:tcBorders>
                  <w:vAlign w:val="center"/>
                </w:tcPr>
                <w:p w14:paraId="05BCED7A">
                  <w:pPr>
                    <w:jc w:val="center"/>
                    <w:rPr>
                      <w:rFonts w:ascii="Times New Roman" w:hAnsi="Times New Roman" w:eastAsia="宋体" w:cs="Times New Roman"/>
                      <w:color w:val="0000FF"/>
                      <w:szCs w:val="21"/>
                    </w:rPr>
                  </w:pPr>
                  <w:r>
                    <w:rPr>
                      <w:rFonts w:hint="eastAsia" w:eastAsia="宋体"/>
                      <w:color w:val="0000FF"/>
                      <w:szCs w:val="21"/>
                      <w:lang w:val="en-US" w:eastAsia="zh-CN"/>
                    </w:rPr>
                    <w:t>0.044</w:t>
                  </w:r>
                </w:p>
              </w:tc>
              <w:tc>
                <w:tcPr>
                  <w:tcW w:w="1579" w:type="dxa"/>
                  <w:tcBorders>
                    <w:tl2br w:val="nil"/>
                    <w:tr2bl w:val="nil"/>
                  </w:tcBorders>
                  <w:vAlign w:val="center"/>
                </w:tcPr>
                <w:p w14:paraId="05CA15A9">
                  <w:pPr>
                    <w:jc w:val="center"/>
                    <w:rPr>
                      <w:rFonts w:ascii="Times New Roman" w:hAnsi="Times New Roman" w:eastAsia="宋体" w:cs="Times New Roman"/>
                      <w:color w:val="0000FF"/>
                      <w:szCs w:val="21"/>
                    </w:rPr>
                  </w:pPr>
                  <w:r>
                    <w:rPr>
                      <w:rFonts w:hint="eastAsia" w:eastAsia="宋体"/>
                      <w:color w:val="0000FF"/>
                      <w:szCs w:val="21"/>
                      <w:lang w:val="en-US" w:eastAsia="zh-CN"/>
                    </w:rPr>
                    <w:t>0.018</w:t>
                  </w:r>
                </w:p>
              </w:tc>
              <w:tc>
                <w:tcPr>
                  <w:tcW w:w="1034" w:type="pct"/>
                  <w:tcBorders>
                    <w:tl2br w:val="nil"/>
                    <w:tr2bl w:val="nil"/>
                  </w:tcBorders>
                  <w:vAlign w:val="center"/>
                </w:tcPr>
                <w:p w14:paraId="1CA5E1CA">
                  <w:pPr>
                    <w:widowControl w:val="0"/>
                    <w:jc w:val="center"/>
                    <w:rPr>
                      <w:rFonts w:ascii="Times New Roman" w:hAnsi="Times New Roman" w:cs="Times New Roman"/>
                      <w:color w:val="0000FF"/>
                      <w:szCs w:val="21"/>
                    </w:rPr>
                  </w:pPr>
                  <w:r>
                    <w:rPr>
                      <w:rFonts w:hint="eastAsia" w:ascii="Times New Roman" w:hAnsi="Times New Roman" w:cs="Times New Roman"/>
                      <w:color w:val="0000FF"/>
                      <w:szCs w:val="21"/>
                    </w:rPr>
                    <w:t>2.0</w:t>
                  </w:r>
                </w:p>
              </w:tc>
              <w:tc>
                <w:tcPr>
                  <w:tcW w:w="854" w:type="pct"/>
                  <w:tcBorders>
                    <w:tl2br w:val="nil"/>
                    <w:tr2bl w:val="nil"/>
                  </w:tcBorders>
                  <w:vAlign w:val="center"/>
                </w:tcPr>
                <w:p w14:paraId="1B5ED6A0">
                  <w:pPr>
                    <w:widowControl w:val="0"/>
                    <w:jc w:val="center"/>
                    <w:rPr>
                      <w:rFonts w:hint="default" w:ascii="Times New Roman" w:hAnsi="Times New Roman" w:eastAsia="宋体" w:cs="Times New Roman"/>
                      <w:color w:val="0000FF"/>
                      <w:szCs w:val="21"/>
                    </w:rPr>
                  </w:pPr>
                  <w:r>
                    <w:rPr>
                      <w:rFonts w:hint="eastAsia" w:cs="Times New Roman"/>
                      <w:color w:val="0000FF"/>
                      <w:szCs w:val="21"/>
                      <w:lang w:eastAsia="zh-CN"/>
                    </w:rPr>
                    <w:t>9</w:t>
                  </w:r>
                  <w:r>
                    <w:rPr>
                      <w:rFonts w:hint="eastAsia" w:cs="Times New Roman"/>
                      <w:color w:val="0000FF"/>
                      <w:szCs w:val="21"/>
                      <w:lang w:val="en-US" w:eastAsia="zh-CN"/>
                    </w:rPr>
                    <w:t>000</w:t>
                  </w:r>
                </w:p>
              </w:tc>
            </w:tr>
            <w:tr w14:paraId="00E0D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000" w:type="pct"/>
                  <w:gridSpan w:val="6"/>
                  <w:tcBorders>
                    <w:tl2br w:val="nil"/>
                    <w:tr2bl w:val="nil"/>
                  </w:tcBorders>
                  <w:vAlign w:val="center"/>
                </w:tcPr>
                <w:p w14:paraId="1BBA0972">
                  <w:pPr>
                    <w:widowControl w:val="0"/>
                    <w:jc w:val="left"/>
                    <w:rPr>
                      <w:color w:val="0000FF"/>
                      <w:szCs w:val="21"/>
                    </w:rPr>
                  </w:pPr>
                  <w:r>
                    <w:rPr>
                      <w:rFonts w:hint="eastAsia"/>
                      <w:color w:val="0000FF"/>
                      <w:szCs w:val="21"/>
                    </w:rPr>
                    <w:t>注</w:t>
                  </w:r>
                  <w:r>
                    <w:rPr>
                      <w:color w:val="0000FF"/>
                      <w:szCs w:val="21"/>
                    </w:rPr>
                    <w:t>：等标排放量</w:t>
                  </w:r>
                  <w:r>
                    <w:rPr>
                      <w:rFonts w:hint="eastAsia"/>
                      <w:color w:val="0000FF"/>
                      <w:szCs w:val="21"/>
                    </w:rPr>
                    <w:t>Pi = Q</w:t>
                  </w:r>
                  <w:r>
                    <w:rPr>
                      <w:rFonts w:hint="eastAsia"/>
                      <w:color w:val="0000FF"/>
                      <w:szCs w:val="21"/>
                      <w:vertAlign w:val="subscript"/>
                    </w:rPr>
                    <w:t>i</w:t>
                  </w:r>
                  <w:r>
                    <w:rPr>
                      <w:rFonts w:hint="eastAsia"/>
                      <w:color w:val="0000FF"/>
                      <w:szCs w:val="21"/>
                    </w:rPr>
                    <w:t>/Coi╳10</w:t>
                  </w:r>
                  <w:r>
                    <w:rPr>
                      <w:rFonts w:hint="eastAsia"/>
                      <w:color w:val="0000FF"/>
                      <w:szCs w:val="21"/>
                      <w:vertAlign w:val="superscript"/>
                    </w:rPr>
                    <w:t>9</w:t>
                  </w:r>
                </w:p>
                <w:p w14:paraId="6719EA28">
                  <w:pPr>
                    <w:widowControl w:val="0"/>
                    <w:jc w:val="left"/>
                    <w:rPr>
                      <w:color w:val="0000FF"/>
                      <w:szCs w:val="21"/>
                    </w:rPr>
                  </w:pPr>
                  <w:r>
                    <w:rPr>
                      <w:rFonts w:hint="eastAsia"/>
                      <w:color w:val="0000FF"/>
                      <w:szCs w:val="21"/>
                    </w:rPr>
                    <w:t>Pi</w:t>
                  </w:r>
                  <w:r>
                    <w:rPr>
                      <w:color w:val="0000FF"/>
                      <w:szCs w:val="21"/>
                    </w:rPr>
                    <w:t>——</w:t>
                  </w:r>
                  <w:r>
                    <w:rPr>
                      <w:rFonts w:hint="eastAsia"/>
                      <w:color w:val="0000FF"/>
                      <w:szCs w:val="21"/>
                    </w:rPr>
                    <w:t>评价等级判别参数，即通常所谓的等标排放量，m</w:t>
                  </w:r>
                  <w:r>
                    <w:rPr>
                      <w:rFonts w:hint="eastAsia"/>
                      <w:color w:val="0000FF"/>
                      <w:szCs w:val="21"/>
                      <w:vertAlign w:val="superscript"/>
                    </w:rPr>
                    <w:t>3</w:t>
                  </w:r>
                  <w:r>
                    <w:rPr>
                      <w:rFonts w:hint="eastAsia"/>
                      <w:color w:val="0000FF"/>
                      <w:szCs w:val="21"/>
                    </w:rPr>
                    <w:t>/h；</w:t>
                  </w:r>
                </w:p>
                <w:p w14:paraId="024E319C">
                  <w:pPr>
                    <w:widowControl w:val="0"/>
                    <w:jc w:val="left"/>
                    <w:rPr>
                      <w:color w:val="0000FF"/>
                      <w:szCs w:val="21"/>
                    </w:rPr>
                  </w:pPr>
                  <w:r>
                    <w:rPr>
                      <w:rFonts w:hint="eastAsia"/>
                      <w:color w:val="0000FF"/>
                      <w:szCs w:val="21"/>
                    </w:rPr>
                    <w:t>Qi</w:t>
                  </w:r>
                  <w:r>
                    <w:rPr>
                      <w:color w:val="0000FF"/>
                      <w:szCs w:val="21"/>
                    </w:rPr>
                    <w:t>——</w:t>
                  </w:r>
                  <w:r>
                    <w:rPr>
                      <w:rFonts w:hint="eastAsia"/>
                      <w:color w:val="0000FF"/>
                      <w:szCs w:val="21"/>
                    </w:rPr>
                    <w:t>单位时间的排放量，t/h；</w:t>
                  </w:r>
                </w:p>
                <w:p w14:paraId="26CB587C">
                  <w:pPr>
                    <w:widowControl w:val="0"/>
                    <w:jc w:val="both"/>
                    <w:rPr>
                      <w:rFonts w:ascii="Times New Roman" w:hAnsi="Times New Roman" w:eastAsia="宋体" w:cs="Times New Roman"/>
                      <w:color w:val="0000FF"/>
                      <w:szCs w:val="21"/>
                    </w:rPr>
                  </w:pPr>
                  <w:r>
                    <w:rPr>
                      <w:rFonts w:hint="eastAsia"/>
                      <w:color w:val="0000FF"/>
                      <w:szCs w:val="21"/>
                    </w:rPr>
                    <w:t>Coi</w:t>
                  </w:r>
                  <w:r>
                    <w:rPr>
                      <w:color w:val="0000FF"/>
                      <w:szCs w:val="21"/>
                    </w:rPr>
                    <w:t>——</w:t>
                  </w:r>
                  <w:r>
                    <w:rPr>
                      <w:rFonts w:hint="eastAsia"/>
                      <w:color w:val="0000FF"/>
                      <w:szCs w:val="21"/>
                    </w:rPr>
                    <w:t>环境空气质量标准，mg/m</w:t>
                  </w:r>
                  <w:r>
                    <w:rPr>
                      <w:rFonts w:hint="eastAsia"/>
                      <w:color w:val="0000FF"/>
                      <w:szCs w:val="21"/>
                      <w:vertAlign w:val="superscript"/>
                    </w:rPr>
                    <w:t>3</w:t>
                  </w:r>
                  <w:r>
                    <w:rPr>
                      <w:rFonts w:hint="eastAsia"/>
                      <w:color w:val="0000FF"/>
                      <w:szCs w:val="21"/>
                    </w:rPr>
                    <w:t>。</w:t>
                  </w:r>
                </w:p>
              </w:tc>
            </w:tr>
          </w:tbl>
          <w:p w14:paraId="4B09ED30">
            <w:pPr>
              <w:pStyle w:val="92"/>
              <w:widowControl w:val="0"/>
              <w:spacing w:before="157" w:beforeLines="50" w:after="0" w:line="360" w:lineRule="auto"/>
              <w:ind w:firstLine="493"/>
              <w:jc w:val="left"/>
              <w:rPr>
                <w:rFonts w:ascii="Times New Roman" w:hAnsi="Times New Roman" w:eastAsia="宋体" w:cs="Times New Roman"/>
                <w:color w:val="0000FF"/>
                <w:sz w:val="24"/>
                <w:szCs w:val="24"/>
              </w:rPr>
            </w:pPr>
            <w:r>
              <w:rPr>
                <w:rFonts w:ascii="Times New Roman" w:hAnsi="Times New Roman" w:eastAsia="宋体" w:cs="Times New Roman"/>
                <w:bCs/>
                <w:color w:val="0000FF"/>
                <w:sz w:val="24"/>
                <w:szCs w:val="24"/>
              </w:rPr>
              <w:t>本项目</w:t>
            </w:r>
            <w:r>
              <w:rPr>
                <w:rFonts w:ascii="Times New Roman" w:hAnsi="Times New Roman" w:cs="Times New Roman"/>
                <w:color w:val="0000FF"/>
                <w:sz w:val="24"/>
                <w:szCs w:val="24"/>
              </w:rPr>
              <w:t>污染物等标排放量的差值相差超过10%，</w:t>
            </w:r>
            <w:r>
              <w:rPr>
                <w:rFonts w:hint="eastAsia" w:ascii="Times New Roman" w:hAnsi="Times New Roman" w:cs="Times New Roman"/>
                <w:color w:val="0000FF"/>
                <w:sz w:val="24"/>
                <w:szCs w:val="24"/>
              </w:rPr>
              <w:t>因此，本项目喷漆房</w:t>
            </w:r>
            <w:r>
              <w:rPr>
                <w:rFonts w:ascii="Times New Roman" w:hAnsi="Times New Roman" w:cs="Times New Roman"/>
                <w:color w:val="0000FF"/>
                <w:sz w:val="24"/>
                <w:szCs w:val="24"/>
              </w:rPr>
              <w:t>选取等标排放量计算值较高的</w:t>
            </w:r>
            <w:r>
              <w:rPr>
                <w:rFonts w:hint="eastAsia" w:ascii="Times New Roman" w:hAnsi="Times New Roman" w:cs="Times New Roman"/>
                <w:color w:val="0000FF"/>
                <w:sz w:val="24"/>
                <w:szCs w:val="24"/>
              </w:rPr>
              <w:t>二甲苯</w:t>
            </w:r>
            <w:r>
              <w:rPr>
                <w:rFonts w:ascii="Times New Roman" w:hAnsi="Times New Roman" w:cs="Times New Roman"/>
                <w:color w:val="0000FF"/>
                <w:sz w:val="24"/>
                <w:szCs w:val="24"/>
              </w:rPr>
              <w:t>为项目主要特征大气有害物质</w:t>
            </w:r>
            <w:r>
              <w:rPr>
                <w:rFonts w:ascii="Times New Roman" w:hAnsi="Times New Roman" w:eastAsia="宋体" w:cs="Times New Roman"/>
                <w:color w:val="0000FF"/>
                <w:sz w:val="24"/>
                <w:szCs w:val="24"/>
              </w:rPr>
              <w:t>。</w:t>
            </w:r>
          </w:p>
          <w:p w14:paraId="35334E0F">
            <w:pPr>
              <w:pStyle w:val="61"/>
              <w:widowControl w:val="0"/>
              <w:adjustRightInd w:val="0"/>
              <w:snapToGrid w:val="0"/>
              <w:spacing w:line="360" w:lineRule="auto"/>
              <w:ind w:firstLine="480" w:firstLineChars="200"/>
              <w:jc w:val="both"/>
              <w:rPr>
                <w:rFonts w:ascii="Times New Roman" w:hAnsi="Times New Roman" w:eastAsia="宋体" w:cs="Times New Roman"/>
                <w:bCs w:val="0"/>
                <w:color w:val="0000FF"/>
                <w:kern w:val="2"/>
                <w:sz w:val="24"/>
                <w:szCs w:val="32"/>
              </w:rPr>
            </w:pPr>
            <w:r>
              <w:rPr>
                <w:rFonts w:ascii="Times New Roman" w:hAnsi="Times New Roman" w:eastAsia="宋体" w:cs="Times New Roman"/>
                <w:bCs w:val="0"/>
                <w:color w:val="0000FF"/>
                <w:kern w:val="2"/>
                <w:sz w:val="24"/>
                <w:szCs w:val="32"/>
              </w:rPr>
              <w:t>2</w:t>
            </w:r>
            <w:r>
              <w:rPr>
                <w:rFonts w:hint="default" w:ascii="Times New Roman" w:hAnsi="Times New Roman" w:cs="Times New Roman"/>
                <w:bCs w:val="0"/>
                <w:color w:val="0000FF"/>
                <w:kern w:val="2"/>
                <w:sz w:val="24"/>
                <w:szCs w:val="32"/>
                <w:lang w:eastAsia="zh-CN"/>
              </w:rPr>
              <w:t>）</w:t>
            </w:r>
            <w:r>
              <w:rPr>
                <w:rFonts w:ascii="Times New Roman" w:hAnsi="Times New Roman" w:eastAsia="宋体" w:cs="Times New Roman"/>
                <w:bCs w:val="0"/>
                <w:color w:val="0000FF"/>
                <w:kern w:val="2"/>
                <w:sz w:val="24"/>
                <w:szCs w:val="32"/>
              </w:rPr>
              <w:t>卫生防护距离的计算</w:t>
            </w:r>
          </w:p>
          <w:p w14:paraId="2CD27057">
            <w:pPr>
              <w:spacing w:line="360" w:lineRule="auto"/>
              <w:ind w:firstLine="42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w:t>
            </w:r>
            <w:r>
              <w:rPr>
                <w:rFonts w:hint="default" w:ascii="Times New Roman" w:hAnsi="Times New Roman" w:eastAsia="宋体" w:cs="Times New Roman"/>
                <w:color w:val="auto"/>
                <w:kern w:val="0"/>
                <w:sz w:val="24"/>
                <w:highlight w:val="none"/>
              </w:rPr>
              <w:t>《大气有害物质无组织排放卫生防护距离推导技术导则》（GB/T39499-2020）</w:t>
            </w:r>
            <w:r>
              <w:rPr>
                <w:rFonts w:hint="default" w:ascii="Times New Roman" w:hAnsi="Times New Roman" w:eastAsia="宋体" w:cs="Times New Roman"/>
                <w:color w:val="auto"/>
                <w:sz w:val="24"/>
                <w:highlight w:val="none"/>
              </w:rPr>
              <w:t>，无组织排放量计算卫生防护距离公式如下：</w:t>
            </w:r>
          </w:p>
          <w:p w14:paraId="20188851">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position w:val="-30"/>
                <w:highlight w:val="none"/>
              </w:rPr>
              <w:object>
                <v:shape id="_x0000_i1029" o:spt="75" type="#_x0000_t75" style="height:34.5pt;width:174.75pt;" o:ole="t" filled="f" o:preferrelative="t" stroked="f" coordsize="21600,21600">
                  <v:path/>
                  <v:fill on="f" focussize="0,0"/>
                  <v:stroke on="f"/>
                  <v:imagedata r:id="rId20" o:title=""/>
                  <o:lock v:ext="edit" aspectratio="t"/>
                  <w10:wrap type="none"/>
                  <w10:anchorlock/>
                </v:shape>
                <o:OLEObject Type="Embed" ProgID="Equation.3" ShapeID="_x0000_i1029" DrawAspect="Content" ObjectID="_1468075729" r:id="rId19">
                  <o:LockedField>false</o:LockedField>
                </o:OLEObject>
              </w:object>
            </w:r>
          </w:p>
          <w:p w14:paraId="2115424D">
            <w:pPr>
              <w:pStyle w:val="141"/>
              <w:spacing w:before="0" w:line="360" w:lineRule="auto"/>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w:t>
            </w:r>
            <w:r>
              <w:rPr>
                <w:rFonts w:hint="default" w:ascii="Times New Roman" w:hAnsi="Times New Roman" w:eastAsia="宋体" w:cs="Times New Roman"/>
                <w:i/>
                <w:color w:val="auto"/>
                <w:highlight w:val="none"/>
              </w:rPr>
              <w:t>Q</w:t>
            </w:r>
            <w:r>
              <w:rPr>
                <w:rFonts w:hint="default" w:ascii="Times New Roman" w:hAnsi="Times New Roman" w:eastAsia="宋体" w:cs="Times New Roman"/>
                <w:i/>
                <w:color w:val="auto"/>
                <w:highlight w:val="none"/>
                <w:vertAlign w:val="subscript"/>
              </w:rPr>
              <w:t>c</w:t>
            </w:r>
            <w:r>
              <w:rPr>
                <w:rFonts w:hint="default" w:ascii="Times New Roman" w:hAnsi="Times New Roman" w:eastAsia="宋体" w:cs="Times New Roman"/>
                <w:color w:val="auto"/>
                <w:highlight w:val="none"/>
              </w:rPr>
              <w:t>——大气有害物质的无组织排放量，kg/h；</w:t>
            </w:r>
          </w:p>
          <w:p w14:paraId="127B0606">
            <w:pPr>
              <w:pStyle w:val="141"/>
              <w:spacing w:before="0" w:line="360" w:lineRule="auto"/>
              <w:ind w:firstLine="720" w:firstLineChars="300"/>
              <w:jc w:val="left"/>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C</w:t>
            </w:r>
            <w:r>
              <w:rPr>
                <w:rFonts w:hint="default" w:ascii="Times New Roman" w:hAnsi="Times New Roman" w:eastAsia="宋体" w:cs="Times New Roman"/>
                <w:i/>
                <w:color w:val="auto"/>
                <w:highlight w:val="none"/>
                <w:vertAlign w:val="subscript"/>
              </w:rPr>
              <w:t>m</w:t>
            </w:r>
            <w:r>
              <w:rPr>
                <w:rFonts w:hint="default" w:ascii="Times New Roman" w:hAnsi="Times New Roman" w:eastAsia="宋体" w:cs="Times New Roman"/>
                <w:color w:val="auto"/>
                <w:highlight w:val="none"/>
              </w:rPr>
              <w:t>——大气有害物质环境空气质量的标准限值，mg/m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14:paraId="703412D0">
            <w:pPr>
              <w:pStyle w:val="141"/>
              <w:spacing w:before="0"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L</w:t>
            </w:r>
            <w:r>
              <w:rPr>
                <w:rFonts w:hint="default" w:ascii="Times New Roman" w:hAnsi="Times New Roman" w:eastAsia="宋体" w:cs="Times New Roman"/>
                <w:color w:val="auto"/>
                <w:highlight w:val="none"/>
              </w:rPr>
              <w:t>——大气有害物质卫生防护距离初值，m；</w:t>
            </w:r>
          </w:p>
          <w:p w14:paraId="4CACC6A5">
            <w:pPr>
              <w:pStyle w:val="141"/>
              <w:spacing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r</w:t>
            </w:r>
            <w:r>
              <w:rPr>
                <w:rFonts w:hint="default" w:ascii="Times New Roman" w:hAnsi="Times New Roman" w:eastAsia="宋体" w:cs="Times New Roman"/>
                <w:color w:val="auto"/>
                <w:highlight w:val="none"/>
              </w:rPr>
              <w:t>——大气有害物质无组织排放源所在生产单元的等效半径，m；</w:t>
            </w:r>
          </w:p>
          <w:p w14:paraId="65B01B1F">
            <w:pPr>
              <w:numPr>
                <w:ilvl w:val="0"/>
                <w:numId w:val="8"/>
              </w:numPr>
              <w:spacing w:line="360" w:lineRule="auto"/>
              <w:ind w:firstLine="720" w:firstLineChars="300"/>
              <w:rPr>
                <w:rFonts w:hint="default" w:ascii="Times New Roman" w:hAnsi="Times New Roman" w:eastAsia="宋体" w:cs="Times New Roman"/>
                <w:color w:val="auto"/>
                <w:sz w:val="24"/>
                <w:highlight w:val="none"/>
              </w:rPr>
            </w:pPr>
            <w:r>
              <w:rPr>
                <w:rFonts w:hint="default" w:ascii="Times New Roman" w:hAnsi="Times New Roman" w:eastAsia="宋体" w:cs="Times New Roman"/>
                <w:i/>
                <w:color w:val="auto"/>
                <w:sz w:val="24"/>
                <w:highlight w:val="none"/>
              </w:rPr>
              <w:t>B</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C</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D</w:t>
            </w:r>
            <w:r>
              <w:rPr>
                <w:rFonts w:hint="default" w:ascii="Times New Roman" w:hAnsi="Times New Roman" w:eastAsia="宋体" w:cs="Times New Roman"/>
                <w:color w:val="auto"/>
                <w:sz w:val="24"/>
                <w:highlight w:val="none"/>
              </w:rPr>
              <w:t>——卫生防护距离初值计算系数，从GB/T39499-2020表1中查取，根据项目所在地平均风速1.</w:t>
            </w:r>
            <w:r>
              <w:rPr>
                <w:rFonts w:hint="default" w:ascii="Times New Roman" w:hAnsi="Times New Roman" w:cs="Times New Roman"/>
                <w:color w:val="auto"/>
                <w:sz w:val="24"/>
                <w:highlight w:val="none"/>
                <w:lang w:val="en-US" w:eastAsia="zh-CN"/>
              </w:rPr>
              <w:t>62</w:t>
            </w:r>
            <w:r>
              <w:rPr>
                <w:rFonts w:hint="default" w:ascii="Times New Roman" w:hAnsi="Times New Roman" w:eastAsia="宋体" w:cs="Times New Roman"/>
                <w:color w:val="auto"/>
                <w:sz w:val="24"/>
                <w:highlight w:val="none"/>
              </w:rPr>
              <w:t>m/s(小于2m/s)，按Ⅲ类，防护距离小于1000m，取值为</w:t>
            </w:r>
            <w:r>
              <w:rPr>
                <w:rFonts w:hint="default" w:ascii="Times New Roman" w:hAnsi="Times New Roman" w:eastAsia="宋体" w:cs="Times New Roman"/>
                <w:i/>
                <w:color w:val="auto"/>
                <w:sz w:val="24"/>
                <w:highlight w:val="none"/>
              </w:rPr>
              <w:t>A=</w:t>
            </w:r>
            <w:r>
              <w:rPr>
                <w:rFonts w:hint="default" w:ascii="Times New Roman" w:hAnsi="Times New Roman" w:eastAsia="宋体" w:cs="Times New Roman"/>
                <w:i/>
                <w:color w:val="auto"/>
                <w:sz w:val="24"/>
                <w:highlight w:val="none"/>
                <w:lang w:val="en-US" w:eastAsia="zh-CN"/>
              </w:rPr>
              <w:t>400</w:t>
            </w:r>
            <w:r>
              <w:rPr>
                <w:rFonts w:hint="default" w:ascii="Times New Roman" w:hAnsi="Times New Roman" w:eastAsia="宋体" w:cs="Times New Roman"/>
                <w:i/>
                <w:color w:val="auto"/>
                <w:sz w:val="24"/>
                <w:highlight w:val="none"/>
              </w:rPr>
              <w:t>，B=0.01，C=1.85，D=0.</w:t>
            </w:r>
            <w:r>
              <w:rPr>
                <w:rFonts w:hint="default" w:ascii="Times New Roman" w:hAnsi="Times New Roman" w:eastAsia="宋体" w:cs="Times New Roman"/>
                <w:i/>
                <w:color w:val="auto"/>
                <w:sz w:val="24"/>
                <w:highlight w:val="none"/>
                <w:lang w:val="en-US" w:eastAsia="zh-CN"/>
              </w:rPr>
              <w:t>78</w:t>
            </w:r>
            <w:r>
              <w:rPr>
                <w:rFonts w:hint="default" w:ascii="Times New Roman" w:hAnsi="Times New Roman" w:eastAsia="宋体" w:cs="Times New Roman"/>
                <w:color w:val="auto"/>
                <w:sz w:val="24"/>
                <w:highlight w:val="none"/>
              </w:rPr>
              <w:t>。</w:t>
            </w:r>
          </w:p>
          <w:p w14:paraId="38687C46">
            <w:pPr>
              <w:pStyle w:val="9"/>
              <w:keepNext w:val="0"/>
              <w:keepLines w:val="0"/>
              <w:pageBreakBefore w:val="0"/>
              <w:widowControl w:val="0"/>
              <w:kinsoku/>
              <w:wordWrap/>
              <w:overflowPunct/>
              <w:topLinePunct w:val="0"/>
              <w:autoSpaceDE/>
              <w:autoSpaceDN/>
              <w:bidi w:val="0"/>
              <w:adjustRightInd/>
              <w:snapToGrid/>
              <w:spacing w:before="157" w:beforeLines="50" w:line="240" w:lineRule="auto"/>
              <w:ind w:firstLine="482"/>
              <w:textAlignment w:val="auto"/>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rPr>
              <w:t>4-</w:t>
            </w:r>
            <w:r>
              <w:rPr>
                <w:rFonts w:hint="eastAsia" w:ascii="Times New Roman" w:hAnsi="Times New Roman" w:eastAsia="宋体" w:cs="Times New Roman"/>
                <w:b/>
                <w:color w:val="auto"/>
                <w:sz w:val="21"/>
                <w:szCs w:val="21"/>
                <w:highlight w:val="none"/>
                <w:lang w:val="en-US" w:eastAsia="zh-CN"/>
              </w:rPr>
              <w:t>11</w:t>
            </w:r>
            <w:r>
              <w:rPr>
                <w:rFonts w:hint="default" w:ascii="Times New Roman" w:hAnsi="Times New Roman" w:eastAsia="宋体" w:cs="Times New Roman"/>
                <w:b/>
                <w:color w:val="auto"/>
                <w:sz w:val="21"/>
                <w:szCs w:val="21"/>
                <w:highlight w:val="none"/>
                <w:lang w:val="en-US"/>
              </w:rPr>
              <w:t xml:space="preserve">  </w:t>
            </w:r>
            <w:r>
              <w:rPr>
                <w:rFonts w:hint="default" w:ascii="Times New Roman" w:hAnsi="Times New Roman" w:eastAsia="宋体" w:cs="Times New Roman"/>
                <w:b/>
                <w:color w:val="auto"/>
                <w:sz w:val="21"/>
                <w:szCs w:val="21"/>
                <w:highlight w:val="none"/>
                <w:lang w:val="en-US" w:eastAsia="zh-CN"/>
              </w:rPr>
              <w:t>高安市</w:t>
            </w:r>
            <w:r>
              <w:rPr>
                <w:rFonts w:hint="default" w:ascii="Times New Roman" w:hAnsi="Times New Roman" w:eastAsia="宋体" w:cs="Times New Roman"/>
                <w:b/>
                <w:color w:val="auto"/>
                <w:sz w:val="21"/>
                <w:szCs w:val="21"/>
                <w:highlight w:val="none"/>
              </w:rPr>
              <w:t>近</w:t>
            </w:r>
            <w:r>
              <w:rPr>
                <w:rFonts w:hint="default" w:ascii="Times New Roman" w:hAnsi="Times New Roman" w:eastAsia="宋体" w:cs="Times New Roman"/>
                <w:b/>
                <w:color w:val="auto"/>
                <w:sz w:val="21"/>
                <w:szCs w:val="21"/>
                <w:highlight w:val="none"/>
                <w:lang w:val="en-US"/>
              </w:rPr>
              <w:t>5</w:t>
            </w:r>
            <w:r>
              <w:rPr>
                <w:rFonts w:hint="default" w:ascii="Times New Roman" w:hAnsi="Times New Roman" w:eastAsia="宋体" w:cs="Times New Roman"/>
                <w:b/>
                <w:color w:val="auto"/>
                <w:sz w:val="21"/>
                <w:szCs w:val="21"/>
                <w:highlight w:val="none"/>
              </w:rPr>
              <w:t>年平均风速一览表</w:t>
            </w:r>
          </w:p>
          <w:tbl>
            <w:tblPr>
              <w:tblStyle w:val="14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1276"/>
              <w:gridCol w:w="1276"/>
              <w:gridCol w:w="1170"/>
              <w:gridCol w:w="1365"/>
              <w:gridCol w:w="1365"/>
            </w:tblGrid>
            <w:tr w14:paraId="78803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512E4386">
                  <w:pPr>
                    <w:pStyle w:val="148"/>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年份</w:t>
                  </w:r>
                </w:p>
              </w:tc>
              <w:tc>
                <w:tcPr>
                  <w:tcW w:w="1276" w:type="dxa"/>
                  <w:vAlign w:val="center"/>
                </w:tcPr>
                <w:p w14:paraId="3035B600">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2020</w:t>
                  </w:r>
                </w:p>
              </w:tc>
              <w:tc>
                <w:tcPr>
                  <w:tcW w:w="1276" w:type="dxa"/>
                  <w:vAlign w:val="center"/>
                </w:tcPr>
                <w:p w14:paraId="310015A6">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2021</w:t>
                  </w:r>
                </w:p>
              </w:tc>
              <w:tc>
                <w:tcPr>
                  <w:tcW w:w="1170" w:type="dxa"/>
                  <w:vAlign w:val="center"/>
                </w:tcPr>
                <w:p w14:paraId="7E19CD55">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2022</w:t>
                  </w:r>
                </w:p>
              </w:tc>
              <w:tc>
                <w:tcPr>
                  <w:tcW w:w="1365" w:type="dxa"/>
                  <w:vAlign w:val="center"/>
                </w:tcPr>
                <w:p w14:paraId="20AD801F">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2023</w:t>
                  </w:r>
                </w:p>
              </w:tc>
              <w:tc>
                <w:tcPr>
                  <w:tcW w:w="1365" w:type="dxa"/>
                  <w:vAlign w:val="center"/>
                </w:tcPr>
                <w:p w14:paraId="2BA03FF1">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2024</w:t>
                  </w:r>
                </w:p>
              </w:tc>
            </w:tr>
            <w:tr w14:paraId="58939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65BB779D">
                  <w:pPr>
                    <w:pStyle w:val="148"/>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风速（m/s）</w:t>
                  </w:r>
                </w:p>
              </w:tc>
              <w:tc>
                <w:tcPr>
                  <w:tcW w:w="1276" w:type="dxa"/>
                  <w:vAlign w:val="center"/>
                </w:tcPr>
                <w:p w14:paraId="35A5E561">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276" w:type="dxa"/>
                  <w:vAlign w:val="center"/>
                </w:tcPr>
                <w:p w14:paraId="7C7547BA">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170" w:type="dxa"/>
                  <w:vAlign w:val="center"/>
                </w:tcPr>
                <w:p w14:paraId="1B2DC042">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1.72</w:t>
                  </w:r>
                </w:p>
              </w:tc>
              <w:tc>
                <w:tcPr>
                  <w:tcW w:w="1365" w:type="dxa"/>
                  <w:vAlign w:val="center"/>
                </w:tcPr>
                <w:p w14:paraId="3CA8DB75">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1.53</w:t>
                  </w:r>
                </w:p>
              </w:tc>
              <w:tc>
                <w:tcPr>
                  <w:tcW w:w="1365" w:type="dxa"/>
                  <w:vAlign w:val="center"/>
                </w:tcPr>
                <w:p w14:paraId="77F11E08">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r>
            <w:tr w14:paraId="6B382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1343B41F">
                  <w:pPr>
                    <w:pStyle w:val="148"/>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平均值（m/s）</w:t>
                  </w:r>
                </w:p>
              </w:tc>
              <w:tc>
                <w:tcPr>
                  <w:tcW w:w="6452" w:type="dxa"/>
                  <w:gridSpan w:val="5"/>
                  <w:vAlign w:val="center"/>
                </w:tcPr>
                <w:p w14:paraId="71906DB5">
                  <w:pPr>
                    <w:pStyle w:val="148"/>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1.62</w:t>
                  </w:r>
                </w:p>
              </w:tc>
            </w:tr>
          </w:tbl>
          <w:p w14:paraId="151099BD">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卫生防护距离计算结果见表</w:t>
            </w:r>
            <w:r>
              <w:rPr>
                <w:rFonts w:hint="default" w:ascii="Times New Roman" w:hAnsi="Times New Roman" w:eastAsia="宋体" w:cs="Times New Roman"/>
                <w:color w:val="auto"/>
                <w:kern w:val="0"/>
                <w:sz w:val="24"/>
                <w:highlight w:val="none"/>
                <w:lang w:val="en-US" w:eastAsia="zh-CN"/>
              </w:rPr>
              <w:t>4-</w:t>
            </w:r>
            <w:r>
              <w:rPr>
                <w:rFonts w:hint="default" w:ascii="Times New Roman" w:hAnsi="Times New Roman" w:cs="Times New Roman"/>
                <w:color w:val="auto"/>
                <w:kern w:val="0"/>
                <w:sz w:val="24"/>
                <w:highlight w:val="none"/>
                <w:lang w:val="en-US" w:eastAsia="zh-CN"/>
              </w:rPr>
              <w:t>1</w:t>
            </w:r>
            <w:r>
              <w:rPr>
                <w:rFonts w:hint="eastAsia" w:cs="Times New Roman"/>
                <w:color w:val="auto"/>
                <w:kern w:val="0"/>
                <w:sz w:val="24"/>
                <w:highlight w:val="none"/>
                <w:lang w:val="en-US" w:eastAsia="zh-CN"/>
              </w:rPr>
              <w:t>1</w:t>
            </w:r>
            <w:r>
              <w:rPr>
                <w:rFonts w:hint="default" w:ascii="Times New Roman" w:hAnsi="Times New Roman" w:eastAsia="宋体" w:cs="Times New Roman"/>
                <w:color w:val="auto"/>
                <w:kern w:val="0"/>
                <w:sz w:val="24"/>
                <w:highlight w:val="none"/>
              </w:rPr>
              <w:t>。</w:t>
            </w:r>
          </w:p>
          <w:p w14:paraId="058E0642">
            <w:pPr>
              <w:pStyle w:val="9"/>
              <w:spacing w:line="240" w:lineRule="auto"/>
              <w:ind w:firstLine="482"/>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4-1</w:t>
            </w:r>
            <w:r>
              <w:rPr>
                <w:rFonts w:hint="eastAsia" w:ascii="Times New Roman" w:hAnsi="Times New Roman" w:eastAsia="宋体" w:cs="Times New Roman"/>
                <w:b/>
                <w:color w:val="auto"/>
                <w:sz w:val="21"/>
                <w:szCs w:val="21"/>
                <w:highlight w:val="none"/>
                <w:lang w:val="en-US" w:eastAsia="zh-CN"/>
              </w:rPr>
              <w:t xml:space="preserve">1 </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卫生防护距离计算参数及计算结果</w:t>
            </w:r>
          </w:p>
          <w:tbl>
            <w:tblPr>
              <w:tblStyle w:val="33"/>
              <w:tblW w:w="497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2"/>
              <w:gridCol w:w="930"/>
              <w:gridCol w:w="960"/>
              <w:gridCol w:w="900"/>
              <w:gridCol w:w="531"/>
              <w:gridCol w:w="584"/>
              <w:gridCol w:w="584"/>
              <w:gridCol w:w="584"/>
              <w:gridCol w:w="805"/>
              <w:gridCol w:w="1301"/>
            </w:tblGrid>
            <w:tr w14:paraId="1665CD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30" w:type="pct"/>
                  <w:tcBorders>
                    <w:tl2br w:val="nil"/>
                    <w:tr2bl w:val="nil"/>
                  </w:tcBorders>
                  <w:noWrap w:val="0"/>
                  <w:vAlign w:val="center"/>
                </w:tcPr>
                <w:p w14:paraId="1F43B9B8">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污染源</w:t>
                  </w:r>
                </w:p>
              </w:tc>
              <w:tc>
                <w:tcPr>
                  <w:tcW w:w="579" w:type="pct"/>
                  <w:tcBorders>
                    <w:tl2br w:val="nil"/>
                    <w:tr2bl w:val="nil"/>
                  </w:tcBorders>
                  <w:noWrap w:val="0"/>
                  <w:vAlign w:val="center"/>
                </w:tcPr>
                <w:p w14:paraId="74B51D15">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污染物</w:t>
                  </w:r>
                </w:p>
              </w:tc>
              <w:tc>
                <w:tcPr>
                  <w:tcW w:w="597" w:type="pct"/>
                  <w:tcBorders>
                    <w:tl2br w:val="nil"/>
                    <w:tr2bl w:val="nil"/>
                  </w:tcBorders>
                  <w:noWrap w:val="0"/>
                  <w:vAlign w:val="center"/>
                </w:tcPr>
                <w:p w14:paraId="2F519DBC">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Qc（kg/h）</w:t>
                  </w:r>
                </w:p>
              </w:tc>
              <w:tc>
                <w:tcPr>
                  <w:tcW w:w="560" w:type="pct"/>
                  <w:tcBorders>
                    <w:tl2br w:val="nil"/>
                    <w:tr2bl w:val="nil"/>
                  </w:tcBorders>
                  <w:noWrap w:val="0"/>
                  <w:vAlign w:val="center"/>
                </w:tcPr>
                <w:p w14:paraId="683120F2">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rPr>
                    <w:t>Cm</w:t>
                  </w:r>
                  <w:r>
                    <w:rPr>
                      <w:rFonts w:hint="eastAsia" w:cs="Times New Roman"/>
                      <w:b/>
                      <w:color w:val="auto"/>
                      <w:szCs w:val="21"/>
                      <w:highlight w:val="none"/>
                      <w:lang w:val="en-US" w:eastAsia="zh-CN"/>
                    </w:rPr>
                    <w:t>(</w:t>
                  </w:r>
                  <w:r>
                    <w:rPr>
                      <w:rFonts w:hint="default" w:ascii="Times New Roman" w:hAnsi="Times New Roman" w:eastAsia="宋体" w:cs="Times New Roman"/>
                      <w:b/>
                      <w:color w:val="auto"/>
                      <w:szCs w:val="21"/>
                      <w:highlight w:val="none"/>
                    </w:rPr>
                    <w:t>mg/m</w:t>
                  </w:r>
                  <w:r>
                    <w:rPr>
                      <w:rFonts w:hint="default" w:ascii="Times New Roman" w:hAnsi="Times New Roman" w:eastAsia="宋体" w:cs="Times New Roman"/>
                      <w:b/>
                      <w:color w:val="auto"/>
                      <w:szCs w:val="21"/>
                      <w:highlight w:val="none"/>
                      <w:vertAlign w:val="superscript"/>
                    </w:rPr>
                    <w:t>3</w:t>
                  </w:r>
                  <w:r>
                    <w:rPr>
                      <w:rFonts w:hint="eastAsia" w:cs="Times New Roman"/>
                      <w:b/>
                      <w:color w:val="auto"/>
                      <w:szCs w:val="21"/>
                      <w:highlight w:val="none"/>
                      <w:lang w:val="en-US" w:eastAsia="zh-CN"/>
                    </w:rPr>
                    <w:t>)</w:t>
                  </w:r>
                </w:p>
              </w:tc>
              <w:tc>
                <w:tcPr>
                  <w:tcW w:w="330" w:type="pct"/>
                  <w:tcBorders>
                    <w:tl2br w:val="nil"/>
                    <w:tr2bl w:val="nil"/>
                  </w:tcBorders>
                  <w:noWrap w:val="0"/>
                  <w:vAlign w:val="center"/>
                </w:tcPr>
                <w:p w14:paraId="2C2159B3">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A</w:t>
                  </w:r>
                </w:p>
              </w:tc>
              <w:tc>
                <w:tcPr>
                  <w:tcW w:w="363" w:type="pct"/>
                  <w:tcBorders>
                    <w:tl2br w:val="nil"/>
                    <w:tr2bl w:val="nil"/>
                  </w:tcBorders>
                  <w:noWrap w:val="0"/>
                  <w:vAlign w:val="center"/>
                </w:tcPr>
                <w:p w14:paraId="2D6347B9">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w:t>
                  </w:r>
                </w:p>
              </w:tc>
              <w:tc>
                <w:tcPr>
                  <w:tcW w:w="363" w:type="pct"/>
                  <w:tcBorders>
                    <w:tl2br w:val="nil"/>
                    <w:tr2bl w:val="nil"/>
                  </w:tcBorders>
                  <w:noWrap w:val="0"/>
                  <w:vAlign w:val="center"/>
                </w:tcPr>
                <w:p w14:paraId="5290564B">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w:t>
                  </w:r>
                </w:p>
              </w:tc>
              <w:tc>
                <w:tcPr>
                  <w:tcW w:w="363" w:type="pct"/>
                  <w:tcBorders>
                    <w:tl2br w:val="nil"/>
                    <w:tr2bl w:val="nil"/>
                  </w:tcBorders>
                  <w:noWrap w:val="0"/>
                  <w:vAlign w:val="center"/>
                </w:tcPr>
                <w:p w14:paraId="2140B013">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D</w:t>
                  </w:r>
                </w:p>
              </w:tc>
              <w:tc>
                <w:tcPr>
                  <w:tcW w:w="501" w:type="pct"/>
                  <w:tcBorders>
                    <w:tl2br w:val="nil"/>
                    <w:tr2bl w:val="nil"/>
                  </w:tcBorders>
                  <w:noWrap w:val="0"/>
                  <w:vAlign w:val="center"/>
                </w:tcPr>
                <w:p w14:paraId="742A2AAA">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L (m)</w:t>
                  </w:r>
                </w:p>
              </w:tc>
              <w:tc>
                <w:tcPr>
                  <w:tcW w:w="809" w:type="pct"/>
                  <w:tcBorders>
                    <w:tl2br w:val="nil"/>
                    <w:tr2bl w:val="nil"/>
                  </w:tcBorders>
                  <w:noWrap w:val="0"/>
                  <w:vAlign w:val="center"/>
                </w:tcPr>
                <w:p w14:paraId="5764E5CB">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设置卫生防护距离（m）</w:t>
                  </w:r>
                </w:p>
              </w:tc>
            </w:tr>
            <w:tr w14:paraId="41F36B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pct"/>
                  <w:vMerge w:val="restart"/>
                  <w:tcBorders>
                    <w:tl2br w:val="nil"/>
                    <w:tr2bl w:val="nil"/>
                  </w:tcBorders>
                  <w:noWrap w:val="0"/>
                  <w:vAlign w:val="center"/>
                </w:tcPr>
                <w:p w14:paraId="4BD88860">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厂房</w:t>
                  </w:r>
                </w:p>
              </w:tc>
              <w:tc>
                <w:tcPr>
                  <w:tcW w:w="579" w:type="pct"/>
                  <w:tcBorders>
                    <w:tl2br w:val="nil"/>
                    <w:tr2bl w:val="nil"/>
                  </w:tcBorders>
                  <w:noWrap w:val="0"/>
                  <w:vAlign w:val="center"/>
                </w:tcPr>
                <w:p w14:paraId="1EB15AC1">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二甲苯</w:t>
                  </w:r>
                </w:p>
              </w:tc>
              <w:tc>
                <w:tcPr>
                  <w:tcW w:w="597" w:type="pct"/>
                  <w:tcBorders>
                    <w:tl2br w:val="nil"/>
                    <w:tr2bl w:val="nil"/>
                  </w:tcBorders>
                  <w:noWrap w:val="0"/>
                  <w:vAlign w:val="center"/>
                </w:tcPr>
                <w:p w14:paraId="31045F17">
                  <w:pPr>
                    <w:jc w:val="center"/>
                    <w:rPr>
                      <w:rFonts w:hint="default" w:ascii="Times New Roman" w:hAnsi="Times New Roman" w:eastAsia="宋体" w:cs="Times New Roman"/>
                      <w:color w:val="auto"/>
                      <w:kern w:val="0"/>
                      <w:szCs w:val="21"/>
                      <w:highlight w:val="none"/>
                      <w:lang w:val="en-US" w:eastAsia="zh-CN"/>
                    </w:rPr>
                  </w:pPr>
                  <w:r>
                    <w:rPr>
                      <w:rFonts w:hint="eastAsia" w:eastAsia="宋体"/>
                      <w:color w:val="auto"/>
                      <w:szCs w:val="21"/>
                      <w:lang w:val="en-US" w:eastAsia="zh-CN"/>
                    </w:rPr>
                    <w:t>0.003</w:t>
                  </w:r>
                </w:p>
              </w:tc>
              <w:tc>
                <w:tcPr>
                  <w:tcW w:w="560" w:type="pct"/>
                  <w:tcBorders>
                    <w:tl2br w:val="nil"/>
                    <w:tr2bl w:val="nil"/>
                  </w:tcBorders>
                  <w:noWrap w:val="0"/>
                  <w:vAlign w:val="center"/>
                </w:tcPr>
                <w:p w14:paraId="0FF6A35C">
                  <w:pPr>
                    <w:pStyle w:val="143"/>
                    <w:adjustRightInd/>
                    <w:snapToGrid/>
                    <w:spacing w:beforeLines="0" w:afterLines="0" w:line="240" w:lineRule="auto"/>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4.0</w:t>
                  </w:r>
                </w:p>
              </w:tc>
              <w:tc>
                <w:tcPr>
                  <w:tcW w:w="330" w:type="pct"/>
                  <w:tcBorders>
                    <w:tl2br w:val="nil"/>
                    <w:tr2bl w:val="nil"/>
                  </w:tcBorders>
                  <w:noWrap w:val="0"/>
                  <w:vAlign w:val="center"/>
                </w:tcPr>
                <w:p w14:paraId="277AA544">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400</w:t>
                  </w:r>
                </w:p>
              </w:tc>
              <w:tc>
                <w:tcPr>
                  <w:tcW w:w="363" w:type="pct"/>
                  <w:tcBorders>
                    <w:tl2br w:val="nil"/>
                    <w:tr2bl w:val="nil"/>
                  </w:tcBorders>
                  <w:noWrap w:val="0"/>
                  <w:vAlign w:val="center"/>
                </w:tcPr>
                <w:p w14:paraId="28E06930">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0.0</w:t>
                  </w:r>
                  <w:r>
                    <w:rPr>
                      <w:rFonts w:hint="default" w:ascii="Times New Roman" w:hAnsi="Times New Roman" w:eastAsia="宋体" w:cs="Times New Roman"/>
                      <w:color w:val="auto"/>
                      <w:szCs w:val="21"/>
                      <w:highlight w:val="none"/>
                      <w:lang w:val="en-US" w:eastAsia="zh-CN"/>
                    </w:rPr>
                    <w:t>1</w:t>
                  </w:r>
                </w:p>
              </w:tc>
              <w:tc>
                <w:tcPr>
                  <w:tcW w:w="363" w:type="pct"/>
                  <w:tcBorders>
                    <w:tl2br w:val="nil"/>
                    <w:tr2bl w:val="nil"/>
                  </w:tcBorders>
                  <w:noWrap w:val="0"/>
                  <w:vAlign w:val="center"/>
                </w:tcPr>
                <w:p w14:paraId="214DBC3F">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363" w:type="pct"/>
                  <w:tcBorders>
                    <w:tl2br w:val="nil"/>
                    <w:tr2bl w:val="nil"/>
                  </w:tcBorders>
                  <w:noWrap w:val="0"/>
                  <w:vAlign w:val="center"/>
                </w:tcPr>
                <w:p w14:paraId="0711D25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w:t>
                  </w:r>
                  <w:r>
                    <w:rPr>
                      <w:rFonts w:hint="default" w:ascii="Times New Roman" w:hAnsi="Times New Roman" w:eastAsia="宋体" w:cs="Times New Roman"/>
                      <w:color w:val="auto"/>
                      <w:szCs w:val="21"/>
                      <w:highlight w:val="none"/>
                      <w:lang w:val="en-US" w:eastAsia="zh-CN"/>
                    </w:rPr>
                    <w:t>78</w:t>
                  </w:r>
                </w:p>
              </w:tc>
              <w:tc>
                <w:tcPr>
                  <w:tcW w:w="501" w:type="pct"/>
                  <w:tcBorders>
                    <w:tl2br w:val="nil"/>
                    <w:tr2bl w:val="nil"/>
                  </w:tcBorders>
                  <w:noWrap w:val="0"/>
                  <w:vAlign w:val="center"/>
                </w:tcPr>
                <w:p w14:paraId="4937228A">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w:t>
                  </w:r>
                  <w:r>
                    <w:rPr>
                      <w:rFonts w:hint="eastAsia" w:cs="Times New Roman"/>
                      <w:color w:val="auto"/>
                      <w:szCs w:val="21"/>
                      <w:highlight w:val="none"/>
                      <w:lang w:val="en-US" w:eastAsia="zh-CN"/>
                    </w:rPr>
                    <w:t>22</w:t>
                  </w:r>
                </w:p>
              </w:tc>
              <w:tc>
                <w:tcPr>
                  <w:tcW w:w="809" w:type="pct"/>
                  <w:tcBorders>
                    <w:tl2br w:val="nil"/>
                    <w:tr2bl w:val="nil"/>
                  </w:tcBorders>
                  <w:noWrap w:val="0"/>
                  <w:vAlign w:val="center"/>
                </w:tcPr>
                <w:p w14:paraId="7C680BF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w:t>
                  </w:r>
                </w:p>
              </w:tc>
            </w:tr>
            <w:tr w14:paraId="7D8320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pct"/>
                  <w:vMerge w:val="continue"/>
                  <w:tcBorders>
                    <w:tl2br w:val="nil"/>
                    <w:tr2bl w:val="nil"/>
                  </w:tcBorders>
                  <w:noWrap w:val="0"/>
                  <w:vAlign w:val="center"/>
                </w:tcPr>
                <w:p w14:paraId="21AD2C7E">
                  <w:pPr>
                    <w:widowControl/>
                    <w:jc w:val="center"/>
                    <w:rPr>
                      <w:rFonts w:hint="default" w:ascii="Times New Roman" w:hAnsi="Times New Roman" w:eastAsia="宋体" w:cs="Times New Roman"/>
                      <w:color w:val="auto"/>
                      <w:kern w:val="0"/>
                      <w:szCs w:val="21"/>
                      <w:highlight w:val="none"/>
                      <w:lang w:val="en-US" w:eastAsia="zh-CN"/>
                    </w:rPr>
                  </w:pPr>
                </w:p>
              </w:tc>
              <w:tc>
                <w:tcPr>
                  <w:tcW w:w="579" w:type="pct"/>
                  <w:tcBorders>
                    <w:tl2br w:val="nil"/>
                    <w:tr2bl w:val="nil"/>
                  </w:tcBorders>
                  <w:noWrap w:val="0"/>
                  <w:vAlign w:val="center"/>
                </w:tcPr>
                <w:p w14:paraId="37C9A34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非甲烷总烃</w:t>
                  </w:r>
                </w:p>
              </w:tc>
              <w:tc>
                <w:tcPr>
                  <w:tcW w:w="597" w:type="pct"/>
                  <w:tcBorders>
                    <w:tl2br w:val="nil"/>
                    <w:tr2bl w:val="nil"/>
                  </w:tcBorders>
                  <w:noWrap w:val="0"/>
                  <w:vAlign w:val="center"/>
                </w:tcPr>
                <w:p w14:paraId="46397D92">
                  <w:pPr>
                    <w:jc w:val="center"/>
                    <w:rPr>
                      <w:rFonts w:hint="eastAsia" w:eastAsia="宋体"/>
                      <w:color w:val="auto"/>
                      <w:szCs w:val="21"/>
                      <w:lang w:val="en-US" w:eastAsia="zh-CN"/>
                    </w:rPr>
                  </w:pPr>
                  <w:r>
                    <w:rPr>
                      <w:rFonts w:hint="eastAsia" w:eastAsia="宋体"/>
                      <w:color w:val="auto"/>
                      <w:szCs w:val="21"/>
                      <w:lang w:val="en-US" w:eastAsia="zh-CN"/>
                    </w:rPr>
                    <w:t>0.018</w:t>
                  </w:r>
                </w:p>
              </w:tc>
              <w:tc>
                <w:tcPr>
                  <w:tcW w:w="560" w:type="pct"/>
                  <w:tcBorders>
                    <w:tl2br w:val="nil"/>
                    <w:tr2bl w:val="nil"/>
                  </w:tcBorders>
                  <w:noWrap w:val="0"/>
                  <w:vAlign w:val="center"/>
                </w:tcPr>
                <w:p w14:paraId="517F1B21">
                  <w:pPr>
                    <w:pStyle w:val="143"/>
                    <w:adjustRightInd/>
                    <w:snapToGrid/>
                    <w:spacing w:beforeLines="0" w:afterLines="0" w:line="240" w:lineRule="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w:t>
                  </w:r>
                </w:p>
              </w:tc>
              <w:tc>
                <w:tcPr>
                  <w:tcW w:w="531" w:type="dxa"/>
                  <w:tcBorders>
                    <w:tl2br w:val="nil"/>
                    <w:tr2bl w:val="nil"/>
                  </w:tcBorders>
                  <w:noWrap w:val="0"/>
                  <w:vAlign w:val="center"/>
                </w:tcPr>
                <w:p w14:paraId="7FC03F07">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400</w:t>
                  </w:r>
                </w:p>
              </w:tc>
              <w:tc>
                <w:tcPr>
                  <w:tcW w:w="584" w:type="dxa"/>
                  <w:tcBorders>
                    <w:tl2br w:val="nil"/>
                    <w:tr2bl w:val="nil"/>
                  </w:tcBorders>
                  <w:noWrap w:val="0"/>
                  <w:vAlign w:val="center"/>
                </w:tcPr>
                <w:p w14:paraId="1BEED527">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w:t>
                  </w:r>
                  <w:r>
                    <w:rPr>
                      <w:rFonts w:hint="default" w:ascii="Times New Roman" w:hAnsi="Times New Roman" w:eastAsia="宋体" w:cs="Times New Roman"/>
                      <w:color w:val="auto"/>
                      <w:szCs w:val="21"/>
                      <w:highlight w:val="none"/>
                      <w:lang w:val="en-US" w:eastAsia="zh-CN"/>
                    </w:rPr>
                    <w:t>1</w:t>
                  </w:r>
                </w:p>
              </w:tc>
              <w:tc>
                <w:tcPr>
                  <w:tcW w:w="584" w:type="dxa"/>
                  <w:tcBorders>
                    <w:tl2br w:val="nil"/>
                    <w:tr2bl w:val="nil"/>
                  </w:tcBorders>
                  <w:noWrap w:val="0"/>
                  <w:vAlign w:val="center"/>
                </w:tcPr>
                <w:p w14:paraId="3DBFD199">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584" w:type="dxa"/>
                  <w:tcBorders>
                    <w:tl2br w:val="nil"/>
                    <w:tr2bl w:val="nil"/>
                  </w:tcBorders>
                  <w:noWrap w:val="0"/>
                  <w:vAlign w:val="center"/>
                </w:tcPr>
                <w:p w14:paraId="136395CB">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r>
                    <w:rPr>
                      <w:rFonts w:hint="default" w:ascii="Times New Roman" w:hAnsi="Times New Roman" w:eastAsia="宋体" w:cs="Times New Roman"/>
                      <w:color w:val="auto"/>
                      <w:szCs w:val="21"/>
                      <w:highlight w:val="none"/>
                      <w:lang w:val="en-US" w:eastAsia="zh-CN"/>
                    </w:rPr>
                    <w:t>78</w:t>
                  </w:r>
                </w:p>
              </w:tc>
              <w:tc>
                <w:tcPr>
                  <w:tcW w:w="501" w:type="pct"/>
                  <w:tcBorders>
                    <w:tl2br w:val="nil"/>
                    <w:tr2bl w:val="nil"/>
                  </w:tcBorders>
                  <w:noWrap w:val="0"/>
                  <w:vAlign w:val="center"/>
                </w:tcPr>
                <w:p w14:paraId="393E4F33">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0.543</w:t>
                  </w:r>
                </w:p>
              </w:tc>
              <w:tc>
                <w:tcPr>
                  <w:tcW w:w="809" w:type="pct"/>
                  <w:tcBorders>
                    <w:tl2br w:val="nil"/>
                    <w:tr2bl w:val="nil"/>
                  </w:tcBorders>
                  <w:noWrap w:val="0"/>
                  <w:vAlign w:val="center"/>
                </w:tcPr>
                <w:p w14:paraId="47C56FF9">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50</w:t>
                  </w:r>
                </w:p>
              </w:tc>
            </w:tr>
            <w:tr w14:paraId="2B911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pct"/>
                  <w:vMerge w:val="continue"/>
                  <w:tcBorders>
                    <w:tl2br w:val="nil"/>
                    <w:tr2bl w:val="nil"/>
                  </w:tcBorders>
                  <w:noWrap w:val="0"/>
                  <w:vAlign w:val="center"/>
                </w:tcPr>
                <w:p w14:paraId="39C2F21F">
                  <w:pPr>
                    <w:widowControl/>
                    <w:jc w:val="center"/>
                    <w:rPr>
                      <w:rFonts w:hint="default" w:ascii="Times New Roman" w:hAnsi="Times New Roman" w:eastAsia="宋体" w:cs="Times New Roman"/>
                      <w:color w:val="auto"/>
                      <w:kern w:val="0"/>
                      <w:szCs w:val="21"/>
                      <w:highlight w:val="none"/>
                      <w:lang w:val="en-US" w:eastAsia="zh-CN"/>
                    </w:rPr>
                  </w:pPr>
                </w:p>
              </w:tc>
              <w:tc>
                <w:tcPr>
                  <w:tcW w:w="579" w:type="pct"/>
                  <w:tcBorders>
                    <w:tl2br w:val="nil"/>
                    <w:tr2bl w:val="nil"/>
                  </w:tcBorders>
                  <w:noWrap w:val="0"/>
                  <w:vAlign w:val="center"/>
                </w:tcPr>
                <w:p w14:paraId="76BDC466">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漆雾</w:t>
                  </w:r>
                </w:p>
              </w:tc>
              <w:tc>
                <w:tcPr>
                  <w:tcW w:w="597" w:type="pct"/>
                  <w:tcBorders>
                    <w:tl2br w:val="nil"/>
                    <w:tr2bl w:val="nil"/>
                  </w:tcBorders>
                  <w:noWrap w:val="0"/>
                  <w:vAlign w:val="center"/>
                </w:tcPr>
                <w:p w14:paraId="55D425C2">
                  <w:pPr>
                    <w:jc w:val="center"/>
                    <w:rPr>
                      <w:rFonts w:hint="eastAsia" w:eastAsia="宋体"/>
                      <w:color w:val="auto"/>
                      <w:szCs w:val="21"/>
                      <w:lang w:val="en-US" w:eastAsia="zh-CN"/>
                    </w:rPr>
                  </w:pPr>
                  <w:r>
                    <w:rPr>
                      <w:rFonts w:hint="eastAsia" w:eastAsia="宋体" w:cs="Times New Roman"/>
                      <w:color w:val="auto"/>
                      <w:kern w:val="2"/>
                      <w:sz w:val="21"/>
                      <w:szCs w:val="21"/>
                      <w:lang w:val="en-US" w:eastAsia="zh-CN" w:bidi="ar-SA"/>
                    </w:rPr>
                    <w:t>0.005</w:t>
                  </w:r>
                </w:p>
              </w:tc>
              <w:tc>
                <w:tcPr>
                  <w:tcW w:w="560" w:type="pct"/>
                  <w:tcBorders>
                    <w:tl2br w:val="nil"/>
                    <w:tr2bl w:val="nil"/>
                  </w:tcBorders>
                  <w:noWrap w:val="0"/>
                  <w:vAlign w:val="center"/>
                </w:tcPr>
                <w:p w14:paraId="62F68FEA">
                  <w:pPr>
                    <w:pStyle w:val="143"/>
                    <w:adjustRightInd/>
                    <w:snapToGrid/>
                    <w:spacing w:beforeLines="0" w:afterLines="0" w:line="240" w:lineRule="auto"/>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531" w:type="dxa"/>
                  <w:tcBorders>
                    <w:tl2br w:val="nil"/>
                    <w:tr2bl w:val="nil"/>
                  </w:tcBorders>
                  <w:noWrap w:val="0"/>
                  <w:vAlign w:val="center"/>
                </w:tcPr>
                <w:p w14:paraId="11B1EAB3">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400</w:t>
                  </w:r>
                </w:p>
              </w:tc>
              <w:tc>
                <w:tcPr>
                  <w:tcW w:w="584" w:type="dxa"/>
                  <w:tcBorders>
                    <w:tl2br w:val="nil"/>
                    <w:tr2bl w:val="nil"/>
                  </w:tcBorders>
                  <w:noWrap w:val="0"/>
                  <w:vAlign w:val="center"/>
                </w:tcPr>
                <w:p w14:paraId="3C78DFC3">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w:t>
                  </w:r>
                  <w:r>
                    <w:rPr>
                      <w:rFonts w:hint="default" w:ascii="Times New Roman" w:hAnsi="Times New Roman" w:eastAsia="宋体" w:cs="Times New Roman"/>
                      <w:color w:val="auto"/>
                      <w:szCs w:val="21"/>
                      <w:highlight w:val="none"/>
                      <w:lang w:val="en-US" w:eastAsia="zh-CN"/>
                    </w:rPr>
                    <w:t>1</w:t>
                  </w:r>
                </w:p>
              </w:tc>
              <w:tc>
                <w:tcPr>
                  <w:tcW w:w="584" w:type="dxa"/>
                  <w:tcBorders>
                    <w:tl2br w:val="nil"/>
                    <w:tr2bl w:val="nil"/>
                  </w:tcBorders>
                  <w:noWrap w:val="0"/>
                  <w:vAlign w:val="center"/>
                </w:tcPr>
                <w:p w14:paraId="1928D7B0">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584" w:type="dxa"/>
                  <w:tcBorders>
                    <w:tl2br w:val="nil"/>
                    <w:tr2bl w:val="nil"/>
                  </w:tcBorders>
                  <w:noWrap w:val="0"/>
                  <w:vAlign w:val="center"/>
                </w:tcPr>
                <w:p w14:paraId="1FA16283">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r>
                    <w:rPr>
                      <w:rFonts w:hint="default" w:ascii="Times New Roman" w:hAnsi="Times New Roman" w:eastAsia="宋体" w:cs="Times New Roman"/>
                      <w:color w:val="auto"/>
                      <w:szCs w:val="21"/>
                      <w:highlight w:val="none"/>
                      <w:lang w:val="en-US" w:eastAsia="zh-CN"/>
                    </w:rPr>
                    <w:t>78</w:t>
                  </w:r>
                </w:p>
              </w:tc>
              <w:tc>
                <w:tcPr>
                  <w:tcW w:w="501" w:type="pct"/>
                  <w:tcBorders>
                    <w:tl2br w:val="nil"/>
                    <w:tr2bl w:val="nil"/>
                  </w:tcBorders>
                  <w:noWrap w:val="0"/>
                  <w:vAlign w:val="center"/>
                </w:tcPr>
                <w:p w14:paraId="1EAA38A0">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0.255</w:t>
                  </w:r>
                </w:p>
              </w:tc>
              <w:tc>
                <w:tcPr>
                  <w:tcW w:w="809" w:type="pct"/>
                  <w:tcBorders>
                    <w:tl2br w:val="nil"/>
                    <w:tr2bl w:val="nil"/>
                  </w:tcBorders>
                  <w:noWrap w:val="0"/>
                  <w:vAlign w:val="center"/>
                </w:tcPr>
                <w:p w14:paraId="6B5FE347">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50</w:t>
                  </w:r>
                </w:p>
              </w:tc>
            </w:tr>
          </w:tbl>
          <w:p w14:paraId="499F8FB0">
            <w:pPr>
              <w:wordWrap w:val="0"/>
              <w:topLinePunct/>
              <w:spacing w:line="360" w:lineRule="auto"/>
              <w:rPr>
                <w:rFonts w:hint="default" w:ascii="Times New Roman" w:hAnsi="Times New Roman" w:eastAsia="宋体" w:cs="Times New Roman"/>
                <w:color w:val="auto"/>
                <w:kern w:val="0"/>
                <w:sz w:val="24"/>
                <w:highlight w:val="none"/>
              </w:rPr>
            </w:pPr>
            <w:r>
              <w:rPr>
                <w:color w:val="auto"/>
              </w:rPr>
              <w:drawing>
                <wp:inline distT="0" distB="0" distL="114300" distR="114300">
                  <wp:extent cx="5120005" cy="2580640"/>
                  <wp:effectExtent l="0" t="0" r="0" b="0"/>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pic:cNvPicPr>
                            <a:picLocks noChangeAspect="1"/>
                          </pic:cNvPicPr>
                        </pic:nvPicPr>
                        <pic:blipFill>
                          <a:blip r:embed="rId21"/>
                          <a:srcRect b="25445"/>
                          <a:stretch>
                            <a:fillRect/>
                          </a:stretch>
                        </pic:blipFill>
                        <pic:spPr>
                          <a:xfrm>
                            <a:off x="0" y="0"/>
                            <a:ext cx="5120005" cy="2580640"/>
                          </a:xfrm>
                          <a:prstGeom prst="rect">
                            <a:avLst/>
                          </a:prstGeom>
                          <a:noFill/>
                          <a:ln>
                            <a:noFill/>
                          </a:ln>
                        </pic:spPr>
                      </pic:pic>
                    </a:graphicData>
                  </a:graphic>
                </wp:inline>
              </w:drawing>
            </w:r>
          </w:p>
          <w:p w14:paraId="6E69412A">
            <w:pPr>
              <w:wordWrap w:val="0"/>
              <w:topLinePunct/>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根据《大气有害物质无组织排放卫生防护距离推导技术导则》（GB/T39499-2020）的规定，卫生防护距离在100m以内，级差为50m；超过100m但小于1000m时，级差为100m；超过1000m以上时，级差为200m。无组织排放多种有害气体的工业企业，按Qc/Cm的最大值计算其所需卫生防护距离，当按两种或两种以上的有害气体的Qc/Cm值计算的卫生防护距离在同一级别时，该类工业企业的卫生防护距离级别应该高一级。因此，本项目计算的卫生防护距离</w:t>
            </w:r>
            <w:r>
              <w:rPr>
                <w:rFonts w:hint="default" w:ascii="Times New Roman" w:hAnsi="Times New Roman" w:eastAsia="宋体" w:cs="Times New Roman"/>
                <w:color w:val="auto"/>
                <w:kern w:val="0"/>
                <w:sz w:val="24"/>
                <w:highlight w:val="none"/>
                <w:lang w:val="en-US" w:eastAsia="zh-CN"/>
              </w:rPr>
              <w:t>终值</w:t>
            </w:r>
            <w:r>
              <w:rPr>
                <w:rFonts w:hint="default" w:ascii="Times New Roman" w:hAnsi="Times New Roman" w:eastAsia="宋体" w:cs="Times New Roman"/>
                <w:color w:val="auto"/>
                <w:kern w:val="0"/>
                <w:sz w:val="24"/>
                <w:highlight w:val="none"/>
              </w:rPr>
              <w:t>为50m。</w:t>
            </w:r>
          </w:p>
          <w:p w14:paraId="26C5BF96">
            <w:pPr>
              <w:pStyle w:val="7"/>
              <w:spacing w:line="360" w:lineRule="auto"/>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综上分析可知，本项目卫生防护距离最终确定为</w:t>
            </w:r>
            <w:r>
              <w:rPr>
                <w:rFonts w:hint="eastAsia" w:cs="Times New Roman"/>
                <w:color w:val="auto"/>
                <w:kern w:val="0"/>
                <w:sz w:val="24"/>
                <w:highlight w:val="none"/>
                <w:lang w:val="en-US" w:eastAsia="zh-CN"/>
              </w:rPr>
              <w:t>喷漆房</w:t>
            </w:r>
            <w:r>
              <w:rPr>
                <w:rFonts w:hint="default" w:ascii="Times New Roman" w:hAnsi="Times New Roman" w:eastAsia="宋体" w:cs="Times New Roman"/>
                <w:color w:val="auto"/>
                <w:kern w:val="0"/>
                <w:sz w:val="24"/>
                <w:highlight w:val="none"/>
                <w:lang w:val="en-US" w:eastAsia="zh-CN"/>
              </w:rPr>
              <w:t>厂房</w:t>
            </w:r>
            <w:r>
              <w:rPr>
                <w:rFonts w:hint="default" w:ascii="Times New Roman" w:hAnsi="Times New Roman" w:eastAsia="宋体" w:cs="Times New Roman"/>
                <w:color w:val="auto"/>
                <w:kern w:val="0"/>
                <w:sz w:val="24"/>
                <w:highlight w:val="none"/>
              </w:rPr>
              <w:t>边界外50m。</w:t>
            </w:r>
            <w:r>
              <w:rPr>
                <w:rFonts w:hint="default" w:ascii="Times New Roman" w:hAnsi="Times New Roman" w:eastAsia="宋体" w:cs="Times New Roman"/>
                <w:color w:val="auto"/>
                <w:kern w:val="0"/>
                <w:sz w:val="24"/>
                <w:highlight w:val="none"/>
                <w:lang w:val="en-US" w:eastAsia="zh-CN"/>
              </w:rPr>
              <w:t>结合卫星图</w:t>
            </w:r>
            <w:r>
              <w:rPr>
                <w:rFonts w:hint="default" w:ascii="Times New Roman" w:hAnsi="Times New Roman" w:eastAsia="宋体" w:cs="Times New Roman"/>
                <w:color w:val="auto"/>
                <w:kern w:val="0"/>
                <w:sz w:val="24"/>
                <w:highlight w:val="none"/>
              </w:rPr>
              <w:t>可知</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lang w:val="en-US" w:eastAsia="zh-CN"/>
              </w:rPr>
              <w:t>距生产车间</w:t>
            </w:r>
            <w:r>
              <w:rPr>
                <w:rFonts w:hint="eastAsia" w:cs="Times New Roman"/>
                <w:color w:val="auto"/>
                <w:kern w:val="0"/>
                <w:sz w:val="24"/>
                <w:highlight w:val="none"/>
                <w:lang w:val="en-US" w:eastAsia="zh-CN"/>
              </w:rPr>
              <w:t>50m范围内无环境敏感点</w:t>
            </w:r>
            <w:r>
              <w:rPr>
                <w:rFonts w:hint="default"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rPr>
              <w:t>因此项目选址能满足卫生防护距离要求。今后如对规划进行调整，在</w:t>
            </w:r>
            <w:r>
              <w:rPr>
                <w:rFonts w:hint="default" w:ascii="Times New Roman" w:hAnsi="Times New Roman" w:eastAsia="宋体" w:cs="Times New Roman"/>
                <w:color w:val="auto"/>
                <w:kern w:val="0"/>
                <w:sz w:val="24"/>
                <w:highlight w:val="none"/>
                <w:lang w:val="en-US" w:eastAsia="zh-CN"/>
              </w:rPr>
              <w:t>改</w:t>
            </w:r>
            <w:r>
              <w:rPr>
                <w:rFonts w:hint="eastAsia" w:cs="Times New Roman"/>
                <w:color w:val="auto"/>
                <w:kern w:val="0"/>
                <w:sz w:val="24"/>
                <w:highlight w:val="none"/>
                <w:lang w:val="en-US" w:eastAsia="zh-CN"/>
              </w:rPr>
              <w:t>扩建</w:t>
            </w:r>
            <w:r>
              <w:rPr>
                <w:rFonts w:hint="default" w:ascii="Times New Roman" w:hAnsi="Times New Roman" w:eastAsia="宋体" w:cs="Times New Roman"/>
                <w:color w:val="auto"/>
                <w:kern w:val="0"/>
                <w:sz w:val="24"/>
                <w:highlight w:val="none"/>
                <w:lang w:val="en-US" w:eastAsia="zh-CN"/>
              </w:rPr>
              <w:t>项目厂房边界</w:t>
            </w:r>
            <w:r>
              <w:rPr>
                <w:rFonts w:hint="default" w:ascii="Times New Roman" w:hAnsi="Times New Roman" w:eastAsia="宋体" w:cs="Times New Roman"/>
                <w:color w:val="auto"/>
                <w:kern w:val="0"/>
                <w:sz w:val="24"/>
                <w:highlight w:val="none"/>
              </w:rPr>
              <w:t>外50m卫生防护距离</w:t>
            </w:r>
            <w:r>
              <w:rPr>
                <w:rFonts w:hint="eastAsia" w:cs="Times New Roman"/>
                <w:color w:val="auto"/>
                <w:kern w:val="0"/>
                <w:sz w:val="24"/>
                <w:highlight w:val="none"/>
                <w:lang w:val="en-US" w:eastAsia="zh-CN"/>
              </w:rPr>
              <w:t>范围</w:t>
            </w:r>
            <w:r>
              <w:rPr>
                <w:rFonts w:hint="default" w:ascii="Times New Roman" w:hAnsi="Times New Roman" w:eastAsia="宋体" w:cs="Times New Roman"/>
                <w:color w:val="auto"/>
                <w:kern w:val="0"/>
                <w:sz w:val="24"/>
                <w:highlight w:val="none"/>
              </w:rPr>
              <w:t>内不得新建居民住宅、医院、学校等设施，不得引进医药、食品等企业。</w:t>
            </w:r>
          </w:p>
          <w:p w14:paraId="1C6E179F">
            <w:pPr>
              <w:spacing w:line="360" w:lineRule="auto"/>
              <w:ind w:firstLine="482"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b/>
                <w:bCs/>
                <w:color w:val="auto"/>
                <w:sz w:val="24"/>
                <w:szCs w:val="24"/>
                <w:highlight w:val="none"/>
                <w:lang w:val="en-US" w:eastAsia="zh-CN"/>
              </w:rPr>
              <w:t>5</w:t>
            </w:r>
            <w:r>
              <w:rPr>
                <w:rFonts w:hint="default" w:ascii="Times New Roman" w:hAnsi="Times New Roman" w:eastAsia="宋体" w:cs="Times New Roman"/>
                <w:b/>
                <w:bCs/>
                <w:color w:val="auto"/>
                <w:sz w:val="24"/>
                <w:szCs w:val="24"/>
                <w:highlight w:val="none"/>
                <w:lang w:val="en-US" w:eastAsia="zh-CN"/>
              </w:rPr>
              <w:t>、</w:t>
            </w:r>
            <w:r>
              <w:rPr>
                <w:rFonts w:hint="default" w:ascii="Times New Roman" w:hAnsi="Times New Roman" w:eastAsia="宋体" w:cs="Times New Roman"/>
                <w:b/>
                <w:bCs/>
                <w:color w:val="auto"/>
                <w:sz w:val="24"/>
                <w:szCs w:val="24"/>
                <w:highlight w:val="none"/>
                <w:lang w:eastAsia="zh-CN"/>
              </w:rPr>
              <w:t>监测计划</w:t>
            </w:r>
          </w:p>
          <w:p w14:paraId="28560257">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对照《重点排污单位名录管理规定（试行）》（环办监测</w:t>
            </w:r>
            <w:r>
              <w:rPr>
                <w:rFonts w:hint="eastAsia" w:ascii="宋体" w:hAnsi="宋体" w:eastAsia="宋体" w:cs="宋体"/>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2017</w:t>
            </w:r>
            <w:r>
              <w:rPr>
                <w:rFonts w:hint="eastAsia" w:ascii="宋体" w:hAnsi="宋体" w:eastAsia="宋体" w:cs="宋体"/>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86号），建设单位不属于重点排污单位。结合项目情况、《排污单位自行监测技术指南涂装》（HJ1086-2020）、《排污单位自行监测技术指南</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eastAsia="zh-CN"/>
              </w:rPr>
              <w:t>总则》（HJ819-2017），本项目大气污染物环境监测计划见表4-1</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p>
          <w:p w14:paraId="5465D4C2">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color w:val="0000FF"/>
                <w:highlight w:val="none"/>
              </w:rPr>
            </w:pPr>
            <w:r>
              <w:rPr>
                <w:rFonts w:hint="default" w:ascii="Times New Roman" w:hAnsi="Times New Roman" w:eastAsia="宋体" w:cs="Times New Roman"/>
                <w:b/>
                <w:bCs/>
                <w:color w:val="0000FF"/>
                <w:highlight w:val="none"/>
              </w:rPr>
              <w:t>表</w:t>
            </w:r>
            <w:r>
              <w:rPr>
                <w:rFonts w:hint="default" w:ascii="Times New Roman" w:hAnsi="Times New Roman" w:eastAsia="宋体" w:cs="Times New Roman"/>
                <w:b/>
                <w:bCs/>
                <w:color w:val="0000FF"/>
                <w:highlight w:val="none"/>
                <w:lang w:val="en-US" w:eastAsia="zh-CN"/>
              </w:rPr>
              <w:t>4-</w:t>
            </w:r>
            <w:r>
              <w:rPr>
                <w:rFonts w:hint="default" w:ascii="Times New Roman" w:hAnsi="Times New Roman" w:cs="Times New Roman"/>
                <w:b/>
                <w:bCs/>
                <w:color w:val="0000FF"/>
                <w:highlight w:val="none"/>
                <w:lang w:val="en-US" w:eastAsia="zh-CN"/>
              </w:rPr>
              <w:t>1</w:t>
            </w:r>
            <w:r>
              <w:rPr>
                <w:rFonts w:hint="eastAsia" w:cs="Times New Roman"/>
                <w:b/>
                <w:bCs/>
                <w:color w:val="0000FF"/>
                <w:highlight w:val="none"/>
                <w:lang w:val="en-US" w:eastAsia="zh-CN"/>
              </w:rPr>
              <w:t xml:space="preserve">2 </w:t>
            </w:r>
            <w:r>
              <w:rPr>
                <w:rFonts w:hint="default" w:ascii="Times New Roman" w:hAnsi="Times New Roman" w:eastAsia="宋体" w:cs="Times New Roman"/>
                <w:b/>
                <w:bCs/>
                <w:color w:val="0000FF"/>
                <w:highlight w:val="none"/>
                <w:lang w:val="en-US" w:eastAsia="zh-CN"/>
              </w:rPr>
              <w:t xml:space="preserve"> </w:t>
            </w:r>
            <w:r>
              <w:rPr>
                <w:rFonts w:hint="default" w:ascii="Times New Roman" w:hAnsi="Times New Roman" w:eastAsia="宋体" w:cs="Times New Roman"/>
                <w:b/>
                <w:bCs/>
                <w:color w:val="0000FF"/>
                <w:highlight w:val="none"/>
              </w:rPr>
              <w:t>项目</w:t>
            </w:r>
            <w:r>
              <w:rPr>
                <w:rFonts w:hint="default" w:ascii="Times New Roman" w:hAnsi="Times New Roman" w:eastAsia="宋体" w:cs="Times New Roman"/>
                <w:b/>
                <w:bCs/>
                <w:color w:val="0000FF"/>
                <w:highlight w:val="none"/>
                <w:lang w:eastAsia="zh-CN"/>
              </w:rPr>
              <w:t>废气</w:t>
            </w:r>
            <w:r>
              <w:rPr>
                <w:rFonts w:hint="default" w:ascii="Times New Roman" w:hAnsi="Times New Roman" w:eastAsia="宋体" w:cs="Times New Roman"/>
                <w:b/>
                <w:bCs/>
                <w:color w:val="0000FF"/>
                <w:highlight w:val="none"/>
              </w:rPr>
              <w:t>监测计划一览表</w:t>
            </w:r>
          </w:p>
          <w:tbl>
            <w:tblPr>
              <w:tblStyle w:val="33"/>
              <w:tblW w:w="8140"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13"/>
              <w:gridCol w:w="1244"/>
              <w:gridCol w:w="1445"/>
              <w:gridCol w:w="1045"/>
              <w:gridCol w:w="3593"/>
            </w:tblGrid>
            <w:tr w14:paraId="037DFD1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99" w:type="pct"/>
                  <w:vAlign w:val="center"/>
                </w:tcPr>
                <w:p w14:paraId="63CB9396">
                  <w:pPr>
                    <w:jc w:val="center"/>
                    <w:rPr>
                      <w:b/>
                      <w:color w:val="0000FF"/>
                    </w:rPr>
                  </w:pPr>
                  <w:r>
                    <w:rPr>
                      <w:b/>
                      <w:color w:val="0000FF"/>
                    </w:rPr>
                    <w:t>废气排放类型</w:t>
                  </w:r>
                </w:p>
              </w:tc>
              <w:tc>
                <w:tcPr>
                  <w:tcW w:w="764" w:type="pct"/>
                  <w:vAlign w:val="center"/>
                </w:tcPr>
                <w:p w14:paraId="1BE98F20">
                  <w:pPr>
                    <w:jc w:val="center"/>
                    <w:rPr>
                      <w:b/>
                      <w:color w:val="0000FF"/>
                    </w:rPr>
                  </w:pPr>
                  <w:r>
                    <w:rPr>
                      <w:b/>
                      <w:color w:val="0000FF"/>
                    </w:rPr>
                    <w:t>监测点位</w:t>
                  </w:r>
                </w:p>
              </w:tc>
              <w:tc>
                <w:tcPr>
                  <w:tcW w:w="887" w:type="pct"/>
                  <w:vAlign w:val="center"/>
                </w:tcPr>
                <w:p w14:paraId="44B960BE">
                  <w:pPr>
                    <w:jc w:val="center"/>
                    <w:rPr>
                      <w:b/>
                      <w:color w:val="0000FF"/>
                    </w:rPr>
                  </w:pPr>
                  <w:r>
                    <w:rPr>
                      <w:b/>
                      <w:color w:val="0000FF"/>
                    </w:rPr>
                    <w:t>监测指标</w:t>
                  </w:r>
                </w:p>
              </w:tc>
              <w:tc>
                <w:tcPr>
                  <w:tcW w:w="641" w:type="pct"/>
                  <w:vAlign w:val="center"/>
                </w:tcPr>
                <w:p w14:paraId="2971AC09">
                  <w:pPr>
                    <w:jc w:val="center"/>
                    <w:rPr>
                      <w:b/>
                      <w:color w:val="0000FF"/>
                    </w:rPr>
                  </w:pPr>
                  <w:r>
                    <w:rPr>
                      <w:b/>
                      <w:color w:val="0000FF"/>
                    </w:rPr>
                    <w:t>监测频次</w:t>
                  </w:r>
                </w:p>
              </w:tc>
              <w:tc>
                <w:tcPr>
                  <w:tcW w:w="2207" w:type="pct"/>
                  <w:vAlign w:val="center"/>
                </w:tcPr>
                <w:p w14:paraId="4DD30BD3">
                  <w:pPr>
                    <w:jc w:val="center"/>
                    <w:rPr>
                      <w:b/>
                      <w:color w:val="0000FF"/>
                    </w:rPr>
                  </w:pPr>
                  <w:r>
                    <w:rPr>
                      <w:b/>
                      <w:color w:val="0000FF"/>
                    </w:rPr>
                    <w:t>执行排放标准</w:t>
                  </w:r>
                </w:p>
              </w:tc>
            </w:tr>
            <w:tr w14:paraId="1A56B17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99" w:type="pct"/>
                  <w:vAlign w:val="center"/>
                </w:tcPr>
                <w:p w14:paraId="2BEDA99D">
                  <w:pPr>
                    <w:jc w:val="center"/>
                    <w:rPr>
                      <w:color w:val="0000FF"/>
                    </w:rPr>
                  </w:pPr>
                  <w:r>
                    <w:rPr>
                      <w:rFonts w:hint="eastAsia"/>
                      <w:color w:val="0000FF"/>
                    </w:rPr>
                    <w:t>有组织</w:t>
                  </w:r>
                </w:p>
              </w:tc>
              <w:tc>
                <w:tcPr>
                  <w:tcW w:w="764" w:type="pct"/>
                  <w:vAlign w:val="center"/>
                </w:tcPr>
                <w:p w14:paraId="25C9DA38">
                  <w:pPr>
                    <w:jc w:val="center"/>
                    <w:rPr>
                      <w:rFonts w:hint="eastAsia" w:eastAsia="宋体"/>
                      <w:color w:val="0000FF"/>
                      <w:lang w:eastAsia="zh-CN"/>
                    </w:rPr>
                  </w:pPr>
                  <w:r>
                    <w:rPr>
                      <w:rFonts w:hint="eastAsia"/>
                      <w:color w:val="0000FF"/>
                    </w:rPr>
                    <w:t>D</w:t>
                  </w:r>
                  <w:r>
                    <w:rPr>
                      <w:color w:val="0000FF"/>
                    </w:rPr>
                    <w:t>A00</w:t>
                  </w:r>
                  <w:r>
                    <w:rPr>
                      <w:rFonts w:hint="eastAsia"/>
                      <w:color w:val="0000FF"/>
                      <w:lang w:val="en-US" w:eastAsia="zh-CN"/>
                    </w:rPr>
                    <w:t>2</w:t>
                  </w:r>
                </w:p>
              </w:tc>
              <w:tc>
                <w:tcPr>
                  <w:tcW w:w="887" w:type="pct"/>
                  <w:vAlign w:val="center"/>
                </w:tcPr>
                <w:p w14:paraId="7A10A76C">
                  <w:pPr>
                    <w:jc w:val="center"/>
                    <w:rPr>
                      <w:rFonts w:hint="default" w:eastAsia="宋体"/>
                      <w:color w:val="0000FF"/>
                      <w:lang w:val="en-US" w:eastAsia="zh-CN"/>
                    </w:rPr>
                  </w:pPr>
                  <w:r>
                    <w:rPr>
                      <w:rFonts w:hint="eastAsia"/>
                      <w:color w:val="0000FF"/>
                      <w:lang w:val="en-US" w:eastAsia="zh-CN"/>
                    </w:rPr>
                    <w:t>颗粒物、二甲苯、</w:t>
                  </w:r>
                  <w:r>
                    <w:rPr>
                      <w:rFonts w:hint="eastAsia"/>
                      <w:color w:val="0000FF"/>
                    </w:rPr>
                    <w:t>非甲烷总</w:t>
                  </w:r>
                  <w:r>
                    <w:rPr>
                      <w:rFonts w:hint="eastAsia"/>
                      <w:color w:val="0000FF"/>
                      <w:lang w:val="en-US" w:eastAsia="zh-CN"/>
                    </w:rPr>
                    <w:t>烃、臭气浓度</w:t>
                  </w:r>
                </w:p>
              </w:tc>
              <w:tc>
                <w:tcPr>
                  <w:tcW w:w="641" w:type="pct"/>
                  <w:vAlign w:val="center"/>
                </w:tcPr>
                <w:p w14:paraId="4B886128">
                  <w:pPr>
                    <w:jc w:val="center"/>
                    <w:rPr>
                      <w:color w:val="0000FF"/>
                    </w:rPr>
                  </w:pPr>
                  <w:r>
                    <w:rPr>
                      <w:color w:val="0000FF"/>
                    </w:rPr>
                    <w:t>1</w:t>
                  </w:r>
                  <w:r>
                    <w:rPr>
                      <w:rFonts w:hint="eastAsia"/>
                      <w:color w:val="0000FF"/>
                    </w:rPr>
                    <w:t>次/年</w:t>
                  </w:r>
                </w:p>
              </w:tc>
              <w:tc>
                <w:tcPr>
                  <w:tcW w:w="2207" w:type="pct"/>
                  <w:vAlign w:val="center"/>
                </w:tcPr>
                <w:p w14:paraId="592C79BD">
                  <w:pPr>
                    <w:jc w:val="left"/>
                    <w:rPr>
                      <w:rFonts w:hint="default"/>
                      <w:bCs/>
                      <w:color w:val="0000FF"/>
                      <w:lang w:val="en-US"/>
                    </w:rPr>
                  </w:pPr>
                  <w:r>
                    <w:rPr>
                      <w:rFonts w:hint="default" w:ascii="Times New Roman" w:hAnsi="Times New Roman" w:eastAsia="宋体" w:cs="Times New Roman"/>
                      <w:color w:val="0000FF"/>
                      <w:kern w:val="0"/>
                      <w:sz w:val="21"/>
                      <w:szCs w:val="21"/>
                      <w:lang w:val="en-US" w:eastAsia="zh-CN"/>
                    </w:rPr>
                    <w:t>《挥发性有机物综合排放控制标准（试行）》（DB36/2186</w:t>
                  </w:r>
                  <w:r>
                    <w:rPr>
                      <w:rFonts w:hint="eastAsia" w:ascii="Times New Roman" w:hAnsi="Times New Roman" w:eastAsia="宋体" w:cs="Times New Roman"/>
                      <w:color w:val="0000FF"/>
                      <w:kern w:val="0"/>
                      <w:sz w:val="21"/>
                      <w:szCs w:val="21"/>
                      <w:lang w:val="en-US" w:eastAsia="zh-CN"/>
                    </w:rPr>
                    <w:t>-</w:t>
                  </w:r>
                  <w:r>
                    <w:rPr>
                      <w:rFonts w:hint="default" w:ascii="Times New Roman" w:hAnsi="Times New Roman" w:eastAsia="宋体" w:cs="Times New Roman"/>
                      <w:color w:val="0000FF"/>
                      <w:kern w:val="0"/>
                      <w:sz w:val="21"/>
                      <w:szCs w:val="21"/>
                      <w:lang w:val="en-US" w:eastAsia="zh-CN"/>
                    </w:rPr>
                    <w:t>2025）表1中</w:t>
                  </w:r>
                  <w:r>
                    <w:rPr>
                      <w:rFonts w:hint="eastAsia" w:ascii="Times New Roman" w:hAnsi="Times New Roman" w:eastAsia="宋体" w:cs="Times New Roman"/>
                      <w:color w:val="0000FF"/>
                      <w:kern w:val="0"/>
                      <w:sz w:val="21"/>
                      <w:szCs w:val="21"/>
                      <w:lang w:val="en-US" w:eastAsia="zh-CN"/>
                    </w:rPr>
                    <w:t>标准限值</w:t>
                  </w:r>
                </w:p>
              </w:tc>
            </w:tr>
            <w:tr w14:paraId="601CD19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99" w:type="pct"/>
                  <w:vMerge w:val="restart"/>
                  <w:vAlign w:val="center"/>
                </w:tcPr>
                <w:p w14:paraId="5B2007D3">
                  <w:pPr>
                    <w:jc w:val="center"/>
                    <w:rPr>
                      <w:color w:val="0000FF"/>
                    </w:rPr>
                  </w:pPr>
                  <w:r>
                    <w:rPr>
                      <w:rFonts w:hint="eastAsia"/>
                      <w:color w:val="0000FF"/>
                    </w:rPr>
                    <w:t>无组织</w:t>
                  </w:r>
                </w:p>
              </w:tc>
              <w:tc>
                <w:tcPr>
                  <w:tcW w:w="764" w:type="pct"/>
                  <w:vAlign w:val="center"/>
                </w:tcPr>
                <w:p w14:paraId="22A7C9C7">
                  <w:pPr>
                    <w:jc w:val="center"/>
                    <w:rPr>
                      <w:color w:val="0000FF"/>
                    </w:rPr>
                  </w:pPr>
                  <w:r>
                    <w:rPr>
                      <w:rFonts w:hint="eastAsia"/>
                      <w:color w:val="0000FF"/>
                    </w:rPr>
                    <w:t>厂界上风向及下风向</w:t>
                  </w:r>
                </w:p>
              </w:tc>
              <w:tc>
                <w:tcPr>
                  <w:tcW w:w="887" w:type="pct"/>
                  <w:vAlign w:val="center"/>
                </w:tcPr>
                <w:p w14:paraId="06AFD1A5">
                  <w:pPr>
                    <w:jc w:val="center"/>
                    <w:rPr>
                      <w:color w:val="0000FF"/>
                    </w:rPr>
                  </w:pPr>
                  <w:r>
                    <w:rPr>
                      <w:rFonts w:hint="eastAsia"/>
                      <w:color w:val="0000FF"/>
                      <w:lang w:val="en-US" w:eastAsia="zh-CN"/>
                    </w:rPr>
                    <w:t>颗粒物、二甲苯、</w:t>
                  </w:r>
                  <w:r>
                    <w:rPr>
                      <w:rFonts w:hint="eastAsia"/>
                      <w:color w:val="0000FF"/>
                    </w:rPr>
                    <w:t>非甲烷总</w:t>
                  </w:r>
                  <w:r>
                    <w:rPr>
                      <w:rFonts w:hint="eastAsia"/>
                      <w:color w:val="0000FF"/>
                      <w:lang w:val="en-US" w:eastAsia="zh-CN"/>
                    </w:rPr>
                    <w:t>烃、臭气浓度</w:t>
                  </w:r>
                </w:p>
              </w:tc>
              <w:tc>
                <w:tcPr>
                  <w:tcW w:w="641" w:type="pct"/>
                  <w:vAlign w:val="center"/>
                </w:tcPr>
                <w:p w14:paraId="634C0881">
                  <w:pPr>
                    <w:jc w:val="center"/>
                    <w:rPr>
                      <w:color w:val="0000FF"/>
                    </w:rPr>
                  </w:pPr>
                  <w:r>
                    <w:rPr>
                      <w:color w:val="0000FF"/>
                    </w:rPr>
                    <w:t>1</w:t>
                  </w:r>
                  <w:r>
                    <w:rPr>
                      <w:rFonts w:hint="eastAsia"/>
                      <w:color w:val="0000FF"/>
                    </w:rPr>
                    <w:t>次/年</w:t>
                  </w:r>
                </w:p>
              </w:tc>
              <w:tc>
                <w:tcPr>
                  <w:tcW w:w="2207" w:type="pct"/>
                  <w:vAlign w:val="center"/>
                </w:tcPr>
                <w:p w14:paraId="5F7A7B59">
                  <w:pPr>
                    <w:jc w:val="left"/>
                    <w:rPr>
                      <w:rFonts w:hint="default"/>
                      <w:bCs/>
                      <w:color w:val="0000FF"/>
                      <w:lang w:val="en-US"/>
                    </w:rPr>
                  </w:pPr>
                  <w:r>
                    <w:rPr>
                      <w:rFonts w:hint="default" w:ascii="Times New Roman" w:hAnsi="Times New Roman" w:eastAsia="宋体" w:cs="Times New Roman"/>
                      <w:color w:val="0000FF"/>
                      <w:kern w:val="0"/>
                      <w:sz w:val="21"/>
                      <w:szCs w:val="21"/>
                      <w:lang w:val="en-US" w:eastAsia="zh-CN"/>
                    </w:rPr>
                    <w:t>《大气污染物综合排放标准》（GB16297-1996）中新污染源二级标准、《挥发性有机物综合排放控制标准（试行）》（DB36/2186</w:t>
                  </w:r>
                  <w:r>
                    <w:rPr>
                      <w:rFonts w:hint="eastAsia" w:ascii="Times New Roman" w:hAnsi="Times New Roman" w:eastAsia="宋体" w:cs="Times New Roman"/>
                      <w:color w:val="0000FF"/>
                      <w:kern w:val="0"/>
                      <w:sz w:val="21"/>
                      <w:szCs w:val="21"/>
                      <w:lang w:val="en-US" w:eastAsia="zh-CN"/>
                    </w:rPr>
                    <w:t>-</w:t>
                  </w:r>
                  <w:r>
                    <w:rPr>
                      <w:rFonts w:hint="default" w:ascii="Times New Roman" w:hAnsi="Times New Roman" w:eastAsia="宋体" w:cs="Times New Roman"/>
                      <w:color w:val="0000FF"/>
                      <w:kern w:val="0"/>
                      <w:sz w:val="21"/>
                      <w:szCs w:val="21"/>
                      <w:lang w:val="en-US" w:eastAsia="zh-CN"/>
                    </w:rPr>
                    <w:t>2025）表</w:t>
                  </w:r>
                  <w:r>
                    <w:rPr>
                      <w:rFonts w:hint="eastAsia" w:ascii="Times New Roman" w:hAnsi="Times New Roman" w:eastAsia="宋体" w:cs="Times New Roman"/>
                      <w:color w:val="0000FF"/>
                      <w:kern w:val="0"/>
                      <w:sz w:val="21"/>
                      <w:szCs w:val="21"/>
                      <w:lang w:val="en-US" w:eastAsia="zh-CN"/>
                    </w:rPr>
                    <w:t>3中标准限值</w:t>
                  </w:r>
                  <w:r>
                    <w:rPr>
                      <w:rFonts w:hint="eastAsia" w:cs="Times New Roman"/>
                      <w:color w:val="0000FF"/>
                      <w:kern w:val="0"/>
                      <w:sz w:val="21"/>
                      <w:szCs w:val="21"/>
                      <w:lang w:val="en-US" w:eastAsia="zh-CN"/>
                    </w:rPr>
                    <w:t>。</w:t>
                  </w:r>
                </w:p>
              </w:tc>
            </w:tr>
            <w:tr w14:paraId="62D9B98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99" w:type="pct"/>
                  <w:vMerge w:val="continue"/>
                  <w:vAlign w:val="center"/>
                </w:tcPr>
                <w:p w14:paraId="3B635246">
                  <w:pPr>
                    <w:jc w:val="center"/>
                    <w:rPr>
                      <w:color w:val="0000FF"/>
                    </w:rPr>
                  </w:pPr>
                </w:p>
              </w:tc>
              <w:tc>
                <w:tcPr>
                  <w:tcW w:w="764" w:type="pct"/>
                  <w:vAlign w:val="center"/>
                </w:tcPr>
                <w:p w14:paraId="563AC618">
                  <w:pPr>
                    <w:jc w:val="center"/>
                    <w:rPr>
                      <w:color w:val="0000FF"/>
                    </w:rPr>
                  </w:pPr>
                  <w:r>
                    <w:rPr>
                      <w:rFonts w:hint="eastAsia"/>
                      <w:color w:val="0000FF"/>
                    </w:rPr>
                    <w:t>厂区内</w:t>
                  </w:r>
                </w:p>
              </w:tc>
              <w:tc>
                <w:tcPr>
                  <w:tcW w:w="887" w:type="pct"/>
                  <w:vAlign w:val="center"/>
                </w:tcPr>
                <w:p w14:paraId="0E40A891">
                  <w:pPr>
                    <w:jc w:val="center"/>
                    <w:rPr>
                      <w:color w:val="0000FF"/>
                    </w:rPr>
                  </w:pPr>
                  <w:r>
                    <w:rPr>
                      <w:rFonts w:hint="eastAsia"/>
                      <w:color w:val="0000FF"/>
                    </w:rPr>
                    <w:t>非甲烷总烃</w:t>
                  </w:r>
                </w:p>
              </w:tc>
              <w:tc>
                <w:tcPr>
                  <w:tcW w:w="641" w:type="pct"/>
                  <w:vAlign w:val="center"/>
                </w:tcPr>
                <w:p w14:paraId="4CD779CD">
                  <w:pPr>
                    <w:jc w:val="center"/>
                    <w:rPr>
                      <w:color w:val="0000FF"/>
                    </w:rPr>
                  </w:pPr>
                  <w:r>
                    <w:rPr>
                      <w:color w:val="0000FF"/>
                    </w:rPr>
                    <w:t>1</w:t>
                  </w:r>
                  <w:r>
                    <w:rPr>
                      <w:rFonts w:hint="eastAsia"/>
                      <w:color w:val="0000FF"/>
                    </w:rPr>
                    <w:t>次/年</w:t>
                  </w:r>
                </w:p>
              </w:tc>
              <w:tc>
                <w:tcPr>
                  <w:tcW w:w="2207" w:type="pct"/>
                  <w:vAlign w:val="center"/>
                </w:tcPr>
                <w:p w14:paraId="07AB7454">
                  <w:pPr>
                    <w:jc w:val="left"/>
                    <w:rPr>
                      <w:bCs/>
                      <w:color w:val="0000FF"/>
                    </w:rPr>
                  </w:pPr>
                  <w:r>
                    <w:rPr>
                      <w:rFonts w:hint="default" w:ascii="Times New Roman" w:hAnsi="Times New Roman" w:eastAsia="宋体" w:cs="Times New Roman"/>
                      <w:color w:val="0000FF"/>
                      <w:kern w:val="0"/>
                      <w:sz w:val="21"/>
                      <w:szCs w:val="21"/>
                      <w:lang w:val="en-US" w:eastAsia="zh-CN"/>
                    </w:rPr>
                    <w:t>《挥发性有机物综合排放控制标准（试行）》（DB36/2186</w:t>
                  </w:r>
                  <w:r>
                    <w:rPr>
                      <w:rFonts w:hint="eastAsia" w:ascii="Times New Roman" w:hAnsi="Times New Roman" w:eastAsia="宋体" w:cs="Times New Roman"/>
                      <w:color w:val="0000FF"/>
                      <w:kern w:val="0"/>
                      <w:sz w:val="21"/>
                      <w:szCs w:val="21"/>
                      <w:lang w:val="en-US" w:eastAsia="zh-CN"/>
                    </w:rPr>
                    <w:t>-</w:t>
                  </w:r>
                  <w:r>
                    <w:rPr>
                      <w:rFonts w:hint="default" w:ascii="Times New Roman" w:hAnsi="Times New Roman" w:eastAsia="宋体" w:cs="Times New Roman"/>
                      <w:color w:val="0000FF"/>
                      <w:kern w:val="0"/>
                      <w:sz w:val="21"/>
                      <w:szCs w:val="21"/>
                      <w:lang w:val="en-US" w:eastAsia="zh-CN"/>
                    </w:rPr>
                    <w:t>2025）表</w:t>
                  </w:r>
                  <w:r>
                    <w:rPr>
                      <w:rFonts w:hint="eastAsia" w:ascii="Times New Roman" w:hAnsi="Times New Roman" w:eastAsia="宋体" w:cs="Times New Roman"/>
                      <w:color w:val="0000FF"/>
                      <w:kern w:val="0"/>
                      <w:sz w:val="21"/>
                      <w:szCs w:val="21"/>
                      <w:lang w:val="en-US" w:eastAsia="zh-CN"/>
                    </w:rPr>
                    <w:t>2中标准限值</w:t>
                  </w:r>
                </w:p>
              </w:tc>
            </w:tr>
          </w:tbl>
          <w:p w14:paraId="3557EBA5">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二、废水</w:t>
            </w:r>
          </w:p>
          <w:p w14:paraId="708DFFFF">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1、废水产排源强分析</w:t>
            </w:r>
          </w:p>
          <w:p w14:paraId="3EEA37DD">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color w:val="auto"/>
                <w:kern w:val="2"/>
                <w:sz w:val="24"/>
                <w:szCs w:val="24"/>
                <w:highlight w:val="none"/>
                <w:lang w:val="en-US" w:eastAsia="zh-CN" w:bidi="ar-SA"/>
              </w:rPr>
              <w:t>改</w:t>
            </w:r>
            <w:r>
              <w:rPr>
                <w:rFonts w:hint="eastAsia" w:cs="Times New Roman"/>
                <w:b w:val="0"/>
                <w:bCs/>
                <w:color w:val="auto"/>
                <w:kern w:val="2"/>
                <w:sz w:val="24"/>
                <w:szCs w:val="24"/>
                <w:highlight w:val="none"/>
                <w:lang w:val="en-US" w:eastAsia="zh-CN" w:bidi="ar-SA"/>
              </w:rPr>
              <w:t>扩建</w:t>
            </w:r>
            <w:r>
              <w:rPr>
                <w:rFonts w:hint="default" w:ascii="Times New Roman" w:hAnsi="Times New Roman" w:eastAsia="宋体" w:cs="Times New Roman"/>
                <w:b w:val="0"/>
                <w:bCs/>
                <w:color w:val="auto"/>
                <w:kern w:val="2"/>
                <w:sz w:val="24"/>
                <w:szCs w:val="24"/>
                <w:highlight w:val="none"/>
                <w:lang w:val="en-US" w:eastAsia="zh-CN" w:bidi="ar-SA"/>
              </w:rPr>
              <w:t>项目新增废水主要为</w:t>
            </w:r>
            <w:r>
              <w:rPr>
                <w:rFonts w:hint="eastAsia" w:cs="Times New Roman"/>
                <w:b w:val="0"/>
                <w:bCs/>
                <w:color w:val="auto"/>
                <w:kern w:val="2"/>
                <w:sz w:val="24"/>
                <w:szCs w:val="24"/>
                <w:highlight w:val="none"/>
                <w:lang w:val="en-US" w:eastAsia="zh-CN" w:bidi="ar-SA"/>
              </w:rPr>
              <w:t>超声波清洗废水</w:t>
            </w:r>
            <w:r>
              <w:rPr>
                <w:rFonts w:hint="default" w:ascii="Times New Roman" w:hAnsi="Times New Roman" w:eastAsia="宋体" w:cs="Times New Roman"/>
                <w:b w:val="0"/>
                <w:bCs/>
                <w:color w:val="auto"/>
                <w:kern w:val="2"/>
                <w:sz w:val="24"/>
                <w:szCs w:val="24"/>
                <w:highlight w:val="none"/>
                <w:lang w:val="en-US" w:eastAsia="zh-CN" w:bidi="ar-SA"/>
              </w:rPr>
              <w:t>以及生活污水</w:t>
            </w:r>
            <w:r>
              <w:rPr>
                <w:rFonts w:hint="default" w:ascii="Times New Roman" w:hAnsi="Times New Roman" w:eastAsia="宋体" w:cs="Times New Roman"/>
                <w:color w:val="auto"/>
                <w:sz w:val="24"/>
                <w:szCs w:val="24"/>
                <w:highlight w:val="none"/>
              </w:rPr>
              <w:t>。</w:t>
            </w:r>
          </w:p>
          <w:p w14:paraId="71C2B045">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超声波清洗</w:t>
            </w:r>
            <w:r>
              <w:rPr>
                <w:rFonts w:hint="default" w:ascii="Times New Roman" w:hAnsi="Times New Roman" w:eastAsia="宋体" w:cs="Times New Roman"/>
                <w:color w:val="auto"/>
                <w:sz w:val="24"/>
                <w:szCs w:val="24"/>
                <w:highlight w:val="none"/>
              </w:rPr>
              <w:t>废水</w:t>
            </w:r>
          </w:p>
          <w:p w14:paraId="05E0FBC8">
            <w:pPr>
              <w:spacing w:line="360" w:lineRule="auto"/>
              <w:ind w:firstLine="420" w:firstLineChars="175"/>
              <w:rPr>
                <w:rFonts w:hint="default" w:ascii="Times New Roman" w:hAnsi="Times New Roman" w:eastAsia="宋体" w:cs="Times New Roman"/>
                <w:color w:val="auto"/>
                <w:sz w:val="24"/>
                <w:szCs w:val="24"/>
                <w:highlight w:val="none"/>
                <w:lang w:val="en-US" w:eastAsia="zh-CN"/>
              </w:rPr>
            </w:pPr>
            <w:r>
              <w:rPr>
                <w:rFonts w:hint="eastAsia" w:cs="Times New Roman"/>
                <w:b w:val="0"/>
                <w:bCs/>
                <w:color w:val="auto"/>
                <w:kern w:val="2"/>
                <w:sz w:val="24"/>
                <w:szCs w:val="24"/>
                <w:highlight w:val="none"/>
                <w:lang w:val="en-US" w:eastAsia="zh-CN" w:bidi="ar-SA"/>
              </w:rPr>
              <w:t>超声波清洗机利用超声波在液体中产生的空化效应，较彻底清洗掉工件表面粘附的油污，通过添加适当的超声波清洗剂，可以迅速的对工件表面实现高清洁度的处理。原项目中超声波清洗废水循环利用，但在实际使用中，清洗废水无法循环回用，需处理后排放。根据业主提供的资料，产生的清洗废水一周更换一次，每次约为8t，约为1.14</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eastAsia" w:cs="Times New Roman"/>
                <w:b w:val="0"/>
                <w:bCs/>
                <w:color w:val="auto"/>
                <w:kern w:val="2"/>
                <w:sz w:val="24"/>
                <w:szCs w:val="24"/>
                <w:highlight w:val="none"/>
                <w:lang w:val="en-US" w:eastAsia="zh-CN" w:bidi="ar-SA"/>
              </w:rPr>
              <w:t>/d，342.86</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主要污染因子为COD、BOD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、NH</w:t>
            </w:r>
            <w:r>
              <w:rPr>
                <w:rFonts w:hint="eastAsia" w:ascii="Times New Roman" w:hAnsi="Times New Roman" w:eastAsia="宋体" w:cs="Times New Roman"/>
                <w:color w:val="auto"/>
                <w:sz w:val="24"/>
                <w:szCs w:val="24"/>
                <w:highlight w:val="none"/>
                <w:vertAlign w:val="subscript"/>
                <w:lang w:val="en-US" w:eastAsia="zh-CN"/>
              </w:rPr>
              <w:t>3</w:t>
            </w:r>
            <w:r>
              <w:rPr>
                <w:rFonts w:hint="eastAsia" w:ascii="Times New Roman" w:hAnsi="Times New Roman" w:eastAsia="宋体" w:cs="Times New Roman"/>
                <w:color w:val="auto"/>
                <w:sz w:val="24"/>
                <w:szCs w:val="24"/>
                <w:highlight w:val="none"/>
                <w:lang w:val="en-US" w:eastAsia="zh-CN"/>
              </w:rPr>
              <w:t>-N、TN、TP、石油类，根据企业废水送检结果，COD：9640mg/L，BOD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：3275mg/L，NH</w:t>
            </w:r>
            <w:r>
              <w:rPr>
                <w:rFonts w:hint="eastAsia" w:ascii="Times New Roman" w:hAnsi="Times New Roman" w:eastAsia="宋体" w:cs="Times New Roman"/>
                <w:color w:val="auto"/>
                <w:sz w:val="24"/>
                <w:szCs w:val="24"/>
                <w:highlight w:val="none"/>
                <w:vertAlign w:val="subscript"/>
                <w:lang w:val="en-US" w:eastAsia="zh-CN"/>
              </w:rPr>
              <w:t>3</w:t>
            </w:r>
            <w:r>
              <w:rPr>
                <w:rFonts w:hint="eastAsia" w:ascii="Times New Roman" w:hAnsi="Times New Roman" w:eastAsia="宋体" w:cs="Times New Roman"/>
                <w:color w:val="auto"/>
                <w:sz w:val="24"/>
                <w:szCs w:val="24"/>
                <w:highlight w:val="none"/>
                <w:lang w:val="en-US" w:eastAsia="zh-CN"/>
              </w:rPr>
              <w:t>-N：72.4mg/L，TN：95.9mg/L，TP：165mg/L，石油类：</w:t>
            </w:r>
            <w:r>
              <w:rPr>
                <w:rFonts w:hint="eastAsia" w:cs="Times New Roman"/>
                <w:color w:val="auto"/>
                <w:sz w:val="24"/>
                <w:szCs w:val="24"/>
                <w:highlight w:val="none"/>
                <w:lang w:val="en-US" w:eastAsia="zh-CN"/>
              </w:rPr>
              <w:t>300</w:t>
            </w:r>
            <w:r>
              <w:rPr>
                <w:rFonts w:hint="eastAsia" w:ascii="Times New Roman" w:hAnsi="Times New Roman" w:eastAsia="宋体" w:cs="Times New Roman"/>
                <w:color w:val="auto"/>
                <w:sz w:val="24"/>
                <w:szCs w:val="24"/>
                <w:highlight w:val="none"/>
                <w:lang w:val="en-US" w:eastAsia="zh-CN"/>
              </w:rPr>
              <w:t>mg/L。</w:t>
            </w:r>
          </w:p>
          <w:p w14:paraId="40835BC5">
            <w:pPr>
              <w:spacing w:line="360" w:lineRule="auto"/>
              <w:ind w:firstLine="420" w:firstLineChars="175"/>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因清洗废水中总磷含量较高，则需采用一体化污水处理设施（工艺：</w:t>
            </w:r>
            <w:r>
              <w:rPr>
                <w:rFonts w:hint="eastAsia" w:cs="Times New Roman"/>
                <w:color w:val="auto"/>
                <w:sz w:val="24"/>
                <w:szCs w:val="24"/>
                <w:highlight w:val="none"/>
                <w:lang w:val="en-US" w:eastAsia="zh-CN"/>
              </w:rPr>
              <w:t>p</w:t>
            </w:r>
            <w:r>
              <w:rPr>
                <w:rFonts w:hint="eastAsia" w:ascii="Times New Roman" w:hAnsi="Times New Roman" w:eastAsia="宋体" w:cs="Times New Roman"/>
                <w:color w:val="auto"/>
                <w:sz w:val="24"/>
                <w:szCs w:val="24"/>
                <w:highlight w:val="none"/>
                <w:lang w:val="en-US" w:eastAsia="zh-CN"/>
              </w:rPr>
              <w:t>H调节+</w:t>
            </w:r>
            <w:r>
              <w:rPr>
                <w:rFonts w:hint="eastAsia" w:cs="Times New Roman"/>
                <w:color w:val="auto"/>
                <w:sz w:val="24"/>
                <w:szCs w:val="24"/>
                <w:highlight w:val="none"/>
                <w:lang w:val="en-US" w:eastAsia="zh-CN"/>
              </w:rPr>
              <w:t>絮凝反应沉淀+二级膜生物反应器</w:t>
            </w:r>
            <w:r>
              <w:rPr>
                <w:rFonts w:hint="eastAsia" w:ascii="Times New Roman" w:hAnsi="Times New Roman" w:eastAsia="宋体" w:cs="Times New Roman"/>
                <w:color w:val="auto"/>
                <w:sz w:val="24"/>
                <w:szCs w:val="24"/>
                <w:highlight w:val="none"/>
                <w:lang w:val="en-US" w:eastAsia="zh-CN"/>
              </w:rPr>
              <w:t>，设计水量：3m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/d）进行处理达到高安市工业园污水处理厂接管标准后</w:t>
            </w:r>
            <w:r>
              <w:rPr>
                <w:rFonts w:hint="default" w:ascii="Times New Roman" w:hAnsi="Times New Roman" w:eastAsia="宋体" w:cs="Times New Roman"/>
                <w:b w:val="0"/>
                <w:bCs/>
                <w:color w:val="auto"/>
                <w:kern w:val="2"/>
                <w:sz w:val="24"/>
                <w:szCs w:val="24"/>
                <w:highlight w:val="none"/>
                <w:lang w:val="en-US" w:eastAsia="zh-CN" w:bidi="ar-SA"/>
              </w:rPr>
              <w:t>排入高安市工业园污水</w:t>
            </w:r>
            <w:r>
              <w:rPr>
                <w:rFonts w:hint="eastAsia" w:ascii="Times New Roman" w:hAnsi="Times New Roman" w:eastAsia="宋体" w:cs="Times New Roman"/>
                <w:b w:val="0"/>
                <w:bCs/>
                <w:color w:val="auto"/>
                <w:kern w:val="2"/>
                <w:sz w:val="24"/>
                <w:szCs w:val="24"/>
                <w:highlight w:val="none"/>
                <w:lang w:val="en-US" w:eastAsia="zh-CN" w:bidi="ar-SA"/>
              </w:rPr>
              <w:t>处理</w:t>
            </w:r>
            <w:r>
              <w:rPr>
                <w:rFonts w:hint="default" w:ascii="Times New Roman" w:hAnsi="Times New Roman" w:eastAsia="宋体" w:cs="Times New Roman"/>
                <w:b w:val="0"/>
                <w:bCs/>
                <w:color w:val="auto"/>
                <w:kern w:val="2"/>
                <w:sz w:val="24"/>
                <w:szCs w:val="24"/>
                <w:highlight w:val="none"/>
                <w:lang w:val="en-US" w:eastAsia="zh-CN" w:bidi="ar-SA"/>
              </w:rPr>
              <w:t>厂，处理达《城镇污水处理厂污染物排放标准》（GB18918-2002）一级A标准后排放</w:t>
            </w:r>
            <w:r>
              <w:rPr>
                <w:rFonts w:hint="eastAsia" w:ascii="Times New Roman" w:hAnsi="Times New Roman" w:eastAsia="宋体" w:cs="Times New Roman"/>
                <w:b w:val="0"/>
                <w:bCs/>
                <w:color w:val="auto"/>
                <w:kern w:val="2"/>
                <w:sz w:val="24"/>
                <w:szCs w:val="24"/>
                <w:highlight w:val="none"/>
                <w:lang w:val="en-US" w:eastAsia="zh-CN" w:bidi="ar-SA"/>
              </w:rPr>
              <w:t>。</w:t>
            </w:r>
          </w:p>
          <w:p w14:paraId="6046D888">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）生活污水</w:t>
            </w:r>
          </w:p>
          <w:p w14:paraId="72E963C2">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改</w:t>
            </w:r>
            <w:r>
              <w:rPr>
                <w:rFonts w:hint="eastAsia" w:cs="Times New Roman"/>
                <w:color w:val="auto"/>
                <w:sz w:val="24"/>
                <w:szCs w:val="24"/>
                <w:highlight w:val="none"/>
                <w:lang w:val="en-US" w:eastAsia="zh-CN"/>
              </w:rPr>
              <w:t>扩建</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建成后</w:t>
            </w:r>
            <w:r>
              <w:rPr>
                <w:rFonts w:hint="default" w:ascii="Times New Roman" w:hAnsi="Times New Roman" w:eastAsia="宋体" w:cs="Times New Roman"/>
                <w:color w:val="auto"/>
                <w:sz w:val="24"/>
                <w:szCs w:val="24"/>
                <w:highlight w:val="none"/>
              </w:rPr>
              <w:t>劳动定员</w:t>
            </w:r>
            <w:r>
              <w:rPr>
                <w:rFonts w:hint="eastAsia" w:cs="Times New Roman"/>
                <w:color w:val="auto"/>
                <w:sz w:val="24"/>
                <w:szCs w:val="24"/>
                <w:highlight w:val="none"/>
                <w:lang w:val="en-US" w:eastAsia="zh-CN"/>
              </w:rPr>
              <w:t>100人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2"/>
                <w:sz w:val="24"/>
                <w:szCs w:val="24"/>
                <w:lang w:val="en-US" w:eastAsia="zh-CN" w:bidi="ar-SA"/>
              </w:rPr>
              <w:t>参照江西省人民政府关于印发《生活及服务业用水定额第 2 部分：服务业、居民生活和建筑业》的通知（赣府发</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2024</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17号）中</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城</w:t>
            </w:r>
            <w:r>
              <w:rPr>
                <w:rFonts w:hint="eastAsia" w:cs="Times New Roman"/>
                <w:color w:val="auto"/>
                <w:kern w:val="2"/>
                <w:sz w:val="24"/>
                <w:szCs w:val="24"/>
                <w:lang w:val="en-US" w:eastAsia="zh-CN" w:bidi="ar-SA"/>
              </w:rPr>
              <w:t>镇</w:t>
            </w:r>
            <w:r>
              <w:rPr>
                <w:rFonts w:hint="default" w:ascii="Times New Roman" w:hAnsi="Times New Roman" w:eastAsia="宋体" w:cs="Times New Roman"/>
                <w:color w:val="auto"/>
                <w:kern w:val="2"/>
                <w:sz w:val="24"/>
                <w:szCs w:val="24"/>
                <w:lang w:val="en-US" w:eastAsia="zh-CN" w:bidi="ar-SA"/>
              </w:rPr>
              <w:t>居民生活用水定额</w:t>
            </w:r>
            <w:r>
              <w:rPr>
                <w:rFonts w:hint="eastAsia" w:cs="Times New Roman"/>
                <w:color w:val="auto"/>
                <w:kern w:val="2"/>
                <w:sz w:val="24"/>
                <w:szCs w:val="24"/>
                <w:lang w:val="en-US" w:eastAsia="zh-CN" w:bidi="ar-SA"/>
              </w:rPr>
              <w:t>为</w:t>
            </w:r>
            <w:r>
              <w:rPr>
                <w:rFonts w:hint="default" w:ascii="Times New Roman" w:hAnsi="Times New Roman" w:eastAsia="宋体" w:cs="Times New Roman"/>
                <w:color w:val="auto"/>
                <w:kern w:val="2"/>
                <w:sz w:val="24"/>
                <w:szCs w:val="24"/>
                <w:lang w:val="en-US" w:eastAsia="zh-CN" w:bidi="ar-SA"/>
              </w:rPr>
              <w:t>160L/人</w:t>
            </w:r>
            <w:r>
              <w:rPr>
                <w:rFonts w:hint="eastAsia"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d</w:t>
            </w:r>
            <w:r>
              <w:rPr>
                <w:rFonts w:hint="eastAsia" w:ascii="宋体" w:hAnsi="宋体" w:eastAsia="宋体" w:cs="宋体"/>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sz w:val="24"/>
                <w:szCs w:val="24"/>
                <w:highlight w:val="none"/>
                <w:lang w:val="en-US" w:eastAsia="zh-CN"/>
              </w:rPr>
              <w:t>则</w:t>
            </w:r>
            <w:r>
              <w:rPr>
                <w:rFonts w:hint="default" w:ascii="Times New Roman" w:hAnsi="Times New Roman" w:eastAsia="宋体" w:cs="Times New Roman"/>
                <w:color w:val="auto"/>
                <w:sz w:val="24"/>
                <w:szCs w:val="24"/>
                <w:highlight w:val="none"/>
              </w:rPr>
              <w:t>生活用水量为</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4800</w:t>
            </w:r>
            <w:r>
              <w:rPr>
                <w:rFonts w:hint="default" w:ascii="Times New Roman" w:hAnsi="Times New Roman" w:eastAsia="宋体" w:cs="Times New Roman"/>
                <w:color w:val="auto"/>
                <w:sz w:val="24"/>
                <w:szCs w:val="24"/>
                <w:highlight w:val="none"/>
                <w:lang w:val="en-US" w:eastAsia="zh-CN"/>
              </w:rPr>
              <w:t>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/a。产污系数0.8，则生活污水产生量为</w:t>
            </w:r>
            <w:r>
              <w:rPr>
                <w:rFonts w:hint="eastAsia" w:cs="Times New Roman"/>
                <w:color w:val="auto"/>
                <w:sz w:val="24"/>
                <w:szCs w:val="24"/>
                <w:highlight w:val="none"/>
                <w:lang w:val="en-US" w:eastAsia="zh-CN"/>
              </w:rPr>
              <w:t>12.8</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3840</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/a。</w:t>
            </w:r>
          </w:p>
          <w:p w14:paraId="14BE0BCC">
            <w:pPr>
              <w:spacing w:line="360" w:lineRule="auto"/>
              <w:ind w:firstLine="420" w:firstLineChars="175"/>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主要污染物产生浓度参考江西省一般生活污水水质计</w:t>
            </w:r>
            <w:r>
              <w:rPr>
                <w:rFonts w:ascii="Times New Roman" w:hAnsi="Times New Roman" w:cs="Times New Roman"/>
                <w:color w:val="auto"/>
                <w:sz w:val="24"/>
                <w:szCs w:val="24"/>
              </w:rPr>
              <w:t>：pH为6～9</w:t>
            </w:r>
            <w:r>
              <w:rPr>
                <w:rFonts w:hint="eastAsia" w:ascii="Times New Roman" w:hAnsi="Times New Roman" w:cs="Times New Roman"/>
                <w:color w:val="auto"/>
                <w:sz w:val="24"/>
                <w:szCs w:val="24"/>
              </w:rPr>
              <w:t>无量纲</w:t>
            </w:r>
            <w:r>
              <w:rPr>
                <w:rFonts w:ascii="Times New Roman" w:hAnsi="Times New Roman" w:cs="Times New Roman"/>
                <w:color w:val="auto"/>
                <w:sz w:val="24"/>
                <w:szCs w:val="24"/>
              </w:rPr>
              <w:t>、COD</w:t>
            </w:r>
            <w:r>
              <w:rPr>
                <w:rFonts w:ascii="Times New Roman" w:hAnsi="Times New Roman" w:cs="Times New Roman"/>
                <w:color w:val="auto"/>
                <w:sz w:val="24"/>
                <w:szCs w:val="24"/>
                <w:vertAlign w:val="subscript"/>
              </w:rPr>
              <w:t>Cr</w:t>
            </w:r>
            <w:r>
              <w:rPr>
                <w:rFonts w:ascii="Times New Roman" w:hAnsi="Times New Roman" w:cs="Times New Roman"/>
                <w:color w:val="auto"/>
                <w:sz w:val="24"/>
                <w:szCs w:val="24"/>
              </w:rPr>
              <w:t>为250mg/</w:t>
            </w:r>
            <w:r>
              <w:rPr>
                <w:rFonts w:hint="eastAsia" w:ascii="Times New Roman" w:hAnsi="Times New Roman" w:cs="Times New Roman"/>
                <w:color w:val="auto"/>
                <w:sz w:val="24"/>
                <w:szCs w:val="24"/>
                <w:lang w:val="en-US" w:eastAsia="zh-CN"/>
              </w:rPr>
              <w:t>L</w:t>
            </w:r>
            <w:r>
              <w:rPr>
                <w:rFonts w:ascii="Times New Roman" w:hAnsi="Times New Roman" w:cs="Times New Roman"/>
                <w:color w:val="auto"/>
                <w:sz w:val="24"/>
                <w:szCs w:val="24"/>
              </w:rPr>
              <w:t>、BOD</w:t>
            </w:r>
            <w:r>
              <w:rPr>
                <w:rFonts w:ascii="Times New Roman" w:hAnsi="Times New Roman" w:cs="Times New Roman"/>
                <w:color w:val="auto"/>
                <w:sz w:val="24"/>
                <w:szCs w:val="24"/>
                <w:vertAlign w:val="subscript"/>
              </w:rPr>
              <w:t>5</w:t>
            </w:r>
            <w:r>
              <w:rPr>
                <w:rFonts w:ascii="Times New Roman" w:hAnsi="Times New Roman" w:cs="Times New Roman"/>
                <w:color w:val="auto"/>
                <w:sz w:val="24"/>
                <w:szCs w:val="24"/>
              </w:rPr>
              <w:t>为150mg/</w:t>
            </w:r>
            <w:r>
              <w:rPr>
                <w:rFonts w:hint="eastAsia" w:ascii="Times New Roman" w:hAnsi="Times New Roman" w:cs="Times New Roman"/>
                <w:color w:val="auto"/>
                <w:sz w:val="24"/>
                <w:szCs w:val="24"/>
                <w:lang w:val="en-US" w:eastAsia="zh-CN"/>
              </w:rPr>
              <w:t>L</w:t>
            </w:r>
            <w:r>
              <w:rPr>
                <w:rFonts w:ascii="Times New Roman" w:hAnsi="Times New Roman" w:cs="Times New Roman"/>
                <w:color w:val="auto"/>
                <w:sz w:val="24"/>
                <w:szCs w:val="24"/>
              </w:rPr>
              <w:t>、SS为200mg/</w:t>
            </w:r>
            <w:r>
              <w:rPr>
                <w:rFonts w:hint="eastAsia" w:ascii="Times New Roman" w:hAnsi="Times New Roman" w:cs="Times New Roman"/>
                <w:color w:val="auto"/>
                <w:sz w:val="24"/>
                <w:szCs w:val="24"/>
                <w:lang w:val="en-US" w:eastAsia="zh-CN"/>
              </w:rPr>
              <w:t>L</w:t>
            </w:r>
            <w:r>
              <w:rPr>
                <w:rFonts w:ascii="Times New Roman" w:hAnsi="Times New Roman" w:cs="Times New Roman"/>
                <w:color w:val="auto"/>
                <w:sz w:val="24"/>
                <w:szCs w:val="24"/>
              </w:rPr>
              <w:t>、NH</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-N为</w:t>
            </w:r>
            <w:r>
              <w:rPr>
                <w:rFonts w:hint="eastAsia" w:ascii="Times New Roman" w:hAnsi="Times New Roman" w:cs="Times New Roman"/>
                <w:color w:val="auto"/>
                <w:sz w:val="24"/>
                <w:szCs w:val="24"/>
              </w:rPr>
              <w:t>30</w:t>
            </w:r>
            <w:r>
              <w:rPr>
                <w:rFonts w:ascii="Times New Roman" w:hAnsi="Times New Roman" w:cs="Times New Roman"/>
                <w:color w:val="auto"/>
                <w:sz w:val="24"/>
                <w:szCs w:val="24"/>
              </w:rPr>
              <w:t>mg/</w:t>
            </w:r>
            <w:r>
              <w:rPr>
                <w:rFonts w:hint="eastAsia" w:ascii="Times New Roman" w:hAnsi="Times New Roman" w:cs="Times New Roman"/>
                <w:color w:val="auto"/>
                <w:sz w:val="24"/>
                <w:szCs w:val="24"/>
                <w:lang w:val="en-US" w:eastAsia="zh-CN"/>
              </w:rPr>
              <w:t>L</w:t>
            </w:r>
            <w:r>
              <w:rPr>
                <w:rFonts w:ascii="Times New Roman" w:hAnsi="Times New Roman" w:cs="Times New Roman"/>
                <w:color w:val="auto"/>
                <w:sz w:val="24"/>
                <w:szCs w:val="24"/>
              </w:rPr>
              <w:t>、TP为</w:t>
            </w:r>
            <w:r>
              <w:rPr>
                <w:rFonts w:hint="eastAsia" w:ascii="Times New Roman" w:hAnsi="Times New Roman" w:cs="Times New Roman"/>
                <w:color w:val="auto"/>
                <w:sz w:val="24"/>
                <w:szCs w:val="24"/>
              </w:rPr>
              <w:t>4</w:t>
            </w:r>
            <w:r>
              <w:rPr>
                <w:rFonts w:ascii="Times New Roman" w:hAnsi="Times New Roman" w:cs="Times New Roman"/>
                <w:color w:val="auto"/>
                <w:sz w:val="24"/>
                <w:szCs w:val="24"/>
              </w:rPr>
              <w:t>mg/</w:t>
            </w:r>
            <w:r>
              <w:rPr>
                <w:rFonts w:hint="eastAsia" w:ascii="Times New Roman" w:hAnsi="Times New Roman" w:cs="Times New Roman"/>
                <w:color w:val="auto"/>
                <w:sz w:val="24"/>
                <w:szCs w:val="24"/>
                <w:lang w:val="en-US" w:eastAsia="zh-CN"/>
              </w:rPr>
              <w:t>L</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TN为50mg/L</w:t>
            </w:r>
            <w:r>
              <w:rPr>
                <w:rFonts w:ascii="Times New Roman" w:hAnsi="Times New Roman" w:cs="Times New Roman"/>
                <w:color w:val="auto"/>
                <w:sz w:val="24"/>
                <w:szCs w:val="24"/>
              </w:rPr>
              <w:t>、</w:t>
            </w:r>
            <w:r>
              <w:rPr>
                <w:rFonts w:hint="eastAsia" w:ascii="Times New Roman" w:hAnsi="Times New Roman" w:cs="Times New Roman"/>
                <w:color w:val="auto"/>
                <w:sz w:val="24"/>
                <w:szCs w:val="24"/>
              </w:rPr>
              <w:t>动植物油</w:t>
            </w:r>
            <w:r>
              <w:rPr>
                <w:rFonts w:ascii="Times New Roman" w:hAnsi="Times New Roman" w:cs="Times New Roman"/>
                <w:color w:val="auto"/>
                <w:sz w:val="24"/>
                <w:szCs w:val="24"/>
              </w:rPr>
              <w:t>为</w:t>
            </w:r>
            <w:r>
              <w:rPr>
                <w:rFonts w:hint="eastAsia" w:cs="Times New Roman"/>
                <w:color w:val="auto"/>
                <w:sz w:val="24"/>
                <w:szCs w:val="24"/>
                <w:lang w:val="en-US" w:eastAsia="zh-CN"/>
              </w:rPr>
              <w:t>5</w:t>
            </w:r>
            <w:r>
              <w:rPr>
                <w:rFonts w:ascii="Times New Roman" w:hAnsi="Times New Roman" w:cs="Times New Roman"/>
                <w:color w:val="auto"/>
                <w:sz w:val="24"/>
                <w:szCs w:val="24"/>
              </w:rPr>
              <w:t>0mg/</w:t>
            </w:r>
            <w:r>
              <w:rPr>
                <w:rFonts w:hint="eastAsia" w:ascii="Times New Roman" w:hAnsi="Times New Roman" w:cs="Times New Roman"/>
                <w:color w:val="auto"/>
                <w:sz w:val="24"/>
                <w:szCs w:val="24"/>
                <w:lang w:val="en-US" w:eastAsia="zh-CN"/>
              </w:rPr>
              <w:t>L</w:t>
            </w:r>
            <w:r>
              <w:rPr>
                <w:rFonts w:ascii="Times New Roman" w:hAnsi="Times New Roman" w:cs="Times New Roman"/>
                <w:color w:val="auto"/>
                <w:sz w:val="24"/>
                <w:szCs w:val="24"/>
              </w:rPr>
              <w:t>。生活污水经</w:t>
            </w:r>
            <w:r>
              <w:rPr>
                <w:rFonts w:hint="eastAsia" w:cs="Times New Roman"/>
                <w:color w:val="auto"/>
                <w:sz w:val="24"/>
                <w:szCs w:val="24"/>
                <w:lang w:val="en-US" w:eastAsia="zh-CN"/>
              </w:rPr>
              <w:t>隔油池、</w:t>
            </w:r>
            <w:r>
              <w:rPr>
                <w:rFonts w:hint="eastAsia" w:ascii="Times New Roman" w:hAnsi="Times New Roman" w:cs="Times New Roman"/>
                <w:color w:val="auto"/>
                <w:sz w:val="24"/>
                <w:szCs w:val="24"/>
              </w:rPr>
              <w:t>化粪池</w:t>
            </w:r>
            <w:r>
              <w:rPr>
                <w:rFonts w:ascii="Times New Roman" w:hAnsi="Times New Roman" w:cs="Times New Roman"/>
                <w:color w:val="auto"/>
                <w:sz w:val="24"/>
                <w:szCs w:val="24"/>
              </w:rPr>
              <w:t>处理后</w:t>
            </w:r>
            <w:r>
              <w:rPr>
                <w:rFonts w:hint="eastAsia" w:ascii="Times New Roman" w:hAnsi="Times New Roman" w:cs="Times New Roman"/>
                <w:color w:val="auto"/>
                <w:sz w:val="24"/>
                <w:szCs w:val="24"/>
                <w:lang w:val="en-US" w:eastAsia="zh-CN"/>
              </w:rPr>
              <w:t>与经处理后的超声波</w:t>
            </w:r>
            <w:r>
              <w:rPr>
                <w:rFonts w:ascii="Times New Roman" w:hAnsi="Times New Roman" w:cs="Times New Roman"/>
                <w:color w:val="auto"/>
                <w:sz w:val="24"/>
                <w:szCs w:val="24"/>
              </w:rPr>
              <w:t>废水</w:t>
            </w:r>
            <w:r>
              <w:rPr>
                <w:rFonts w:hint="eastAsia" w:ascii="Times New Roman" w:hAnsi="Times New Roman" w:cs="Times New Roman"/>
                <w:color w:val="auto"/>
                <w:sz w:val="24"/>
                <w:szCs w:val="24"/>
                <w:lang w:val="en-US" w:eastAsia="zh-CN"/>
              </w:rPr>
              <w:t>汇合，</w:t>
            </w:r>
            <w:r>
              <w:rPr>
                <w:rFonts w:hint="default" w:ascii="Times New Roman" w:hAnsi="Times New Roman" w:eastAsia="宋体" w:cs="Times New Roman"/>
                <w:color w:val="auto"/>
                <w:sz w:val="24"/>
                <w:szCs w:val="24"/>
                <w:highlight w:val="none"/>
                <w:lang w:val="en-US" w:eastAsia="zh-CN"/>
              </w:rPr>
              <w:t>达《污水综合排放标准》(GB8978-1996）表4中三级标准以及</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污水处理厂接管标准后排入</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w:t>
            </w:r>
            <w:r>
              <w:rPr>
                <w:rFonts w:hint="eastAsia" w:ascii="Times New Roman" w:hAnsi="Times New Roman" w:eastAsia="宋体" w:cs="Times New Roman"/>
                <w:color w:val="auto"/>
                <w:sz w:val="24"/>
                <w:szCs w:val="24"/>
                <w:highlight w:val="none"/>
                <w:lang w:val="en-US" w:eastAsia="zh-CN"/>
              </w:rPr>
              <w:t>处理</w:t>
            </w:r>
            <w:r>
              <w:rPr>
                <w:rFonts w:hint="default" w:ascii="Times New Roman" w:hAnsi="Times New Roman" w:eastAsia="宋体" w:cs="Times New Roman"/>
                <w:color w:val="auto"/>
                <w:sz w:val="24"/>
                <w:szCs w:val="24"/>
                <w:highlight w:val="none"/>
                <w:lang w:val="en-US" w:eastAsia="zh-CN"/>
              </w:rPr>
              <w:t>厂，处理达《城镇污水处理厂污染物排放标准》（GB18918-2002）一级A标准后排放</w:t>
            </w:r>
            <w:r>
              <w:rPr>
                <w:rFonts w:ascii="Times New Roman" w:hAnsi="Times New Roman" w:cs="Times New Roman"/>
                <w:color w:val="auto"/>
                <w:sz w:val="24"/>
                <w:szCs w:val="24"/>
              </w:rPr>
              <w:t>。</w:t>
            </w:r>
          </w:p>
          <w:p w14:paraId="01EFC4D8">
            <w:pPr>
              <w:spacing w:line="360" w:lineRule="auto"/>
              <w:ind w:firstLine="420" w:firstLineChars="175"/>
              <w:rPr>
                <w:rFonts w:hint="eastAsia"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（3）地面清洗废水</w:t>
            </w:r>
          </w:p>
          <w:p w14:paraId="3EC1ECED">
            <w:pPr>
              <w:spacing w:line="360" w:lineRule="auto"/>
              <w:ind w:firstLine="420" w:firstLineChars="175"/>
              <w:rPr>
                <w:rFonts w:hint="eastAsia" w:ascii="Times New Roman" w:hAnsi="Times New Roman" w:cs="Times New Roman"/>
                <w:color w:val="auto"/>
                <w:sz w:val="24"/>
                <w:szCs w:val="24"/>
              </w:rPr>
            </w:pPr>
            <w:r>
              <w:rPr>
                <w:rFonts w:hint="default" w:ascii="Times New Roman" w:hAnsi="Times New Roman" w:cs="Times New Roman"/>
                <w:color w:val="auto"/>
                <w:sz w:val="24"/>
                <w:szCs w:val="24"/>
                <w:highlight w:val="none"/>
              </w:rPr>
              <w:t>项目生产车间每日清洗一次，清洗用水量约为</w:t>
            </w:r>
            <w:r>
              <w:rPr>
                <w:rFonts w:hint="eastAsia" w:ascii="Times New Roman" w:hAnsi="Times New Roman" w:cs="Times New Roman"/>
                <w:color w:val="auto"/>
                <w:sz w:val="24"/>
                <w:szCs w:val="24"/>
                <w:highlight w:val="none"/>
                <w:lang w:val="en-US" w:eastAsia="zh-CN"/>
              </w:rPr>
              <w:t>0.3</w:t>
            </w:r>
            <w:r>
              <w:rPr>
                <w:rFonts w:hint="default" w:ascii="Times New Roman" w:hAnsi="Times New Roman" w:cs="Times New Roman"/>
                <w:color w:val="auto"/>
                <w:sz w:val="24"/>
                <w:szCs w:val="24"/>
                <w:highlight w:val="none"/>
              </w:rPr>
              <w:t>L/m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，生产车间面积共计约</w:t>
            </w:r>
            <w:r>
              <w:rPr>
                <w:rFonts w:hint="eastAsia" w:cs="Times New Roman"/>
                <w:color w:val="auto"/>
                <w:sz w:val="24"/>
                <w:szCs w:val="24"/>
                <w:highlight w:val="none"/>
                <w:lang w:val="en-US" w:eastAsia="zh-CN"/>
              </w:rPr>
              <w:t>11695</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，则车间地面清洗用水量为</w:t>
            </w:r>
            <w:r>
              <w:rPr>
                <w:rFonts w:hint="eastAsia" w:cs="Times New Roman"/>
                <w:color w:val="auto"/>
                <w:sz w:val="24"/>
                <w:szCs w:val="24"/>
                <w:highlight w:val="none"/>
                <w:lang w:val="en-US" w:eastAsia="zh-CN"/>
              </w:rPr>
              <w:t>3.51</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/d，</w:t>
            </w:r>
            <w:r>
              <w:rPr>
                <w:rFonts w:hint="eastAsia" w:cs="Times New Roman"/>
                <w:color w:val="auto"/>
                <w:sz w:val="24"/>
                <w:szCs w:val="24"/>
                <w:highlight w:val="none"/>
                <w:lang w:val="en-US" w:eastAsia="zh-CN"/>
              </w:rPr>
              <w:t>1052.55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eastAsia="zh-CN"/>
              </w:rPr>
              <w:t>。</w:t>
            </w:r>
            <w:r>
              <w:rPr>
                <w:rFonts w:hint="eastAsia" w:cs="Times New Roman"/>
                <w:b w:val="0"/>
                <w:bCs/>
                <w:color w:val="auto"/>
                <w:kern w:val="2"/>
                <w:sz w:val="24"/>
                <w:szCs w:val="24"/>
                <w:highlight w:val="none"/>
                <w:lang w:val="en-US" w:eastAsia="zh-CN" w:bidi="ar-SA"/>
              </w:rPr>
              <w:t>产污系数按0.8计，则地面清洗废水产生量为2.81</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/d，</w:t>
            </w:r>
            <w:r>
              <w:rPr>
                <w:rFonts w:hint="eastAsia" w:cs="Times New Roman"/>
                <w:color w:val="auto"/>
                <w:sz w:val="24"/>
                <w:szCs w:val="24"/>
                <w:highlight w:val="none"/>
                <w:lang w:val="en-US" w:eastAsia="zh-CN"/>
              </w:rPr>
              <w:t>1052.55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a</w:t>
            </w:r>
            <w:r>
              <w:rPr>
                <w:rFonts w:hint="default" w:ascii="Times New Roman" w:hAnsi="Times New Roman" w:eastAsia="宋体" w:cs="Times New Roman"/>
                <w:b w:val="0"/>
                <w:bCs/>
                <w:color w:val="auto"/>
                <w:kern w:val="2"/>
                <w:sz w:val="24"/>
                <w:szCs w:val="24"/>
                <w:highlight w:val="none"/>
                <w:lang w:val="en-US" w:eastAsia="zh-CN" w:bidi="ar-SA"/>
              </w:rPr>
              <w:t>。</w:t>
            </w:r>
            <w:r>
              <w:rPr>
                <w:rFonts w:hint="default" w:ascii="Times New Roman" w:hAnsi="Times New Roman" w:cs="Times New Roman"/>
                <w:color w:val="auto"/>
                <w:sz w:val="24"/>
                <w:lang w:eastAsia="zh-CN"/>
              </w:rPr>
              <w:t>主要污染物为pH</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6~9、</w:t>
            </w:r>
            <w:r>
              <w:rPr>
                <w:rFonts w:hint="eastAsia" w:ascii="Times New Roman" w:cs="Times New Roman"/>
                <w:color w:val="auto"/>
                <w:sz w:val="24"/>
                <w:lang w:val="en-US" w:eastAsia="zh-CN"/>
              </w:rPr>
              <w:t>COD：200mg/L、</w:t>
            </w:r>
            <w:r>
              <w:rPr>
                <w:rFonts w:hint="default" w:ascii="Times New Roman" w:hAnsi="Times New Roman" w:cs="Times New Roman"/>
                <w:color w:val="auto"/>
                <w:sz w:val="24"/>
                <w:lang w:val="en-US" w:eastAsia="zh-CN"/>
              </w:rPr>
              <w:t>SS</w:t>
            </w:r>
            <w:r>
              <w:rPr>
                <w:rFonts w:hint="eastAsia" w:ascii="Times New Roman" w:hAnsi="Times New Roman" w:cs="Times New Roman"/>
                <w:color w:val="auto"/>
                <w:sz w:val="24"/>
                <w:lang w:val="en-US" w:eastAsia="zh-CN"/>
              </w:rPr>
              <w:t>：400mg/L，</w:t>
            </w:r>
            <w:r>
              <w:rPr>
                <w:rFonts w:hint="eastAsia" w:cs="Times New Roman"/>
                <w:b w:val="0"/>
                <w:bCs/>
                <w:color w:val="auto"/>
                <w:kern w:val="2"/>
                <w:sz w:val="24"/>
                <w:szCs w:val="24"/>
                <w:highlight w:val="none"/>
                <w:lang w:val="en-US" w:eastAsia="zh-CN" w:bidi="ar-SA"/>
              </w:rPr>
              <w:t>地面清洗废水经沉淀池沉淀后回用，沉淀池底部污泥定期清理。</w:t>
            </w:r>
          </w:p>
          <w:p w14:paraId="4E4602A6">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4-1</w:t>
            </w:r>
            <w:r>
              <w:rPr>
                <w:rFonts w:hint="eastAsia" w:cs="Times New Roman"/>
                <w:b/>
                <w:bCs/>
                <w:color w:val="auto"/>
                <w:highlight w:val="none"/>
                <w:lang w:val="en-US" w:eastAsia="zh-CN"/>
              </w:rPr>
              <w:t>3</w:t>
            </w:r>
            <w:r>
              <w:rPr>
                <w:rFonts w:hint="default" w:ascii="Times New Roman" w:hAnsi="Times New Roman" w:eastAsia="宋体" w:cs="Times New Roman"/>
                <w:b/>
                <w:bCs/>
                <w:color w:val="auto"/>
                <w:highlight w:val="none"/>
              </w:rPr>
              <w:t xml:space="preserve">  厂区污水中各污染物产排污情况汇总表</w:t>
            </w:r>
          </w:p>
          <w:tbl>
            <w:tblPr>
              <w:tblStyle w:val="33"/>
              <w:tblW w:w="81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72"/>
              <w:gridCol w:w="1084"/>
              <w:gridCol w:w="1138"/>
              <w:gridCol w:w="1018"/>
              <w:gridCol w:w="1246"/>
              <w:gridCol w:w="986"/>
              <w:gridCol w:w="952"/>
              <w:gridCol w:w="710"/>
            </w:tblGrid>
            <w:tr w14:paraId="7DDEE6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99" w:type="pct"/>
                  <w:tcBorders>
                    <w:tl2br w:val="nil"/>
                    <w:tr2bl w:val="nil"/>
                  </w:tcBorders>
                  <w:noWrap w:val="0"/>
                  <w:vAlign w:val="center"/>
                </w:tcPr>
                <w:p w14:paraId="7718415D">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污染源</w:t>
                  </w:r>
                </w:p>
              </w:tc>
              <w:tc>
                <w:tcPr>
                  <w:tcW w:w="668" w:type="pct"/>
                  <w:tcBorders>
                    <w:tl2br w:val="nil"/>
                    <w:tr2bl w:val="nil"/>
                  </w:tcBorders>
                  <w:noWrap w:val="0"/>
                  <w:vAlign w:val="center"/>
                </w:tcPr>
                <w:p w14:paraId="764454E2">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污染物名称</w:t>
                  </w:r>
                </w:p>
              </w:tc>
              <w:tc>
                <w:tcPr>
                  <w:tcW w:w="701" w:type="pct"/>
                  <w:tcBorders>
                    <w:tl2br w:val="nil"/>
                    <w:tr2bl w:val="nil"/>
                  </w:tcBorders>
                  <w:noWrap w:val="0"/>
                  <w:vAlign w:val="center"/>
                </w:tcPr>
                <w:p w14:paraId="07EBAC54">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产生浓度mg/L</w:t>
                  </w:r>
                </w:p>
              </w:tc>
              <w:tc>
                <w:tcPr>
                  <w:tcW w:w="627" w:type="pct"/>
                  <w:tcBorders>
                    <w:tl2br w:val="nil"/>
                    <w:tr2bl w:val="nil"/>
                  </w:tcBorders>
                  <w:noWrap w:val="0"/>
                  <w:vAlign w:val="center"/>
                </w:tcPr>
                <w:p w14:paraId="2744DF55">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产生量t/a</w:t>
                  </w:r>
                </w:p>
              </w:tc>
              <w:tc>
                <w:tcPr>
                  <w:tcW w:w="768" w:type="pct"/>
                  <w:tcBorders>
                    <w:tl2br w:val="nil"/>
                    <w:tr2bl w:val="nil"/>
                  </w:tcBorders>
                  <w:noWrap w:val="0"/>
                  <w:vAlign w:val="center"/>
                </w:tcPr>
                <w:p w14:paraId="5EEE32A0">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治理措施</w:t>
                  </w:r>
                </w:p>
              </w:tc>
              <w:tc>
                <w:tcPr>
                  <w:tcW w:w="608" w:type="pct"/>
                  <w:tcBorders>
                    <w:tl2br w:val="nil"/>
                    <w:tr2bl w:val="nil"/>
                  </w:tcBorders>
                  <w:noWrap w:val="0"/>
                  <w:vAlign w:val="center"/>
                </w:tcPr>
                <w:p w14:paraId="5EAE1422">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排放浓度mg/L</w:t>
                  </w:r>
                </w:p>
              </w:tc>
              <w:tc>
                <w:tcPr>
                  <w:tcW w:w="587" w:type="pct"/>
                  <w:tcBorders>
                    <w:tl2br w:val="nil"/>
                    <w:tr2bl w:val="nil"/>
                  </w:tcBorders>
                  <w:noWrap w:val="0"/>
                  <w:vAlign w:val="center"/>
                </w:tcPr>
                <w:p w14:paraId="5B15D539">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排放量</w:t>
                  </w:r>
                </w:p>
                <w:p w14:paraId="2366423F">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t/a</w:t>
                  </w:r>
                </w:p>
              </w:tc>
              <w:tc>
                <w:tcPr>
                  <w:tcW w:w="437" w:type="pct"/>
                  <w:tcBorders>
                    <w:tl2br w:val="nil"/>
                    <w:tr2bl w:val="nil"/>
                  </w:tcBorders>
                  <w:noWrap w:val="0"/>
                  <w:vAlign w:val="center"/>
                </w:tcPr>
                <w:p w14:paraId="40127330">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排放标准</w:t>
                  </w:r>
                </w:p>
              </w:tc>
            </w:tr>
            <w:tr w14:paraId="0AB96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restart"/>
                  <w:tcBorders>
                    <w:tl2br w:val="nil"/>
                    <w:tr2bl w:val="nil"/>
                  </w:tcBorders>
                  <w:noWrap w:val="0"/>
                  <w:vAlign w:val="center"/>
                </w:tcPr>
                <w:p w14:paraId="32EB390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超声波清洗</w:t>
                  </w:r>
                  <w:r>
                    <w:rPr>
                      <w:rFonts w:hint="default" w:ascii="Times New Roman" w:hAnsi="Times New Roman" w:eastAsia="宋体" w:cs="Times New Roman"/>
                      <w:color w:val="auto"/>
                      <w:sz w:val="21"/>
                      <w:szCs w:val="21"/>
                      <w:highlight w:val="none"/>
                      <w:lang w:val="en-US" w:eastAsia="zh-CN"/>
                    </w:rPr>
                    <w:t>废水（</w:t>
                  </w:r>
                  <w:r>
                    <w:rPr>
                      <w:rFonts w:hint="eastAsia" w:cs="Times New Roman"/>
                      <w:color w:val="auto"/>
                      <w:sz w:val="21"/>
                      <w:szCs w:val="21"/>
                      <w:highlight w:val="none"/>
                      <w:lang w:val="en-US" w:eastAsia="zh-CN"/>
                    </w:rPr>
                    <w:t>342.86</w:t>
                  </w:r>
                  <w:r>
                    <w:rPr>
                      <w:rFonts w:hint="default" w:ascii="Times New Roman" w:hAnsi="Times New Roman" w:eastAsia="宋体" w:cs="Times New Roman"/>
                      <w:color w:val="auto"/>
                      <w:sz w:val="21"/>
                      <w:szCs w:val="21"/>
                      <w:highlight w:val="none"/>
                      <w:lang w:val="en-US" w:eastAsia="zh-CN"/>
                    </w:rPr>
                    <w:t>m³/a）</w:t>
                  </w:r>
                </w:p>
              </w:tc>
              <w:tc>
                <w:tcPr>
                  <w:tcW w:w="668" w:type="pct"/>
                  <w:tcBorders>
                    <w:tl2br w:val="nil"/>
                    <w:tr2bl w:val="nil"/>
                  </w:tcBorders>
                  <w:noWrap w:val="0"/>
                  <w:vAlign w:val="center"/>
                </w:tcPr>
                <w:p w14:paraId="40528B3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COD</w:t>
                  </w:r>
                </w:p>
              </w:tc>
              <w:tc>
                <w:tcPr>
                  <w:tcW w:w="701" w:type="pct"/>
                  <w:tcBorders>
                    <w:tl2br w:val="nil"/>
                    <w:tr2bl w:val="nil"/>
                  </w:tcBorders>
                  <w:noWrap w:val="0"/>
                  <w:vAlign w:val="center"/>
                </w:tcPr>
                <w:p w14:paraId="5C0BD13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9640</w:t>
                  </w:r>
                </w:p>
              </w:tc>
              <w:tc>
                <w:tcPr>
                  <w:tcW w:w="627" w:type="pct"/>
                  <w:tcBorders>
                    <w:tl2br w:val="nil"/>
                    <w:tr2bl w:val="nil"/>
                  </w:tcBorders>
                  <w:noWrap w:val="0"/>
                  <w:vAlign w:val="center"/>
                </w:tcPr>
                <w:p w14:paraId="2C605B5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3.305</w:t>
                  </w:r>
                </w:p>
              </w:tc>
              <w:tc>
                <w:tcPr>
                  <w:tcW w:w="768" w:type="pct"/>
                  <w:vMerge w:val="restart"/>
                  <w:tcBorders>
                    <w:tl2br w:val="nil"/>
                    <w:tr2bl w:val="nil"/>
                  </w:tcBorders>
                  <w:noWrap w:val="0"/>
                  <w:vAlign w:val="center"/>
                </w:tcPr>
                <w:p w14:paraId="4D438C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一体化污水处理设施（工艺：pH调节+絮凝反应沉淀+二级膜生物反应器，设计水量：3m</w:t>
                  </w:r>
                  <w:r>
                    <w:rPr>
                      <w:rFonts w:hint="eastAsia"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/d）</w:t>
                  </w:r>
                  <w:r>
                    <w:rPr>
                      <w:rFonts w:hint="eastAsia" w:cs="Times New Roman"/>
                      <w:color w:val="auto"/>
                      <w:sz w:val="21"/>
                      <w:szCs w:val="21"/>
                      <w:highlight w:val="none"/>
                      <w:lang w:val="en-US" w:eastAsia="zh-CN"/>
                    </w:rPr>
                    <w:t>处理</w:t>
                  </w:r>
                  <w:r>
                    <w:rPr>
                      <w:rFonts w:hint="default" w:ascii="Times New Roman" w:hAnsi="Times New Roman" w:eastAsia="宋体" w:cs="Times New Roman"/>
                      <w:color w:val="auto"/>
                      <w:sz w:val="21"/>
                      <w:szCs w:val="21"/>
                      <w:highlight w:val="none"/>
                      <w:lang w:val="en-US" w:eastAsia="zh-CN"/>
                    </w:rPr>
                    <w:t>后进入高安市工业园污水处理厂</w:t>
                  </w:r>
                  <w:r>
                    <w:rPr>
                      <w:rFonts w:hint="eastAsia" w:cs="Times New Roman"/>
                      <w:color w:val="auto"/>
                      <w:sz w:val="21"/>
                      <w:szCs w:val="21"/>
                      <w:highlight w:val="none"/>
                      <w:lang w:val="en-US" w:eastAsia="zh-CN"/>
                    </w:rPr>
                    <w:t>深度</w:t>
                  </w:r>
                  <w:r>
                    <w:rPr>
                      <w:rFonts w:hint="default" w:ascii="Times New Roman" w:hAnsi="Times New Roman" w:eastAsia="宋体" w:cs="Times New Roman"/>
                      <w:color w:val="auto"/>
                      <w:sz w:val="21"/>
                      <w:szCs w:val="21"/>
                      <w:highlight w:val="none"/>
                      <w:lang w:val="en-US" w:eastAsia="zh-CN"/>
                    </w:rPr>
                    <w:t>处理</w:t>
                  </w:r>
                </w:p>
              </w:tc>
              <w:tc>
                <w:tcPr>
                  <w:tcW w:w="608" w:type="pct"/>
                  <w:tcBorders>
                    <w:tl2br w:val="nil"/>
                    <w:tr2bl w:val="nil"/>
                  </w:tcBorders>
                  <w:noWrap w:val="0"/>
                  <w:vAlign w:val="center"/>
                </w:tcPr>
                <w:p w14:paraId="56F82F4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r>
                    <w:rPr>
                      <w:rFonts w:hint="eastAsia" w:cs="Times New Roman"/>
                      <w:color w:val="auto"/>
                      <w:sz w:val="21"/>
                      <w:szCs w:val="21"/>
                      <w:highlight w:val="none"/>
                      <w:lang w:val="en-US" w:eastAsia="zh-CN"/>
                    </w:rPr>
                    <w:t>0</w:t>
                  </w:r>
                </w:p>
              </w:tc>
              <w:tc>
                <w:tcPr>
                  <w:tcW w:w="587" w:type="pct"/>
                  <w:tcBorders>
                    <w:tl2br w:val="nil"/>
                    <w:tr2bl w:val="nil"/>
                  </w:tcBorders>
                  <w:noWrap w:val="0"/>
                  <w:vAlign w:val="center"/>
                </w:tcPr>
                <w:p w14:paraId="604C4A7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0.171</w:t>
                  </w:r>
                </w:p>
              </w:tc>
              <w:tc>
                <w:tcPr>
                  <w:tcW w:w="437" w:type="pct"/>
                  <w:tcBorders>
                    <w:tl2br w:val="nil"/>
                    <w:tr2bl w:val="nil"/>
                  </w:tcBorders>
                  <w:noWrap w:val="0"/>
                  <w:vAlign w:val="center"/>
                </w:tcPr>
                <w:p w14:paraId="0AF6CC07">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500</w:t>
                  </w:r>
                </w:p>
              </w:tc>
            </w:tr>
            <w:tr w14:paraId="67961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04030625">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1489CFE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p>
              </w:tc>
              <w:tc>
                <w:tcPr>
                  <w:tcW w:w="701" w:type="pct"/>
                  <w:tcBorders>
                    <w:tl2br w:val="nil"/>
                    <w:tr2bl w:val="nil"/>
                  </w:tcBorders>
                  <w:noWrap w:val="0"/>
                  <w:vAlign w:val="center"/>
                </w:tcPr>
                <w:p w14:paraId="38E1930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3275</w:t>
                  </w:r>
                </w:p>
              </w:tc>
              <w:tc>
                <w:tcPr>
                  <w:tcW w:w="627" w:type="pct"/>
                  <w:tcBorders>
                    <w:tl2br w:val="nil"/>
                    <w:tr2bl w:val="nil"/>
                  </w:tcBorders>
                  <w:noWrap w:val="0"/>
                  <w:vAlign w:val="center"/>
                </w:tcPr>
                <w:p w14:paraId="78E3A82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1.123</w:t>
                  </w:r>
                </w:p>
              </w:tc>
              <w:tc>
                <w:tcPr>
                  <w:tcW w:w="768" w:type="pct"/>
                  <w:vMerge w:val="continue"/>
                  <w:tcBorders>
                    <w:tl2br w:val="nil"/>
                    <w:tr2bl w:val="nil"/>
                  </w:tcBorders>
                  <w:noWrap w:val="0"/>
                  <w:vAlign w:val="center"/>
                </w:tcPr>
                <w:p w14:paraId="5D2E505E">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7A06483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300</w:t>
                  </w:r>
                </w:p>
              </w:tc>
              <w:tc>
                <w:tcPr>
                  <w:tcW w:w="587" w:type="pct"/>
                  <w:tcBorders>
                    <w:tl2br w:val="nil"/>
                    <w:tr2bl w:val="nil"/>
                  </w:tcBorders>
                  <w:noWrap w:val="0"/>
                  <w:vAlign w:val="center"/>
                </w:tcPr>
                <w:p w14:paraId="68E138A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0.103</w:t>
                  </w:r>
                </w:p>
              </w:tc>
              <w:tc>
                <w:tcPr>
                  <w:tcW w:w="437" w:type="pct"/>
                  <w:tcBorders>
                    <w:tl2br w:val="nil"/>
                    <w:tr2bl w:val="nil"/>
                  </w:tcBorders>
                  <w:noWrap w:val="0"/>
                  <w:vAlign w:val="center"/>
                </w:tcPr>
                <w:p w14:paraId="17A8C52D">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200</w:t>
                  </w:r>
                </w:p>
              </w:tc>
            </w:tr>
            <w:tr w14:paraId="48DB0A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4F27FBC9">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0EE422C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-N</w:t>
                  </w:r>
                </w:p>
              </w:tc>
              <w:tc>
                <w:tcPr>
                  <w:tcW w:w="701" w:type="pct"/>
                  <w:tcBorders>
                    <w:tl2br w:val="nil"/>
                    <w:tr2bl w:val="nil"/>
                  </w:tcBorders>
                  <w:noWrap w:val="0"/>
                  <w:vAlign w:val="center"/>
                </w:tcPr>
                <w:p w14:paraId="1B766BB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72.4</w:t>
                  </w:r>
                </w:p>
              </w:tc>
              <w:tc>
                <w:tcPr>
                  <w:tcW w:w="627" w:type="pct"/>
                  <w:tcBorders>
                    <w:tl2br w:val="nil"/>
                    <w:tr2bl w:val="nil"/>
                  </w:tcBorders>
                  <w:noWrap w:val="0"/>
                  <w:vAlign w:val="center"/>
                </w:tcPr>
                <w:p w14:paraId="25F9BFA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0.025</w:t>
                  </w:r>
                </w:p>
              </w:tc>
              <w:tc>
                <w:tcPr>
                  <w:tcW w:w="768" w:type="pct"/>
                  <w:vMerge w:val="continue"/>
                  <w:tcBorders>
                    <w:tl2br w:val="nil"/>
                    <w:tr2bl w:val="nil"/>
                  </w:tcBorders>
                  <w:noWrap w:val="0"/>
                  <w:vAlign w:val="center"/>
                </w:tcPr>
                <w:p w14:paraId="3FF4084E">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43E6073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587" w:type="pct"/>
                  <w:tcBorders>
                    <w:tl2br w:val="nil"/>
                    <w:tr2bl w:val="nil"/>
                  </w:tcBorders>
                  <w:noWrap w:val="0"/>
                  <w:vAlign w:val="center"/>
                </w:tcPr>
                <w:p w14:paraId="00EBB11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0.017</w:t>
                  </w:r>
                </w:p>
              </w:tc>
              <w:tc>
                <w:tcPr>
                  <w:tcW w:w="437" w:type="pct"/>
                  <w:tcBorders>
                    <w:tl2br w:val="nil"/>
                    <w:tr2bl w:val="nil"/>
                  </w:tcBorders>
                  <w:noWrap w:val="0"/>
                  <w:vAlign w:val="center"/>
                </w:tcPr>
                <w:p w14:paraId="325C7181">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55</w:t>
                  </w:r>
                </w:p>
              </w:tc>
            </w:tr>
            <w:tr w14:paraId="22595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54CC9DC9">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05C3028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TN</w:t>
                  </w:r>
                </w:p>
              </w:tc>
              <w:tc>
                <w:tcPr>
                  <w:tcW w:w="701" w:type="pct"/>
                  <w:tcBorders>
                    <w:tl2br w:val="nil"/>
                    <w:tr2bl w:val="nil"/>
                  </w:tcBorders>
                  <w:noWrap w:val="0"/>
                  <w:vAlign w:val="center"/>
                </w:tcPr>
                <w:p w14:paraId="209035E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95.9</w:t>
                  </w:r>
                </w:p>
              </w:tc>
              <w:tc>
                <w:tcPr>
                  <w:tcW w:w="627" w:type="pct"/>
                  <w:tcBorders>
                    <w:tl2br w:val="nil"/>
                    <w:tr2bl w:val="nil"/>
                  </w:tcBorders>
                  <w:noWrap w:val="0"/>
                  <w:vAlign w:val="center"/>
                </w:tcPr>
                <w:p w14:paraId="129F28A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0.033</w:t>
                  </w:r>
                </w:p>
              </w:tc>
              <w:tc>
                <w:tcPr>
                  <w:tcW w:w="768" w:type="pct"/>
                  <w:vMerge w:val="continue"/>
                  <w:tcBorders>
                    <w:tl2br w:val="nil"/>
                    <w:tr2bl w:val="nil"/>
                  </w:tcBorders>
                  <w:noWrap w:val="0"/>
                  <w:vAlign w:val="center"/>
                </w:tcPr>
                <w:p w14:paraId="22D6AD7C">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7646EFE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70</w:t>
                  </w:r>
                </w:p>
              </w:tc>
              <w:tc>
                <w:tcPr>
                  <w:tcW w:w="587" w:type="pct"/>
                  <w:tcBorders>
                    <w:tl2br w:val="nil"/>
                    <w:tr2bl w:val="nil"/>
                  </w:tcBorders>
                  <w:noWrap w:val="0"/>
                  <w:vAlign w:val="center"/>
                </w:tcPr>
                <w:p w14:paraId="76E0457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0.024</w:t>
                  </w:r>
                </w:p>
              </w:tc>
              <w:tc>
                <w:tcPr>
                  <w:tcW w:w="437" w:type="pct"/>
                  <w:tcBorders>
                    <w:tl2br w:val="nil"/>
                    <w:tr2bl w:val="nil"/>
                  </w:tcBorders>
                  <w:noWrap w:val="0"/>
                  <w:vAlign w:val="center"/>
                </w:tcPr>
                <w:p w14:paraId="6B2022D9">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70</w:t>
                  </w:r>
                </w:p>
              </w:tc>
            </w:tr>
            <w:tr w14:paraId="3490E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3D6A00D5">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0CA0778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TP</w:t>
                  </w:r>
                </w:p>
              </w:tc>
              <w:tc>
                <w:tcPr>
                  <w:tcW w:w="701" w:type="pct"/>
                  <w:tcBorders>
                    <w:tl2br w:val="nil"/>
                    <w:tr2bl w:val="nil"/>
                  </w:tcBorders>
                  <w:noWrap w:val="0"/>
                  <w:vAlign w:val="center"/>
                </w:tcPr>
                <w:p w14:paraId="23C4446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5</w:t>
                  </w:r>
                </w:p>
              </w:tc>
              <w:tc>
                <w:tcPr>
                  <w:tcW w:w="627" w:type="pct"/>
                  <w:tcBorders>
                    <w:tl2br w:val="nil"/>
                    <w:tr2bl w:val="nil"/>
                  </w:tcBorders>
                  <w:noWrap w:val="0"/>
                  <w:vAlign w:val="center"/>
                </w:tcPr>
                <w:p w14:paraId="711253E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0.057</w:t>
                  </w:r>
                </w:p>
              </w:tc>
              <w:tc>
                <w:tcPr>
                  <w:tcW w:w="768" w:type="pct"/>
                  <w:vMerge w:val="continue"/>
                  <w:tcBorders>
                    <w:tl2br w:val="nil"/>
                    <w:tr2bl w:val="nil"/>
                  </w:tcBorders>
                  <w:noWrap w:val="0"/>
                  <w:vAlign w:val="center"/>
                </w:tcPr>
                <w:p w14:paraId="121DB581">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3E23E2B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587" w:type="pct"/>
                  <w:tcBorders>
                    <w:tl2br w:val="nil"/>
                    <w:tr2bl w:val="nil"/>
                  </w:tcBorders>
                  <w:noWrap w:val="0"/>
                  <w:vAlign w:val="center"/>
                </w:tcPr>
                <w:p w14:paraId="7607FAD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0.003</w:t>
                  </w:r>
                </w:p>
              </w:tc>
              <w:tc>
                <w:tcPr>
                  <w:tcW w:w="437" w:type="pct"/>
                  <w:tcBorders>
                    <w:tl2br w:val="nil"/>
                    <w:tr2bl w:val="nil"/>
                  </w:tcBorders>
                  <w:noWrap w:val="0"/>
                  <w:vAlign w:val="center"/>
                </w:tcPr>
                <w:p w14:paraId="6D58AE30">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r>
            <w:tr w14:paraId="260F2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29F52C78">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180148E9">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石油类</w:t>
                  </w:r>
                </w:p>
              </w:tc>
              <w:tc>
                <w:tcPr>
                  <w:tcW w:w="701" w:type="pct"/>
                  <w:tcBorders>
                    <w:tl2br w:val="nil"/>
                    <w:tr2bl w:val="nil"/>
                  </w:tcBorders>
                  <w:noWrap w:val="0"/>
                  <w:vAlign w:val="center"/>
                </w:tcPr>
                <w:p w14:paraId="55398750">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300</w:t>
                  </w:r>
                </w:p>
              </w:tc>
              <w:tc>
                <w:tcPr>
                  <w:tcW w:w="627" w:type="pct"/>
                  <w:tcBorders>
                    <w:tl2br w:val="nil"/>
                    <w:tr2bl w:val="nil"/>
                  </w:tcBorders>
                  <w:noWrap w:val="0"/>
                  <w:vAlign w:val="center"/>
                </w:tcPr>
                <w:p w14:paraId="3BB3A8FA">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0.103</w:t>
                  </w:r>
                </w:p>
              </w:tc>
              <w:tc>
                <w:tcPr>
                  <w:tcW w:w="768" w:type="pct"/>
                  <w:vMerge w:val="continue"/>
                  <w:tcBorders>
                    <w:tl2br w:val="nil"/>
                    <w:tr2bl w:val="nil"/>
                  </w:tcBorders>
                  <w:noWrap w:val="0"/>
                  <w:vAlign w:val="center"/>
                </w:tcPr>
                <w:p w14:paraId="27ABB17E">
                  <w:pPr>
                    <w:jc w:val="center"/>
                    <w:rPr>
                      <w:rFonts w:hint="default" w:ascii="Times New Roman" w:hAnsi="Times New Roman" w:eastAsia="宋体" w:cs="Times New Roman"/>
                      <w:color w:val="0000FF"/>
                      <w:sz w:val="21"/>
                      <w:szCs w:val="21"/>
                      <w:highlight w:val="none"/>
                      <w:lang w:val="en-US" w:eastAsia="zh-CN"/>
                    </w:rPr>
                  </w:pPr>
                </w:p>
              </w:tc>
              <w:tc>
                <w:tcPr>
                  <w:tcW w:w="608" w:type="pct"/>
                  <w:tcBorders>
                    <w:tl2br w:val="nil"/>
                    <w:tr2bl w:val="nil"/>
                  </w:tcBorders>
                  <w:noWrap w:val="0"/>
                  <w:vAlign w:val="center"/>
                </w:tcPr>
                <w:p w14:paraId="2EFD254B">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20</w:t>
                  </w:r>
                </w:p>
              </w:tc>
              <w:tc>
                <w:tcPr>
                  <w:tcW w:w="587" w:type="pct"/>
                  <w:tcBorders>
                    <w:tl2br w:val="nil"/>
                    <w:tr2bl w:val="nil"/>
                  </w:tcBorders>
                  <w:noWrap w:val="0"/>
                  <w:vAlign w:val="center"/>
                </w:tcPr>
                <w:p w14:paraId="4F1D78C7">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0.007</w:t>
                  </w:r>
                </w:p>
              </w:tc>
              <w:tc>
                <w:tcPr>
                  <w:tcW w:w="437" w:type="pct"/>
                  <w:tcBorders>
                    <w:tl2br w:val="nil"/>
                    <w:tr2bl w:val="nil"/>
                  </w:tcBorders>
                  <w:noWrap w:val="0"/>
                  <w:vAlign w:val="center"/>
                </w:tcPr>
                <w:p w14:paraId="7DB3C89D">
                  <w:pPr>
                    <w:keepNext w:val="0"/>
                    <w:keepLines w:val="0"/>
                    <w:widowControl/>
                    <w:suppressLineNumbers w:val="0"/>
                    <w:jc w:val="center"/>
                    <w:textAlignment w:val="center"/>
                    <w:rPr>
                      <w:rFonts w:hint="default"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20</w:t>
                  </w:r>
                </w:p>
              </w:tc>
            </w:tr>
            <w:tr w14:paraId="6F1FF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restart"/>
                  <w:tcBorders>
                    <w:tl2br w:val="nil"/>
                    <w:tr2bl w:val="nil"/>
                  </w:tcBorders>
                  <w:noWrap w:val="0"/>
                  <w:vAlign w:val="center"/>
                </w:tcPr>
                <w:p w14:paraId="3954507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生活污水（</w:t>
                  </w:r>
                  <w:r>
                    <w:rPr>
                      <w:rFonts w:hint="eastAsia" w:cs="Times New Roman"/>
                      <w:color w:val="auto"/>
                      <w:sz w:val="21"/>
                      <w:szCs w:val="21"/>
                      <w:highlight w:val="none"/>
                      <w:lang w:val="en-US" w:eastAsia="zh-CN"/>
                    </w:rPr>
                    <w:t>3840</w:t>
                  </w:r>
                  <w:r>
                    <w:rPr>
                      <w:rFonts w:hint="default" w:ascii="Times New Roman" w:hAnsi="Times New Roman" w:eastAsia="宋体" w:cs="Times New Roman"/>
                      <w:color w:val="auto"/>
                      <w:sz w:val="21"/>
                      <w:szCs w:val="21"/>
                      <w:highlight w:val="none"/>
                      <w:lang w:val="en-US" w:eastAsia="zh-CN"/>
                    </w:rPr>
                    <w:t>m³/a）</w:t>
                  </w:r>
                </w:p>
              </w:tc>
              <w:tc>
                <w:tcPr>
                  <w:tcW w:w="668" w:type="pct"/>
                  <w:tcBorders>
                    <w:tl2br w:val="nil"/>
                    <w:tr2bl w:val="nil"/>
                  </w:tcBorders>
                  <w:noWrap w:val="0"/>
                  <w:vAlign w:val="center"/>
                </w:tcPr>
                <w:p w14:paraId="6B11A9A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pH</w:t>
                  </w:r>
                </w:p>
              </w:tc>
              <w:tc>
                <w:tcPr>
                  <w:tcW w:w="701" w:type="pct"/>
                  <w:tcBorders>
                    <w:tl2br w:val="nil"/>
                    <w:tr2bl w:val="nil"/>
                  </w:tcBorders>
                  <w:noWrap w:val="0"/>
                  <w:vAlign w:val="center"/>
                </w:tcPr>
                <w:p w14:paraId="62673F2F">
                  <w:pPr>
                    <w:pStyle w:val="8"/>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rPr>
                    <w:t>6~9</w:t>
                  </w:r>
                </w:p>
              </w:tc>
              <w:tc>
                <w:tcPr>
                  <w:tcW w:w="627" w:type="pct"/>
                  <w:tcBorders>
                    <w:tl2br w:val="nil"/>
                    <w:tr2bl w:val="nil"/>
                  </w:tcBorders>
                  <w:noWrap w:val="0"/>
                  <w:vAlign w:val="center"/>
                </w:tcPr>
                <w:p w14:paraId="4B73980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8" w:type="pct"/>
                  <w:vMerge w:val="restart"/>
                  <w:tcBorders>
                    <w:tl2br w:val="nil"/>
                    <w:tr2bl w:val="nil"/>
                  </w:tcBorders>
                  <w:noWrap w:val="0"/>
                  <w:vAlign w:val="center"/>
                </w:tcPr>
                <w:p w14:paraId="6870CFC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经</w:t>
                  </w:r>
                  <w:r>
                    <w:rPr>
                      <w:rFonts w:hint="eastAsia" w:cs="Times New Roman"/>
                      <w:color w:val="auto"/>
                      <w:sz w:val="21"/>
                      <w:szCs w:val="21"/>
                      <w:highlight w:val="none"/>
                      <w:lang w:val="en-US" w:eastAsia="zh-CN"/>
                    </w:rPr>
                    <w:t>隔油池+化粪池预处理</w:t>
                  </w:r>
                </w:p>
              </w:tc>
              <w:tc>
                <w:tcPr>
                  <w:tcW w:w="608" w:type="pct"/>
                  <w:tcBorders>
                    <w:tl2br w:val="nil"/>
                    <w:tr2bl w:val="nil"/>
                  </w:tcBorders>
                  <w:shd w:val="clear" w:color="auto" w:fill="auto"/>
                  <w:noWrap w:val="0"/>
                  <w:vAlign w:val="center"/>
                </w:tcPr>
                <w:p w14:paraId="4E714E70">
                  <w:pPr>
                    <w:pStyle w:val="8"/>
                    <w:jc w:val="center"/>
                    <w:rPr>
                      <w:rFonts w:hint="default"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rPr>
                    <w:t>6~9</w:t>
                  </w:r>
                </w:p>
              </w:tc>
              <w:tc>
                <w:tcPr>
                  <w:tcW w:w="587" w:type="pct"/>
                  <w:tcBorders>
                    <w:tl2br w:val="nil"/>
                    <w:tr2bl w:val="nil"/>
                  </w:tcBorders>
                  <w:shd w:val="clear" w:color="auto" w:fill="auto"/>
                  <w:noWrap w:val="0"/>
                  <w:vAlign w:val="center"/>
                </w:tcPr>
                <w:p w14:paraId="35162FA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437" w:type="pct"/>
                  <w:tcBorders>
                    <w:tl2br w:val="nil"/>
                    <w:tr2bl w:val="nil"/>
                  </w:tcBorders>
                  <w:shd w:val="clear" w:color="auto" w:fill="auto"/>
                  <w:noWrap w:val="0"/>
                  <w:vAlign w:val="center"/>
                </w:tcPr>
                <w:p w14:paraId="357D3BF1">
                  <w:pPr>
                    <w:keepNext w:val="0"/>
                    <w:keepLines w:val="0"/>
                    <w:widowControl/>
                    <w:suppressLineNumbers w:val="0"/>
                    <w:jc w:val="center"/>
                    <w:textAlignment w:val="center"/>
                    <w:rPr>
                      <w:rFonts w:hint="eastAsia" w:cs="Times New Roman"/>
                      <w:color w:val="auto"/>
                      <w:sz w:val="21"/>
                      <w:szCs w:val="21"/>
                      <w:highlight w:val="none"/>
                      <w:lang w:val="en-US" w:eastAsia="zh-CN"/>
                    </w:rPr>
                  </w:pPr>
                  <w:r>
                    <w:rPr>
                      <w:rFonts w:ascii="Times New Roman" w:hAnsi="Times New Roman" w:cs="Times New Roman"/>
                      <w:color w:val="auto"/>
                      <w:sz w:val="21"/>
                      <w:szCs w:val="21"/>
                    </w:rPr>
                    <w:t>6~9</w:t>
                  </w:r>
                </w:p>
              </w:tc>
            </w:tr>
            <w:tr w14:paraId="7DEE9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5C0A18CD">
                  <w:pPr>
                    <w:keepNext w:val="0"/>
                    <w:keepLines w:val="0"/>
                    <w:widowControl/>
                    <w:suppressLineNumbers w:val="0"/>
                    <w:jc w:val="center"/>
                    <w:textAlignment w:val="center"/>
                    <w:rPr>
                      <w:rFonts w:hint="eastAsia"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3A1E9C6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COD</w:t>
                  </w:r>
                </w:p>
              </w:tc>
              <w:tc>
                <w:tcPr>
                  <w:tcW w:w="701" w:type="pct"/>
                  <w:tcBorders>
                    <w:tl2br w:val="nil"/>
                    <w:tr2bl w:val="nil"/>
                  </w:tcBorders>
                  <w:shd w:val="clear" w:color="auto" w:fill="auto"/>
                  <w:noWrap w:val="0"/>
                  <w:vAlign w:val="center"/>
                </w:tcPr>
                <w:p w14:paraId="476DF9B1">
                  <w:pPr>
                    <w:pStyle w:val="8"/>
                    <w:jc w:val="center"/>
                    <w:rPr>
                      <w:rFonts w:hint="default"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rPr>
                    <w:t>250</w:t>
                  </w:r>
                </w:p>
              </w:tc>
              <w:tc>
                <w:tcPr>
                  <w:tcW w:w="627" w:type="pct"/>
                  <w:tcBorders>
                    <w:tl2br w:val="nil"/>
                    <w:tr2bl w:val="nil"/>
                  </w:tcBorders>
                  <w:shd w:val="clear" w:color="auto" w:fill="auto"/>
                  <w:noWrap w:val="0"/>
                  <w:vAlign w:val="center"/>
                </w:tcPr>
                <w:p w14:paraId="0CDF3CD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0.96</w:t>
                  </w:r>
                </w:p>
              </w:tc>
              <w:tc>
                <w:tcPr>
                  <w:tcW w:w="768" w:type="pct"/>
                  <w:vMerge w:val="continue"/>
                  <w:tcBorders>
                    <w:tl2br w:val="nil"/>
                    <w:tr2bl w:val="nil"/>
                  </w:tcBorders>
                  <w:noWrap w:val="0"/>
                  <w:vAlign w:val="center"/>
                </w:tcPr>
                <w:p w14:paraId="332F487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53135A20">
                  <w:pPr>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0"/>
                      <w:sz w:val="21"/>
                      <w:szCs w:val="21"/>
                    </w:rPr>
                    <w:t>200</w:t>
                  </w:r>
                </w:p>
              </w:tc>
              <w:tc>
                <w:tcPr>
                  <w:tcW w:w="587" w:type="pct"/>
                  <w:tcBorders>
                    <w:tl2br w:val="nil"/>
                    <w:tr2bl w:val="nil"/>
                  </w:tcBorders>
                  <w:shd w:val="clear" w:color="auto" w:fill="auto"/>
                  <w:noWrap w:val="0"/>
                  <w:vAlign w:val="center"/>
                </w:tcPr>
                <w:p w14:paraId="32FE023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ascii="Times New Roman" w:hAnsi="Times New Roman" w:eastAsia="宋体" w:cs="Times New Roman"/>
                      <w:i w:val="0"/>
                      <w:iCs w:val="0"/>
                      <w:color w:val="auto"/>
                      <w:kern w:val="0"/>
                      <w:sz w:val="21"/>
                      <w:szCs w:val="21"/>
                      <w:u w:val="none"/>
                      <w:lang w:val="en-US" w:eastAsia="zh-CN" w:bidi="ar"/>
                    </w:rPr>
                    <w:t>768</w:t>
                  </w:r>
                </w:p>
              </w:tc>
              <w:tc>
                <w:tcPr>
                  <w:tcW w:w="437" w:type="pct"/>
                  <w:tcBorders>
                    <w:tl2br w:val="nil"/>
                    <w:tr2bl w:val="nil"/>
                  </w:tcBorders>
                  <w:shd w:val="clear" w:color="auto" w:fill="auto"/>
                  <w:noWrap w:val="0"/>
                  <w:vAlign w:val="center"/>
                </w:tcPr>
                <w:p w14:paraId="15E6CC6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w:t>
                  </w:r>
                </w:p>
              </w:tc>
            </w:tr>
            <w:tr w14:paraId="0C329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6C4E60A3">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7F484F2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p>
              </w:tc>
              <w:tc>
                <w:tcPr>
                  <w:tcW w:w="701" w:type="pct"/>
                  <w:tcBorders>
                    <w:tl2br w:val="nil"/>
                    <w:tr2bl w:val="nil"/>
                  </w:tcBorders>
                  <w:noWrap w:val="0"/>
                  <w:vAlign w:val="center"/>
                </w:tcPr>
                <w:p w14:paraId="1FF729A2">
                  <w:pPr>
                    <w:pStyle w:val="8"/>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rPr>
                    <w:t>150</w:t>
                  </w:r>
                </w:p>
              </w:tc>
              <w:tc>
                <w:tcPr>
                  <w:tcW w:w="627" w:type="pct"/>
                  <w:tcBorders>
                    <w:tl2br w:val="nil"/>
                    <w:tr2bl w:val="nil"/>
                  </w:tcBorders>
                  <w:noWrap w:val="0"/>
                  <w:vAlign w:val="center"/>
                </w:tcPr>
                <w:p w14:paraId="7C6DB88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0.576</w:t>
                  </w:r>
                </w:p>
              </w:tc>
              <w:tc>
                <w:tcPr>
                  <w:tcW w:w="768" w:type="pct"/>
                  <w:vMerge w:val="continue"/>
                  <w:tcBorders>
                    <w:tl2br w:val="nil"/>
                    <w:tr2bl w:val="nil"/>
                  </w:tcBorders>
                  <w:noWrap w:val="0"/>
                  <w:vAlign w:val="center"/>
                </w:tcPr>
                <w:p w14:paraId="7A5392E5">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6FFA806A">
                  <w:pPr>
                    <w:jc w:val="center"/>
                    <w:textAlignment w:val="center"/>
                    <w:rPr>
                      <w:rFonts w:hint="default" w:ascii="Times New Roman" w:hAnsi="Times New Roman" w:eastAsia="宋体" w:cs="Times New Roman"/>
                      <w:color w:val="auto"/>
                      <w:sz w:val="21"/>
                      <w:szCs w:val="21"/>
                      <w:highlight w:val="none"/>
                      <w:lang w:val="en-US" w:eastAsia="zh-CN"/>
                    </w:rPr>
                  </w:pPr>
                  <w:r>
                    <w:rPr>
                      <w:rFonts w:ascii="Times New Roman" w:hAnsi="Times New Roman" w:eastAsia="宋体" w:cs="Times New Roman"/>
                      <w:color w:val="auto"/>
                      <w:kern w:val="0"/>
                      <w:sz w:val="21"/>
                      <w:szCs w:val="21"/>
                    </w:rPr>
                    <w:t>135</w:t>
                  </w:r>
                </w:p>
              </w:tc>
              <w:tc>
                <w:tcPr>
                  <w:tcW w:w="587" w:type="pct"/>
                  <w:tcBorders>
                    <w:tl2br w:val="nil"/>
                    <w:tr2bl w:val="nil"/>
                  </w:tcBorders>
                  <w:noWrap w:val="0"/>
                  <w:vAlign w:val="center"/>
                </w:tcPr>
                <w:p w14:paraId="15099E0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518</w:t>
                  </w:r>
                </w:p>
              </w:tc>
              <w:tc>
                <w:tcPr>
                  <w:tcW w:w="437" w:type="pct"/>
                  <w:tcBorders>
                    <w:tl2br w:val="nil"/>
                    <w:tr2bl w:val="nil"/>
                  </w:tcBorders>
                  <w:shd w:val="clear" w:color="auto" w:fill="auto"/>
                  <w:noWrap w:val="0"/>
                  <w:vAlign w:val="center"/>
                </w:tcPr>
                <w:p w14:paraId="45566E7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200</w:t>
                  </w:r>
                </w:p>
              </w:tc>
            </w:tr>
            <w:tr w14:paraId="26E7B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1EC83D2B">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74B0FAA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SS</w:t>
                  </w:r>
                </w:p>
              </w:tc>
              <w:tc>
                <w:tcPr>
                  <w:tcW w:w="701" w:type="pct"/>
                  <w:tcBorders>
                    <w:tl2br w:val="nil"/>
                    <w:tr2bl w:val="nil"/>
                  </w:tcBorders>
                  <w:noWrap w:val="0"/>
                  <w:vAlign w:val="center"/>
                </w:tcPr>
                <w:p w14:paraId="239DC512">
                  <w:pPr>
                    <w:pStyle w:val="8"/>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rPr>
                    <w:t>200</w:t>
                  </w:r>
                </w:p>
              </w:tc>
              <w:tc>
                <w:tcPr>
                  <w:tcW w:w="627" w:type="pct"/>
                  <w:tcBorders>
                    <w:tl2br w:val="nil"/>
                    <w:tr2bl w:val="nil"/>
                  </w:tcBorders>
                  <w:noWrap w:val="0"/>
                  <w:vAlign w:val="center"/>
                </w:tcPr>
                <w:p w14:paraId="21AC89A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0.768</w:t>
                  </w:r>
                </w:p>
              </w:tc>
              <w:tc>
                <w:tcPr>
                  <w:tcW w:w="768" w:type="pct"/>
                  <w:vMerge w:val="continue"/>
                  <w:tcBorders>
                    <w:tl2br w:val="nil"/>
                    <w:tr2bl w:val="nil"/>
                  </w:tcBorders>
                  <w:noWrap w:val="0"/>
                  <w:vAlign w:val="center"/>
                </w:tcPr>
                <w:p w14:paraId="10142D30">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7430297C">
                  <w:pPr>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kern w:val="0"/>
                      <w:sz w:val="21"/>
                      <w:szCs w:val="21"/>
                    </w:rPr>
                    <w:t>150</w:t>
                  </w:r>
                </w:p>
              </w:tc>
              <w:tc>
                <w:tcPr>
                  <w:tcW w:w="587" w:type="pct"/>
                  <w:tcBorders>
                    <w:tl2br w:val="nil"/>
                    <w:tr2bl w:val="nil"/>
                  </w:tcBorders>
                  <w:noWrap w:val="0"/>
                  <w:vAlign w:val="center"/>
                </w:tcPr>
                <w:p w14:paraId="694A51C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0.576</w:t>
                  </w:r>
                </w:p>
              </w:tc>
              <w:tc>
                <w:tcPr>
                  <w:tcW w:w="437" w:type="pct"/>
                  <w:tcBorders>
                    <w:tl2br w:val="nil"/>
                    <w:tr2bl w:val="nil"/>
                  </w:tcBorders>
                  <w:noWrap w:val="0"/>
                  <w:vAlign w:val="center"/>
                </w:tcPr>
                <w:p w14:paraId="7C253ED6">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300</w:t>
                  </w:r>
                </w:p>
              </w:tc>
            </w:tr>
            <w:tr w14:paraId="11516E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27F16ACA">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5488278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-N</w:t>
                  </w:r>
                </w:p>
              </w:tc>
              <w:tc>
                <w:tcPr>
                  <w:tcW w:w="701" w:type="pct"/>
                  <w:tcBorders>
                    <w:tl2br w:val="nil"/>
                    <w:tr2bl w:val="nil"/>
                  </w:tcBorders>
                  <w:noWrap w:val="0"/>
                  <w:vAlign w:val="center"/>
                </w:tcPr>
                <w:p w14:paraId="431B4D7C">
                  <w:pPr>
                    <w:pStyle w:val="8"/>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rPr>
                    <w:t>30</w:t>
                  </w:r>
                </w:p>
              </w:tc>
              <w:tc>
                <w:tcPr>
                  <w:tcW w:w="627" w:type="pct"/>
                  <w:tcBorders>
                    <w:tl2br w:val="nil"/>
                    <w:tr2bl w:val="nil"/>
                  </w:tcBorders>
                  <w:noWrap w:val="0"/>
                  <w:vAlign w:val="center"/>
                </w:tcPr>
                <w:p w14:paraId="3193B1C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0.115</w:t>
                  </w:r>
                </w:p>
              </w:tc>
              <w:tc>
                <w:tcPr>
                  <w:tcW w:w="768" w:type="pct"/>
                  <w:vMerge w:val="continue"/>
                  <w:tcBorders>
                    <w:tl2br w:val="nil"/>
                    <w:tr2bl w:val="nil"/>
                  </w:tcBorders>
                  <w:noWrap w:val="0"/>
                  <w:vAlign w:val="center"/>
                </w:tcPr>
                <w:p w14:paraId="68A814AE">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061630B2">
                  <w:pPr>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kern w:val="0"/>
                      <w:sz w:val="21"/>
                      <w:szCs w:val="21"/>
                    </w:rPr>
                    <w:t>30</w:t>
                  </w:r>
                </w:p>
              </w:tc>
              <w:tc>
                <w:tcPr>
                  <w:tcW w:w="587" w:type="pct"/>
                  <w:tcBorders>
                    <w:tl2br w:val="nil"/>
                    <w:tr2bl w:val="nil"/>
                  </w:tcBorders>
                  <w:noWrap w:val="0"/>
                  <w:vAlign w:val="center"/>
                </w:tcPr>
                <w:p w14:paraId="5DEB65B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0.115</w:t>
                  </w:r>
                </w:p>
              </w:tc>
              <w:tc>
                <w:tcPr>
                  <w:tcW w:w="437" w:type="pct"/>
                  <w:tcBorders>
                    <w:tl2br w:val="nil"/>
                    <w:tr2bl w:val="nil"/>
                  </w:tcBorders>
                  <w:noWrap w:val="0"/>
                  <w:vAlign w:val="center"/>
                </w:tcPr>
                <w:p w14:paraId="7A1AD8F1">
                  <w:pPr>
                    <w:keepNext w:val="0"/>
                    <w:keepLines w:val="0"/>
                    <w:widowControl/>
                    <w:suppressLineNumbers w:val="0"/>
                    <w:jc w:val="center"/>
                    <w:textAlignment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55</w:t>
                  </w:r>
                </w:p>
              </w:tc>
            </w:tr>
            <w:tr w14:paraId="47FD68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38B4AEF6">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46F5D32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TP</w:t>
                  </w:r>
                </w:p>
              </w:tc>
              <w:tc>
                <w:tcPr>
                  <w:tcW w:w="701" w:type="pct"/>
                  <w:tcBorders>
                    <w:tl2br w:val="nil"/>
                    <w:tr2bl w:val="nil"/>
                  </w:tcBorders>
                  <w:noWrap w:val="0"/>
                  <w:vAlign w:val="center"/>
                </w:tcPr>
                <w:p w14:paraId="6FC95F6F">
                  <w:pPr>
                    <w:pStyle w:val="8"/>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rPr>
                    <w:t>4</w:t>
                  </w:r>
                </w:p>
              </w:tc>
              <w:tc>
                <w:tcPr>
                  <w:tcW w:w="627" w:type="pct"/>
                  <w:tcBorders>
                    <w:tl2br w:val="nil"/>
                    <w:tr2bl w:val="nil"/>
                  </w:tcBorders>
                  <w:noWrap w:val="0"/>
                  <w:vAlign w:val="center"/>
                </w:tcPr>
                <w:p w14:paraId="60E0D0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w:t>
                  </w:r>
                </w:p>
              </w:tc>
              <w:tc>
                <w:tcPr>
                  <w:tcW w:w="768" w:type="pct"/>
                  <w:vMerge w:val="continue"/>
                  <w:tcBorders>
                    <w:tl2br w:val="nil"/>
                    <w:tr2bl w:val="nil"/>
                  </w:tcBorders>
                  <w:noWrap w:val="0"/>
                  <w:vAlign w:val="center"/>
                </w:tcPr>
                <w:p w14:paraId="536B8DCE">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noWrap w:val="0"/>
                  <w:vAlign w:val="center"/>
                </w:tcPr>
                <w:p w14:paraId="10E14EB4">
                  <w:pPr>
                    <w:jc w:val="center"/>
                    <w:textAlignment w:val="center"/>
                    <w:rPr>
                      <w:rFonts w:hint="default" w:ascii="Times New Roman" w:hAnsi="Times New Roman" w:eastAsia="宋体" w:cs="Times New Roman"/>
                      <w:color w:val="auto"/>
                      <w:sz w:val="21"/>
                      <w:szCs w:val="21"/>
                      <w:highlight w:val="none"/>
                      <w:lang w:val="en-US" w:eastAsia="zh-CN"/>
                    </w:rPr>
                  </w:pPr>
                  <w:r>
                    <w:rPr>
                      <w:rFonts w:ascii="Times New Roman" w:hAnsi="Times New Roman" w:eastAsia="宋体" w:cs="Times New Roman"/>
                      <w:color w:val="auto"/>
                      <w:kern w:val="0"/>
                      <w:sz w:val="21"/>
                      <w:szCs w:val="21"/>
                    </w:rPr>
                    <w:t>4</w:t>
                  </w:r>
                </w:p>
              </w:tc>
              <w:tc>
                <w:tcPr>
                  <w:tcW w:w="587" w:type="pct"/>
                  <w:tcBorders>
                    <w:tl2br w:val="nil"/>
                    <w:tr2bl w:val="nil"/>
                  </w:tcBorders>
                  <w:noWrap w:val="0"/>
                  <w:vAlign w:val="center"/>
                </w:tcPr>
                <w:p w14:paraId="6B5716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w:t>
                  </w:r>
                </w:p>
              </w:tc>
              <w:tc>
                <w:tcPr>
                  <w:tcW w:w="437" w:type="pct"/>
                  <w:tcBorders>
                    <w:tl2br w:val="nil"/>
                    <w:tr2bl w:val="nil"/>
                  </w:tcBorders>
                  <w:noWrap w:val="0"/>
                  <w:vAlign w:val="center"/>
                </w:tcPr>
                <w:p w14:paraId="7D6933C2">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w:t>
                  </w:r>
                </w:p>
              </w:tc>
            </w:tr>
            <w:tr w14:paraId="1CA8A1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0C7E901E">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524998E7">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TN</w:t>
                  </w:r>
                </w:p>
              </w:tc>
              <w:tc>
                <w:tcPr>
                  <w:tcW w:w="701" w:type="pct"/>
                  <w:tcBorders>
                    <w:tl2br w:val="nil"/>
                    <w:tr2bl w:val="nil"/>
                  </w:tcBorders>
                  <w:noWrap w:val="0"/>
                  <w:vAlign w:val="center"/>
                </w:tcPr>
                <w:p w14:paraId="00B44F74">
                  <w:pPr>
                    <w:pStyle w:val="8"/>
                    <w:jc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lang w:val="en-US" w:eastAsia="zh-CN"/>
                    </w:rPr>
                    <w:t>5</w:t>
                  </w:r>
                  <w:r>
                    <w:rPr>
                      <w:rFonts w:ascii="Times New Roman" w:hAnsi="Times New Roman" w:cs="Times New Roman"/>
                      <w:color w:val="0000FF"/>
                      <w:sz w:val="21"/>
                      <w:szCs w:val="21"/>
                    </w:rPr>
                    <w:t>0</w:t>
                  </w:r>
                </w:p>
              </w:tc>
              <w:tc>
                <w:tcPr>
                  <w:tcW w:w="627" w:type="pct"/>
                  <w:tcBorders>
                    <w:tl2br w:val="nil"/>
                    <w:tr2bl w:val="nil"/>
                  </w:tcBorders>
                  <w:noWrap w:val="0"/>
                  <w:vAlign w:val="center"/>
                </w:tcPr>
                <w:p w14:paraId="7DA8232D">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0.192</w:t>
                  </w:r>
                </w:p>
              </w:tc>
              <w:tc>
                <w:tcPr>
                  <w:tcW w:w="768" w:type="pct"/>
                  <w:vMerge w:val="continue"/>
                  <w:tcBorders>
                    <w:tl2br w:val="nil"/>
                    <w:tr2bl w:val="nil"/>
                  </w:tcBorders>
                  <w:noWrap w:val="0"/>
                  <w:vAlign w:val="center"/>
                </w:tcPr>
                <w:p w14:paraId="03575286">
                  <w:pPr>
                    <w:jc w:val="center"/>
                    <w:rPr>
                      <w:rFonts w:hint="default" w:ascii="Times New Roman" w:hAnsi="Times New Roman" w:eastAsia="宋体" w:cs="Times New Roman"/>
                      <w:color w:val="0000FF"/>
                      <w:sz w:val="21"/>
                      <w:szCs w:val="21"/>
                      <w:highlight w:val="none"/>
                      <w:lang w:val="en-US" w:eastAsia="zh-CN"/>
                    </w:rPr>
                  </w:pPr>
                </w:p>
              </w:tc>
              <w:tc>
                <w:tcPr>
                  <w:tcW w:w="608" w:type="pct"/>
                  <w:tcBorders>
                    <w:tl2br w:val="nil"/>
                    <w:tr2bl w:val="nil"/>
                  </w:tcBorders>
                  <w:noWrap w:val="0"/>
                  <w:vAlign w:val="center"/>
                </w:tcPr>
                <w:p w14:paraId="74E0367C">
                  <w:pPr>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kern w:val="0"/>
                      <w:sz w:val="21"/>
                      <w:szCs w:val="21"/>
                      <w:lang w:val="en-US" w:eastAsia="zh-CN"/>
                    </w:rPr>
                    <w:t>50</w:t>
                  </w:r>
                </w:p>
              </w:tc>
              <w:tc>
                <w:tcPr>
                  <w:tcW w:w="587" w:type="pct"/>
                  <w:tcBorders>
                    <w:tl2br w:val="nil"/>
                    <w:tr2bl w:val="nil"/>
                  </w:tcBorders>
                  <w:noWrap w:val="0"/>
                  <w:vAlign w:val="center"/>
                </w:tcPr>
                <w:p w14:paraId="471A27C2">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0.192</w:t>
                  </w:r>
                </w:p>
              </w:tc>
              <w:tc>
                <w:tcPr>
                  <w:tcW w:w="437" w:type="pct"/>
                  <w:tcBorders>
                    <w:tl2br w:val="nil"/>
                    <w:tr2bl w:val="nil"/>
                  </w:tcBorders>
                  <w:noWrap w:val="0"/>
                  <w:vAlign w:val="center"/>
                </w:tcPr>
                <w:p w14:paraId="302C0A0D">
                  <w:pPr>
                    <w:keepNext w:val="0"/>
                    <w:keepLines w:val="0"/>
                    <w:widowControl/>
                    <w:suppressLineNumbers w:val="0"/>
                    <w:jc w:val="center"/>
                    <w:textAlignment w:val="center"/>
                    <w:rPr>
                      <w:rFonts w:hint="default"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70</w:t>
                  </w:r>
                </w:p>
              </w:tc>
            </w:tr>
            <w:tr w14:paraId="2B426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60EEE233">
                  <w:pPr>
                    <w:jc w:val="center"/>
                    <w:rPr>
                      <w:rFonts w:hint="default" w:ascii="Times New Roman" w:hAnsi="Times New Roman" w:eastAsia="宋体" w:cs="Times New Roman"/>
                      <w:color w:val="auto"/>
                      <w:sz w:val="21"/>
                      <w:szCs w:val="21"/>
                      <w:highlight w:val="none"/>
                      <w:lang w:val="en-US" w:eastAsia="zh-CN"/>
                    </w:rPr>
                  </w:pPr>
                </w:p>
              </w:tc>
              <w:tc>
                <w:tcPr>
                  <w:tcW w:w="668" w:type="pct"/>
                  <w:tcBorders>
                    <w:tl2br w:val="nil"/>
                    <w:tr2bl w:val="nil"/>
                  </w:tcBorders>
                  <w:noWrap w:val="0"/>
                  <w:vAlign w:val="center"/>
                </w:tcPr>
                <w:p w14:paraId="0D681DAF">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动植物油</w:t>
                  </w:r>
                </w:p>
              </w:tc>
              <w:tc>
                <w:tcPr>
                  <w:tcW w:w="701" w:type="pct"/>
                  <w:tcBorders>
                    <w:tl2br w:val="nil"/>
                    <w:tr2bl w:val="nil"/>
                  </w:tcBorders>
                  <w:noWrap w:val="0"/>
                  <w:vAlign w:val="center"/>
                </w:tcPr>
                <w:p w14:paraId="7AEEA8F5">
                  <w:pPr>
                    <w:pStyle w:val="8"/>
                    <w:jc w:val="center"/>
                    <w:rPr>
                      <w:rFonts w:hint="default" w:ascii="Times New Roman" w:hAnsi="Times New Roman" w:eastAsia="宋体" w:cs="Times New Roman"/>
                      <w:color w:val="0000FF"/>
                      <w:sz w:val="21"/>
                      <w:szCs w:val="21"/>
                      <w:highlight w:val="none"/>
                      <w:lang w:val="en-US" w:eastAsia="zh-CN"/>
                    </w:rPr>
                  </w:pPr>
                  <w:r>
                    <w:rPr>
                      <w:rFonts w:hint="eastAsia" w:ascii="Times New Roman" w:hAnsi="Times New Roman" w:cs="Times New Roman"/>
                      <w:color w:val="0000FF"/>
                      <w:sz w:val="21"/>
                      <w:szCs w:val="21"/>
                      <w:lang w:val="en-US" w:eastAsia="zh-CN"/>
                    </w:rPr>
                    <w:t>50</w:t>
                  </w:r>
                </w:p>
              </w:tc>
              <w:tc>
                <w:tcPr>
                  <w:tcW w:w="627" w:type="pct"/>
                  <w:tcBorders>
                    <w:tl2br w:val="nil"/>
                    <w:tr2bl w:val="nil"/>
                  </w:tcBorders>
                  <w:noWrap w:val="0"/>
                  <w:vAlign w:val="center"/>
                </w:tcPr>
                <w:p w14:paraId="397544FB">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0.192</w:t>
                  </w:r>
                </w:p>
              </w:tc>
              <w:tc>
                <w:tcPr>
                  <w:tcW w:w="768" w:type="pct"/>
                  <w:vMerge w:val="continue"/>
                  <w:tcBorders>
                    <w:tl2br w:val="nil"/>
                    <w:tr2bl w:val="nil"/>
                  </w:tcBorders>
                  <w:noWrap w:val="0"/>
                  <w:vAlign w:val="center"/>
                </w:tcPr>
                <w:p w14:paraId="7B780B2F">
                  <w:pPr>
                    <w:jc w:val="center"/>
                    <w:rPr>
                      <w:rFonts w:hint="default" w:ascii="Times New Roman" w:hAnsi="Times New Roman" w:eastAsia="宋体" w:cs="Times New Roman"/>
                      <w:color w:val="0000FF"/>
                      <w:sz w:val="21"/>
                      <w:szCs w:val="21"/>
                      <w:highlight w:val="none"/>
                      <w:lang w:val="en-US" w:eastAsia="zh-CN"/>
                    </w:rPr>
                  </w:pPr>
                </w:p>
              </w:tc>
              <w:tc>
                <w:tcPr>
                  <w:tcW w:w="608" w:type="pct"/>
                  <w:tcBorders>
                    <w:tl2br w:val="nil"/>
                    <w:tr2bl w:val="nil"/>
                  </w:tcBorders>
                  <w:noWrap w:val="0"/>
                  <w:vAlign w:val="center"/>
                </w:tcPr>
                <w:p w14:paraId="4E0D42C8">
                  <w:pPr>
                    <w:jc w:val="center"/>
                    <w:textAlignment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kern w:val="0"/>
                      <w:sz w:val="21"/>
                      <w:szCs w:val="21"/>
                      <w:lang w:val="en-US" w:eastAsia="zh-CN"/>
                    </w:rPr>
                    <w:t>1</w:t>
                  </w:r>
                  <w:r>
                    <w:rPr>
                      <w:rFonts w:hint="eastAsia" w:ascii="Times New Roman" w:hAnsi="Times New Roman" w:eastAsia="宋体" w:cs="Times New Roman"/>
                      <w:color w:val="0000FF"/>
                      <w:kern w:val="0"/>
                      <w:sz w:val="21"/>
                      <w:szCs w:val="21"/>
                      <w:lang w:val="en-US" w:eastAsia="zh-CN"/>
                    </w:rPr>
                    <w:t>0</w:t>
                  </w:r>
                </w:p>
              </w:tc>
              <w:tc>
                <w:tcPr>
                  <w:tcW w:w="587" w:type="pct"/>
                  <w:tcBorders>
                    <w:tl2br w:val="nil"/>
                    <w:tr2bl w:val="nil"/>
                  </w:tcBorders>
                  <w:noWrap w:val="0"/>
                  <w:vAlign w:val="center"/>
                </w:tcPr>
                <w:p w14:paraId="2F28CED8">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0.038</w:t>
                  </w:r>
                </w:p>
              </w:tc>
              <w:tc>
                <w:tcPr>
                  <w:tcW w:w="437" w:type="pct"/>
                  <w:tcBorders>
                    <w:tl2br w:val="nil"/>
                    <w:tr2bl w:val="nil"/>
                  </w:tcBorders>
                  <w:noWrap w:val="0"/>
                  <w:vAlign w:val="center"/>
                </w:tcPr>
                <w:p w14:paraId="0A599745">
                  <w:pPr>
                    <w:keepNext w:val="0"/>
                    <w:keepLines w:val="0"/>
                    <w:widowControl/>
                    <w:suppressLineNumbers w:val="0"/>
                    <w:jc w:val="center"/>
                    <w:textAlignment w:val="center"/>
                    <w:rPr>
                      <w:rFonts w:hint="default"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100</w:t>
                  </w:r>
                </w:p>
              </w:tc>
            </w:tr>
            <w:tr w14:paraId="527619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restart"/>
                  <w:tcBorders>
                    <w:tl2br w:val="nil"/>
                    <w:tr2bl w:val="nil"/>
                  </w:tcBorders>
                  <w:noWrap w:val="0"/>
                  <w:vAlign w:val="center"/>
                </w:tcPr>
                <w:p w14:paraId="27FDEC86">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地面清洗废水（1052.55</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a</w:t>
                  </w:r>
                  <w:r>
                    <w:rPr>
                      <w:rFonts w:hint="eastAsia" w:cs="Times New Roman"/>
                      <w:color w:val="auto"/>
                      <w:sz w:val="21"/>
                      <w:szCs w:val="21"/>
                      <w:highlight w:val="none"/>
                      <w:lang w:val="en-US" w:eastAsia="zh-CN"/>
                    </w:rPr>
                    <w:t>）</w:t>
                  </w:r>
                </w:p>
              </w:tc>
              <w:tc>
                <w:tcPr>
                  <w:tcW w:w="668" w:type="pct"/>
                  <w:tcBorders>
                    <w:tl2br w:val="nil"/>
                    <w:tr2bl w:val="nil"/>
                  </w:tcBorders>
                  <w:shd w:val="clear" w:color="auto" w:fill="auto"/>
                  <w:noWrap w:val="0"/>
                  <w:vAlign w:val="center"/>
                </w:tcPr>
                <w:p w14:paraId="305AC09C">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PH</w:t>
                  </w:r>
                </w:p>
              </w:tc>
              <w:tc>
                <w:tcPr>
                  <w:tcW w:w="701" w:type="pct"/>
                  <w:tcBorders>
                    <w:tl2br w:val="nil"/>
                    <w:tr2bl w:val="nil"/>
                  </w:tcBorders>
                  <w:shd w:val="clear" w:color="auto" w:fill="auto"/>
                  <w:noWrap w:val="0"/>
                  <w:vAlign w:val="center"/>
                </w:tcPr>
                <w:p w14:paraId="62854E52">
                  <w:pPr>
                    <w:pStyle w:val="8"/>
                    <w:jc w:val="center"/>
                    <w:rPr>
                      <w:rFonts w:hint="eastAsia"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rPr>
                    <w:t>6~9</w:t>
                  </w:r>
                </w:p>
              </w:tc>
              <w:tc>
                <w:tcPr>
                  <w:tcW w:w="627" w:type="pct"/>
                  <w:tcBorders>
                    <w:tl2br w:val="nil"/>
                    <w:tr2bl w:val="nil"/>
                  </w:tcBorders>
                  <w:shd w:val="clear" w:color="auto" w:fill="auto"/>
                  <w:noWrap w:val="0"/>
                  <w:vAlign w:val="center"/>
                </w:tcPr>
                <w:p w14:paraId="17BE1FB2">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768" w:type="pct"/>
                  <w:vMerge w:val="restart"/>
                  <w:tcBorders>
                    <w:tl2br w:val="nil"/>
                    <w:tr2bl w:val="nil"/>
                  </w:tcBorders>
                  <w:noWrap w:val="0"/>
                  <w:vAlign w:val="center"/>
                </w:tcPr>
                <w:p w14:paraId="3E3C5125">
                  <w:pPr>
                    <w:jc w:val="center"/>
                    <w:rPr>
                      <w:rFonts w:hint="default" w:ascii="Times New Roman" w:hAnsi="Times New Roman" w:eastAsia="宋体" w:cs="Times New Roman"/>
                      <w:color w:val="auto"/>
                      <w:sz w:val="21"/>
                      <w:szCs w:val="21"/>
                      <w:highlight w:val="none"/>
                      <w:lang w:val="en-US" w:eastAsia="zh-CN"/>
                    </w:rPr>
                  </w:pPr>
                  <w:r>
                    <w:rPr>
                      <w:rFonts w:hint="eastAsia" w:cs="Times New Roman"/>
                      <w:b w:val="0"/>
                      <w:bCs/>
                      <w:color w:val="auto"/>
                      <w:kern w:val="2"/>
                      <w:sz w:val="21"/>
                      <w:szCs w:val="21"/>
                      <w:highlight w:val="none"/>
                      <w:lang w:val="en-US" w:eastAsia="zh-CN" w:bidi="ar-SA"/>
                    </w:rPr>
                    <w:t>经沉淀池沉淀后回用，沉淀池底部污泥定期清理</w:t>
                  </w:r>
                </w:p>
              </w:tc>
              <w:tc>
                <w:tcPr>
                  <w:tcW w:w="608" w:type="pct"/>
                  <w:tcBorders>
                    <w:tl2br w:val="nil"/>
                    <w:tr2bl w:val="nil"/>
                  </w:tcBorders>
                  <w:shd w:val="clear" w:color="auto" w:fill="auto"/>
                  <w:noWrap w:val="0"/>
                  <w:vAlign w:val="center"/>
                </w:tcPr>
                <w:p w14:paraId="53C27C90">
                  <w:pPr>
                    <w:pStyle w:val="8"/>
                    <w:jc w:val="center"/>
                    <w:rPr>
                      <w:rFonts w:hint="eastAsia"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rPr>
                    <w:t>6~9</w:t>
                  </w:r>
                </w:p>
              </w:tc>
              <w:tc>
                <w:tcPr>
                  <w:tcW w:w="587" w:type="pct"/>
                  <w:tcBorders>
                    <w:tl2br w:val="nil"/>
                    <w:tr2bl w:val="nil"/>
                  </w:tcBorders>
                  <w:shd w:val="clear" w:color="auto" w:fill="auto"/>
                  <w:noWrap w:val="0"/>
                  <w:vAlign w:val="center"/>
                </w:tcPr>
                <w:p w14:paraId="72B327A4">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437" w:type="pct"/>
                  <w:tcBorders>
                    <w:tl2br w:val="nil"/>
                    <w:tr2bl w:val="nil"/>
                  </w:tcBorders>
                  <w:shd w:val="clear" w:color="auto" w:fill="auto"/>
                  <w:noWrap w:val="0"/>
                  <w:vAlign w:val="center"/>
                </w:tcPr>
                <w:p w14:paraId="2DA77880">
                  <w:pPr>
                    <w:keepNext w:val="0"/>
                    <w:keepLines w:val="0"/>
                    <w:widowControl/>
                    <w:suppressLineNumbers w:val="0"/>
                    <w:jc w:val="center"/>
                    <w:textAlignment w:val="center"/>
                    <w:rPr>
                      <w:rFonts w:hint="eastAsia" w:cs="Times New Roman"/>
                      <w:color w:val="auto"/>
                      <w:sz w:val="21"/>
                      <w:szCs w:val="21"/>
                      <w:highlight w:val="none"/>
                      <w:lang w:val="en-US" w:eastAsia="zh-CN"/>
                    </w:rPr>
                  </w:pPr>
                  <w:r>
                    <w:rPr>
                      <w:rFonts w:ascii="Times New Roman" w:hAnsi="Times New Roman" w:cs="Times New Roman"/>
                      <w:color w:val="auto"/>
                      <w:sz w:val="21"/>
                      <w:szCs w:val="21"/>
                    </w:rPr>
                    <w:t>6~9</w:t>
                  </w:r>
                </w:p>
              </w:tc>
            </w:tr>
            <w:tr w14:paraId="0E7AB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2129F6E8">
                  <w:pPr>
                    <w:jc w:val="center"/>
                    <w:rPr>
                      <w:rFonts w:hint="eastAsia"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38B4884F">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COD</w:t>
                  </w:r>
                </w:p>
              </w:tc>
              <w:tc>
                <w:tcPr>
                  <w:tcW w:w="701" w:type="pct"/>
                  <w:tcBorders>
                    <w:tl2br w:val="nil"/>
                    <w:tr2bl w:val="nil"/>
                  </w:tcBorders>
                  <w:noWrap w:val="0"/>
                  <w:vAlign w:val="center"/>
                </w:tcPr>
                <w:p w14:paraId="190F9A6A">
                  <w:pPr>
                    <w:pStyle w:val="8"/>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200</w:t>
                  </w:r>
                </w:p>
              </w:tc>
              <w:tc>
                <w:tcPr>
                  <w:tcW w:w="627" w:type="pct"/>
                  <w:tcBorders>
                    <w:tl2br w:val="nil"/>
                    <w:tr2bl w:val="nil"/>
                  </w:tcBorders>
                  <w:noWrap w:val="0"/>
                  <w:vAlign w:val="center"/>
                </w:tcPr>
                <w:p w14:paraId="4A246D12">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0.211</w:t>
                  </w:r>
                </w:p>
              </w:tc>
              <w:tc>
                <w:tcPr>
                  <w:tcW w:w="768" w:type="pct"/>
                  <w:vMerge w:val="continue"/>
                  <w:tcBorders>
                    <w:tl2br w:val="nil"/>
                    <w:tr2bl w:val="nil"/>
                  </w:tcBorders>
                  <w:noWrap w:val="0"/>
                  <w:vAlign w:val="center"/>
                </w:tcPr>
                <w:p w14:paraId="7487F51F">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43AB11BE">
                  <w:pPr>
                    <w:pStyle w:val="8"/>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200</w:t>
                  </w:r>
                </w:p>
              </w:tc>
              <w:tc>
                <w:tcPr>
                  <w:tcW w:w="587" w:type="pct"/>
                  <w:tcBorders>
                    <w:tl2br w:val="nil"/>
                    <w:tr2bl w:val="nil"/>
                  </w:tcBorders>
                  <w:noWrap w:val="0"/>
                  <w:vAlign w:val="center"/>
                </w:tcPr>
                <w:p w14:paraId="29A987E3">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0.211</w:t>
                  </w:r>
                </w:p>
              </w:tc>
              <w:tc>
                <w:tcPr>
                  <w:tcW w:w="437" w:type="pct"/>
                  <w:tcBorders>
                    <w:tl2br w:val="nil"/>
                    <w:tr2bl w:val="nil"/>
                  </w:tcBorders>
                  <w:noWrap w:val="0"/>
                  <w:vAlign w:val="center"/>
                </w:tcPr>
                <w:p w14:paraId="1A2229FC">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500</w:t>
                  </w:r>
                </w:p>
              </w:tc>
            </w:tr>
            <w:tr w14:paraId="191E96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7FB99EAA">
                  <w:pPr>
                    <w:jc w:val="center"/>
                    <w:rPr>
                      <w:rFonts w:hint="eastAsia" w:cs="Times New Roman"/>
                      <w:color w:val="auto"/>
                      <w:sz w:val="21"/>
                      <w:szCs w:val="21"/>
                      <w:highlight w:val="none"/>
                      <w:lang w:val="en-US" w:eastAsia="zh-CN"/>
                    </w:rPr>
                  </w:pPr>
                </w:p>
              </w:tc>
              <w:tc>
                <w:tcPr>
                  <w:tcW w:w="668" w:type="pct"/>
                  <w:tcBorders>
                    <w:tl2br w:val="nil"/>
                    <w:tr2bl w:val="nil"/>
                  </w:tcBorders>
                  <w:noWrap w:val="0"/>
                  <w:vAlign w:val="center"/>
                </w:tcPr>
                <w:p w14:paraId="605D51A6">
                  <w:pPr>
                    <w:keepNext w:val="0"/>
                    <w:keepLines w:val="0"/>
                    <w:widowControl/>
                    <w:suppressLineNumbers w:val="0"/>
                    <w:jc w:val="center"/>
                    <w:textAlignment w:val="center"/>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SS</w:t>
                  </w:r>
                </w:p>
              </w:tc>
              <w:tc>
                <w:tcPr>
                  <w:tcW w:w="701" w:type="pct"/>
                  <w:tcBorders>
                    <w:tl2br w:val="nil"/>
                    <w:tr2bl w:val="nil"/>
                  </w:tcBorders>
                  <w:noWrap w:val="0"/>
                  <w:vAlign w:val="center"/>
                </w:tcPr>
                <w:p w14:paraId="1201ACB6">
                  <w:pPr>
                    <w:pStyle w:val="8"/>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400</w:t>
                  </w:r>
                </w:p>
              </w:tc>
              <w:tc>
                <w:tcPr>
                  <w:tcW w:w="627" w:type="pct"/>
                  <w:tcBorders>
                    <w:tl2br w:val="nil"/>
                    <w:tr2bl w:val="nil"/>
                  </w:tcBorders>
                  <w:noWrap w:val="0"/>
                  <w:vAlign w:val="center"/>
                </w:tcPr>
                <w:p w14:paraId="5324A314">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0.421</w:t>
                  </w:r>
                </w:p>
              </w:tc>
              <w:tc>
                <w:tcPr>
                  <w:tcW w:w="768" w:type="pct"/>
                  <w:vMerge w:val="continue"/>
                  <w:tcBorders>
                    <w:tl2br w:val="nil"/>
                    <w:tr2bl w:val="nil"/>
                  </w:tcBorders>
                  <w:noWrap w:val="0"/>
                  <w:vAlign w:val="center"/>
                </w:tcPr>
                <w:p w14:paraId="1B0C7A3B">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60B2C09B">
                  <w:pPr>
                    <w:pStyle w:val="8"/>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100</w:t>
                  </w:r>
                </w:p>
              </w:tc>
              <w:tc>
                <w:tcPr>
                  <w:tcW w:w="587" w:type="pct"/>
                  <w:tcBorders>
                    <w:tl2br w:val="nil"/>
                    <w:tr2bl w:val="nil"/>
                  </w:tcBorders>
                  <w:noWrap w:val="0"/>
                  <w:vAlign w:val="center"/>
                </w:tcPr>
                <w:p w14:paraId="2BFE270F">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0.105</w:t>
                  </w:r>
                </w:p>
              </w:tc>
              <w:tc>
                <w:tcPr>
                  <w:tcW w:w="437" w:type="pct"/>
                  <w:tcBorders>
                    <w:tl2br w:val="nil"/>
                    <w:tr2bl w:val="nil"/>
                  </w:tcBorders>
                  <w:noWrap w:val="0"/>
                  <w:vAlign w:val="center"/>
                </w:tcPr>
                <w:p w14:paraId="5E2BC7B5">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300</w:t>
                  </w:r>
                </w:p>
              </w:tc>
            </w:tr>
            <w:tr w14:paraId="1A593D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restart"/>
                  <w:tcBorders>
                    <w:tl2br w:val="nil"/>
                    <w:tr2bl w:val="nil"/>
                  </w:tcBorders>
                  <w:noWrap w:val="0"/>
                  <w:vAlign w:val="center"/>
                </w:tcPr>
                <w:p w14:paraId="59A74238">
                  <w:pPr>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综合废水（4182.86</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a</w:t>
                  </w:r>
                  <w:r>
                    <w:rPr>
                      <w:rFonts w:hint="eastAsia" w:cs="Times New Roman"/>
                      <w:color w:val="auto"/>
                      <w:sz w:val="21"/>
                      <w:szCs w:val="21"/>
                      <w:highlight w:val="none"/>
                      <w:lang w:val="en-US" w:eastAsia="zh-CN"/>
                    </w:rPr>
                    <w:t>）</w:t>
                  </w:r>
                </w:p>
              </w:tc>
              <w:tc>
                <w:tcPr>
                  <w:tcW w:w="668" w:type="pct"/>
                  <w:tcBorders>
                    <w:tl2br w:val="nil"/>
                    <w:tr2bl w:val="nil"/>
                  </w:tcBorders>
                  <w:shd w:val="clear" w:color="auto" w:fill="auto"/>
                  <w:noWrap w:val="0"/>
                  <w:vAlign w:val="center"/>
                </w:tcPr>
                <w:p w14:paraId="19E593A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pH</w:t>
                  </w:r>
                </w:p>
              </w:tc>
              <w:tc>
                <w:tcPr>
                  <w:tcW w:w="701" w:type="pct"/>
                  <w:tcBorders>
                    <w:tl2br w:val="nil"/>
                    <w:tr2bl w:val="nil"/>
                  </w:tcBorders>
                  <w:noWrap w:val="0"/>
                  <w:vAlign w:val="center"/>
                </w:tcPr>
                <w:p w14:paraId="64E8426B">
                  <w:pPr>
                    <w:pStyle w:val="8"/>
                    <w:jc w:val="center"/>
                    <w:rPr>
                      <w:rFonts w:hint="default" w:ascii="Times New Roman" w:hAnsi="Times New Roman" w:cs="Times New Roman"/>
                      <w:color w:val="auto"/>
                      <w:sz w:val="21"/>
                      <w:szCs w:val="21"/>
                      <w:lang w:val="en-US" w:eastAsia="zh-CN"/>
                    </w:rPr>
                  </w:pPr>
                  <w:r>
                    <w:rPr>
                      <w:rFonts w:ascii="Times New Roman" w:hAnsi="Times New Roman" w:cs="Times New Roman"/>
                      <w:color w:val="auto"/>
                      <w:sz w:val="21"/>
                      <w:szCs w:val="21"/>
                    </w:rPr>
                    <w:t>6~9</w:t>
                  </w:r>
                </w:p>
              </w:tc>
              <w:tc>
                <w:tcPr>
                  <w:tcW w:w="627" w:type="pct"/>
                  <w:tcBorders>
                    <w:tl2br w:val="nil"/>
                    <w:tr2bl w:val="nil"/>
                  </w:tcBorders>
                  <w:noWrap w:val="0"/>
                  <w:vAlign w:val="center"/>
                </w:tcPr>
                <w:p w14:paraId="2BD1DA88">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768" w:type="pct"/>
                  <w:vMerge w:val="restart"/>
                  <w:tcBorders>
                    <w:tl2br w:val="nil"/>
                    <w:tr2bl w:val="nil"/>
                  </w:tcBorders>
                  <w:noWrap w:val="0"/>
                  <w:vAlign w:val="center"/>
                </w:tcPr>
                <w:p w14:paraId="756EADD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经</w:t>
                  </w:r>
                  <w:r>
                    <w:rPr>
                      <w:rFonts w:hint="eastAsia" w:cs="Times New Roman"/>
                      <w:color w:val="auto"/>
                      <w:sz w:val="21"/>
                      <w:szCs w:val="21"/>
                      <w:highlight w:val="none"/>
                      <w:lang w:val="en-US" w:eastAsia="zh-CN"/>
                    </w:rPr>
                    <w:t>隔油池+化粪池预处理</w:t>
                  </w:r>
                  <w:r>
                    <w:rPr>
                      <w:rFonts w:hint="default" w:ascii="Times New Roman" w:hAnsi="Times New Roman" w:eastAsia="宋体" w:cs="Times New Roman"/>
                      <w:color w:val="auto"/>
                      <w:sz w:val="21"/>
                      <w:szCs w:val="21"/>
                      <w:highlight w:val="none"/>
                      <w:lang w:val="en-US" w:eastAsia="zh-CN"/>
                    </w:rPr>
                    <w:t>后</w:t>
                  </w:r>
                  <w:r>
                    <w:rPr>
                      <w:rFonts w:hint="eastAsia" w:cs="Times New Roman"/>
                      <w:color w:val="auto"/>
                      <w:sz w:val="21"/>
                      <w:szCs w:val="21"/>
                      <w:highlight w:val="none"/>
                      <w:lang w:val="en-US" w:eastAsia="zh-CN"/>
                    </w:rPr>
                    <w:t>与经处理后的超声波清洗废水</w:t>
                  </w:r>
                  <w:r>
                    <w:rPr>
                      <w:rFonts w:hint="default" w:ascii="Times New Roman" w:hAnsi="Times New Roman" w:eastAsia="宋体" w:cs="Times New Roman"/>
                      <w:color w:val="auto"/>
                      <w:sz w:val="21"/>
                      <w:szCs w:val="21"/>
                      <w:highlight w:val="none"/>
                      <w:lang w:val="en-US" w:eastAsia="zh-CN"/>
                    </w:rPr>
                    <w:t>进入高安市</w:t>
                  </w:r>
                  <w:r>
                    <w:rPr>
                      <w:rFonts w:hint="eastAsia" w:cs="Times New Roman"/>
                      <w:color w:val="auto"/>
                      <w:sz w:val="21"/>
                      <w:szCs w:val="21"/>
                      <w:highlight w:val="none"/>
                      <w:lang w:val="en-US" w:eastAsia="zh-CN"/>
                    </w:rPr>
                    <w:t>工业园</w:t>
                  </w:r>
                  <w:r>
                    <w:rPr>
                      <w:rFonts w:hint="default" w:ascii="Times New Roman" w:hAnsi="Times New Roman" w:eastAsia="宋体" w:cs="Times New Roman"/>
                      <w:color w:val="auto"/>
                      <w:sz w:val="21"/>
                      <w:szCs w:val="21"/>
                      <w:highlight w:val="none"/>
                      <w:lang w:val="en-US" w:eastAsia="zh-CN"/>
                    </w:rPr>
                    <w:t>污水处理厂处理</w:t>
                  </w:r>
                </w:p>
              </w:tc>
              <w:tc>
                <w:tcPr>
                  <w:tcW w:w="608" w:type="pct"/>
                  <w:tcBorders>
                    <w:tl2br w:val="nil"/>
                    <w:tr2bl w:val="nil"/>
                  </w:tcBorders>
                  <w:shd w:val="clear" w:color="auto" w:fill="auto"/>
                  <w:noWrap w:val="0"/>
                  <w:vAlign w:val="center"/>
                </w:tcPr>
                <w:p w14:paraId="4E6EE3BF">
                  <w:pPr>
                    <w:pStyle w:val="8"/>
                    <w:jc w:val="center"/>
                    <w:rPr>
                      <w:rFonts w:hint="eastAsia" w:ascii="Times New Roman" w:hAnsi="Times New Roman" w:cs="Times New Roman"/>
                      <w:color w:val="auto"/>
                      <w:sz w:val="21"/>
                      <w:szCs w:val="21"/>
                      <w:lang w:val="en-US" w:eastAsia="zh-CN"/>
                    </w:rPr>
                  </w:pPr>
                  <w:r>
                    <w:rPr>
                      <w:rFonts w:ascii="Times New Roman" w:hAnsi="Times New Roman" w:cs="Times New Roman"/>
                      <w:color w:val="auto"/>
                      <w:sz w:val="21"/>
                      <w:szCs w:val="21"/>
                    </w:rPr>
                    <w:t>6~9</w:t>
                  </w:r>
                </w:p>
              </w:tc>
              <w:tc>
                <w:tcPr>
                  <w:tcW w:w="587" w:type="pct"/>
                  <w:tcBorders>
                    <w:tl2br w:val="nil"/>
                    <w:tr2bl w:val="nil"/>
                  </w:tcBorders>
                  <w:noWrap w:val="0"/>
                  <w:vAlign w:val="center"/>
                </w:tcPr>
                <w:p w14:paraId="34F30B02">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p>
              </w:tc>
              <w:tc>
                <w:tcPr>
                  <w:tcW w:w="437" w:type="pct"/>
                  <w:tcBorders>
                    <w:tl2br w:val="nil"/>
                    <w:tr2bl w:val="nil"/>
                  </w:tcBorders>
                  <w:shd w:val="clear" w:color="auto" w:fill="auto"/>
                  <w:noWrap w:val="0"/>
                  <w:vAlign w:val="center"/>
                </w:tcPr>
                <w:p w14:paraId="4277E200">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rPr>
                    <w:t>6~9</w:t>
                  </w:r>
                </w:p>
              </w:tc>
            </w:tr>
            <w:tr w14:paraId="622F6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69E56F74">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1F57658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COD</w:t>
                  </w:r>
                </w:p>
              </w:tc>
              <w:tc>
                <w:tcPr>
                  <w:tcW w:w="701" w:type="pct"/>
                  <w:tcBorders>
                    <w:tl2br w:val="nil"/>
                    <w:tr2bl w:val="nil"/>
                  </w:tcBorders>
                  <w:noWrap w:val="0"/>
                  <w:vAlign w:val="center"/>
                </w:tcPr>
                <w:p w14:paraId="3B91BA34">
                  <w:pPr>
                    <w:pStyle w:val="8"/>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tcBorders>
                    <w:tl2br w:val="nil"/>
                    <w:tr2bl w:val="nil"/>
                  </w:tcBorders>
                  <w:noWrap w:val="0"/>
                  <w:vAlign w:val="center"/>
                </w:tcPr>
                <w:p w14:paraId="43C56037">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4.265</w:t>
                  </w:r>
                </w:p>
              </w:tc>
              <w:tc>
                <w:tcPr>
                  <w:tcW w:w="768" w:type="pct"/>
                  <w:vMerge w:val="continue"/>
                  <w:tcBorders>
                    <w:tl2br w:val="nil"/>
                    <w:tr2bl w:val="nil"/>
                  </w:tcBorders>
                  <w:noWrap w:val="0"/>
                  <w:vAlign w:val="center"/>
                </w:tcPr>
                <w:p w14:paraId="6D193D69">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66F6C17F">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587" w:type="pct"/>
                  <w:tcBorders>
                    <w:tl2br w:val="nil"/>
                    <w:tr2bl w:val="nil"/>
                  </w:tcBorders>
                  <w:noWrap w:val="0"/>
                  <w:vAlign w:val="center"/>
                </w:tcPr>
                <w:p w14:paraId="0BE586F1">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0.939</w:t>
                  </w:r>
                </w:p>
              </w:tc>
              <w:tc>
                <w:tcPr>
                  <w:tcW w:w="437" w:type="pct"/>
                  <w:tcBorders>
                    <w:tl2br w:val="nil"/>
                    <w:tr2bl w:val="nil"/>
                  </w:tcBorders>
                  <w:shd w:val="clear" w:color="auto" w:fill="auto"/>
                  <w:noWrap w:val="0"/>
                  <w:vAlign w:val="center"/>
                </w:tcPr>
                <w:p w14:paraId="52C7463A">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w:t>
                  </w:r>
                </w:p>
              </w:tc>
            </w:tr>
            <w:tr w14:paraId="3AD637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0D41FFBA">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13199CA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p>
              </w:tc>
              <w:tc>
                <w:tcPr>
                  <w:tcW w:w="701" w:type="pct"/>
                  <w:tcBorders>
                    <w:tl2br w:val="nil"/>
                    <w:tr2bl w:val="nil"/>
                  </w:tcBorders>
                  <w:noWrap w:val="0"/>
                  <w:vAlign w:val="center"/>
                </w:tcPr>
                <w:p w14:paraId="2616FF11">
                  <w:pPr>
                    <w:pStyle w:val="8"/>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tcBorders>
                    <w:tl2br w:val="nil"/>
                    <w:tr2bl w:val="nil"/>
                  </w:tcBorders>
                  <w:noWrap w:val="0"/>
                  <w:vAlign w:val="center"/>
                </w:tcPr>
                <w:p w14:paraId="4C7DBDFA">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1.699</w:t>
                  </w:r>
                </w:p>
              </w:tc>
              <w:tc>
                <w:tcPr>
                  <w:tcW w:w="768" w:type="pct"/>
                  <w:vMerge w:val="continue"/>
                  <w:tcBorders>
                    <w:tl2br w:val="nil"/>
                    <w:tr2bl w:val="nil"/>
                  </w:tcBorders>
                  <w:noWrap w:val="0"/>
                  <w:vAlign w:val="center"/>
                </w:tcPr>
                <w:p w14:paraId="0BD74643">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58F35D7A">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587" w:type="pct"/>
                  <w:tcBorders>
                    <w:tl2br w:val="nil"/>
                    <w:tr2bl w:val="nil"/>
                  </w:tcBorders>
                  <w:noWrap w:val="0"/>
                  <w:vAlign w:val="center"/>
                </w:tcPr>
                <w:p w14:paraId="2C089EB6">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0.621</w:t>
                  </w:r>
                </w:p>
              </w:tc>
              <w:tc>
                <w:tcPr>
                  <w:tcW w:w="437" w:type="pct"/>
                  <w:tcBorders>
                    <w:tl2br w:val="nil"/>
                    <w:tr2bl w:val="nil"/>
                  </w:tcBorders>
                  <w:shd w:val="clear" w:color="auto" w:fill="auto"/>
                  <w:noWrap w:val="0"/>
                  <w:vAlign w:val="center"/>
                </w:tcPr>
                <w:p w14:paraId="33A41F76">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200</w:t>
                  </w:r>
                </w:p>
              </w:tc>
            </w:tr>
            <w:tr w14:paraId="24866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77B475D5">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6C1F321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SS</w:t>
                  </w:r>
                </w:p>
              </w:tc>
              <w:tc>
                <w:tcPr>
                  <w:tcW w:w="701" w:type="pct"/>
                  <w:tcBorders>
                    <w:tl2br w:val="nil"/>
                    <w:tr2bl w:val="nil"/>
                  </w:tcBorders>
                  <w:noWrap w:val="0"/>
                  <w:vAlign w:val="center"/>
                </w:tcPr>
                <w:p w14:paraId="64452136">
                  <w:pPr>
                    <w:pStyle w:val="8"/>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tcBorders>
                    <w:tl2br w:val="nil"/>
                    <w:tr2bl w:val="nil"/>
                  </w:tcBorders>
                  <w:noWrap w:val="0"/>
                  <w:vAlign w:val="center"/>
                </w:tcPr>
                <w:p w14:paraId="2DA7718A">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0.768</w:t>
                  </w:r>
                </w:p>
              </w:tc>
              <w:tc>
                <w:tcPr>
                  <w:tcW w:w="768" w:type="pct"/>
                  <w:vMerge w:val="continue"/>
                  <w:tcBorders>
                    <w:tl2br w:val="nil"/>
                    <w:tr2bl w:val="nil"/>
                  </w:tcBorders>
                  <w:noWrap w:val="0"/>
                  <w:vAlign w:val="center"/>
                </w:tcPr>
                <w:p w14:paraId="646E9E01">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5EAD4934">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587" w:type="pct"/>
                  <w:tcBorders>
                    <w:tl2br w:val="nil"/>
                    <w:tr2bl w:val="nil"/>
                  </w:tcBorders>
                  <w:noWrap w:val="0"/>
                  <w:vAlign w:val="center"/>
                </w:tcPr>
                <w:p w14:paraId="491EE63F">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0.576</w:t>
                  </w:r>
                </w:p>
              </w:tc>
              <w:tc>
                <w:tcPr>
                  <w:tcW w:w="437" w:type="pct"/>
                  <w:tcBorders>
                    <w:tl2br w:val="nil"/>
                    <w:tr2bl w:val="nil"/>
                  </w:tcBorders>
                  <w:shd w:val="clear" w:color="auto" w:fill="auto"/>
                  <w:noWrap w:val="0"/>
                  <w:vAlign w:val="center"/>
                </w:tcPr>
                <w:p w14:paraId="1031484B">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300</w:t>
                  </w:r>
                </w:p>
              </w:tc>
            </w:tr>
            <w:tr w14:paraId="03EAA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5C1E8FFF">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7981D05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-N</w:t>
                  </w:r>
                </w:p>
              </w:tc>
              <w:tc>
                <w:tcPr>
                  <w:tcW w:w="701" w:type="pct"/>
                  <w:tcBorders>
                    <w:tl2br w:val="nil"/>
                    <w:tr2bl w:val="nil"/>
                  </w:tcBorders>
                  <w:noWrap w:val="0"/>
                  <w:vAlign w:val="center"/>
                </w:tcPr>
                <w:p w14:paraId="10470DB8">
                  <w:pPr>
                    <w:pStyle w:val="8"/>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tcBorders>
                    <w:tl2br w:val="nil"/>
                    <w:tr2bl w:val="nil"/>
                  </w:tcBorders>
                  <w:noWrap w:val="0"/>
                  <w:vAlign w:val="center"/>
                </w:tcPr>
                <w:p w14:paraId="4B4378FE">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0.14</w:t>
                  </w:r>
                </w:p>
              </w:tc>
              <w:tc>
                <w:tcPr>
                  <w:tcW w:w="768" w:type="pct"/>
                  <w:vMerge w:val="continue"/>
                  <w:tcBorders>
                    <w:tl2br w:val="nil"/>
                    <w:tr2bl w:val="nil"/>
                  </w:tcBorders>
                  <w:noWrap w:val="0"/>
                  <w:vAlign w:val="center"/>
                </w:tcPr>
                <w:p w14:paraId="337CD5C1">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5182FF66">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587" w:type="pct"/>
                  <w:tcBorders>
                    <w:tl2br w:val="nil"/>
                    <w:tr2bl w:val="nil"/>
                  </w:tcBorders>
                  <w:noWrap w:val="0"/>
                  <w:vAlign w:val="center"/>
                </w:tcPr>
                <w:p w14:paraId="0C353946">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0.132</w:t>
                  </w:r>
                </w:p>
              </w:tc>
              <w:tc>
                <w:tcPr>
                  <w:tcW w:w="437" w:type="pct"/>
                  <w:tcBorders>
                    <w:tl2br w:val="nil"/>
                    <w:tr2bl w:val="nil"/>
                  </w:tcBorders>
                  <w:shd w:val="clear" w:color="auto" w:fill="auto"/>
                  <w:noWrap w:val="0"/>
                  <w:vAlign w:val="center"/>
                </w:tcPr>
                <w:p w14:paraId="0FF54D83">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55</w:t>
                  </w:r>
                </w:p>
              </w:tc>
            </w:tr>
            <w:tr w14:paraId="5680A4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7A9E47C6">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063D304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TP</w:t>
                  </w:r>
                </w:p>
              </w:tc>
              <w:tc>
                <w:tcPr>
                  <w:tcW w:w="701" w:type="pct"/>
                  <w:tcBorders>
                    <w:tl2br w:val="nil"/>
                    <w:tr2bl w:val="nil"/>
                  </w:tcBorders>
                  <w:noWrap w:val="0"/>
                  <w:vAlign w:val="center"/>
                </w:tcPr>
                <w:p w14:paraId="7FCBD5B4">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tcBorders>
                    <w:tl2br w:val="nil"/>
                    <w:tr2bl w:val="nil"/>
                  </w:tcBorders>
                  <w:noWrap w:val="0"/>
                  <w:vAlign w:val="center"/>
                </w:tcPr>
                <w:p w14:paraId="0E1B0DF6">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0.072</w:t>
                  </w:r>
                </w:p>
              </w:tc>
              <w:tc>
                <w:tcPr>
                  <w:tcW w:w="768" w:type="pct"/>
                  <w:vMerge w:val="continue"/>
                  <w:tcBorders>
                    <w:tl2br w:val="nil"/>
                    <w:tr2bl w:val="nil"/>
                  </w:tcBorders>
                  <w:noWrap w:val="0"/>
                  <w:vAlign w:val="center"/>
                </w:tcPr>
                <w:p w14:paraId="4A7BF0B8">
                  <w:pPr>
                    <w:jc w:val="center"/>
                    <w:rPr>
                      <w:rFonts w:hint="default" w:ascii="Times New Roman" w:hAnsi="Times New Roman" w:eastAsia="宋体" w:cs="Times New Roman"/>
                      <w:color w:val="auto"/>
                      <w:sz w:val="21"/>
                      <w:szCs w:val="21"/>
                      <w:highlight w:val="none"/>
                      <w:lang w:val="en-US" w:eastAsia="zh-CN"/>
                    </w:rPr>
                  </w:pPr>
                </w:p>
              </w:tc>
              <w:tc>
                <w:tcPr>
                  <w:tcW w:w="608" w:type="pct"/>
                  <w:tcBorders>
                    <w:tl2br w:val="nil"/>
                    <w:tr2bl w:val="nil"/>
                  </w:tcBorders>
                  <w:shd w:val="clear" w:color="auto" w:fill="auto"/>
                  <w:noWrap w:val="0"/>
                  <w:vAlign w:val="center"/>
                </w:tcPr>
                <w:p w14:paraId="23B3044C">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587" w:type="pct"/>
                  <w:tcBorders>
                    <w:tl2br w:val="nil"/>
                    <w:tr2bl w:val="nil"/>
                  </w:tcBorders>
                  <w:noWrap w:val="0"/>
                  <w:vAlign w:val="center"/>
                </w:tcPr>
                <w:p w14:paraId="2F90765C">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0.018</w:t>
                  </w:r>
                </w:p>
              </w:tc>
              <w:tc>
                <w:tcPr>
                  <w:tcW w:w="437" w:type="pct"/>
                  <w:tcBorders>
                    <w:tl2br w:val="nil"/>
                    <w:tr2bl w:val="nil"/>
                  </w:tcBorders>
                  <w:shd w:val="clear" w:color="auto" w:fill="auto"/>
                  <w:noWrap w:val="0"/>
                  <w:vAlign w:val="center"/>
                </w:tcPr>
                <w:p w14:paraId="43C04BC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w:t>
                  </w:r>
                </w:p>
              </w:tc>
            </w:tr>
            <w:tr w14:paraId="6C102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Borders>
                    <w:tl2br w:val="nil"/>
                    <w:tr2bl w:val="nil"/>
                  </w:tcBorders>
                  <w:noWrap w:val="0"/>
                  <w:vAlign w:val="center"/>
                </w:tcPr>
                <w:p w14:paraId="2F052630">
                  <w:pPr>
                    <w:jc w:val="center"/>
                    <w:rPr>
                      <w:rFonts w:hint="default" w:cs="Times New Roman"/>
                      <w:color w:val="auto"/>
                      <w:sz w:val="21"/>
                      <w:szCs w:val="21"/>
                      <w:highlight w:val="none"/>
                      <w:lang w:val="en-US" w:eastAsia="zh-CN"/>
                    </w:rPr>
                  </w:pPr>
                </w:p>
              </w:tc>
              <w:tc>
                <w:tcPr>
                  <w:tcW w:w="668" w:type="pct"/>
                  <w:tcBorders>
                    <w:tl2br w:val="nil"/>
                    <w:tr2bl w:val="nil"/>
                  </w:tcBorders>
                  <w:shd w:val="clear" w:color="auto" w:fill="auto"/>
                  <w:noWrap w:val="0"/>
                  <w:vAlign w:val="center"/>
                </w:tcPr>
                <w:p w14:paraId="30D28565">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TN</w:t>
                  </w:r>
                </w:p>
              </w:tc>
              <w:tc>
                <w:tcPr>
                  <w:tcW w:w="701" w:type="pct"/>
                  <w:tcBorders>
                    <w:tl2br w:val="nil"/>
                    <w:tr2bl w:val="nil"/>
                  </w:tcBorders>
                  <w:noWrap w:val="0"/>
                  <w:vAlign w:val="center"/>
                </w:tcPr>
                <w:p w14:paraId="0BC462F5">
                  <w:pPr>
                    <w:pStyle w:val="8"/>
                    <w:jc w:val="center"/>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w:t>
                  </w:r>
                </w:p>
              </w:tc>
              <w:tc>
                <w:tcPr>
                  <w:tcW w:w="627" w:type="pct"/>
                  <w:tcBorders>
                    <w:tl2br w:val="nil"/>
                    <w:tr2bl w:val="nil"/>
                  </w:tcBorders>
                  <w:noWrap w:val="0"/>
                  <w:vAlign w:val="center"/>
                </w:tcPr>
                <w:p w14:paraId="76161C61">
                  <w:pPr>
                    <w:keepNext w:val="0"/>
                    <w:keepLines w:val="0"/>
                    <w:widowControl/>
                    <w:suppressLineNumbers w:val="0"/>
                    <w:jc w:val="center"/>
                    <w:textAlignment w:val="center"/>
                    <w:rPr>
                      <w:rFonts w:hint="eastAsia" w:cs="Times New Roman"/>
                      <w:i w:val="0"/>
                      <w:iCs w:val="0"/>
                      <w:color w:val="0000FF"/>
                      <w:kern w:val="0"/>
                      <w:sz w:val="21"/>
                      <w:szCs w:val="21"/>
                      <w:u w:val="none"/>
                      <w:lang w:val="en-US" w:eastAsia="zh-CN" w:bidi="ar"/>
                    </w:rPr>
                  </w:pPr>
                  <w:r>
                    <w:rPr>
                      <w:rFonts w:hint="default" w:ascii="Times New Roman" w:hAnsi="Times New Roman" w:eastAsia="宋体" w:cs="Times New Roman"/>
                      <w:i w:val="0"/>
                      <w:iCs w:val="0"/>
                      <w:color w:val="0000FF"/>
                      <w:kern w:val="0"/>
                      <w:sz w:val="21"/>
                      <w:szCs w:val="21"/>
                      <w:u w:val="none"/>
                      <w:lang w:val="en-US" w:eastAsia="zh-CN" w:bidi="ar"/>
                    </w:rPr>
                    <w:t>0.148</w:t>
                  </w:r>
                </w:p>
              </w:tc>
              <w:tc>
                <w:tcPr>
                  <w:tcW w:w="768" w:type="pct"/>
                  <w:vMerge w:val="continue"/>
                  <w:tcBorders>
                    <w:tl2br w:val="nil"/>
                    <w:tr2bl w:val="nil"/>
                  </w:tcBorders>
                  <w:noWrap w:val="0"/>
                  <w:vAlign w:val="center"/>
                </w:tcPr>
                <w:p w14:paraId="486E1B56">
                  <w:pPr>
                    <w:jc w:val="center"/>
                    <w:rPr>
                      <w:rFonts w:hint="default" w:ascii="Times New Roman" w:hAnsi="Times New Roman" w:eastAsia="宋体" w:cs="Times New Roman"/>
                      <w:color w:val="0000FF"/>
                      <w:sz w:val="21"/>
                      <w:szCs w:val="21"/>
                      <w:highlight w:val="none"/>
                      <w:lang w:val="en-US" w:eastAsia="zh-CN"/>
                    </w:rPr>
                  </w:pPr>
                </w:p>
              </w:tc>
              <w:tc>
                <w:tcPr>
                  <w:tcW w:w="608" w:type="pct"/>
                  <w:tcBorders>
                    <w:tl2br w:val="nil"/>
                    <w:tr2bl w:val="nil"/>
                  </w:tcBorders>
                  <w:shd w:val="clear" w:color="auto" w:fill="auto"/>
                  <w:noWrap w:val="0"/>
                  <w:vAlign w:val="center"/>
                </w:tcPr>
                <w:p w14:paraId="32ADC03B">
                  <w:pPr>
                    <w:pStyle w:val="8"/>
                    <w:jc w:val="center"/>
                    <w:rPr>
                      <w:rFonts w:hint="eastAsia" w:ascii="Times New Roman" w:hAnsi="Times New Roman" w:cs="Times New Roman"/>
                      <w:color w:val="0000FF"/>
                      <w:sz w:val="21"/>
                      <w:szCs w:val="21"/>
                      <w:lang w:val="en-US" w:eastAsia="zh-CN"/>
                    </w:rPr>
                  </w:pPr>
                  <w:r>
                    <w:rPr>
                      <w:rFonts w:hint="eastAsia" w:cs="Times New Roman"/>
                      <w:color w:val="0000FF"/>
                      <w:sz w:val="21"/>
                      <w:szCs w:val="21"/>
                      <w:lang w:val="en-US" w:eastAsia="zh-CN"/>
                    </w:rPr>
                    <w:t>/</w:t>
                  </w:r>
                </w:p>
              </w:tc>
              <w:tc>
                <w:tcPr>
                  <w:tcW w:w="587" w:type="pct"/>
                  <w:tcBorders>
                    <w:tl2br w:val="nil"/>
                    <w:tr2bl w:val="nil"/>
                  </w:tcBorders>
                  <w:noWrap w:val="0"/>
                  <w:vAlign w:val="center"/>
                </w:tcPr>
                <w:p w14:paraId="333912B8">
                  <w:pPr>
                    <w:keepNext w:val="0"/>
                    <w:keepLines w:val="0"/>
                    <w:widowControl/>
                    <w:suppressLineNumbers w:val="0"/>
                    <w:jc w:val="center"/>
                    <w:textAlignment w:val="center"/>
                    <w:rPr>
                      <w:rFonts w:hint="eastAsia" w:cs="Times New Roman"/>
                      <w:i w:val="0"/>
                      <w:iCs w:val="0"/>
                      <w:color w:val="0000FF"/>
                      <w:kern w:val="0"/>
                      <w:sz w:val="21"/>
                      <w:szCs w:val="21"/>
                      <w:u w:val="none"/>
                      <w:lang w:val="en-US" w:eastAsia="zh-CN" w:bidi="ar"/>
                    </w:rPr>
                  </w:pPr>
                  <w:r>
                    <w:rPr>
                      <w:rFonts w:hint="default" w:ascii="Times New Roman" w:hAnsi="Times New Roman" w:eastAsia="宋体" w:cs="Times New Roman"/>
                      <w:i w:val="0"/>
                      <w:iCs w:val="0"/>
                      <w:color w:val="0000FF"/>
                      <w:kern w:val="0"/>
                      <w:sz w:val="21"/>
                      <w:szCs w:val="21"/>
                      <w:u w:val="none"/>
                      <w:lang w:val="en-US" w:eastAsia="zh-CN" w:bidi="ar"/>
                    </w:rPr>
                    <w:t>0.139</w:t>
                  </w:r>
                </w:p>
              </w:tc>
              <w:tc>
                <w:tcPr>
                  <w:tcW w:w="437" w:type="pct"/>
                  <w:tcBorders>
                    <w:tl2br w:val="nil"/>
                    <w:tr2bl w:val="nil"/>
                  </w:tcBorders>
                  <w:shd w:val="clear" w:color="auto" w:fill="auto"/>
                  <w:noWrap w:val="0"/>
                  <w:vAlign w:val="center"/>
                </w:tcPr>
                <w:p w14:paraId="674C00B5">
                  <w:pPr>
                    <w:keepNext w:val="0"/>
                    <w:keepLines w:val="0"/>
                    <w:widowControl/>
                    <w:suppressLineNumbers w:val="0"/>
                    <w:jc w:val="center"/>
                    <w:textAlignment w:val="center"/>
                    <w:rPr>
                      <w:rFonts w:hint="eastAsia" w:ascii="Times New Roman" w:hAnsi="Times New Roman" w:eastAsia="宋体"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70</w:t>
                  </w:r>
                </w:p>
              </w:tc>
            </w:tr>
            <w:tr w14:paraId="69939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Pr>
                <w:p w14:paraId="000275AD">
                  <w:pPr>
                    <w:jc w:val="center"/>
                    <w:rPr>
                      <w:rFonts w:hint="default" w:cs="Times New Roman"/>
                      <w:color w:val="auto"/>
                      <w:sz w:val="21"/>
                      <w:szCs w:val="21"/>
                      <w:highlight w:val="none"/>
                      <w:lang w:val="en-US" w:eastAsia="zh-CN"/>
                    </w:rPr>
                  </w:pPr>
                </w:p>
              </w:tc>
              <w:tc>
                <w:tcPr>
                  <w:tcW w:w="668" w:type="pct"/>
                  <w:shd w:val="clear" w:color="auto" w:fill="auto"/>
                  <w:vAlign w:val="center"/>
                </w:tcPr>
                <w:p w14:paraId="5DC139F6">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动植物油</w:t>
                  </w:r>
                </w:p>
              </w:tc>
              <w:tc>
                <w:tcPr>
                  <w:tcW w:w="701" w:type="pct"/>
                  <w:vAlign w:val="center"/>
                </w:tcPr>
                <w:p w14:paraId="6E19236A">
                  <w:pPr>
                    <w:pStyle w:val="8"/>
                    <w:jc w:val="center"/>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w:t>
                  </w:r>
                </w:p>
              </w:tc>
              <w:tc>
                <w:tcPr>
                  <w:tcW w:w="627" w:type="pct"/>
                  <w:vAlign w:val="center"/>
                </w:tcPr>
                <w:p w14:paraId="1DD76C80">
                  <w:pPr>
                    <w:keepNext w:val="0"/>
                    <w:keepLines w:val="0"/>
                    <w:widowControl/>
                    <w:suppressLineNumbers w:val="0"/>
                    <w:jc w:val="center"/>
                    <w:textAlignment w:val="center"/>
                    <w:rPr>
                      <w:rFonts w:hint="eastAsia" w:cs="Times New Roman"/>
                      <w:i w:val="0"/>
                      <w:iCs w:val="0"/>
                      <w:color w:val="0000FF"/>
                      <w:kern w:val="0"/>
                      <w:sz w:val="21"/>
                      <w:szCs w:val="21"/>
                      <w:u w:val="none"/>
                      <w:lang w:val="en-US" w:eastAsia="zh-CN" w:bidi="ar"/>
                    </w:rPr>
                  </w:pPr>
                  <w:r>
                    <w:rPr>
                      <w:rFonts w:hint="default" w:ascii="Times New Roman" w:hAnsi="Times New Roman" w:eastAsia="宋体" w:cs="Times New Roman"/>
                      <w:i w:val="0"/>
                      <w:iCs w:val="0"/>
                      <w:color w:val="0000FF"/>
                      <w:kern w:val="0"/>
                      <w:sz w:val="21"/>
                      <w:szCs w:val="21"/>
                      <w:u w:val="none"/>
                      <w:lang w:val="en-US" w:eastAsia="zh-CN" w:bidi="ar"/>
                    </w:rPr>
                    <w:t>0.192</w:t>
                  </w:r>
                </w:p>
              </w:tc>
              <w:tc>
                <w:tcPr>
                  <w:tcW w:w="768" w:type="pct"/>
                  <w:vMerge w:val="continue"/>
                  <w:vAlign w:val="center"/>
                </w:tcPr>
                <w:p w14:paraId="0221B33A">
                  <w:pPr>
                    <w:jc w:val="center"/>
                    <w:rPr>
                      <w:rFonts w:hint="default" w:ascii="Times New Roman" w:hAnsi="Times New Roman" w:eastAsia="宋体" w:cs="Times New Roman"/>
                      <w:color w:val="0000FF"/>
                      <w:sz w:val="21"/>
                      <w:szCs w:val="21"/>
                      <w:highlight w:val="none"/>
                      <w:lang w:val="en-US" w:eastAsia="zh-CN"/>
                    </w:rPr>
                  </w:pPr>
                </w:p>
              </w:tc>
              <w:tc>
                <w:tcPr>
                  <w:tcW w:w="608" w:type="pct"/>
                  <w:vAlign w:val="center"/>
                </w:tcPr>
                <w:p w14:paraId="76FEDF13">
                  <w:pPr>
                    <w:pStyle w:val="8"/>
                    <w:jc w:val="center"/>
                    <w:rPr>
                      <w:rFonts w:hint="eastAsia" w:ascii="Times New Roman" w:hAnsi="Times New Roman" w:cs="Times New Roman"/>
                      <w:color w:val="0000FF"/>
                      <w:sz w:val="21"/>
                      <w:szCs w:val="21"/>
                      <w:lang w:val="en-US" w:eastAsia="zh-CN"/>
                    </w:rPr>
                  </w:pPr>
                  <w:r>
                    <w:rPr>
                      <w:rFonts w:hint="eastAsia" w:cs="Times New Roman"/>
                      <w:color w:val="0000FF"/>
                      <w:sz w:val="21"/>
                      <w:szCs w:val="21"/>
                      <w:lang w:val="en-US" w:eastAsia="zh-CN"/>
                    </w:rPr>
                    <w:t>/</w:t>
                  </w:r>
                </w:p>
              </w:tc>
              <w:tc>
                <w:tcPr>
                  <w:tcW w:w="587" w:type="pct"/>
                  <w:vAlign w:val="center"/>
                </w:tcPr>
                <w:p w14:paraId="0870D0B0">
                  <w:pPr>
                    <w:keepNext w:val="0"/>
                    <w:keepLines w:val="0"/>
                    <w:widowControl/>
                    <w:suppressLineNumbers w:val="0"/>
                    <w:jc w:val="center"/>
                    <w:textAlignment w:val="center"/>
                    <w:rPr>
                      <w:rFonts w:hint="eastAsia" w:cs="Times New Roman"/>
                      <w:i w:val="0"/>
                      <w:iCs w:val="0"/>
                      <w:color w:val="0000FF"/>
                      <w:kern w:val="0"/>
                      <w:sz w:val="21"/>
                      <w:szCs w:val="21"/>
                      <w:u w:val="none"/>
                      <w:lang w:val="en-US" w:eastAsia="zh-CN" w:bidi="ar"/>
                    </w:rPr>
                  </w:pPr>
                  <w:r>
                    <w:rPr>
                      <w:rFonts w:hint="default" w:ascii="Times New Roman" w:hAnsi="Times New Roman" w:eastAsia="宋体" w:cs="Times New Roman"/>
                      <w:i w:val="0"/>
                      <w:iCs w:val="0"/>
                      <w:color w:val="0000FF"/>
                      <w:kern w:val="0"/>
                      <w:sz w:val="21"/>
                      <w:szCs w:val="21"/>
                      <w:u w:val="none"/>
                      <w:lang w:val="en-US" w:eastAsia="zh-CN" w:bidi="ar"/>
                    </w:rPr>
                    <w:t>0.192</w:t>
                  </w:r>
                </w:p>
              </w:tc>
              <w:tc>
                <w:tcPr>
                  <w:tcW w:w="437" w:type="pct"/>
                  <w:vAlign w:val="center"/>
                </w:tcPr>
                <w:p w14:paraId="1453A974">
                  <w:pPr>
                    <w:keepNext w:val="0"/>
                    <w:keepLines w:val="0"/>
                    <w:widowControl/>
                    <w:suppressLineNumbers w:val="0"/>
                    <w:jc w:val="center"/>
                    <w:textAlignment w:val="center"/>
                    <w:rPr>
                      <w:rFonts w:hint="default" w:cs="Times New Roman"/>
                      <w:i w:val="0"/>
                      <w:iCs w:val="0"/>
                      <w:color w:val="0000FF"/>
                      <w:kern w:val="0"/>
                      <w:sz w:val="21"/>
                      <w:szCs w:val="21"/>
                      <w:u w:val="none"/>
                      <w:lang w:val="en-US" w:eastAsia="zh-CN" w:bidi="ar"/>
                    </w:rPr>
                  </w:pPr>
                  <w:r>
                    <w:rPr>
                      <w:rFonts w:hint="eastAsia" w:cs="Times New Roman"/>
                      <w:i w:val="0"/>
                      <w:iCs w:val="0"/>
                      <w:color w:val="0000FF"/>
                      <w:kern w:val="0"/>
                      <w:sz w:val="21"/>
                      <w:szCs w:val="21"/>
                      <w:u w:val="none"/>
                      <w:lang w:val="en-US" w:eastAsia="zh-CN" w:bidi="ar"/>
                    </w:rPr>
                    <w:t>100</w:t>
                  </w:r>
                </w:p>
              </w:tc>
            </w:tr>
            <w:tr w14:paraId="51603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9" w:type="pct"/>
                  <w:vMerge w:val="continue"/>
                </w:tcPr>
                <w:p w14:paraId="38B6D3AF">
                  <w:pPr>
                    <w:jc w:val="center"/>
                    <w:rPr>
                      <w:rFonts w:hint="default" w:cs="Times New Roman"/>
                      <w:color w:val="auto"/>
                      <w:sz w:val="21"/>
                      <w:szCs w:val="21"/>
                      <w:highlight w:val="none"/>
                      <w:lang w:val="en-US" w:eastAsia="zh-CN"/>
                    </w:rPr>
                  </w:pPr>
                </w:p>
              </w:tc>
              <w:tc>
                <w:tcPr>
                  <w:tcW w:w="668" w:type="pct"/>
                  <w:shd w:val="clear" w:color="auto" w:fill="auto"/>
                  <w:vAlign w:val="center"/>
                </w:tcPr>
                <w:p w14:paraId="20B0E1CB">
                  <w:pPr>
                    <w:keepNext w:val="0"/>
                    <w:keepLines w:val="0"/>
                    <w:widowControl/>
                    <w:suppressLineNumbers w:val="0"/>
                    <w:jc w:val="center"/>
                    <w:textAlignment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石油类</w:t>
                  </w:r>
                </w:p>
              </w:tc>
              <w:tc>
                <w:tcPr>
                  <w:tcW w:w="701" w:type="pct"/>
                  <w:vAlign w:val="center"/>
                </w:tcPr>
                <w:p w14:paraId="3EE0F29A">
                  <w:pPr>
                    <w:pStyle w:val="8"/>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627" w:type="pct"/>
                  <w:vAlign w:val="center"/>
                </w:tcPr>
                <w:p w14:paraId="7856EF2C">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0000FF"/>
                      <w:kern w:val="0"/>
                      <w:sz w:val="21"/>
                      <w:szCs w:val="21"/>
                      <w:u w:val="none"/>
                      <w:lang w:val="en-US" w:eastAsia="zh-CN" w:bidi="ar"/>
                    </w:rPr>
                    <w:t>0.103</w:t>
                  </w:r>
                </w:p>
              </w:tc>
              <w:tc>
                <w:tcPr>
                  <w:tcW w:w="768" w:type="pct"/>
                  <w:vMerge w:val="continue"/>
                  <w:vAlign w:val="center"/>
                </w:tcPr>
                <w:p w14:paraId="52889269">
                  <w:pPr>
                    <w:jc w:val="center"/>
                    <w:rPr>
                      <w:rFonts w:hint="default" w:ascii="Times New Roman" w:hAnsi="Times New Roman" w:eastAsia="宋体" w:cs="Times New Roman"/>
                      <w:color w:val="auto"/>
                      <w:sz w:val="21"/>
                      <w:szCs w:val="21"/>
                      <w:highlight w:val="none"/>
                      <w:lang w:val="en-US" w:eastAsia="zh-CN"/>
                    </w:rPr>
                  </w:pPr>
                </w:p>
              </w:tc>
              <w:tc>
                <w:tcPr>
                  <w:tcW w:w="608" w:type="pct"/>
                  <w:vAlign w:val="center"/>
                </w:tcPr>
                <w:p w14:paraId="629860FF">
                  <w:pPr>
                    <w:pStyle w:val="8"/>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952" w:type="dxa"/>
                  <w:vAlign w:val="center"/>
                </w:tcPr>
                <w:p w14:paraId="7D4515EC">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0000FF"/>
                      <w:kern w:val="0"/>
                      <w:sz w:val="21"/>
                      <w:szCs w:val="21"/>
                      <w:u w:val="none"/>
                      <w:lang w:val="en-US" w:eastAsia="zh-CN" w:bidi="ar"/>
                    </w:rPr>
                    <w:t>0.007</w:t>
                  </w:r>
                </w:p>
              </w:tc>
              <w:tc>
                <w:tcPr>
                  <w:tcW w:w="710" w:type="dxa"/>
                  <w:vAlign w:val="center"/>
                </w:tcPr>
                <w:p w14:paraId="5DC47703">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0000FF"/>
                      <w:kern w:val="0"/>
                      <w:sz w:val="21"/>
                      <w:szCs w:val="21"/>
                      <w:u w:val="none"/>
                      <w:lang w:val="en-US" w:eastAsia="zh-CN" w:bidi="ar"/>
                    </w:rPr>
                    <w:t>20</w:t>
                  </w:r>
                </w:p>
              </w:tc>
            </w:tr>
          </w:tbl>
          <w:p w14:paraId="197402C9">
            <w:pPr>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right="0" w:rightChars="0"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2、废水影响分析</w:t>
            </w:r>
          </w:p>
          <w:p w14:paraId="4CC9A49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改</w:t>
            </w:r>
            <w:r>
              <w:rPr>
                <w:rFonts w:hint="eastAsia" w:cs="Times New Roman"/>
                <w:color w:val="auto"/>
                <w:sz w:val="24"/>
                <w:szCs w:val="24"/>
                <w:highlight w:val="none"/>
                <w:lang w:val="en-US" w:eastAsia="zh-CN"/>
              </w:rPr>
              <w:t>扩建</w:t>
            </w:r>
            <w:r>
              <w:rPr>
                <w:rFonts w:hint="default" w:ascii="Times New Roman" w:hAnsi="Times New Roman" w:eastAsia="宋体" w:cs="Times New Roman"/>
                <w:color w:val="auto"/>
                <w:sz w:val="24"/>
                <w:szCs w:val="24"/>
                <w:highlight w:val="none"/>
              </w:rPr>
              <w:t>项目营运期</w:t>
            </w:r>
            <w:r>
              <w:rPr>
                <w:rFonts w:hint="default" w:ascii="Times New Roman" w:hAnsi="Times New Roman" w:eastAsia="宋体" w:cs="Times New Roman"/>
                <w:color w:val="auto"/>
                <w:sz w:val="24"/>
                <w:szCs w:val="24"/>
                <w:highlight w:val="none"/>
                <w:lang w:val="en-US" w:eastAsia="zh-CN"/>
              </w:rPr>
              <w:t>生产废水</w:t>
            </w:r>
            <w:r>
              <w:rPr>
                <w:rFonts w:hint="eastAsia" w:cs="Times New Roman"/>
                <w:color w:val="auto"/>
                <w:sz w:val="24"/>
                <w:szCs w:val="24"/>
                <w:highlight w:val="none"/>
                <w:lang w:val="en-US" w:eastAsia="zh-CN"/>
              </w:rPr>
              <w:t>经一体化污水处理设施处理后</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与</w:t>
            </w:r>
            <w:r>
              <w:rPr>
                <w:rFonts w:hint="eastAsia" w:cs="Times New Roman"/>
                <w:color w:val="auto"/>
                <w:sz w:val="24"/>
                <w:szCs w:val="24"/>
                <w:highlight w:val="none"/>
                <w:lang w:val="en-US" w:eastAsia="zh-CN"/>
              </w:rPr>
              <w:t>经化粪池处理后的</w:t>
            </w:r>
            <w:r>
              <w:rPr>
                <w:rFonts w:hint="eastAsia" w:cs="Times New Roman"/>
                <w:b w:val="0"/>
                <w:bCs/>
                <w:color w:val="auto"/>
                <w:kern w:val="2"/>
                <w:sz w:val="24"/>
                <w:szCs w:val="24"/>
                <w:lang w:val="en-US" w:eastAsia="zh-CN" w:bidi="ar-SA"/>
              </w:rPr>
              <w:t>生活污水</w:t>
            </w:r>
            <w:r>
              <w:rPr>
                <w:rFonts w:hint="default" w:ascii="Times New Roman" w:hAnsi="Times New Roman" w:eastAsia="宋体" w:cs="Times New Roman"/>
                <w:color w:val="auto"/>
                <w:sz w:val="24"/>
                <w:szCs w:val="24"/>
                <w:highlight w:val="none"/>
              </w:rPr>
              <w:t>一起</w:t>
            </w:r>
            <w:r>
              <w:rPr>
                <w:rFonts w:hint="eastAsia" w:cs="Times New Roman"/>
                <w:color w:val="auto"/>
                <w:sz w:val="24"/>
                <w:szCs w:val="24"/>
                <w:highlight w:val="none"/>
                <w:lang w:val="en-US" w:eastAsia="zh-CN"/>
              </w:rPr>
              <w:t>汇入园区污水管网，</w:t>
            </w:r>
            <w:r>
              <w:rPr>
                <w:rFonts w:hint="default" w:ascii="Times New Roman" w:hAnsi="Times New Roman" w:eastAsia="宋体" w:cs="Times New Roman"/>
                <w:color w:val="auto"/>
                <w:sz w:val="24"/>
                <w:szCs w:val="24"/>
                <w:highlight w:val="none"/>
              </w:rPr>
              <w:t>然后通过园区污水管网排入高安市工业园污水处理厂处理</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达到</w:t>
            </w:r>
            <w:r>
              <w:rPr>
                <w:rFonts w:hint="default" w:ascii="Times New Roman" w:hAnsi="Times New Roman" w:eastAsia="宋体" w:cs="Times New Roman"/>
                <w:color w:val="auto"/>
                <w:sz w:val="24"/>
                <w:szCs w:val="24"/>
                <w:highlight w:val="none"/>
                <w:lang w:val="en-US" w:eastAsia="zh-CN"/>
              </w:rPr>
              <w:t>《城镇污水处理厂污染物排放标准》（GB18918-2002）一级A标准后排放</w:t>
            </w:r>
            <w:r>
              <w:rPr>
                <w:rFonts w:ascii="Times New Roman" w:hAnsi="Times New Roman" w:cs="Times New Roman"/>
                <w:color w:val="auto"/>
                <w:sz w:val="24"/>
                <w:szCs w:val="24"/>
              </w:rPr>
              <w:t>。</w:t>
            </w:r>
          </w:p>
          <w:p w14:paraId="423836C4">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（1）地表水环境影响评价等级</w:t>
            </w:r>
          </w:p>
          <w:p w14:paraId="0BE4EA2A">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地表水环境》(HJ2.3-2018)，项目</w:t>
            </w:r>
            <w:r>
              <w:rPr>
                <w:rFonts w:hint="eastAsia" w:cs="Times New Roman"/>
                <w:color w:val="auto"/>
                <w:sz w:val="24"/>
                <w:szCs w:val="24"/>
                <w:highlight w:val="none"/>
                <w:lang w:val="en-US" w:eastAsia="zh-CN"/>
              </w:rPr>
              <w:t>生活污水</w:t>
            </w:r>
            <w:r>
              <w:rPr>
                <w:rFonts w:hint="default" w:ascii="Times New Roman" w:hAnsi="Times New Roman" w:eastAsia="宋体" w:cs="Times New Roman"/>
                <w:color w:val="auto"/>
                <w:sz w:val="24"/>
                <w:szCs w:val="24"/>
                <w:highlight w:val="none"/>
                <w:lang w:val="en-US" w:eastAsia="zh-CN"/>
              </w:rPr>
              <w:t>经</w:t>
            </w:r>
            <w:r>
              <w:rPr>
                <w:rFonts w:hint="eastAsia" w:cs="Times New Roman"/>
                <w:color w:val="auto"/>
                <w:sz w:val="24"/>
                <w:szCs w:val="24"/>
                <w:highlight w:val="none"/>
                <w:lang w:val="en-US" w:eastAsia="zh-CN"/>
              </w:rPr>
              <w:t>隔油池+化粪池预处理（排放量为12.8m</w:t>
            </w:r>
            <w:r>
              <w:rPr>
                <w:rFonts w:hint="eastAsia" w:cs="Times New Roman"/>
                <w:color w:val="auto"/>
                <w:sz w:val="24"/>
                <w:szCs w:val="24"/>
                <w:highlight w:val="none"/>
                <w:vertAlign w:val="superscript"/>
                <w:lang w:val="en-US" w:eastAsia="zh-CN"/>
              </w:rPr>
              <w:t>3</w:t>
            </w:r>
            <w:r>
              <w:rPr>
                <w:rFonts w:hint="eastAsia" w:cs="Times New Roman"/>
                <w:color w:val="auto"/>
                <w:sz w:val="24"/>
                <w:szCs w:val="24"/>
                <w:highlight w:val="none"/>
                <w:lang w:val="en-US" w:eastAsia="zh-CN"/>
              </w:rPr>
              <w:t>/d，设计水量为15m</w:t>
            </w:r>
            <w:r>
              <w:rPr>
                <w:rFonts w:hint="eastAsia" w:cs="Times New Roman"/>
                <w:color w:val="auto"/>
                <w:sz w:val="24"/>
                <w:szCs w:val="24"/>
                <w:highlight w:val="none"/>
                <w:vertAlign w:val="superscript"/>
                <w:lang w:val="en-US" w:eastAsia="zh-CN"/>
              </w:rPr>
              <w:t>3</w:t>
            </w:r>
            <w:r>
              <w:rPr>
                <w:rFonts w:hint="eastAsia" w:cs="Times New Roman"/>
                <w:color w:val="auto"/>
                <w:sz w:val="24"/>
                <w:szCs w:val="24"/>
                <w:highlight w:val="none"/>
                <w:lang w:val="en-US" w:eastAsia="zh-CN"/>
              </w:rPr>
              <w:t>/d）</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超声波清洗废水经一体化污水处理设施</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3m</w:t>
            </w:r>
            <w:r>
              <w:rPr>
                <w:rFonts w:hint="eastAsia"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eastAsia="zh-CN"/>
              </w:rPr>
              <w:t>/d）</w:t>
            </w:r>
            <w:r>
              <w:rPr>
                <w:rFonts w:hint="default" w:ascii="Times New Roman" w:hAnsi="Times New Roman" w:eastAsia="宋体" w:cs="Times New Roman"/>
                <w:color w:val="auto"/>
                <w:sz w:val="24"/>
                <w:szCs w:val="24"/>
                <w:highlight w:val="none"/>
              </w:rPr>
              <w:t>处理后排入污水管网进入高安市工业园污水处理厂处理，属于间接排放。根据评价工作等级划分标准，项目地表水环境影响评价工作等级为三级B，地表水环境评价内容包括水污染控制和水环境影响措施有效性评价、依托污水处理设施的环境可行性评价。</w:t>
            </w:r>
          </w:p>
          <w:p w14:paraId="18BD4492">
            <w:pPr>
              <w:spacing w:line="360" w:lineRule="auto"/>
              <w:ind w:firstLine="480" w:firstLineChars="200"/>
              <w:rPr>
                <w:rFonts w:hint="default" w:ascii="Times New Roman" w:hAnsi="Times New Roman" w:eastAsia="宋体" w:cs="Times New Roman"/>
                <w:color w:val="0000FF"/>
                <w:sz w:val="24"/>
                <w:szCs w:val="24"/>
                <w:highlight w:val="none"/>
              </w:rPr>
            </w:pPr>
            <w:r>
              <w:rPr>
                <w:rFonts w:hint="default" w:ascii="Times New Roman" w:hAnsi="Times New Roman" w:eastAsia="宋体" w:cs="Times New Roman"/>
                <w:color w:val="0000FF"/>
                <w:sz w:val="24"/>
                <w:szCs w:val="24"/>
                <w:highlight w:val="none"/>
              </w:rPr>
              <w:t>（2）废水污染防治措施及达标性分析</w:t>
            </w:r>
          </w:p>
          <w:p w14:paraId="1B7AEE49">
            <w:pPr>
              <w:spacing w:line="360" w:lineRule="auto"/>
              <w:ind w:firstLine="480" w:firstLineChars="200"/>
              <w:rPr>
                <w:rFonts w:hint="eastAsia" w:cs="Times New Roman"/>
                <w:color w:val="0000FF"/>
                <w:sz w:val="24"/>
                <w:szCs w:val="24"/>
                <w:highlight w:val="none"/>
                <w:lang w:val="en-US" w:eastAsia="zh-CN"/>
              </w:rPr>
            </w:pPr>
            <w:r>
              <w:rPr>
                <w:rFonts w:hint="eastAsia" w:cs="Times New Roman"/>
                <w:color w:val="0000FF"/>
                <w:sz w:val="24"/>
                <w:szCs w:val="24"/>
                <w:highlight w:val="none"/>
                <w:lang w:val="en-US" w:eastAsia="zh-CN"/>
              </w:rPr>
              <w:t>A.生活污水处理设施</w:t>
            </w:r>
          </w:p>
          <w:p w14:paraId="3BDB3722">
            <w:pPr>
              <w:spacing w:line="360" w:lineRule="auto"/>
              <w:ind w:firstLine="480" w:firstLineChars="200"/>
              <w:rPr>
                <w:rFonts w:hint="eastAsia" w:cs="Times New Roman"/>
                <w:color w:val="0000FF"/>
                <w:sz w:val="24"/>
                <w:szCs w:val="24"/>
                <w:highlight w:val="none"/>
                <w:lang w:val="en-US" w:eastAsia="zh-CN"/>
              </w:rPr>
            </w:pPr>
            <w:r>
              <w:rPr>
                <w:rFonts w:hint="eastAsia" w:cs="Times New Roman"/>
                <w:color w:val="0000FF"/>
                <w:sz w:val="24"/>
                <w:szCs w:val="24"/>
                <w:highlight w:val="none"/>
                <w:lang w:val="en-US" w:eastAsia="zh-CN"/>
              </w:rPr>
              <w:t>隔油池：污水进入隔油池，经过格栅拦截后流入集水井。在集水井处设有提升水泵，将污水中较大的悬浮物和颗粒杂质从集水井中排出。污水通过提升泵打入隔油池底部，经沉淀、分离后流入清水槽内。当污水流经隔油层时会与油脂进行吸附反应，从而降低水的浊度及色度。</w:t>
            </w:r>
          </w:p>
          <w:p w14:paraId="35C1BC54">
            <w:pPr>
              <w:spacing w:line="360" w:lineRule="auto"/>
              <w:ind w:firstLine="480" w:firstLineChars="200"/>
              <w:rPr>
                <w:rFonts w:hint="eastAsia" w:cs="Times New Roman"/>
                <w:color w:val="0000FF"/>
                <w:sz w:val="24"/>
                <w:szCs w:val="24"/>
                <w:highlight w:val="none"/>
                <w:lang w:val="en-US" w:eastAsia="zh-CN"/>
              </w:rPr>
            </w:pPr>
            <w:r>
              <w:rPr>
                <w:rFonts w:hint="eastAsia" w:cs="Times New Roman"/>
                <w:color w:val="0000FF"/>
                <w:sz w:val="24"/>
                <w:szCs w:val="24"/>
                <w:highlight w:val="none"/>
                <w:lang w:val="en-US" w:eastAsia="zh-CN"/>
              </w:rPr>
              <w:t>三格式化粪池：鲜粪便由进粪口进入第一池，池内粪便开始发酵分解、因比重不同粪液可自然分为三层，上层为糊状粪皮，下层为块状或颗状粪渣，中层为比较澄清的粪液。在上层粪皮和下层粪渣中含细菌和寄生虫卵最多，中层含虫卵最少，初步发酵的中层粪液经过粪管溢流至第二池，而将大部分未经充分发酵的粪皮和粪渣阻留在第一池内继续发酵。流入第二池的粪液进一步发酵分解，虫卵继续下沉，病原体逐渐死亡，粪液得到进一步无害化，产生的粪皮和粪厚度比第一池显著减少。流人第三池的粪液一般已经腐熟，其中病菌和寄生虫卵已基本杀灭。</w:t>
            </w:r>
          </w:p>
          <w:p w14:paraId="0DF68960">
            <w:pPr>
              <w:spacing w:line="360" w:lineRule="auto"/>
              <w:ind w:firstLine="480" w:firstLineChars="200"/>
              <w:rPr>
                <w:rFonts w:hint="eastAsia" w:cs="Times New Roman"/>
                <w:color w:val="0000FF"/>
                <w:sz w:val="24"/>
                <w:szCs w:val="24"/>
                <w:highlight w:val="none"/>
                <w:lang w:val="en-US" w:eastAsia="zh-CN"/>
              </w:rPr>
            </w:pPr>
            <w:r>
              <w:rPr>
                <w:rFonts w:hint="eastAsia" w:cs="Times New Roman"/>
                <w:color w:val="0000FF"/>
                <w:sz w:val="24"/>
                <w:szCs w:val="24"/>
                <w:highlight w:val="none"/>
                <w:lang w:val="en-US" w:eastAsia="zh-CN"/>
              </w:rPr>
              <w:t>第三池功能主要起储存已基本无害化的粪液作用。</w:t>
            </w:r>
          </w:p>
          <w:p w14:paraId="6DEFF65A">
            <w:pPr>
              <w:pStyle w:val="85"/>
              <w:widowControl w:val="0"/>
              <w:adjustRightInd w:val="0"/>
              <w:snapToGrid w:val="0"/>
              <w:ind w:firstLine="480"/>
              <w:jc w:val="both"/>
              <w:rPr>
                <w:color w:val="0000FF"/>
              </w:rPr>
            </w:pPr>
            <w:r>
              <w:rPr>
                <w:rFonts w:hint="eastAsia"/>
                <w:color w:val="0000FF"/>
              </w:rPr>
              <w:t>根据《排污许可证申请与核发技术规范 总则》（HJ942-2018），废水治理可为一级处理（过滤、沉淀、吸附、其他）、二级处理（A/O、A</w:t>
            </w:r>
            <w:r>
              <w:rPr>
                <w:rFonts w:hint="eastAsia"/>
                <w:color w:val="0000FF"/>
                <w:vertAlign w:val="superscript"/>
              </w:rPr>
              <w:t>2</w:t>
            </w:r>
            <w:r>
              <w:rPr>
                <w:rFonts w:hint="eastAsia"/>
                <w:color w:val="0000FF"/>
              </w:rPr>
              <w:t>O、SBR、活性污泥法、生物接触氧化、其他）、深度处理（超滤/纳滤、反渗透、吸附过滤、蒸发结晶、其他）、其他等。</w:t>
            </w:r>
          </w:p>
          <w:p w14:paraId="4439E836">
            <w:pPr>
              <w:spacing w:line="360" w:lineRule="auto"/>
              <w:ind w:firstLine="480" w:firstLineChars="200"/>
              <w:rPr>
                <w:rFonts w:hint="default" w:cs="Times New Roman"/>
                <w:color w:val="0000FF"/>
                <w:sz w:val="24"/>
                <w:szCs w:val="24"/>
                <w:highlight w:val="none"/>
                <w:lang w:val="en-US" w:eastAsia="zh-CN"/>
              </w:rPr>
            </w:pPr>
            <w:r>
              <w:rPr>
                <w:rFonts w:hint="eastAsia" w:cs="Times New Roman"/>
                <w:color w:val="0000FF"/>
                <w:sz w:val="24"/>
                <w:szCs w:val="24"/>
                <w:highlight w:val="none"/>
                <w:lang w:val="en-US" w:eastAsia="zh-CN"/>
              </w:rPr>
              <w:t>综上，本项目采取隔油池+三格式化粪池处理生活污水是可行的。</w:t>
            </w:r>
          </w:p>
          <w:p w14:paraId="45D89F8B">
            <w:pPr>
              <w:spacing w:line="360" w:lineRule="auto"/>
              <w:ind w:firstLine="480" w:firstLineChars="200"/>
              <w:rPr>
                <w:rFonts w:hint="default" w:cs="Times New Roman"/>
                <w:color w:val="0000FF"/>
                <w:sz w:val="24"/>
                <w:szCs w:val="24"/>
                <w:highlight w:val="none"/>
                <w:lang w:val="en-US" w:eastAsia="zh-CN"/>
              </w:rPr>
            </w:pPr>
            <w:r>
              <w:rPr>
                <w:rFonts w:hint="eastAsia" w:cs="Times New Roman"/>
                <w:color w:val="0000FF"/>
                <w:sz w:val="24"/>
                <w:szCs w:val="24"/>
                <w:highlight w:val="none"/>
                <w:lang w:val="en-US" w:eastAsia="zh-CN"/>
              </w:rPr>
              <w:t>B.生产废水处理设施</w:t>
            </w:r>
          </w:p>
          <w:p w14:paraId="2560685A">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cs="Times New Roman"/>
                <w:color w:val="0000FF"/>
                <w:sz w:val="24"/>
                <w:szCs w:val="24"/>
                <w:highlight w:val="none"/>
                <w:lang w:val="en-US" w:eastAsia="zh-CN"/>
              </w:rPr>
              <w:t>本</w:t>
            </w:r>
            <w:r>
              <w:rPr>
                <w:rFonts w:hint="eastAsia" w:cs="Times New Roman"/>
                <w:color w:val="0000FF"/>
                <w:sz w:val="24"/>
                <w:szCs w:val="24"/>
                <w:highlight w:val="none"/>
                <w:lang w:eastAsia="zh-CN"/>
              </w:rPr>
              <w:t>项目</w:t>
            </w:r>
            <w:r>
              <w:rPr>
                <w:rFonts w:hint="eastAsia" w:cs="Times New Roman"/>
                <w:color w:val="0000FF"/>
                <w:sz w:val="24"/>
                <w:szCs w:val="24"/>
                <w:highlight w:val="none"/>
                <w:lang w:val="en-US" w:eastAsia="zh-CN"/>
              </w:rPr>
              <w:t>生产废水为超声波清洗</w:t>
            </w:r>
            <w:r>
              <w:rPr>
                <w:rFonts w:hint="default" w:ascii="Times New Roman" w:hAnsi="Times New Roman" w:eastAsia="宋体" w:cs="Times New Roman"/>
                <w:color w:val="0000FF"/>
                <w:sz w:val="24"/>
                <w:szCs w:val="24"/>
                <w:highlight w:val="none"/>
                <w:lang w:eastAsia="zh-CN"/>
              </w:rPr>
              <w:t>废水</w:t>
            </w:r>
            <w:r>
              <w:rPr>
                <w:rFonts w:hint="eastAsia" w:cs="Times New Roman"/>
                <w:color w:val="0000FF"/>
                <w:sz w:val="24"/>
                <w:szCs w:val="24"/>
                <w:highlight w:val="none"/>
                <w:lang w:eastAsia="zh-CN"/>
              </w:rPr>
              <w:t>。</w:t>
            </w:r>
            <w:r>
              <w:rPr>
                <w:rFonts w:hint="eastAsia" w:cs="Times New Roman"/>
                <w:color w:val="0000FF"/>
                <w:sz w:val="24"/>
                <w:szCs w:val="24"/>
                <w:highlight w:val="none"/>
                <w:lang w:val="en-US" w:eastAsia="zh-CN"/>
              </w:rPr>
              <w:t>本项目拟在</w:t>
            </w:r>
            <w:r>
              <w:rPr>
                <w:rFonts w:hint="default" w:ascii="Times New Roman" w:hAnsi="Times New Roman" w:eastAsia="宋体" w:cs="Times New Roman"/>
                <w:color w:val="0000FF"/>
                <w:sz w:val="24"/>
                <w:szCs w:val="24"/>
                <w:highlight w:val="none"/>
              </w:rPr>
              <w:t>在</w:t>
            </w:r>
            <w:r>
              <w:rPr>
                <w:rFonts w:hint="eastAsia" w:cs="Times New Roman"/>
                <w:color w:val="0000FF"/>
                <w:sz w:val="24"/>
                <w:szCs w:val="24"/>
                <w:highlight w:val="none"/>
                <w:lang w:val="en-US" w:eastAsia="zh-CN"/>
              </w:rPr>
              <w:t>厂房3</w:t>
            </w:r>
            <w:r>
              <w:rPr>
                <w:rFonts w:hint="default" w:ascii="Times New Roman" w:hAnsi="Times New Roman" w:eastAsia="宋体" w:cs="Times New Roman"/>
                <w:color w:val="0000FF"/>
                <w:sz w:val="24"/>
                <w:szCs w:val="24"/>
                <w:highlight w:val="none"/>
              </w:rPr>
              <w:t>#西</w:t>
            </w:r>
            <w:r>
              <w:rPr>
                <w:rFonts w:hint="eastAsia" w:cs="Times New Roman"/>
                <w:color w:val="0000FF"/>
                <w:sz w:val="24"/>
                <w:szCs w:val="24"/>
                <w:highlight w:val="none"/>
                <w:lang w:val="en-US" w:eastAsia="zh-CN"/>
              </w:rPr>
              <w:t>南</w:t>
            </w:r>
            <w:r>
              <w:rPr>
                <w:rFonts w:hint="default" w:ascii="Times New Roman" w:hAnsi="Times New Roman" w:eastAsia="宋体" w:cs="Times New Roman"/>
                <w:color w:val="0000FF"/>
                <w:sz w:val="24"/>
                <w:szCs w:val="24"/>
                <w:highlight w:val="none"/>
              </w:rPr>
              <w:t>角</w:t>
            </w:r>
            <w:r>
              <w:rPr>
                <w:rFonts w:hint="eastAsia" w:cs="Times New Roman"/>
                <w:color w:val="0000FF"/>
                <w:sz w:val="24"/>
                <w:szCs w:val="24"/>
                <w:highlight w:val="none"/>
                <w:lang w:val="en-US" w:eastAsia="zh-CN"/>
              </w:rPr>
              <w:t>设置一体化处理设施</w:t>
            </w:r>
            <w:r>
              <w:rPr>
                <w:rFonts w:hint="default" w:ascii="Times New Roman" w:hAnsi="Times New Roman" w:eastAsia="宋体" w:cs="Times New Roman"/>
                <w:color w:val="0000FF"/>
                <w:sz w:val="24"/>
                <w:szCs w:val="24"/>
                <w:highlight w:val="none"/>
              </w:rPr>
              <w:t>，占地面积</w:t>
            </w:r>
            <w:r>
              <w:rPr>
                <w:rFonts w:hint="eastAsia" w:cs="Times New Roman"/>
                <w:color w:val="0000FF"/>
                <w:sz w:val="24"/>
                <w:szCs w:val="24"/>
                <w:highlight w:val="none"/>
                <w:lang w:val="en-US" w:eastAsia="zh-CN"/>
              </w:rPr>
              <w:t>2</w:t>
            </w:r>
            <w:r>
              <w:rPr>
                <w:rFonts w:hint="default" w:ascii="Times New Roman" w:hAnsi="Times New Roman" w:eastAsia="宋体" w:cs="Times New Roman"/>
                <w:color w:val="0000FF"/>
                <w:sz w:val="24"/>
                <w:szCs w:val="24"/>
                <w:highlight w:val="none"/>
              </w:rPr>
              <w:t>0</w:t>
            </w:r>
            <w:r>
              <w:rPr>
                <w:rFonts w:hint="default" w:ascii="Times New Roman" w:hAnsi="Times New Roman" w:eastAsia="宋体" w:cs="Times New Roman"/>
                <w:color w:val="0000FF"/>
                <w:highlight w:val="none"/>
                <w:lang w:val="en-US" w:eastAsia="zh-CN"/>
              </w:rPr>
              <w:t>m</w:t>
            </w:r>
            <w:r>
              <w:rPr>
                <w:rFonts w:hint="default" w:ascii="Times New Roman" w:hAnsi="Times New Roman" w:eastAsia="宋体" w:cs="Times New Roman"/>
                <w:color w:val="0000FF"/>
                <w:highlight w:val="none"/>
                <w:vertAlign w:val="superscript"/>
                <w:lang w:val="en-US" w:eastAsia="zh-CN"/>
              </w:rPr>
              <w:t>2</w:t>
            </w:r>
            <w:r>
              <w:rPr>
                <w:rFonts w:hint="default" w:ascii="Times New Roman" w:hAnsi="Times New Roman" w:eastAsia="宋体" w:cs="Times New Roman"/>
                <w:color w:val="0000FF"/>
                <w:sz w:val="24"/>
                <w:szCs w:val="24"/>
                <w:highlight w:val="none"/>
              </w:rPr>
              <w:t>，污水处理</w:t>
            </w:r>
            <w:r>
              <w:rPr>
                <w:rFonts w:hint="eastAsia" w:cs="Times New Roman"/>
                <w:color w:val="0000FF"/>
                <w:sz w:val="24"/>
                <w:szCs w:val="24"/>
                <w:highlight w:val="none"/>
                <w:lang w:val="en-US" w:eastAsia="zh-CN"/>
              </w:rPr>
              <w:t>设施</w:t>
            </w:r>
            <w:r>
              <w:rPr>
                <w:rFonts w:hint="default" w:ascii="Times New Roman" w:hAnsi="Times New Roman" w:eastAsia="宋体" w:cs="Times New Roman"/>
                <w:color w:val="0000FF"/>
                <w:sz w:val="24"/>
                <w:szCs w:val="24"/>
                <w:highlight w:val="none"/>
              </w:rPr>
              <w:t>设计处理规模为</w:t>
            </w:r>
            <w:r>
              <w:rPr>
                <w:rFonts w:hint="eastAsia" w:cs="Times New Roman"/>
                <w:color w:val="0000FF"/>
                <w:sz w:val="24"/>
                <w:szCs w:val="24"/>
                <w:highlight w:val="none"/>
                <w:lang w:val="en-US" w:eastAsia="zh-CN"/>
              </w:rPr>
              <w:t>3</w:t>
            </w:r>
            <w:r>
              <w:rPr>
                <w:rFonts w:hint="default" w:ascii="Times New Roman" w:hAnsi="Times New Roman" w:eastAsia="宋体" w:cs="Times New Roman"/>
                <w:color w:val="0000FF"/>
                <w:sz w:val="24"/>
                <w:szCs w:val="24"/>
                <w:highlight w:val="none"/>
                <w:lang w:val="en-US" w:eastAsia="zh-CN"/>
              </w:rPr>
              <w:t>m</w:t>
            </w:r>
            <w:r>
              <w:rPr>
                <w:rFonts w:hint="eastAsia" w:cs="Times New Roman"/>
                <w:color w:val="0000FF"/>
                <w:sz w:val="24"/>
                <w:szCs w:val="24"/>
                <w:highlight w:val="none"/>
                <w:vertAlign w:val="superscript"/>
                <w:lang w:val="en-US" w:eastAsia="zh-CN"/>
              </w:rPr>
              <w:t>3</w:t>
            </w:r>
            <w:r>
              <w:rPr>
                <w:rFonts w:hint="default" w:ascii="Times New Roman" w:hAnsi="Times New Roman" w:eastAsia="宋体" w:cs="Times New Roman"/>
                <w:color w:val="0000FF"/>
                <w:sz w:val="24"/>
                <w:szCs w:val="24"/>
                <w:highlight w:val="none"/>
              </w:rPr>
              <w:t>/d，采取工艺为</w:t>
            </w:r>
            <w:r>
              <w:rPr>
                <w:rFonts w:hint="eastAsia" w:ascii="宋体" w:hAnsi="宋体" w:eastAsia="宋体" w:cs="宋体"/>
                <w:color w:val="0000FF"/>
                <w:sz w:val="24"/>
                <w:szCs w:val="24"/>
                <w:highlight w:val="none"/>
              </w:rPr>
              <w:t>“</w:t>
            </w:r>
            <w:r>
              <w:rPr>
                <w:rFonts w:hint="default" w:ascii="Times New Roman" w:hAnsi="Times New Roman" w:cs="Times New Roman"/>
                <w:color w:val="0000FF"/>
                <w:sz w:val="24"/>
                <w:szCs w:val="24"/>
                <w:highlight w:val="none"/>
                <w:lang w:val="en-US" w:eastAsia="zh-CN"/>
              </w:rPr>
              <w:t>p</w:t>
            </w:r>
            <w:r>
              <w:rPr>
                <w:rFonts w:hint="eastAsia" w:cs="Times New Roman"/>
                <w:color w:val="0000FF"/>
                <w:sz w:val="24"/>
                <w:szCs w:val="24"/>
                <w:highlight w:val="none"/>
                <w:lang w:val="en-US" w:eastAsia="zh-CN"/>
              </w:rPr>
              <w:t>H调节</w:t>
            </w:r>
            <w:r>
              <w:rPr>
                <w:rFonts w:hint="default" w:ascii="Times New Roman" w:hAnsi="Times New Roman" w:eastAsia="宋体" w:cs="Times New Roman"/>
                <w:color w:val="0000FF"/>
                <w:sz w:val="24"/>
                <w:szCs w:val="24"/>
                <w:highlight w:val="none"/>
              </w:rPr>
              <w:t>+</w:t>
            </w:r>
            <w:r>
              <w:rPr>
                <w:rFonts w:hint="eastAsia" w:cs="Times New Roman"/>
                <w:color w:val="0000FF"/>
                <w:sz w:val="24"/>
                <w:szCs w:val="24"/>
                <w:highlight w:val="none"/>
                <w:lang w:val="en-US" w:eastAsia="zh-CN"/>
              </w:rPr>
              <w:t>絮凝反应沉淀+二级膜生物反应器</w:t>
            </w:r>
            <w:r>
              <w:rPr>
                <w:rFonts w:hint="eastAsia" w:ascii="宋体" w:hAnsi="宋体" w:eastAsia="宋体" w:cs="宋体"/>
                <w:color w:val="0000FF"/>
                <w:sz w:val="24"/>
                <w:szCs w:val="24"/>
                <w:highlight w:val="none"/>
              </w:rPr>
              <w:t>”</w:t>
            </w:r>
            <w:r>
              <w:rPr>
                <w:rFonts w:hint="default" w:ascii="Times New Roman" w:hAnsi="Times New Roman" w:eastAsia="宋体" w:cs="Times New Roman"/>
                <w:color w:val="0000FF"/>
                <w:sz w:val="24"/>
                <w:szCs w:val="24"/>
                <w:highlight w:val="none"/>
              </w:rPr>
              <w:t>。</w:t>
            </w:r>
            <w:r>
              <w:rPr>
                <w:rFonts w:hint="eastAsia" w:cs="Times New Roman"/>
                <w:color w:val="0000FF"/>
                <w:sz w:val="24"/>
                <w:szCs w:val="24"/>
                <w:highlight w:val="none"/>
                <w:lang w:val="en-US" w:eastAsia="zh-CN"/>
              </w:rPr>
              <w:t>超声波清洗废水每周更换一次，由集水池进行收集，再经泵泵至絮凝反应池中先进行pH调节，再</w:t>
            </w:r>
            <w:r>
              <w:rPr>
                <w:rFonts w:hint="default" w:ascii="Times New Roman" w:hAnsi="Times New Roman" w:eastAsia="宋体" w:cs="Times New Roman"/>
                <w:color w:val="0000FF"/>
                <w:sz w:val="24"/>
                <w:szCs w:val="24"/>
                <w:highlight w:val="none"/>
              </w:rPr>
              <w:t>酌情投加絮凝剂使废水中的悬浮物形成絮凝体，经</w:t>
            </w:r>
            <w:r>
              <w:rPr>
                <w:rFonts w:hint="eastAsia" w:ascii="Times New Roman" w:hAnsi="Times New Roman" w:eastAsia="宋体" w:cs="Times New Roman"/>
                <w:color w:val="0000FF"/>
                <w:sz w:val="24"/>
                <w:szCs w:val="24"/>
                <w:highlight w:val="none"/>
                <w:lang w:val="en-US" w:eastAsia="zh-CN"/>
              </w:rPr>
              <w:t>沉降</w:t>
            </w:r>
            <w:r>
              <w:rPr>
                <w:rFonts w:hint="default" w:ascii="Times New Roman" w:hAnsi="Times New Roman" w:eastAsia="宋体" w:cs="Times New Roman"/>
                <w:color w:val="0000FF"/>
                <w:sz w:val="24"/>
                <w:szCs w:val="24"/>
                <w:highlight w:val="none"/>
              </w:rPr>
              <w:t>固液分离后</w:t>
            </w:r>
            <w:r>
              <w:rPr>
                <w:rFonts w:hint="eastAsia" w:cs="Times New Roman"/>
                <w:color w:val="0000FF"/>
                <w:sz w:val="24"/>
                <w:szCs w:val="24"/>
                <w:highlight w:val="none"/>
                <w:lang w:val="en-US" w:eastAsia="zh-CN"/>
              </w:rPr>
              <w:t>上清液</w:t>
            </w:r>
            <w:r>
              <w:rPr>
                <w:rFonts w:hint="default" w:ascii="Times New Roman" w:hAnsi="Times New Roman" w:eastAsia="宋体" w:cs="Times New Roman"/>
                <w:color w:val="0000FF"/>
                <w:sz w:val="24"/>
                <w:szCs w:val="24"/>
                <w:highlight w:val="none"/>
              </w:rPr>
              <w:t>再自流入</w:t>
            </w:r>
            <w:r>
              <w:rPr>
                <w:rFonts w:hint="eastAsia" w:cs="Times New Roman"/>
                <w:color w:val="0000FF"/>
                <w:sz w:val="24"/>
                <w:szCs w:val="24"/>
                <w:highlight w:val="none"/>
                <w:lang w:val="en-US" w:eastAsia="zh-CN"/>
              </w:rPr>
              <w:t>膜生物反应器</w:t>
            </w:r>
            <w:r>
              <w:rPr>
                <w:rFonts w:hint="eastAsia" w:ascii="Times New Roman" w:hAnsi="Times New Roman" w:eastAsia="宋体" w:cs="Times New Roman"/>
                <w:color w:val="0000FF"/>
                <w:sz w:val="24"/>
                <w:szCs w:val="24"/>
                <w:highlight w:val="none"/>
                <w:lang w:val="en-US" w:eastAsia="zh-CN"/>
              </w:rPr>
              <w:t>进行</w:t>
            </w:r>
            <w:r>
              <w:rPr>
                <w:rFonts w:hint="eastAsia" w:cs="Times New Roman"/>
                <w:color w:val="0000FF"/>
                <w:sz w:val="24"/>
                <w:szCs w:val="24"/>
                <w:highlight w:val="none"/>
                <w:lang w:val="en-US" w:eastAsia="zh-CN"/>
              </w:rPr>
              <w:t>氧化</w:t>
            </w:r>
            <w:r>
              <w:rPr>
                <w:rFonts w:hint="eastAsia" w:ascii="Times New Roman" w:hAnsi="Times New Roman" w:eastAsia="宋体" w:cs="Times New Roman"/>
                <w:color w:val="0000FF"/>
                <w:sz w:val="24"/>
                <w:szCs w:val="24"/>
                <w:highlight w:val="none"/>
                <w:lang w:val="en-US" w:eastAsia="zh-CN"/>
              </w:rPr>
              <w:t>过滤，出水清澈，</w:t>
            </w:r>
            <w:r>
              <w:rPr>
                <w:rFonts w:hint="eastAsia" w:cs="Times New Roman"/>
                <w:color w:val="0000FF"/>
                <w:sz w:val="24"/>
                <w:szCs w:val="24"/>
                <w:highlight w:val="none"/>
                <w:lang w:val="en-US" w:eastAsia="zh-CN"/>
              </w:rPr>
              <w:t>絮凝沉淀</w:t>
            </w:r>
            <w:r>
              <w:rPr>
                <w:rFonts w:hint="default" w:ascii="Times New Roman" w:hAnsi="Times New Roman" w:eastAsia="宋体" w:cs="Times New Roman"/>
                <w:color w:val="0000FF"/>
                <w:sz w:val="24"/>
                <w:szCs w:val="24"/>
                <w:highlight w:val="none"/>
              </w:rPr>
              <w:t>产生的污泥</w:t>
            </w:r>
            <w:r>
              <w:rPr>
                <w:rFonts w:hint="eastAsia" w:cs="Times New Roman"/>
                <w:color w:val="0000FF"/>
                <w:sz w:val="24"/>
                <w:szCs w:val="24"/>
                <w:highlight w:val="none"/>
                <w:lang w:val="en-US" w:eastAsia="zh-CN"/>
              </w:rPr>
              <w:t>泵</w:t>
            </w:r>
            <w:r>
              <w:rPr>
                <w:rFonts w:hint="default" w:ascii="Times New Roman" w:hAnsi="Times New Roman" w:eastAsia="宋体" w:cs="Times New Roman"/>
                <w:color w:val="0000FF"/>
                <w:sz w:val="24"/>
                <w:szCs w:val="24"/>
                <w:highlight w:val="none"/>
              </w:rPr>
              <w:t>入板框压滤机压滤脱水后外运处置。</w:t>
            </w:r>
          </w:p>
          <w:p w14:paraId="01E8CFEA">
            <w:pPr>
              <w:spacing w:line="360" w:lineRule="auto"/>
              <w:ind w:firstLine="482" w:firstLineChars="200"/>
              <w:rPr>
                <w:rFonts w:hint="default" w:ascii="Times New Roman" w:hAnsi="Times New Roman" w:eastAsia="宋体" w:cs="Times New Roman"/>
                <w:b/>
                <w:bCs/>
                <w:color w:val="0000FF"/>
                <w:sz w:val="24"/>
                <w:szCs w:val="24"/>
                <w:highlight w:val="none"/>
                <w:lang w:val="en-US" w:eastAsia="zh-CN"/>
              </w:rPr>
            </w:pPr>
            <w:r>
              <w:rPr>
                <w:rFonts w:hint="eastAsia" w:cs="Times New Roman"/>
                <w:b/>
                <w:bCs/>
                <w:color w:val="0000FF"/>
                <w:sz w:val="24"/>
                <w:szCs w:val="24"/>
                <w:highlight w:val="none"/>
                <w:lang w:val="en-US" w:eastAsia="zh-CN"/>
              </w:rPr>
              <w:t>絮凝沉淀池：</w:t>
            </w:r>
            <w:r>
              <w:rPr>
                <w:rFonts w:hint="eastAsia" w:ascii="Times New Roman" w:hAnsi="Times New Roman" w:eastAsia="宋体" w:cs="Times New Roman"/>
                <w:i w:val="0"/>
                <w:iCs w:val="0"/>
                <w:caps w:val="0"/>
                <w:color w:val="0000FF"/>
                <w:spacing w:val="0"/>
                <w:sz w:val="24"/>
                <w:szCs w:val="24"/>
                <w:highlight w:val="none"/>
                <w:u w:val="none"/>
                <w:shd w:val="clear" w:fill="auto"/>
              </w:rPr>
              <w:fldChar w:fldCharType="begin"/>
            </w:r>
            <w:r>
              <w:rPr>
                <w:rFonts w:hint="eastAsia" w:ascii="Times New Roman" w:hAnsi="Times New Roman" w:eastAsia="宋体" w:cs="Times New Roman"/>
                <w:i w:val="0"/>
                <w:iCs w:val="0"/>
                <w:caps w:val="0"/>
                <w:color w:val="0000FF"/>
                <w:spacing w:val="0"/>
                <w:sz w:val="24"/>
                <w:szCs w:val="24"/>
                <w:highlight w:val="none"/>
                <w:u w:val="none"/>
                <w:shd w:val="clear" w:fill="auto"/>
              </w:rPr>
              <w:instrText xml:space="preserve"> HYPERLINK "https://baike.baidu.com/item/%E7%B5%AE%E5%87%9D%E6%B1%A0/10063432" \l ":~:text=%E7%B5%AE%E5%87%9D%E6%B1%A0%E9%80%9A%E8%BF%87%E6%8A%95%E5%8A%A0%E7%B5%AE%E5%87%9D%E5%89%82%EF%BC%8C%E4%BD%BF%E6%B0%B4%E4%B8%AD%E9%A2%97%E7%B2%92%E9%80%9A%E8%BF%87%E5%8C%96%E5%AD%A6%E5%8F%8D%E5%BA%94%E6%88%96%E7%89%A9%E7%90%86%E5%90%B8%E9%99%84%E8%81%9A%E9%9B%86%E6%88%90%E8%BE%83%E5%A4%A7%E7%B5%AE%E5%87%9D%E4%BD%93%EF%BC%88%E7%9F%BE%E8%8A%B1%EF%BC%89%EF%BC%9B%E7%B5%AE%E5%87%9D%E5%90%8E%E6%B0%B4%E5%9C%A8%E6%B1%A0%E4%B8%AD%E5%81%9C%E7%95%99%EF%BC%8C%E7%B5%AE%E5%87%9D%E4%BD%93%E6%B2%89%E6%B7%80%E5%BD%A2%E6%88%90%E6%B1%A1%E6%B3%A5%EF%BC%8C%E6%BE%84%E6%B8%85%E6%B0%B4%E4%BB%8E%E4%B8%8A%E9%83%A8%E6%8E%92%E5%87%BA%E3%80%82 %E7%B5%AE%E5%87%9D%E6%B1%A0%E7%9A%84%E6%A0%B8%E5%BF%83%E4%BD%9C%E7%94%A8%E5%9C%A8%E4%BA%8E%E6%BE%84%E6%B8%85%E6%B0%B4%E8%B4%A8%EF%BC%8C%E4%BD%9C%E4%B8%BA%E9%A2%84%E5%A4%84%E7%90%86%E5%8D%95%E5%85%83%E5%8E%BB%E9%99%A4%E6%82%AC%E6%B5%AE%E7%89%A9%E4%BB%A5%E6%8F%90%E9%AB%98%E5%90%8E%E7%BB%AD%E5%A4%84%E7%90%86%E6%95%88%E7%8E%87%EF%BC%8C%E5%90%8C%E6%97%B6%E5%87%8F%E5%B0%91%E5%90%8E%E7%BB%AD%E6%B1%A1%E6%B3%A5%E4%BA%A7%E7%94%9F%E9%87%8F%EF%BC%8C%E5%B9%B6%E5%8F%AF%E7%94%A8%E4%BA%8E%E5%A4%84%E7%90%86%E7%89%B9%E5%AE%9A%E6%B1%A1%E6%B0%B4%E5%A6%82%E9%AB%98%E6%82%AC%E6%B5%AE%E7%89%A9%E6%88%96%E5%90%AB%E6%B2%B9%E6%B1%A1%E6%B0%B4,[9]%E3%80%82 %E7%B5%AE%E5%87%9D%E8%BF%87%E7%A8%8B%E8%BF%9B%E5%B1%95%E7%9A%84%E5%A5%BD%E5%9D%8F%E7%9B%B4%E6%8E%A5%E5%BD%B1%E5%93%8D%E5%88%B0%E6%B0%B4%E5%A4%84%E7%90%86%E5%90%8E%E7%BB%AD%E6%B5%81%E7%A8%8B%E7%9A%84%E5%B7%A5%E5%86%B5%EF%BC%8C%E5%9B%A0%E8%80%8C%E6%88%90%E4%B8%BA%E7%8E%AF%E5%A2%83%E5%B7%A5%E7%A8%8B%E4%B8%AD%E9%87%8D%E8%A6%81%E7%9A%84%E7%A7%91%E6%8A%80%E7%A0%94%E7%A9%B6%E5%BC%80%E5%8F%91%E9%A2%86%E5%9F%9F [10]%E3%80%82" \t "https://cn.bing.com/_blank" </w:instrText>
            </w:r>
            <w:r>
              <w:rPr>
                <w:rFonts w:hint="eastAsia" w:ascii="Times New Roman" w:hAnsi="Times New Roman" w:eastAsia="宋体" w:cs="Times New Roman"/>
                <w:i w:val="0"/>
                <w:iCs w:val="0"/>
                <w:caps w:val="0"/>
                <w:color w:val="0000FF"/>
                <w:spacing w:val="0"/>
                <w:sz w:val="24"/>
                <w:szCs w:val="24"/>
                <w:highlight w:val="none"/>
                <w:u w:val="none"/>
                <w:shd w:val="clear" w:fill="auto"/>
              </w:rPr>
              <w:fldChar w:fldCharType="separate"/>
            </w:r>
            <w:r>
              <w:rPr>
                <w:rStyle w:val="35"/>
                <w:rFonts w:hint="eastAsia" w:ascii="Times New Roman" w:hAnsi="Times New Roman" w:eastAsia="宋体" w:cs="Times New Roman"/>
                <w:i w:val="0"/>
                <w:iCs w:val="0"/>
                <w:caps w:val="0"/>
                <w:color w:val="0000FF"/>
                <w:spacing w:val="0"/>
                <w:sz w:val="24"/>
                <w:szCs w:val="24"/>
                <w:highlight w:val="none"/>
                <w:u w:val="none"/>
                <w:shd w:val="clear" w:fill="FFFFFF"/>
              </w:rPr>
              <w:t>通过投加絮凝剂，使水中颗粒通过化学反应或物理吸附聚集成较大絮凝体（矾花）；絮凝后水在池中停留，絮凝体沉淀形成污泥，澄清水从上部排出。絮凝池的核心作用在于澄清水质，</w:t>
            </w:r>
            <w:r>
              <w:rPr>
                <w:rFonts w:hint="eastAsia" w:ascii="Times New Roman" w:hAnsi="Times New Roman" w:eastAsia="宋体" w:cs="Times New Roman"/>
                <w:i w:val="0"/>
                <w:iCs w:val="0"/>
                <w:caps w:val="0"/>
                <w:color w:val="0000FF"/>
                <w:spacing w:val="0"/>
                <w:sz w:val="24"/>
                <w:szCs w:val="24"/>
                <w:highlight w:val="none"/>
                <w:u w:val="none"/>
                <w:shd w:val="clear" w:fill="auto"/>
              </w:rPr>
              <w:fldChar w:fldCharType="end"/>
            </w:r>
            <w:r>
              <w:rPr>
                <w:rFonts w:hint="eastAsia" w:ascii="Times New Roman" w:hAnsi="Times New Roman" w:eastAsia="宋体" w:cs="Times New Roman"/>
                <w:i w:val="0"/>
                <w:iCs w:val="0"/>
                <w:caps w:val="0"/>
                <w:color w:val="0000FF"/>
                <w:spacing w:val="0"/>
                <w:sz w:val="24"/>
                <w:szCs w:val="24"/>
                <w:highlight w:val="none"/>
                <w:u w:val="none"/>
                <w:shd w:val="clear"/>
              </w:rPr>
              <w:t>它通过物理和化学的方法将悬浮物和胶体物质聚集成絮状物，从而使其沉降到池底，以达到去除水中悬浮物的目的。</w:t>
            </w:r>
          </w:p>
          <w:p w14:paraId="3EF0B430">
            <w:pPr>
              <w:spacing w:line="360" w:lineRule="auto"/>
              <w:ind w:firstLine="482" w:firstLineChars="200"/>
              <w:rPr>
                <w:rFonts w:hint="default" w:ascii="Times New Roman" w:hAnsi="Times New Roman" w:eastAsia="宋体" w:cs="Times New Roman"/>
                <w:color w:val="0000FF"/>
                <w:sz w:val="24"/>
                <w:szCs w:val="24"/>
                <w:highlight w:val="none"/>
              </w:rPr>
            </w:pPr>
            <w:r>
              <w:rPr>
                <w:rFonts w:hint="default" w:ascii="Times New Roman" w:hAnsi="Times New Roman" w:eastAsia="宋体" w:cs="Times New Roman"/>
                <w:b/>
                <w:bCs/>
                <w:color w:val="0000FF"/>
                <w:sz w:val="24"/>
                <w:szCs w:val="24"/>
                <w:highlight w:val="none"/>
              </w:rPr>
              <w:t>膜</w:t>
            </w:r>
            <w:r>
              <w:rPr>
                <w:rFonts w:hint="eastAsia" w:cs="Times New Roman"/>
                <w:b/>
                <w:bCs/>
                <w:color w:val="0000FF"/>
                <w:sz w:val="24"/>
                <w:szCs w:val="24"/>
                <w:highlight w:val="none"/>
                <w:lang w:val="en-US" w:eastAsia="zh-CN"/>
              </w:rPr>
              <w:t>生物反应器</w:t>
            </w:r>
            <w:r>
              <w:rPr>
                <w:rFonts w:hint="default" w:ascii="Times New Roman" w:hAnsi="Times New Roman" w:eastAsia="宋体" w:cs="Times New Roman"/>
                <w:b/>
                <w:bCs/>
                <w:color w:val="0000FF"/>
                <w:sz w:val="24"/>
                <w:szCs w:val="24"/>
                <w:highlight w:val="none"/>
              </w:rPr>
              <w:t>：</w:t>
            </w:r>
            <w:r>
              <w:rPr>
                <w:rFonts w:hint="default" w:ascii="Times New Roman" w:hAnsi="Times New Roman" w:eastAsia="宋体" w:cs="Times New Roman"/>
                <w:color w:val="0000FF"/>
                <w:sz w:val="24"/>
                <w:szCs w:val="24"/>
                <w:highlight w:val="none"/>
              </w:rPr>
              <w:t>经过</w:t>
            </w:r>
            <w:r>
              <w:rPr>
                <w:rFonts w:hint="eastAsia" w:cs="Times New Roman"/>
                <w:color w:val="0000FF"/>
                <w:sz w:val="24"/>
                <w:szCs w:val="24"/>
                <w:highlight w:val="none"/>
                <w:lang w:val="en-US" w:eastAsia="zh-CN"/>
              </w:rPr>
              <w:t>絮凝反应沉淀</w:t>
            </w:r>
            <w:r>
              <w:rPr>
                <w:rFonts w:hint="default" w:ascii="Times New Roman" w:hAnsi="Times New Roman" w:eastAsia="宋体" w:cs="Times New Roman"/>
                <w:color w:val="0000FF"/>
                <w:sz w:val="24"/>
                <w:szCs w:val="24"/>
                <w:highlight w:val="none"/>
              </w:rPr>
              <w:t>后的出水进入膜</w:t>
            </w:r>
            <w:r>
              <w:rPr>
                <w:rFonts w:hint="eastAsia" w:cs="Times New Roman"/>
                <w:color w:val="0000FF"/>
                <w:sz w:val="24"/>
                <w:szCs w:val="24"/>
                <w:highlight w:val="none"/>
                <w:lang w:val="en-US" w:eastAsia="zh-CN"/>
              </w:rPr>
              <w:t>生物</w:t>
            </w:r>
            <w:r>
              <w:rPr>
                <w:rFonts w:hint="default" w:ascii="Times New Roman" w:hAnsi="Times New Roman" w:eastAsia="宋体" w:cs="Times New Roman"/>
                <w:color w:val="0000FF"/>
                <w:sz w:val="24"/>
                <w:szCs w:val="24"/>
                <w:highlight w:val="none"/>
              </w:rPr>
              <w:t>反应</w:t>
            </w:r>
            <w:r>
              <w:rPr>
                <w:rFonts w:hint="eastAsia" w:cs="Times New Roman"/>
                <w:color w:val="0000FF"/>
                <w:sz w:val="24"/>
                <w:szCs w:val="24"/>
                <w:highlight w:val="none"/>
                <w:lang w:val="en-US" w:eastAsia="zh-CN"/>
              </w:rPr>
              <w:t>器</w:t>
            </w:r>
            <w:r>
              <w:rPr>
                <w:rFonts w:hint="default" w:ascii="Times New Roman" w:hAnsi="Times New Roman" w:eastAsia="宋体" w:cs="Times New Roman"/>
                <w:color w:val="0000FF"/>
                <w:sz w:val="24"/>
                <w:szCs w:val="24"/>
                <w:highlight w:val="none"/>
              </w:rPr>
              <w:t>。膜</w:t>
            </w:r>
            <w:r>
              <w:rPr>
                <w:rFonts w:hint="eastAsia" w:cs="Times New Roman"/>
                <w:color w:val="0000FF"/>
                <w:sz w:val="24"/>
                <w:szCs w:val="24"/>
                <w:highlight w:val="none"/>
                <w:lang w:val="en-US" w:eastAsia="zh-CN"/>
              </w:rPr>
              <w:t>生物</w:t>
            </w:r>
            <w:r>
              <w:rPr>
                <w:rFonts w:hint="default" w:ascii="Times New Roman" w:hAnsi="Times New Roman" w:eastAsia="宋体" w:cs="Times New Roman"/>
                <w:color w:val="0000FF"/>
                <w:sz w:val="24"/>
                <w:szCs w:val="24"/>
                <w:highlight w:val="none"/>
              </w:rPr>
              <w:t>反应</w:t>
            </w:r>
            <w:r>
              <w:rPr>
                <w:rFonts w:hint="eastAsia" w:cs="Times New Roman"/>
                <w:color w:val="0000FF"/>
                <w:sz w:val="24"/>
                <w:szCs w:val="24"/>
                <w:highlight w:val="none"/>
                <w:lang w:val="en-US" w:eastAsia="zh-CN"/>
              </w:rPr>
              <w:t>器</w:t>
            </w:r>
            <w:r>
              <w:rPr>
                <w:rFonts w:hint="default" w:ascii="Times New Roman" w:hAnsi="Times New Roman" w:eastAsia="宋体" w:cs="Times New Roman"/>
                <w:color w:val="0000FF"/>
                <w:sz w:val="24"/>
                <w:szCs w:val="24"/>
                <w:highlight w:val="none"/>
              </w:rPr>
              <w:t>由膜分离组件和生物反应器组成，可以达到生化处理和固液分离的双重处理效果</w:t>
            </w:r>
            <w:r>
              <w:rPr>
                <w:rFonts w:hint="eastAsia" w:cs="Times New Roman"/>
                <w:color w:val="0000FF"/>
                <w:sz w:val="24"/>
                <w:szCs w:val="24"/>
                <w:highlight w:val="none"/>
                <w:lang w:val="en-US" w:eastAsia="zh-CN"/>
              </w:rPr>
              <w:t>；</w:t>
            </w:r>
            <w:r>
              <w:rPr>
                <w:rFonts w:hint="default" w:ascii="Times New Roman" w:hAnsi="Times New Roman" w:eastAsia="宋体" w:cs="Times New Roman"/>
                <w:color w:val="0000FF"/>
                <w:sz w:val="24"/>
                <w:szCs w:val="24"/>
                <w:highlight w:val="none"/>
              </w:rPr>
              <w:t>由于膜能将全部的生物量截留在反应器内，可以获得长泥龄和高悬浮固定浓度，从而强化活性污泥的处理能力，还可以使剩余污泥产率远小于常规的活性污泥法，保证出水更加稳定。</w:t>
            </w:r>
          </w:p>
          <w:p w14:paraId="23063C24">
            <w:pPr>
              <w:spacing w:line="360" w:lineRule="auto"/>
              <w:ind w:firstLine="482" w:firstLineChars="200"/>
              <w:rPr>
                <w:rFonts w:hint="default" w:ascii="Times New Roman" w:hAnsi="Times New Roman" w:eastAsia="宋体" w:cs="Times New Roman"/>
                <w:color w:val="0000FF"/>
                <w:sz w:val="24"/>
                <w:szCs w:val="24"/>
                <w:highlight w:val="none"/>
              </w:rPr>
            </w:pPr>
            <w:r>
              <w:rPr>
                <w:rFonts w:hint="default" w:ascii="Times New Roman" w:hAnsi="Times New Roman" w:eastAsia="宋体" w:cs="Times New Roman"/>
                <w:b/>
                <w:bCs/>
                <w:color w:val="0000FF"/>
                <w:sz w:val="24"/>
                <w:szCs w:val="24"/>
                <w:highlight w:val="none"/>
              </w:rPr>
              <w:t>污泥处理系统：</w:t>
            </w:r>
            <w:r>
              <w:rPr>
                <w:rFonts w:hint="default" w:ascii="Times New Roman" w:hAnsi="Times New Roman" w:eastAsia="宋体" w:cs="Times New Roman"/>
                <w:color w:val="0000FF"/>
                <w:sz w:val="24"/>
                <w:szCs w:val="24"/>
                <w:highlight w:val="none"/>
              </w:rPr>
              <w:t>配套一套</w:t>
            </w:r>
            <w:r>
              <w:rPr>
                <w:rFonts w:hint="eastAsia" w:cs="Times New Roman"/>
                <w:color w:val="0000FF"/>
                <w:sz w:val="24"/>
                <w:szCs w:val="24"/>
                <w:highlight w:val="none"/>
                <w:lang w:val="en-US" w:eastAsia="zh-CN"/>
              </w:rPr>
              <w:t>板框压滤机</w:t>
            </w:r>
            <w:r>
              <w:rPr>
                <w:rFonts w:hint="default" w:ascii="Times New Roman" w:hAnsi="Times New Roman" w:eastAsia="宋体" w:cs="Times New Roman"/>
                <w:color w:val="0000FF"/>
                <w:sz w:val="24"/>
                <w:szCs w:val="24"/>
                <w:highlight w:val="none"/>
              </w:rPr>
              <w:t>用来满足污泥处理，项目采</w:t>
            </w:r>
            <w:r>
              <w:rPr>
                <w:rFonts w:hint="eastAsia" w:ascii="宋体" w:hAnsi="宋体" w:eastAsia="宋体" w:cs="宋体"/>
                <w:color w:val="0000FF"/>
                <w:sz w:val="24"/>
                <w:szCs w:val="24"/>
                <w:highlight w:val="none"/>
              </w:rPr>
              <w:t>用“</w:t>
            </w:r>
            <w:r>
              <w:rPr>
                <w:rFonts w:hint="eastAsia" w:ascii="宋体" w:hAnsi="宋体" w:eastAsia="宋体" w:cs="宋体"/>
                <w:color w:val="0000FF"/>
                <w:sz w:val="24"/>
                <w:szCs w:val="24"/>
                <w:highlight w:val="none"/>
                <w:lang w:val="en-US" w:eastAsia="zh-CN"/>
              </w:rPr>
              <w:t>板框压滤</w:t>
            </w:r>
            <w:r>
              <w:rPr>
                <w:rFonts w:hint="eastAsia" w:ascii="宋体" w:hAnsi="宋体" w:eastAsia="宋体" w:cs="宋体"/>
                <w:color w:val="0000FF"/>
                <w:sz w:val="24"/>
                <w:szCs w:val="24"/>
                <w:highlight w:val="none"/>
              </w:rPr>
              <w:t>机”进行污</w:t>
            </w:r>
            <w:r>
              <w:rPr>
                <w:rFonts w:hint="default" w:ascii="Times New Roman" w:hAnsi="Times New Roman" w:eastAsia="宋体" w:cs="Times New Roman"/>
                <w:color w:val="0000FF"/>
                <w:sz w:val="24"/>
                <w:szCs w:val="24"/>
                <w:highlight w:val="none"/>
              </w:rPr>
              <w:t>泥脱水，经脱水后污泥含水率控制在</w:t>
            </w:r>
            <w:r>
              <w:rPr>
                <w:rFonts w:hint="eastAsia" w:cs="Times New Roman"/>
                <w:color w:val="0000FF"/>
                <w:sz w:val="24"/>
                <w:szCs w:val="24"/>
                <w:highlight w:val="none"/>
                <w:lang w:val="en-US" w:eastAsia="zh-CN"/>
              </w:rPr>
              <w:t>6</w:t>
            </w:r>
            <w:r>
              <w:rPr>
                <w:rFonts w:hint="default" w:ascii="Times New Roman" w:hAnsi="Times New Roman" w:eastAsia="宋体" w:cs="Times New Roman"/>
                <w:color w:val="0000FF"/>
                <w:sz w:val="24"/>
                <w:szCs w:val="24"/>
                <w:highlight w:val="none"/>
              </w:rPr>
              <w:t>0%左右，脱水后的泥饼委托固废资质公司外运处置。</w:t>
            </w:r>
          </w:p>
          <w:p w14:paraId="6DF4C587">
            <w:pPr>
              <w:spacing w:line="360" w:lineRule="auto"/>
              <w:ind w:firstLine="480" w:firstLineChars="200"/>
              <w:rPr>
                <w:rFonts w:hint="default" w:ascii="Times New Roman" w:hAnsi="Times New Roman" w:eastAsia="宋体" w:cs="Times New Roman"/>
                <w:color w:val="0000FF"/>
                <w:sz w:val="24"/>
                <w:szCs w:val="24"/>
                <w:highlight w:val="none"/>
              </w:rPr>
            </w:pPr>
            <w:r>
              <w:rPr>
                <w:rFonts w:hint="default" w:ascii="Times New Roman" w:hAnsi="Times New Roman" w:eastAsia="宋体" w:cs="Times New Roman"/>
                <w:color w:val="0000FF"/>
                <w:sz w:val="24"/>
                <w:szCs w:val="24"/>
                <w:highlight w:val="none"/>
              </w:rPr>
              <w:t>本项目生产废水中COD、BOD、SS、氨氮的去除率参照《生物接触氧化法污水处理工程技术规范》（HJ2009-2011）、《厌氧-缺氧-好氧活性污泥法污水处理工程技术规范》（HJ576-2010）及经验数值等资料，确定本项目分段去除率，详见表4-</w:t>
            </w:r>
            <w:r>
              <w:rPr>
                <w:rFonts w:hint="eastAsia" w:cs="Times New Roman"/>
                <w:color w:val="0000FF"/>
                <w:sz w:val="24"/>
                <w:szCs w:val="24"/>
                <w:highlight w:val="none"/>
                <w:lang w:val="en-US" w:eastAsia="zh-CN"/>
              </w:rPr>
              <w:t>14</w:t>
            </w:r>
            <w:r>
              <w:rPr>
                <w:rFonts w:hint="default" w:ascii="Times New Roman" w:hAnsi="Times New Roman" w:eastAsia="宋体" w:cs="Times New Roman"/>
                <w:color w:val="0000FF"/>
                <w:sz w:val="24"/>
                <w:szCs w:val="24"/>
                <w:highlight w:val="none"/>
              </w:rPr>
              <w:t>。</w:t>
            </w:r>
          </w:p>
          <w:p w14:paraId="7B7BF2DD">
            <w:pPr>
              <w:spacing w:line="240" w:lineRule="auto"/>
              <w:ind w:firstLine="0" w:firstLineChars="0"/>
              <w:jc w:val="center"/>
              <w:rPr>
                <w:rFonts w:hint="default" w:ascii="Times New Roman" w:hAnsi="Times New Roman" w:eastAsia="宋体" w:cs="Times New Roman"/>
                <w:b/>
                <w:bCs/>
                <w:color w:val="0000FF"/>
                <w:sz w:val="21"/>
                <w:szCs w:val="24"/>
                <w:highlight w:val="none"/>
              </w:rPr>
            </w:pPr>
            <w:r>
              <w:rPr>
                <w:rFonts w:hint="default" w:ascii="Times New Roman" w:hAnsi="Times New Roman" w:eastAsia="宋体" w:cs="Times New Roman"/>
                <w:b/>
                <w:bCs/>
                <w:color w:val="0000FF"/>
                <w:sz w:val="21"/>
                <w:szCs w:val="24"/>
                <w:highlight w:val="none"/>
              </w:rPr>
              <w:t>表4</w:t>
            </w:r>
            <w:r>
              <w:rPr>
                <w:rFonts w:hint="default" w:cs="Times New Roman"/>
                <w:b/>
                <w:bCs/>
                <w:color w:val="0000FF"/>
                <w:sz w:val="21"/>
                <w:szCs w:val="24"/>
                <w:highlight w:val="none"/>
                <w:lang w:val="en-US" w:eastAsia="zh-CN"/>
              </w:rPr>
              <w:t xml:space="preserve">-14  </w:t>
            </w:r>
            <w:r>
              <w:rPr>
                <w:rFonts w:hint="eastAsia" w:cs="Times New Roman"/>
                <w:b/>
                <w:bCs/>
                <w:color w:val="0000FF"/>
                <w:sz w:val="21"/>
                <w:szCs w:val="24"/>
                <w:highlight w:val="none"/>
                <w:lang w:val="en-US" w:eastAsia="zh-CN"/>
              </w:rPr>
              <w:t>超声波</w:t>
            </w:r>
            <w:r>
              <w:rPr>
                <w:rFonts w:hint="default" w:ascii="Times New Roman" w:hAnsi="Times New Roman" w:eastAsia="宋体" w:cs="Times New Roman"/>
                <w:b/>
                <w:bCs/>
                <w:color w:val="0000FF"/>
                <w:sz w:val="21"/>
                <w:szCs w:val="24"/>
                <w:highlight w:val="none"/>
              </w:rPr>
              <w:t>清洗废水污染物去除效率一览表</w:t>
            </w:r>
          </w:p>
          <w:tbl>
            <w:tblPr>
              <w:tblStyle w:val="34"/>
              <w:tblW w:w="8210" w:type="dxa"/>
              <w:tblInd w:w="-8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1080"/>
              <w:gridCol w:w="1380"/>
              <w:gridCol w:w="1470"/>
              <w:gridCol w:w="1335"/>
              <w:gridCol w:w="1430"/>
            </w:tblGrid>
            <w:tr w14:paraId="44F07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restart"/>
                  <w:tcBorders>
                    <w:tl2br w:val="nil"/>
                    <w:tr2bl w:val="nil"/>
                  </w:tcBorders>
                  <w:vAlign w:val="center"/>
                </w:tcPr>
                <w:p w14:paraId="3F54BBEC">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处理工艺</w:t>
                  </w:r>
                </w:p>
              </w:tc>
              <w:tc>
                <w:tcPr>
                  <w:tcW w:w="1080" w:type="dxa"/>
                  <w:vMerge w:val="restart"/>
                  <w:tcBorders>
                    <w:tl2br w:val="nil"/>
                    <w:tr2bl w:val="nil"/>
                  </w:tcBorders>
                  <w:vAlign w:val="center"/>
                </w:tcPr>
                <w:p w14:paraId="3B6CED00">
                  <w:pPr>
                    <w:spacing w:line="240" w:lineRule="auto"/>
                    <w:jc w:val="center"/>
                    <w:rPr>
                      <w:rFonts w:hint="eastAsia"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项目</w:t>
                  </w:r>
                </w:p>
              </w:tc>
              <w:tc>
                <w:tcPr>
                  <w:tcW w:w="5615" w:type="dxa"/>
                  <w:gridSpan w:val="4"/>
                  <w:tcBorders>
                    <w:tl2br w:val="nil"/>
                    <w:tr2bl w:val="nil"/>
                  </w:tcBorders>
                  <w:vAlign w:val="center"/>
                </w:tcPr>
                <w:p w14:paraId="7E9731DA">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水质指标</w:t>
                  </w:r>
                </w:p>
              </w:tc>
            </w:tr>
            <w:tr w14:paraId="7693DC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continue"/>
                  <w:tcBorders>
                    <w:tl2br w:val="nil"/>
                    <w:tr2bl w:val="nil"/>
                  </w:tcBorders>
                  <w:vAlign w:val="center"/>
                </w:tcPr>
                <w:p w14:paraId="38628E83">
                  <w:pPr>
                    <w:spacing w:line="240" w:lineRule="auto"/>
                    <w:jc w:val="center"/>
                    <w:rPr>
                      <w:rFonts w:hint="default" w:ascii="Times New Roman" w:hAnsi="Times New Roman" w:eastAsia="宋体" w:cs="Times New Roman"/>
                      <w:color w:val="0000FF"/>
                      <w:sz w:val="21"/>
                      <w:szCs w:val="21"/>
                      <w:highlight w:val="none"/>
                      <w:vertAlign w:val="baseline"/>
                    </w:rPr>
                  </w:pPr>
                </w:p>
              </w:tc>
              <w:tc>
                <w:tcPr>
                  <w:tcW w:w="1080" w:type="dxa"/>
                  <w:vMerge w:val="continue"/>
                  <w:tcBorders>
                    <w:tl2br w:val="nil"/>
                    <w:tr2bl w:val="nil"/>
                  </w:tcBorders>
                  <w:vAlign w:val="center"/>
                </w:tcPr>
                <w:p w14:paraId="1681B811">
                  <w:pPr>
                    <w:spacing w:line="240" w:lineRule="auto"/>
                    <w:jc w:val="center"/>
                    <w:rPr>
                      <w:rFonts w:hint="default" w:ascii="Times New Roman" w:hAnsi="Times New Roman" w:eastAsia="宋体" w:cs="Times New Roman"/>
                      <w:color w:val="0000FF"/>
                      <w:sz w:val="21"/>
                      <w:szCs w:val="21"/>
                      <w:highlight w:val="none"/>
                      <w:vertAlign w:val="baseline"/>
                    </w:rPr>
                  </w:pPr>
                </w:p>
              </w:tc>
              <w:tc>
                <w:tcPr>
                  <w:tcW w:w="1380" w:type="dxa"/>
                  <w:tcBorders>
                    <w:tl2br w:val="nil"/>
                    <w:tr2bl w:val="nil"/>
                  </w:tcBorders>
                  <w:vAlign w:val="center"/>
                </w:tcPr>
                <w:p w14:paraId="529F2450">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COD（mg/L）</w:t>
                  </w:r>
                </w:p>
              </w:tc>
              <w:tc>
                <w:tcPr>
                  <w:tcW w:w="1470" w:type="dxa"/>
                  <w:tcBorders>
                    <w:tl2br w:val="nil"/>
                    <w:tr2bl w:val="nil"/>
                  </w:tcBorders>
                  <w:vAlign w:val="center"/>
                </w:tcPr>
                <w:p w14:paraId="34AF1831">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BOD</w:t>
                  </w:r>
                  <w:r>
                    <w:rPr>
                      <w:rFonts w:hint="eastAsia" w:cs="Times New Roman"/>
                      <w:color w:val="0000FF"/>
                      <w:sz w:val="21"/>
                      <w:szCs w:val="21"/>
                      <w:highlight w:val="none"/>
                      <w:vertAlign w:val="subscript"/>
                      <w:lang w:val="en-US" w:eastAsia="zh-CN"/>
                    </w:rPr>
                    <w:t>5</w:t>
                  </w:r>
                  <w:r>
                    <w:rPr>
                      <w:rFonts w:hint="eastAsia" w:cs="Times New Roman"/>
                      <w:color w:val="0000FF"/>
                      <w:sz w:val="21"/>
                      <w:szCs w:val="21"/>
                      <w:highlight w:val="none"/>
                      <w:vertAlign w:val="baseline"/>
                      <w:lang w:val="en-US" w:eastAsia="zh-CN"/>
                    </w:rPr>
                    <w:t>（mg/L）</w:t>
                  </w:r>
                </w:p>
              </w:tc>
              <w:tc>
                <w:tcPr>
                  <w:tcW w:w="1335" w:type="dxa"/>
                  <w:tcBorders>
                    <w:tl2br w:val="nil"/>
                    <w:tr2bl w:val="nil"/>
                  </w:tcBorders>
                  <w:vAlign w:val="center"/>
                </w:tcPr>
                <w:p w14:paraId="4CC29CDB">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氨氮（mg/L）</w:t>
                  </w:r>
                </w:p>
              </w:tc>
              <w:tc>
                <w:tcPr>
                  <w:tcW w:w="1430" w:type="dxa"/>
                  <w:tcBorders>
                    <w:tl2br w:val="nil"/>
                    <w:tr2bl w:val="nil"/>
                  </w:tcBorders>
                  <w:vAlign w:val="center"/>
                </w:tcPr>
                <w:p w14:paraId="2F603EFA">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TP（mg/L）</w:t>
                  </w:r>
                </w:p>
              </w:tc>
            </w:tr>
            <w:tr w14:paraId="578D9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restart"/>
                  <w:tcBorders>
                    <w:tl2br w:val="nil"/>
                    <w:tr2bl w:val="nil"/>
                  </w:tcBorders>
                  <w:vAlign w:val="center"/>
                </w:tcPr>
                <w:p w14:paraId="177E8ED2">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絮凝反应沉淀池</w:t>
                  </w:r>
                </w:p>
              </w:tc>
              <w:tc>
                <w:tcPr>
                  <w:tcW w:w="1080" w:type="dxa"/>
                  <w:tcBorders>
                    <w:tl2br w:val="nil"/>
                    <w:tr2bl w:val="nil"/>
                  </w:tcBorders>
                  <w:vAlign w:val="center"/>
                </w:tcPr>
                <w:p w14:paraId="4BA9B43F">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进水水质</w:t>
                  </w:r>
                </w:p>
              </w:tc>
              <w:tc>
                <w:tcPr>
                  <w:tcW w:w="1380" w:type="dxa"/>
                  <w:tcBorders>
                    <w:tl2br w:val="nil"/>
                    <w:tr2bl w:val="nil"/>
                  </w:tcBorders>
                  <w:vAlign w:val="center"/>
                </w:tcPr>
                <w:p w14:paraId="0254A45E">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9640</w:t>
                  </w:r>
                </w:p>
              </w:tc>
              <w:tc>
                <w:tcPr>
                  <w:tcW w:w="1470" w:type="dxa"/>
                  <w:tcBorders>
                    <w:tl2br w:val="nil"/>
                    <w:tr2bl w:val="nil"/>
                  </w:tcBorders>
                  <w:vAlign w:val="center"/>
                </w:tcPr>
                <w:p w14:paraId="0D58573A">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3275</w:t>
                  </w:r>
                </w:p>
              </w:tc>
              <w:tc>
                <w:tcPr>
                  <w:tcW w:w="1335" w:type="dxa"/>
                  <w:tcBorders>
                    <w:tl2br w:val="nil"/>
                    <w:tr2bl w:val="nil"/>
                  </w:tcBorders>
                  <w:vAlign w:val="center"/>
                </w:tcPr>
                <w:p w14:paraId="624C5840">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72.4</w:t>
                  </w:r>
                </w:p>
              </w:tc>
              <w:tc>
                <w:tcPr>
                  <w:tcW w:w="1430" w:type="dxa"/>
                  <w:tcBorders>
                    <w:tl2br w:val="nil"/>
                    <w:tr2bl w:val="nil"/>
                  </w:tcBorders>
                  <w:vAlign w:val="center"/>
                </w:tcPr>
                <w:p w14:paraId="0DC7FEC6">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165</w:t>
                  </w:r>
                </w:p>
              </w:tc>
            </w:tr>
            <w:tr w14:paraId="0B749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515" w:type="dxa"/>
                  <w:vMerge w:val="continue"/>
                  <w:tcBorders>
                    <w:tl2br w:val="nil"/>
                    <w:tr2bl w:val="nil"/>
                  </w:tcBorders>
                  <w:vAlign w:val="center"/>
                </w:tcPr>
                <w:p w14:paraId="63DEA759">
                  <w:pPr>
                    <w:spacing w:line="240" w:lineRule="auto"/>
                    <w:jc w:val="center"/>
                    <w:rPr>
                      <w:rFonts w:hint="default" w:ascii="Times New Roman" w:hAnsi="Times New Roman" w:eastAsia="宋体" w:cs="Times New Roman"/>
                      <w:color w:val="0000FF"/>
                      <w:sz w:val="21"/>
                      <w:szCs w:val="21"/>
                      <w:highlight w:val="none"/>
                      <w:vertAlign w:val="baseline"/>
                    </w:rPr>
                  </w:pPr>
                </w:p>
              </w:tc>
              <w:tc>
                <w:tcPr>
                  <w:tcW w:w="1080" w:type="dxa"/>
                  <w:tcBorders>
                    <w:tl2br w:val="nil"/>
                    <w:tr2bl w:val="nil"/>
                  </w:tcBorders>
                  <w:vAlign w:val="center"/>
                </w:tcPr>
                <w:p w14:paraId="63C63B01">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出水水质</w:t>
                  </w:r>
                </w:p>
              </w:tc>
              <w:tc>
                <w:tcPr>
                  <w:tcW w:w="1380" w:type="dxa"/>
                  <w:tcBorders>
                    <w:tl2br w:val="nil"/>
                    <w:tr2bl w:val="nil"/>
                  </w:tcBorders>
                  <w:vAlign w:val="center"/>
                </w:tcPr>
                <w:p w14:paraId="20664DEB">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4820</w:t>
                  </w:r>
                </w:p>
              </w:tc>
              <w:tc>
                <w:tcPr>
                  <w:tcW w:w="1470" w:type="dxa"/>
                  <w:tcBorders>
                    <w:tl2br w:val="nil"/>
                    <w:tr2bl w:val="nil"/>
                  </w:tcBorders>
                  <w:vAlign w:val="center"/>
                </w:tcPr>
                <w:p w14:paraId="0978C31D">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eastAsia="zh-CN"/>
                    </w:rPr>
                    <w:t>1</w:t>
                  </w:r>
                  <w:r>
                    <w:rPr>
                      <w:rFonts w:hint="eastAsia" w:cs="Times New Roman"/>
                      <w:color w:val="0000FF"/>
                      <w:sz w:val="21"/>
                      <w:szCs w:val="21"/>
                      <w:highlight w:val="none"/>
                      <w:vertAlign w:val="baseline"/>
                      <w:lang w:val="en-US" w:eastAsia="zh-CN"/>
                    </w:rPr>
                    <w:t>310</w:t>
                  </w:r>
                </w:p>
              </w:tc>
              <w:tc>
                <w:tcPr>
                  <w:tcW w:w="1335" w:type="dxa"/>
                  <w:tcBorders>
                    <w:tl2br w:val="nil"/>
                    <w:tr2bl w:val="nil"/>
                  </w:tcBorders>
                  <w:vAlign w:val="center"/>
                </w:tcPr>
                <w:p w14:paraId="7570C57F">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61.54</w:t>
                  </w:r>
                </w:p>
              </w:tc>
              <w:tc>
                <w:tcPr>
                  <w:tcW w:w="1430" w:type="dxa"/>
                  <w:tcBorders>
                    <w:tl2br w:val="nil"/>
                    <w:tr2bl w:val="nil"/>
                  </w:tcBorders>
                  <w:vAlign w:val="center"/>
                </w:tcPr>
                <w:p w14:paraId="4024451E">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16.5</w:t>
                  </w:r>
                </w:p>
              </w:tc>
            </w:tr>
            <w:tr w14:paraId="65F88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continue"/>
                  <w:tcBorders>
                    <w:tl2br w:val="nil"/>
                    <w:tr2bl w:val="nil"/>
                  </w:tcBorders>
                  <w:vAlign w:val="center"/>
                </w:tcPr>
                <w:p w14:paraId="1396B891">
                  <w:pPr>
                    <w:spacing w:line="240" w:lineRule="auto"/>
                    <w:jc w:val="center"/>
                    <w:rPr>
                      <w:rFonts w:hint="default" w:ascii="Times New Roman" w:hAnsi="Times New Roman" w:eastAsia="宋体" w:cs="Times New Roman"/>
                      <w:color w:val="0000FF"/>
                      <w:sz w:val="21"/>
                      <w:szCs w:val="21"/>
                      <w:highlight w:val="none"/>
                      <w:vertAlign w:val="baseline"/>
                    </w:rPr>
                  </w:pPr>
                </w:p>
              </w:tc>
              <w:tc>
                <w:tcPr>
                  <w:tcW w:w="1080" w:type="dxa"/>
                  <w:tcBorders>
                    <w:tl2br w:val="nil"/>
                    <w:tr2bl w:val="nil"/>
                  </w:tcBorders>
                  <w:vAlign w:val="center"/>
                </w:tcPr>
                <w:p w14:paraId="02670975">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去除率</w:t>
                  </w:r>
                </w:p>
              </w:tc>
              <w:tc>
                <w:tcPr>
                  <w:tcW w:w="1380" w:type="dxa"/>
                  <w:tcBorders>
                    <w:tl2br w:val="nil"/>
                    <w:tr2bl w:val="nil"/>
                  </w:tcBorders>
                  <w:vAlign w:val="center"/>
                </w:tcPr>
                <w:p w14:paraId="01D76969">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50%</w:t>
                  </w:r>
                </w:p>
              </w:tc>
              <w:tc>
                <w:tcPr>
                  <w:tcW w:w="1470" w:type="dxa"/>
                  <w:tcBorders>
                    <w:tl2br w:val="nil"/>
                    <w:tr2bl w:val="nil"/>
                  </w:tcBorders>
                  <w:vAlign w:val="center"/>
                </w:tcPr>
                <w:p w14:paraId="5BAB683B">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60%</w:t>
                  </w:r>
                </w:p>
              </w:tc>
              <w:tc>
                <w:tcPr>
                  <w:tcW w:w="1335" w:type="dxa"/>
                  <w:tcBorders>
                    <w:tl2br w:val="nil"/>
                    <w:tr2bl w:val="nil"/>
                  </w:tcBorders>
                  <w:vAlign w:val="center"/>
                </w:tcPr>
                <w:p w14:paraId="40DCCDE9">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15%</w:t>
                  </w:r>
                </w:p>
              </w:tc>
              <w:tc>
                <w:tcPr>
                  <w:tcW w:w="1430" w:type="dxa"/>
                  <w:tcBorders>
                    <w:tl2br w:val="nil"/>
                    <w:tr2bl w:val="nil"/>
                  </w:tcBorders>
                  <w:vAlign w:val="center"/>
                </w:tcPr>
                <w:p w14:paraId="53E42633">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90%</w:t>
                  </w:r>
                </w:p>
              </w:tc>
            </w:tr>
            <w:tr w14:paraId="64C303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restart"/>
                  <w:tcBorders>
                    <w:tl2br w:val="nil"/>
                    <w:tr2bl w:val="nil"/>
                  </w:tcBorders>
                  <w:vAlign w:val="center"/>
                </w:tcPr>
                <w:p w14:paraId="73A0D556">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二级膜生物反应器</w:t>
                  </w:r>
                </w:p>
              </w:tc>
              <w:tc>
                <w:tcPr>
                  <w:tcW w:w="1080" w:type="dxa"/>
                  <w:tcBorders>
                    <w:tl2br w:val="nil"/>
                    <w:tr2bl w:val="nil"/>
                  </w:tcBorders>
                  <w:shd w:val="clear" w:color="auto" w:fill="auto"/>
                  <w:vAlign w:val="center"/>
                </w:tcPr>
                <w:p w14:paraId="6E7BB9FD">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进水水质</w:t>
                  </w:r>
                </w:p>
              </w:tc>
              <w:tc>
                <w:tcPr>
                  <w:tcW w:w="1380" w:type="dxa"/>
                  <w:tcBorders>
                    <w:tl2br w:val="nil"/>
                    <w:tr2bl w:val="nil"/>
                  </w:tcBorders>
                  <w:shd w:val="clear" w:color="auto" w:fill="auto"/>
                  <w:vAlign w:val="center"/>
                </w:tcPr>
                <w:p w14:paraId="661F7772">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4820</w:t>
                  </w:r>
                </w:p>
              </w:tc>
              <w:tc>
                <w:tcPr>
                  <w:tcW w:w="1470" w:type="dxa"/>
                  <w:tcBorders>
                    <w:tl2br w:val="nil"/>
                    <w:tr2bl w:val="nil"/>
                  </w:tcBorders>
                  <w:shd w:val="clear" w:color="auto" w:fill="auto"/>
                  <w:vAlign w:val="center"/>
                </w:tcPr>
                <w:p w14:paraId="3E291EC4">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eastAsia="zh-CN"/>
                    </w:rPr>
                    <w:t>1</w:t>
                  </w:r>
                  <w:r>
                    <w:rPr>
                      <w:rFonts w:hint="eastAsia" w:cs="Times New Roman"/>
                      <w:color w:val="0000FF"/>
                      <w:sz w:val="21"/>
                      <w:szCs w:val="21"/>
                      <w:highlight w:val="none"/>
                      <w:vertAlign w:val="baseline"/>
                      <w:lang w:val="en-US" w:eastAsia="zh-CN"/>
                    </w:rPr>
                    <w:t>310</w:t>
                  </w:r>
                </w:p>
              </w:tc>
              <w:tc>
                <w:tcPr>
                  <w:tcW w:w="1335" w:type="dxa"/>
                  <w:tcBorders>
                    <w:tl2br w:val="nil"/>
                    <w:tr2bl w:val="nil"/>
                  </w:tcBorders>
                  <w:shd w:val="clear" w:color="auto" w:fill="auto"/>
                  <w:vAlign w:val="center"/>
                </w:tcPr>
                <w:p w14:paraId="711C2392">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61.54</w:t>
                  </w:r>
                </w:p>
              </w:tc>
              <w:tc>
                <w:tcPr>
                  <w:tcW w:w="1430" w:type="dxa"/>
                  <w:tcBorders>
                    <w:tl2br w:val="nil"/>
                    <w:tr2bl w:val="nil"/>
                  </w:tcBorders>
                  <w:shd w:val="clear" w:color="auto" w:fill="auto"/>
                  <w:vAlign w:val="center"/>
                </w:tcPr>
                <w:p w14:paraId="2516327B">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16.5</w:t>
                  </w:r>
                </w:p>
              </w:tc>
            </w:tr>
            <w:tr w14:paraId="330EB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1515" w:type="dxa"/>
                  <w:vMerge w:val="continue"/>
                  <w:tcBorders>
                    <w:tl2br w:val="nil"/>
                    <w:tr2bl w:val="nil"/>
                  </w:tcBorders>
                  <w:vAlign w:val="center"/>
                </w:tcPr>
                <w:p w14:paraId="36B474AD">
                  <w:pPr>
                    <w:spacing w:line="240" w:lineRule="auto"/>
                    <w:jc w:val="center"/>
                    <w:rPr>
                      <w:rFonts w:hint="default" w:ascii="Times New Roman" w:hAnsi="Times New Roman" w:eastAsia="宋体" w:cs="Times New Roman"/>
                      <w:color w:val="0000FF"/>
                      <w:sz w:val="21"/>
                      <w:szCs w:val="21"/>
                      <w:highlight w:val="none"/>
                      <w:vertAlign w:val="baseline"/>
                    </w:rPr>
                  </w:pPr>
                </w:p>
              </w:tc>
              <w:tc>
                <w:tcPr>
                  <w:tcW w:w="1080" w:type="dxa"/>
                  <w:tcBorders>
                    <w:tl2br w:val="nil"/>
                    <w:tr2bl w:val="nil"/>
                  </w:tcBorders>
                  <w:shd w:val="clear" w:color="auto" w:fill="auto"/>
                  <w:vAlign w:val="center"/>
                </w:tcPr>
                <w:p w14:paraId="3CF50742">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出水水质</w:t>
                  </w:r>
                </w:p>
              </w:tc>
              <w:tc>
                <w:tcPr>
                  <w:tcW w:w="1380" w:type="dxa"/>
                  <w:tcBorders>
                    <w:tl2br w:val="nil"/>
                    <w:tr2bl w:val="nil"/>
                  </w:tcBorders>
                  <w:vAlign w:val="center"/>
                </w:tcPr>
                <w:p w14:paraId="06368CDD">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482</w:t>
                  </w:r>
                </w:p>
              </w:tc>
              <w:tc>
                <w:tcPr>
                  <w:tcW w:w="1470" w:type="dxa"/>
                  <w:tcBorders>
                    <w:tl2br w:val="nil"/>
                    <w:tr2bl w:val="nil"/>
                  </w:tcBorders>
                  <w:vAlign w:val="center"/>
                </w:tcPr>
                <w:p w14:paraId="0125BEB4">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196.5</w:t>
                  </w:r>
                </w:p>
              </w:tc>
              <w:tc>
                <w:tcPr>
                  <w:tcW w:w="1335" w:type="dxa"/>
                  <w:tcBorders>
                    <w:tl2br w:val="nil"/>
                    <w:tr2bl w:val="nil"/>
                  </w:tcBorders>
                  <w:vAlign w:val="center"/>
                </w:tcPr>
                <w:p w14:paraId="3D814385">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30.77</w:t>
                  </w:r>
                </w:p>
              </w:tc>
              <w:tc>
                <w:tcPr>
                  <w:tcW w:w="1430" w:type="dxa"/>
                  <w:tcBorders>
                    <w:tl2br w:val="nil"/>
                    <w:tr2bl w:val="nil"/>
                  </w:tcBorders>
                  <w:vAlign w:val="center"/>
                </w:tcPr>
                <w:p w14:paraId="33ECE87B">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3.3</w:t>
                  </w:r>
                </w:p>
              </w:tc>
            </w:tr>
            <w:tr w14:paraId="1A556B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vMerge w:val="continue"/>
                  <w:tcBorders>
                    <w:tl2br w:val="nil"/>
                    <w:tr2bl w:val="nil"/>
                  </w:tcBorders>
                  <w:vAlign w:val="center"/>
                </w:tcPr>
                <w:p w14:paraId="253F8D43">
                  <w:pPr>
                    <w:spacing w:line="240" w:lineRule="auto"/>
                    <w:jc w:val="center"/>
                    <w:rPr>
                      <w:rFonts w:hint="default" w:ascii="Times New Roman" w:hAnsi="Times New Roman" w:eastAsia="宋体" w:cs="Times New Roman"/>
                      <w:color w:val="0000FF"/>
                      <w:sz w:val="21"/>
                      <w:szCs w:val="21"/>
                      <w:highlight w:val="none"/>
                      <w:vertAlign w:val="baseline"/>
                    </w:rPr>
                  </w:pPr>
                </w:p>
              </w:tc>
              <w:tc>
                <w:tcPr>
                  <w:tcW w:w="1080" w:type="dxa"/>
                  <w:tcBorders>
                    <w:tl2br w:val="nil"/>
                    <w:tr2bl w:val="nil"/>
                  </w:tcBorders>
                  <w:shd w:val="clear" w:color="auto" w:fill="auto"/>
                  <w:vAlign w:val="center"/>
                </w:tcPr>
                <w:p w14:paraId="684C27E4">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去除率</w:t>
                  </w:r>
                </w:p>
              </w:tc>
              <w:tc>
                <w:tcPr>
                  <w:tcW w:w="1380" w:type="dxa"/>
                  <w:tcBorders>
                    <w:tl2br w:val="nil"/>
                    <w:tr2bl w:val="nil"/>
                  </w:tcBorders>
                  <w:vAlign w:val="center"/>
                </w:tcPr>
                <w:p w14:paraId="27977FCF">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90%</w:t>
                  </w:r>
                </w:p>
              </w:tc>
              <w:tc>
                <w:tcPr>
                  <w:tcW w:w="1470" w:type="dxa"/>
                  <w:tcBorders>
                    <w:tl2br w:val="nil"/>
                    <w:tr2bl w:val="nil"/>
                  </w:tcBorders>
                  <w:vAlign w:val="center"/>
                </w:tcPr>
                <w:p w14:paraId="3F2B2773">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85%</w:t>
                  </w:r>
                </w:p>
              </w:tc>
              <w:tc>
                <w:tcPr>
                  <w:tcW w:w="1335" w:type="dxa"/>
                  <w:tcBorders>
                    <w:tl2br w:val="nil"/>
                    <w:tr2bl w:val="nil"/>
                  </w:tcBorders>
                  <w:vAlign w:val="center"/>
                </w:tcPr>
                <w:p w14:paraId="37F7C5D4">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50%</w:t>
                  </w:r>
                </w:p>
              </w:tc>
              <w:tc>
                <w:tcPr>
                  <w:tcW w:w="1430" w:type="dxa"/>
                  <w:tcBorders>
                    <w:tl2br w:val="nil"/>
                    <w:tr2bl w:val="nil"/>
                  </w:tcBorders>
                  <w:vAlign w:val="center"/>
                </w:tcPr>
                <w:p w14:paraId="6326F3D3">
                  <w:pPr>
                    <w:spacing w:line="240" w:lineRule="auto"/>
                    <w:jc w:val="center"/>
                    <w:rPr>
                      <w:rFonts w:hint="default" w:ascii="Times New Roman" w:hAnsi="Times New Roman" w:eastAsia="宋体" w:cs="Times New Roman"/>
                      <w:color w:val="0000FF"/>
                      <w:sz w:val="21"/>
                      <w:szCs w:val="21"/>
                      <w:highlight w:val="none"/>
                      <w:vertAlign w:val="baseline"/>
                    </w:rPr>
                  </w:pPr>
                  <w:r>
                    <w:rPr>
                      <w:rFonts w:hint="eastAsia" w:cs="Times New Roman"/>
                      <w:color w:val="0000FF"/>
                      <w:sz w:val="21"/>
                      <w:szCs w:val="21"/>
                      <w:highlight w:val="none"/>
                      <w:vertAlign w:val="baseline"/>
                      <w:lang w:val="en-US" w:eastAsia="zh-CN"/>
                    </w:rPr>
                    <w:t>80%</w:t>
                  </w:r>
                </w:p>
              </w:tc>
            </w:tr>
            <w:tr w14:paraId="6C0A93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5" w:type="dxa"/>
                  <w:tcBorders>
                    <w:tl2br w:val="nil"/>
                    <w:tr2bl w:val="nil"/>
                  </w:tcBorders>
                  <w:vAlign w:val="center"/>
                </w:tcPr>
                <w:p w14:paraId="273AC973">
                  <w:pPr>
                    <w:spacing w:line="240" w:lineRule="auto"/>
                    <w:jc w:val="center"/>
                    <w:rPr>
                      <w:rFonts w:hint="eastAsia" w:ascii="Times New Roman" w:hAnsi="Times New Roman" w:eastAsia="宋体"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w:t>
                  </w:r>
                </w:p>
              </w:tc>
              <w:tc>
                <w:tcPr>
                  <w:tcW w:w="1080" w:type="dxa"/>
                  <w:tcBorders>
                    <w:tl2br w:val="nil"/>
                    <w:tr2bl w:val="nil"/>
                  </w:tcBorders>
                  <w:shd w:val="clear" w:color="auto" w:fill="auto"/>
                  <w:vAlign w:val="center"/>
                </w:tcPr>
                <w:p w14:paraId="6639FA1C">
                  <w:pPr>
                    <w:spacing w:line="240" w:lineRule="auto"/>
                    <w:jc w:val="center"/>
                    <w:rPr>
                      <w:rFonts w:hint="default"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标准值</w:t>
                  </w:r>
                </w:p>
              </w:tc>
              <w:tc>
                <w:tcPr>
                  <w:tcW w:w="1380" w:type="dxa"/>
                  <w:tcBorders>
                    <w:tl2br w:val="nil"/>
                    <w:tr2bl w:val="nil"/>
                  </w:tcBorders>
                  <w:vAlign w:val="center"/>
                </w:tcPr>
                <w:p w14:paraId="2A7BEDCF">
                  <w:pPr>
                    <w:spacing w:line="240" w:lineRule="auto"/>
                    <w:jc w:val="center"/>
                    <w:rPr>
                      <w:rFonts w:hint="default"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500</w:t>
                  </w:r>
                </w:p>
              </w:tc>
              <w:tc>
                <w:tcPr>
                  <w:tcW w:w="1470" w:type="dxa"/>
                  <w:tcBorders>
                    <w:tl2br w:val="nil"/>
                    <w:tr2bl w:val="nil"/>
                  </w:tcBorders>
                  <w:vAlign w:val="center"/>
                </w:tcPr>
                <w:p w14:paraId="5062656A">
                  <w:pPr>
                    <w:spacing w:line="240" w:lineRule="auto"/>
                    <w:jc w:val="center"/>
                    <w:rPr>
                      <w:rFonts w:hint="default"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200</w:t>
                  </w:r>
                </w:p>
              </w:tc>
              <w:tc>
                <w:tcPr>
                  <w:tcW w:w="1335" w:type="dxa"/>
                  <w:tcBorders>
                    <w:tl2br w:val="nil"/>
                    <w:tr2bl w:val="nil"/>
                  </w:tcBorders>
                  <w:vAlign w:val="center"/>
                </w:tcPr>
                <w:p w14:paraId="503A6373">
                  <w:pPr>
                    <w:spacing w:line="240" w:lineRule="auto"/>
                    <w:jc w:val="center"/>
                    <w:rPr>
                      <w:rFonts w:hint="default"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55</w:t>
                  </w:r>
                </w:p>
              </w:tc>
              <w:tc>
                <w:tcPr>
                  <w:tcW w:w="1430" w:type="dxa"/>
                  <w:tcBorders>
                    <w:tl2br w:val="nil"/>
                    <w:tr2bl w:val="nil"/>
                  </w:tcBorders>
                  <w:vAlign w:val="center"/>
                </w:tcPr>
                <w:p w14:paraId="71346E40">
                  <w:pPr>
                    <w:spacing w:line="240" w:lineRule="auto"/>
                    <w:jc w:val="center"/>
                    <w:rPr>
                      <w:rFonts w:hint="default" w:cs="Times New Roman"/>
                      <w:color w:val="0000FF"/>
                      <w:sz w:val="21"/>
                      <w:szCs w:val="21"/>
                      <w:highlight w:val="none"/>
                      <w:vertAlign w:val="baseline"/>
                      <w:lang w:val="en-US" w:eastAsia="zh-CN"/>
                    </w:rPr>
                  </w:pPr>
                  <w:r>
                    <w:rPr>
                      <w:rFonts w:hint="eastAsia" w:cs="Times New Roman"/>
                      <w:color w:val="0000FF"/>
                      <w:sz w:val="21"/>
                      <w:szCs w:val="21"/>
                      <w:highlight w:val="none"/>
                      <w:vertAlign w:val="baseline"/>
                      <w:lang w:val="en-US" w:eastAsia="zh-CN"/>
                    </w:rPr>
                    <w:t>5.0</w:t>
                  </w:r>
                </w:p>
              </w:tc>
            </w:tr>
          </w:tbl>
          <w:p w14:paraId="68978E7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0000FF"/>
                <w:sz w:val="24"/>
                <w:szCs w:val="24"/>
                <w:highlight w:val="none"/>
              </w:rPr>
              <w:t>项目</w:t>
            </w:r>
            <w:r>
              <w:rPr>
                <w:rFonts w:hint="eastAsia" w:cs="Times New Roman"/>
                <w:color w:val="0000FF"/>
                <w:sz w:val="24"/>
                <w:szCs w:val="24"/>
                <w:highlight w:val="none"/>
                <w:lang w:val="en-US" w:eastAsia="zh-CN"/>
              </w:rPr>
              <w:t>超声波清洗</w:t>
            </w:r>
            <w:r>
              <w:rPr>
                <w:rFonts w:hint="default" w:ascii="Times New Roman" w:hAnsi="Times New Roman" w:eastAsia="宋体" w:cs="Times New Roman"/>
                <w:color w:val="0000FF"/>
                <w:sz w:val="24"/>
                <w:szCs w:val="24"/>
                <w:highlight w:val="none"/>
              </w:rPr>
              <w:t>废水经上述工艺处理后</w:t>
            </w:r>
            <w:r>
              <w:rPr>
                <w:rFonts w:hint="eastAsia" w:cs="Times New Roman"/>
                <w:color w:val="0000FF"/>
                <w:sz w:val="24"/>
                <w:szCs w:val="24"/>
                <w:highlight w:val="none"/>
                <w:lang w:val="en-US" w:eastAsia="zh-CN"/>
              </w:rPr>
              <w:t>与经隔油池+化粪池预处理后的生活污水混合</w:t>
            </w:r>
            <w:r>
              <w:rPr>
                <w:rFonts w:hint="default" w:ascii="Times New Roman" w:hAnsi="Times New Roman" w:eastAsia="宋体" w:cs="Times New Roman"/>
                <w:color w:val="0000FF"/>
                <w:sz w:val="24"/>
                <w:szCs w:val="24"/>
                <w:highlight w:val="none"/>
              </w:rPr>
              <w:t>，</w:t>
            </w:r>
            <w:r>
              <w:rPr>
                <w:rFonts w:hint="default" w:ascii="Times New Roman" w:hAnsi="Times New Roman" w:eastAsia="宋体" w:cs="Times New Roman"/>
                <w:color w:val="auto"/>
                <w:sz w:val="24"/>
                <w:szCs w:val="24"/>
                <w:highlight w:val="none"/>
              </w:rPr>
              <w:t>可保证厂区废水排放达到高安市工业园污水处理厂纳管标准及《污水综合排放标准》（GB8978-1996）三级标准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改扩建后</w:t>
            </w:r>
            <w:r>
              <w:rPr>
                <w:rFonts w:hint="default" w:ascii="Times New Roman" w:hAnsi="Times New Roman" w:eastAsia="宋体" w:cs="Times New Roman"/>
                <w:color w:val="auto"/>
                <w:sz w:val="24"/>
                <w:szCs w:val="24"/>
                <w:highlight w:val="none"/>
              </w:rPr>
              <w:t>生活污水主要是来自厂区职工宿舍区及卫生间等，污水中水质较为简单，各污染物浓度相对较低，通过相应配套</w:t>
            </w:r>
            <w:r>
              <w:rPr>
                <w:rFonts w:hint="eastAsia" w:cs="Times New Roman"/>
                <w:color w:val="auto"/>
                <w:sz w:val="24"/>
                <w:szCs w:val="24"/>
                <w:highlight w:val="none"/>
                <w:lang w:val="en-US" w:eastAsia="zh-CN"/>
              </w:rPr>
              <w:t>隔油池+</w:t>
            </w:r>
            <w:r>
              <w:rPr>
                <w:rFonts w:hint="default" w:ascii="Times New Roman" w:hAnsi="Times New Roman" w:eastAsia="宋体" w:cs="Times New Roman"/>
                <w:color w:val="auto"/>
                <w:sz w:val="24"/>
                <w:szCs w:val="24"/>
                <w:highlight w:val="none"/>
              </w:rPr>
              <w:t>化粪池进行预处理。</w:t>
            </w:r>
          </w:p>
          <w:p w14:paraId="2F17426A">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（3）依托污水处理设施的环境可行性评价</w:t>
            </w:r>
          </w:p>
          <w:p w14:paraId="2753AD1B">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高安市工业园污水处理厂位于江西省高安市城市污水处理厂规划用地范围内的南侧，其中工业园污水处理厂用地面积38.16亩。该污水处理厂地处高安市工业园区内，龙工大道西侧、锦江北岸，距离高安市中心城区距离约2.5km。主要收集接纳工业园区内的工业和生活污水，采用“水解酸化+改良氧化</w:t>
            </w:r>
            <w:r>
              <w:rPr>
                <w:rFonts w:hint="eastAsia" w:ascii="宋体" w:hAnsi="宋体" w:eastAsia="宋体" w:cs="宋体"/>
                <w:color w:val="auto"/>
                <w:sz w:val="24"/>
                <w:szCs w:val="24"/>
                <w:highlight w:val="none"/>
                <w:lang w:val="en-US" w:eastAsia="zh-CN"/>
              </w:rPr>
              <w:t>沟”</w:t>
            </w:r>
            <w:r>
              <w:rPr>
                <w:rFonts w:hint="default" w:ascii="Times New Roman" w:hAnsi="Times New Roman" w:eastAsia="宋体" w:cs="Times New Roman"/>
                <w:color w:val="auto"/>
                <w:sz w:val="24"/>
                <w:szCs w:val="24"/>
                <w:highlight w:val="none"/>
                <w:lang w:val="en-US" w:eastAsia="zh-CN"/>
              </w:rPr>
              <w:t>主体工艺，出水达到《城镇污水处理厂污染物排放标准》（GB18918-2002）一级A标准后排放至锦江。</w:t>
            </w:r>
          </w:p>
          <w:p w14:paraId="5DF67FB3">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该污水处理厂</w:t>
            </w:r>
            <w:r>
              <w:rPr>
                <w:rFonts w:hint="eastAsia" w:cs="Times New Roman"/>
                <w:color w:val="auto"/>
                <w:sz w:val="24"/>
                <w:szCs w:val="24"/>
                <w:highlight w:val="none"/>
                <w:lang w:val="en-US" w:eastAsia="zh-CN"/>
              </w:rPr>
              <w:t>现状废水处理量为1</w:t>
            </w:r>
            <w:r>
              <w:rPr>
                <w:rFonts w:hint="default" w:ascii="Times New Roman" w:hAnsi="Times New Roman" w:eastAsia="宋体" w:cs="Times New Roman"/>
                <w:color w:val="auto"/>
                <w:sz w:val="24"/>
                <w:szCs w:val="24"/>
                <w:highlight w:val="none"/>
                <w:lang w:val="en-US" w:eastAsia="zh-CN"/>
              </w:rPr>
              <w:t>万m³/d，于2017年8月开始通水试运行，</w:t>
            </w:r>
            <w:r>
              <w:rPr>
                <w:rFonts w:hint="eastAsia" w:cs="Times New Roman"/>
                <w:color w:val="auto"/>
                <w:sz w:val="24"/>
                <w:szCs w:val="24"/>
                <w:highlight w:val="none"/>
                <w:lang w:val="en-US" w:eastAsia="zh-CN"/>
              </w:rPr>
              <w:t>处理余量约2500</w:t>
            </w:r>
            <w:r>
              <w:rPr>
                <w:rFonts w:hint="default" w:ascii="Times New Roman" w:hAnsi="Times New Roman" w:eastAsia="宋体" w:cs="Times New Roman"/>
                <w:color w:val="auto"/>
                <w:sz w:val="24"/>
                <w:szCs w:val="24"/>
                <w:highlight w:val="none"/>
                <w:lang w:val="en-US" w:eastAsia="zh-CN"/>
              </w:rPr>
              <w:t>m³/d</w:t>
            </w:r>
            <w:r>
              <w:rPr>
                <w:rFonts w:hint="eastAsia" w:cs="Times New Roman"/>
                <w:color w:val="auto"/>
                <w:sz w:val="24"/>
                <w:szCs w:val="24"/>
                <w:highlight w:val="none"/>
                <w:lang w:val="en-US" w:eastAsia="zh-CN"/>
              </w:rPr>
              <w:t>。改扩建</w:t>
            </w:r>
            <w:r>
              <w:rPr>
                <w:rFonts w:hint="default" w:ascii="Times New Roman" w:hAnsi="Times New Roman" w:eastAsia="宋体" w:cs="Times New Roman"/>
                <w:color w:val="auto"/>
                <w:sz w:val="24"/>
                <w:szCs w:val="24"/>
                <w:highlight w:val="none"/>
              </w:rPr>
              <w:t>项目废水通过管网排入高安市工业园污水处理厂的排放量为</w:t>
            </w:r>
            <w:r>
              <w:rPr>
                <w:rFonts w:hint="eastAsia" w:cs="Times New Roman"/>
                <w:color w:val="auto"/>
                <w:sz w:val="24"/>
                <w:szCs w:val="24"/>
                <w:highlight w:val="none"/>
                <w:lang w:val="en-US" w:eastAsia="zh-CN"/>
              </w:rPr>
              <w:t>13.94</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rPr>
              <w:t>³/d，仅占污水处理厂处理</w:t>
            </w:r>
            <w:r>
              <w:rPr>
                <w:rFonts w:hint="eastAsia" w:cs="Times New Roman"/>
                <w:color w:val="auto"/>
                <w:sz w:val="24"/>
                <w:szCs w:val="24"/>
                <w:highlight w:val="none"/>
                <w:lang w:val="en-US" w:eastAsia="zh-CN"/>
              </w:rPr>
              <w:t>余</w:t>
            </w:r>
            <w:r>
              <w:rPr>
                <w:rFonts w:hint="default" w:ascii="Times New Roman" w:hAnsi="Times New Roman" w:eastAsia="宋体" w:cs="Times New Roman"/>
                <w:color w:val="auto"/>
                <w:sz w:val="24"/>
                <w:szCs w:val="24"/>
                <w:highlight w:val="none"/>
              </w:rPr>
              <w:t>量的</w:t>
            </w:r>
            <w:r>
              <w:rPr>
                <w:rFonts w:hint="eastAsia" w:cs="Times New Roman"/>
                <w:color w:val="auto"/>
                <w:sz w:val="24"/>
                <w:szCs w:val="24"/>
                <w:highlight w:val="none"/>
                <w:lang w:val="en-US" w:eastAsia="zh-CN"/>
              </w:rPr>
              <w:t>0.558</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，因此高安市工业园污水处理厂完全可接纳本项目食堂废水。</w:t>
            </w:r>
          </w:p>
          <w:p w14:paraId="272C7673">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eastAsia="zh-CN"/>
              </w:rPr>
              <w:t>项目</w:t>
            </w:r>
            <w:r>
              <w:rPr>
                <w:rFonts w:hint="eastAsia" w:cs="Times New Roman"/>
                <w:color w:val="auto"/>
                <w:sz w:val="24"/>
                <w:szCs w:val="24"/>
                <w:highlight w:val="none"/>
                <w:lang w:val="en-US" w:eastAsia="zh-CN"/>
              </w:rPr>
              <w:t>生活污水</w:t>
            </w:r>
            <w:r>
              <w:rPr>
                <w:rFonts w:hint="default" w:ascii="Times New Roman" w:hAnsi="Times New Roman" w:eastAsia="宋体" w:cs="Times New Roman"/>
                <w:color w:val="auto"/>
                <w:sz w:val="24"/>
                <w:szCs w:val="24"/>
                <w:highlight w:val="none"/>
                <w:lang w:eastAsia="zh-CN"/>
              </w:rPr>
              <w:t>经</w:t>
            </w:r>
            <w:r>
              <w:rPr>
                <w:rFonts w:hint="eastAsia" w:cs="Times New Roman"/>
                <w:color w:val="auto"/>
                <w:sz w:val="24"/>
                <w:szCs w:val="24"/>
                <w:highlight w:val="none"/>
                <w:lang w:val="en-US" w:eastAsia="zh-CN"/>
              </w:rPr>
              <w:t>隔油池+化粪池预处理</w:t>
            </w:r>
            <w:r>
              <w:rPr>
                <w:rFonts w:hint="default" w:ascii="Times New Roman" w:hAnsi="Times New Roman" w:eastAsia="宋体" w:cs="Times New Roman"/>
                <w:color w:val="auto"/>
                <w:sz w:val="24"/>
                <w:szCs w:val="24"/>
                <w:highlight w:val="none"/>
              </w:rPr>
              <w:t>后和</w:t>
            </w:r>
            <w:r>
              <w:rPr>
                <w:rFonts w:hint="default" w:ascii="Times New Roman" w:hAnsi="Times New Roman" w:eastAsia="宋体" w:cs="Times New Roman"/>
                <w:b w:val="0"/>
                <w:bCs/>
                <w:color w:val="auto"/>
                <w:kern w:val="2"/>
                <w:sz w:val="24"/>
                <w:szCs w:val="24"/>
                <w:lang w:val="en-US" w:eastAsia="zh-CN" w:bidi="ar-SA"/>
              </w:rPr>
              <w:t>项目生产废</w:t>
            </w:r>
            <w:r>
              <w:rPr>
                <w:rFonts w:hint="eastAsia" w:cs="Times New Roman"/>
                <w:b w:val="0"/>
                <w:bCs/>
                <w:color w:val="auto"/>
                <w:kern w:val="2"/>
                <w:sz w:val="24"/>
                <w:szCs w:val="24"/>
                <w:lang w:val="en-US" w:eastAsia="zh-CN" w:bidi="ar-SA"/>
              </w:rPr>
              <w:t>水经一体化污水处理设施处理后汇合，</w:t>
            </w:r>
            <w:r>
              <w:rPr>
                <w:rFonts w:hint="default" w:ascii="Times New Roman" w:hAnsi="Times New Roman" w:eastAsia="宋体" w:cs="Times New Roman"/>
                <w:color w:val="auto"/>
                <w:sz w:val="24"/>
                <w:szCs w:val="24"/>
                <w:highlight w:val="none"/>
              </w:rPr>
              <w:t>排入高安市工业园污水处理厂处理理是可行的。</w:t>
            </w:r>
          </w:p>
          <w:p w14:paraId="597DB6B3">
            <w:pPr>
              <w:numPr>
                <w:ilvl w:val="0"/>
                <w:numId w:val="9"/>
              </w:num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监测计划</w:t>
            </w:r>
          </w:p>
          <w:p w14:paraId="529E6916">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本改</w:t>
            </w:r>
            <w:r>
              <w:rPr>
                <w:rFonts w:hint="eastAsia" w:cs="Times New Roman"/>
                <w:color w:val="auto"/>
                <w:sz w:val="24"/>
                <w:szCs w:val="24"/>
                <w:highlight w:val="none"/>
                <w:lang w:val="en-US" w:eastAsia="zh-CN"/>
              </w:rPr>
              <w:t>扩建</w:t>
            </w:r>
            <w:r>
              <w:rPr>
                <w:rFonts w:hint="eastAsia" w:ascii="Times New Roman" w:hAnsi="Times New Roman" w:cs="Times New Roman"/>
                <w:color w:val="auto"/>
                <w:sz w:val="24"/>
                <w:szCs w:val="24"/>
                <w:highlight w:val="none"/>
                <w:lang w:val="en-US" w:eastAsia="zh-CN"/>
              </w:rPr>
              <w:t>项目不新增废水排放口，</w:t>
            </w:r>
            <w:r>
              <w:rPr>
                <w:rFonts w:hint="eastAsia" w:cs="Times New Roman"/>
                <w:color w:val="auto"/>
                <w:sz w:val="24"/>
                <w:szCs w:val="24"/>
                <w:highlight w:val="none"/>
                <w:lang w:val="en-US" w:eastAsia="zh-CN"/>
              </w:rPr>
              <w:t>生活污</w:t>
            </w:r>
            <w:r>
              <w:rPr>
                <w:rFonts w:hint="eastAsia" w:cs="Times New Roman"/>
                <w:color w:val="auto"/>
                <w:sz w:val="24"/>
                <w:szCs w:val="24"/>
                <w:highlight w:val="none"/>
                <w:lang w:eastAsia="zh-CN"/>
              </w:rPr>
              <w:t>水</w:t>
            </w:r>
            <w:r>
              <w:rPr>
                <w:rFonts w:hint="default" w:ascii="Times New Roman" w:hAnsi="Times New Roman" w:eastAsia="宋体" w:cs="Times New Roman"/>
                <w:color w:val="auto"/>
                <w:sz w:val="24"/>
                <w:szCs w:val="24"/>
                <w:highlight w:val="none"/>
              </w:rPr>
              <w:t>和</w:t>
            </w:r>
            <w:r>
              <w:rPr>
                <w:rFonts w:hint="default" w:ascii="Times New Roman" w:hAnsi="Times New Roman" w:eastAsia="宋体" w:cs="Times New Roman"/>
                <w:b w:val="0"/>
                <w:bCs/>
                <w:color w:val="auto"/>
                <w:kern w:val="2"/>
                <w:sz w:val="24"/>
                <w:szCs w:val="24"/>
                <w:lang w:val="en-US" w:eastAsia="zh-CN" w:bidi="ar-SA"/>
              </w:rPr>
              <w:t>生产废水</w:t>
            </w:r>
            <w:r>
              <w:rPr>
                <w:rFonts w:hint="eastAsia" w:ascii="Times New Roman" w:hAnsi="Times New Roman" w:eastAsia="宋体" w:cs="Times New Roman"/>
                <w:b w:val="0"/>
                <w:bCs/>
                <w:color w:val="auto"/>
                <w:kern w:val="2"/>
                <w:sz w:val="24"/>
                <w:szCs w:val="24"/>
                <w:lang w:val="en-US" w:eastAsia="zh-CN" w:bidi="ar-SA"/>
              </w:rPr>
              <w:t>依托现有废水总排口</w:t>
            </w:r>
            <w:r>
              <w:rPr>
                <w:rFonts w:hint="default" w:ascii="Times New Roman" w:hAnsi="Times New Roman" w:eastAsia="宋体" w:cs="Times New Roman"/>
                <w:color w:val="auto"/>
                <w:sz w:val="24"/>
                <w:szCs w:val="24"/>
                <w:highlight w:val="none"/>
              </w:rPr>
              <w:t>排入高安市工业园污水处理厂处理</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废水监测计划</w:t>
            </w:r>
            <w:r>
              <w:rPr>
                <w:rFonts w:hint="eastAsia" w:cs="Times New Roman"/>
                <w:color w:val="auto"/>
                <w:sz w:val="24"/>
                <w:szCs w:val="24"/>
                <w:highlight w:val="none"/>
                <w:lang w:val="en-US" w:eastAsia="zh-CN"/>
              </w:rPr>
              <w:t>见表4-15</w:t>
            </w:r>
            <w:r>
              <w:rPr>
                <w:rFonts w:hint="default" w:ascii="Times New Roman" w:hAnsi="Times New Roman" w:eastAsia="宋体" w:cs="Times New Roman"/>
                <w:color w:val="auto"/>
                <w:sz w:val="24"/>
                <w:szCs w:val="24"/>
                <w:highlight w:val="none"/>
                <w:lang w:eastAsia="zh-CN"/>
              </w:rPr>
              <w:t>。</w:t>
            </w:r>
          </w:p>
          <w:p w14:paraId="71F05972">
            <w:pPr>
              <w:pStyle w:val="10"/>
              <w:keepNext w:val="0"/>
              <w:keepLines w:val="0"/>
              <w:pageBreakBefore w:val="0"/>
              <w:widowControl w:val="0"/>
              <w:kinsoku/>
              <w:wordWrap/>
              <w:overflowPunct/>
              <w:topLinePunct w:val="0"/>
              <w:autoSpaceDE/>
              <w:autoSpaceDN/>
              <w:bidi w:val="0"/>
              <w:adjustRightInd/>
              <w:snapToGrid/>
              <w:spacing w:before="0" w:beforeLines="0" w:after="0"/>
              <w:jc w:val="center"/>
              <w:textAlignment w:val="auto"/>
              <w:rPr>
                <w:rFonts w:hint="default" w:ascii="Times New Roman" w:hAnsi="Times New Roman" w:eastAsia="宋体" w:cs="Times New Roman"/>
                <w:b/>
                <w:color w:val="auto"/>
                <w:sz w:val="21"/>
                <w:szCs w:val="21"/>
                <w:highlight w:val="none"/>
                <w:lang w:val="en-US" w:eastAsia="zh-CN"/>
              </w:rPr>
            </w:pPr>
          </w:p>
          <w:p w14:paraId="7806FF22">
            <w:pPr>
              <w:pStyle w:val="10"/>
              <w:keepNext w:val="0"/>
              <w:keepLines w:val="0"/>
              <w:pageBreakBefore w:val="0"/>
              <w:widowControl w:val="0"/>
              <w:kinsoku/>
              <w:wordWrap/>
              <w:overflowPunct/>
              <w:topLinePunct w:val="0"/>
              <w:autoSpaceDE/>
              <w:autoSpaceDN/>
              <w:bidi w:val="0"/>
              <w:adjustRightInd/>
              <w:snapToGrid/>
              <w:spacing w:before="0" w:beforeLines="0" w:after="0"/>
              <w:jc w:val="center"/>
              <w:textAlignment w:val="auto"/>
              <w:rPr>
                <w:rFonts w:hint="default" w:ascii="Times New Roman" w:hAnsi="Times New Roman" w:eastAsia="宋体" w:cs="Times New Roman"/>
                <w:b/>
                <w:color w:val="0000FF"/>
                <w:sz w:val="21"/>
                <w:szCs w:val="21"/>
                <w:highlight w:val="none"/>
                <w:lang w:val="en-US" w:eastAsia="zh-CN"/>
              </w:rPr>
            </w:pPr>
            <w:r>
              <w:rPr>
                <w:rFonts w:hint="default" w:ascii="Times New Roman" w:hAnsi="Times New Roman" w:eastAsia="宋体" w:cs="Times New Roman"/>
                <w:b/>
                <w:color w:val="0000FF"/>
                <w:sz w:val="21"/>
                <w:szCs w:val="21"/>
                <w:highlight w:val="none"/>
                <w:lang w:val="en-US" w:eastAsia="zh-CN"/>
              </w:rPr>
              <w:t>表4-</w:t>
            </w:r>
            <w:r>
              <w:rPr>
                <w:rFonts w:hint="eastAsia" w:ascii="Times New Roman" w:hAnsi="Times New Roman" w:eastAsia="宋体" w:cs="Times New Roman"/>
                <w:b/>
                <w:color w:val="0000FF"/>
                <w:sz w:val="21"/>
                <w:szCs w:val="21"/>
                <w:highlight w:val="none"/>
                <w:lang w:val="en-US" w:eastAsia="zh-CN"/>
              </w:rPr>
              <w:t>15</w:t>
            </w:r>
            <w:r>
              <w:rPr>
                <w:rFonts w:hint="default" w:ascii="Times New Roman" w:hAnsi="Times New Roman" w:eastAsia="宋体" w:cs="Times New Roman"/>
                <w:b/>
                <w:color w:val="0000FF"/>
                <w:sz w:val="21"/>
                <w:szCs w:val="21"/>
                <w:highlight w:val="none"/>
                <w:lang w:val="en-US" w:eastAsia="zh-CN"/>
              </w:rPr>
              <w:t xml:space="preserve"> </w:t>
            </w:r>
            <w:r>
              <w:rPr>
                <w:rFonts w:hint="eastAsia" w:ascii="Times New Roman" w:hAnsi="Times New Roman" w:eastAsia="宋体" w:cs="Times New Roman"/>
                <w:b/>
                <w:color w:val="0000FF"/>
                <w:sz w:val="21"/>
                <w:szCs w:val="21"/>
                <w:highlight w:val="none"/>
                <w:lang w:val="en-US" w:eastAsia="zh-CN"/>
              </w:rPr>
              <w:t xml:space="preserve"> </w:t>
            </w:r>
            <w:r>
              <w:rPr>
                <w:rFonts w:hint="default" w:ascii="Times New Roman" w:hAnsi="Times New Roman" w:eastAsia="宋体" w:cs="Times New Roman"/>
                <w:b/>
                <w:color w:val="0000FF"/>
                <w:sz w:val="21"/>
                <w:szCs w:val="21"/>
                <w:highlight w:val="none"/>
                <w:lang w:val="en-US" w:eastAsia="zh-CN"/>
              </w:rPr>
              <w:t xml:space="preserve"> 废水污染物监测计划表</w:t>
            </w:r>
          </w:p>
          <w:tbl>
            <w:tblPr>
              <w:tblStyle w:val="33"/>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2790"/>
              <w:gridCol w:w="3882"/>
              <w:gridCol w:w="1396"/>
            </w:tblGrid>
            <w:tr w14:paraId="6F8081D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tblHeader/>
                <w:jc w:val="center"/>
              </w:trPr>
              <w:tc>
                <w:tcPr>
                  <w:tcW w:w="1729" w:type="pct"/>
                  <w:tcBorders>
                    <w:tl2br w:val="nil"/>
                    <w:tr2bl w:val="nil"/>
                  </w:tcBorders>
                  <w:noWrap w:val="0"/>
                  <w:vAlign w:val="center"/>
                </w:tcPr>
                <w:p w14:paraId="1A048954">
                  <w:pPr>
                    <w:pStyle w:val="126"/>
                    <w:rPr>
                      <w:rFonts w:hint="default" w:ascii="Times New Roman" w:hAnsi="Times New Roman" w:cs="Times New Roman"/>
                      <w:b/>
                      <w:bCs/>
                      <w:color w:val="0000FF"/>
                      <w:highlight w:val="none"/>
                      <w:lang w:val="en-US" w:eastAsia="zh-CN"/>
                    </w:rPr>
                  </w:pPr>
                  <w:r>
                    <w:rPr>
                      <w:rFonts w:hint="default" w:ascii="Times New Roman" w:hAnsi="Times New Roman" w:cs="Times New Roman"/>
                      <w:b/>
                      <w:bCs/>
                      <w:color w:val="0000FF"/>
                      <w:highlight w:val="none"/>
                      <w:lang w:val="en-US" w:eastAsia="zh-CN"/>
                    </w:rPr>
                    <w:t>监测点位</w:t>
                  </w:r>
                </w:p>
              </w:tc>
              <w:tc>
                <w:tcPr>
                  <w:tcW w:w="2406" w:type="pct"/>
                  <w:tcBorders>
                    <w:tl2br w:val="nil"/>
                    <w:tr2bl w:val="nil"/>
                  </w:tcBorders>
                  <w:noWrap w:val="0"/>
                  <w:vAlign w:val="center"/>
                </w:tcPr>
                <w:p w14:paraId="46C1713E">
                  <w:pPr>
                    <w:pStyle w:val="126"/>
                    <w:rPr>
                      <w:rFonts w:hint="default" w:ascii="Times New Roman" w:hAnsi="Times New Roman" w:cs="Times New Roman"/>
                      <w:b/>
                      <w:bCs/>
                      <w:color w:val="0000FF"/>
                      <w:highlight w:val="none"/>
                      <w:lang w:val="en-US" w:eastAsia="zh-CN"/>
                    </w:rPr>
                  </w:pPr>
                  <w:r>
                    <w:rPr>
                      <w:rFonts w:hint="default" w:ascii="Times New Roman" w:hAnsi="Times New Roman" w:cs="Times New Roman"/>
                      <w:b/>
                      <w:bCs/>
                      <w:color w:val="0000FF"/>
                      <w:highlight w:val="none"/>
                      <w:lang w:val="en-US" w:eastAsia="zh-CN"/>
                    </w:rPr>
                    <w:t>监测指标</w:t>
                  </w:r>
                </w:p>
              </w:tc>
              <w:tc>
                <w:tcPr>
                  <w:tcW w:w="865" w:type="pct"/>
                  <w:tcBorders>
                    <w:tl2br w:val="nil"/>
                    <w:tr2bl w:val="nil"/>
                  </w:tcBorders>
                  <w:noWrap w:val="0"/>
                  <w:vAlign w:val="center"/>
                </w:tcPr>
                <w:p w14:paraId="2FB42DFB">
                  <w:pPr>
                    <w:pStyle w:val="126"/>
                    <w:rPr>
                      <w:rFonts w:hint="default" w:ascii="Times New Roman" w:hAnsi="Times New Roman" w:cs="Times New Roman"/>
                      <w:b/>
                      <w:bCs/>
                      <w:color w:val="0000FF"/>
                      <w:highlight w:val="none"/>
                      <w:lang w:val="en-US" w:eastAsia="zh-CN"/>
                    </w:rPr>
                  </w:pPr>
                  <w:r>
                    <w:rPr>
                      <w:rFonts w:hint="default" w:ascii="Times New Roman" w:hAnsi="Times New Roman" w:cs="Times New Roman"/>
                      <w:b/>
                      <w:bCs/>
                      <w:color w:val="0000FF"/>
                      <w:highlight w:val="none"/>
                      <w:lang w:val="en-US" w:eastAsia="zh-CN"/>
                    </w:rPr>
                    <w:t>监测频次</w:t>
                  </w:r>
                </w:p>
              </w:tc>
            </w:tr>
            <w:tr w14:paraId="503638A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8" w:hRule="atLeast"/>
                <w:jc w:val="center"/>
              </w:trPr>
              <w:tc>
                <w:tcPr>
                  <w:tcW w:w="1729" w:type="pct"/>
                  <w:tcBorders>
                    <w:tl2br w:val="nil"/>
                    <w:tr2bl w:val="nil"/>
                  </w:tcBorders>
                  <w:noWrap w:val="0"/>
                  <w:vAlign w:val="center"/>
                </w:tcPr>
                <w:p w14:paraId="72F9903C">
                  <w:pPr>
                    <w:pStyle w:val="126"/>
                    <w:rPr>
                      <w:rFonts w:hint="default" w:ascii="Times New Roman" w:hAnsi="Times New Roman" w:cs="Times New Roman"/>
                      <w:color w:val="0000FF"/>
                      <w:highlight w:val="none"/>
                      <w:lang w:val="en-US" w:eastAsia="zh-CN"/>
                    </w:rPr>
                  </w:pPr>
                  <w:r>
                    <w:rPr>
                      <w:rFonts w:hint="eastAsia" w:ascii="Times New Roman" w:hAnsi="Times New Roman" w:cs="Times New Roman"/>
                      <w:color w:val="0000FF"/>
                      <w:highlight w:val="none"/>
                      <w:lang w:val="en-US" w:eastAsia="zh-CN"/>
                    </w:rPr>
                    <w:t>废水</w:t>
                  </w:r>
                  <w:r>
                    <w:rPr>
                      <w:rFonts w:hint="default" w:ascii="Times New Roman" w:hAnsi="Times New Roman" w:cs="Times New Roman"/>
                      <w:color w:val="0000FF"/>
                      <w:highlight w:val="none"/>
                      <w:lang w:val="en-US" w:eastAsia="zh-CN"/>
                    </w:rPr>
                    <w:t>总排放口（DW001）</w:t>
                  </w:r>
                </w:p>
              </w:tc>
              <w:tc>
                <w:tcPr>
                  <w:tcW w:w="2406" w:type="pct"/>
                  <w:tcBorders>
                    <w:tl2br w:val="nil"/>
                    <w:tr2bl w:val="nil"/>
                  </w:tcBorders>
                  <w:noWrap w:val="0"/>
                  <w:vAlign w:val="center"/>
                </w:tcPr>
                <w:p w14:paraId="1CB95362">
                  <w:pPr>
                    <w:pStyle w:val="126"/>
                    <w:jc w:val="left"/>
                    <w:rPr>
                      <w:rFonts w:hint="default" w:ascii="Times New Roman" w:hAnsi="Times New Roman" w:cs="Times New Roman"/>
                      <w:color w:val="0000FF"/>
                      <w:highlight w:val="none"/>
                      <w:lang w:val="en-US" w:eastAsia="zh-CN"/>
                    </w:rPr>
                  </w:pPr>
                  <w:r>
                    <w:rPr>
                      <w:rFonts w:hint="default" w:ascii="Times New Roman" w:hAnsi="Times New Roman" w:cs="Times New Roman"/>
                      <w:color w:val="0000FF"/>
                      <w:highlight w:val="none"/>
                      <w:lang w:val="en-US" w:eastAsia="zh-CN"/>
                    </w:rPr>
                    <w:t>pH、COD</w:t>
                  </w:r>
                  <w:r>
                    <w:rPr>
                      <w:rFonts w:hint="default" w:ascii="Times New Roman" w:hAnsi="Times New Roman" w:cs="Times New Roman"/>
                      <w:color w:val="0000FF"/>
                      <w:highlight w:val="none"/>
                      <w:vertAlign w:val="subscript"/>
                      <w:lang w:val="en-US" w:eastAsia="zh-CN"/>
                    </w:rPr>
                    <w:t>Cr</w:t>
                  </w:r>
                  <w:r>
                    <w:rPr>
                      <w:rFonts w:hint="default" w:ascii="Times New Roman" w:hAnsi="Times New Roman" w:cs="Times New Roman"/>
                      <w:color w:val="0000FF"/>
                      <w:highlight w:val="none"/>
                      <w:lang w:val="en-US" w:eastAsia="zh-CN"/>
                    </w:rPr>
                    <w:t>、BOD</w:t>
                  </w:r>
                  <w:r>
                    <w:rPr>
                      <w:rFonts w:hint="default" w:ascii="Times New Roman" w:hAnsi="Times New Roman" w:cs="Times New Roman"/>
                      <w:color w:val="0000FF"/>
                      <w:highlight w:val="none"/>
                      <w:vertAlign w:val="subscript"/>
                      <w:lang w:val="en-US" w:eastAsia="zh-CN"/>
                    </w:rPr>
                    <w:t>5</w:t>
                  </w:r>
                  <w:r>
                    <w:rPr>
                      <w:rFonts w:hint="default" w:ascii="Times New Roman" w:hAnsi="Times New Roman" w:cs="Times New Roman"/>
                      <w:color w:val="0000FF"/>
                      <w:highlight w:val="none"/>
                      <w:lang w:val="en-US" w:eastAsia="zh-CN"/>
                    </w:rPr>
                    <w:t>、NH</w:t>
                  </w:r>
                  <w:r>
                    <w:rPr>
                      <w:rFonts w:hint="default" w:ascii="Times New Roman" w:hAnsi="Times New Roman" w:cs="Times New Roman"/>
                      <w:color w:val="0000FF"/>
                      <w:highlight w:val="none"/>
                      <w:vertAlign w:val="subscript"/>
                      <w:lang w:val="en-US" w:eastAsia="zh-CN"/>
                    </w:rPr>
                    <w:t>3</w:t>
                  </w:r>
                  <w:r>
                    <w:rPr>
                      <w:rFonts w:hint="default" w:ascii="Times New Roman" w:hAnsi="Times New Roman" w:cs="Times New Roman"/>
                      <w:color w:val="0000FF"/>
                      <w:highlight w:val="none"/>
                      <w:lang w:val="en-US" w:eastAsia="zh-CN"/>
                    </w:rPr>
                    <w:t>-N、SS、总磷</w:t>
                  </w:r>
                  <w:r>
                    <w:rPr>
                      <w:rFonts w:hint="eastAsia" w:ascii="Times New Roman" w:hAnsi="Times New Roman" w:cs="Times New Roman"/>
                      <w:color w:val="0000FF"/>
                      <w:highlight w:val="none"/>
                      <w:lang w:val="en-US" w:eastAsia="zh-CN"/>
                    </w:rPr>
                    <w:t>、总氮、石油类、动植物油</w:t>
                  </w:r>
                </w:p>
              </w:tc>
              <w:tc>
                <w:tcPr>
                  <w:tcW w:w="865" w:type="pct"/>
                  <w:tcBorders>
                    <w:tl2br w:val="nil"/>
                    <w:tr2bl w:val="nil"/>
                  </w:tcBorders>
                  <w:noWrap w:val="0"/>
                  <w:vAlign w:val="center"/>
                </w:tcPr>
                <w:p w14:paraId="21B9DA08">
                  <w:pPr>
                    <w:pStyle w:val="126"/>
                    <w:rPr>
                      <w:rFonts w:hint="default" w:ascii="Times New Roman" w:hAnsi="Times New Roman" w:cs="Times New Roman"/>
                      <w:color w:val="0000FF"/>
                      <w:highlight w:val="none"/>
                      <w:lang w:val="en-US" w:eastAsia="zh-CN"/>
                    </w:rPr>
                  </w:pPr>
                  <w:r>
                    <w:rPr>
                      <w:rFonts w:hint="default" w:ascii="Times New Roman" w:hAnsi="Times New Roman" w:cs="Times New Roman"/>
                      <w:color w:val="0000FF"/>
                      <w:highlight w:val="none"/>
                      <w:lang w:val="en-US" w:eastAsia="zh-CN"/>
                    </w:rPr>
                    <w:t>1次/年</w:t>
                  </w:r>
                </w:p>
              </w:tc>
            </w:tr>
          </w:tbl>
          <w:p w14:paraId="08690CD5">
            <w:pPr>
              <w:rPr>
                <w:rFonts w:hint="default"/>
                <w:color w:val="auto"/>
                <w:lang w:eastAsia="zh-CN"/>
              </w:rPr>
            </w:pPr>
          </w:p>
          <w:p w14:paraId="7DA7F83D">
            <w:pPr>
              <w:pageBreakBefore w:val="0"/>
              <w:kinsoku/>
              <w:wordWrap/>
              <w:overflowPunct/>
              <w:topLinePunct w:val="0"/>
              <w:bidi w:val="0"/>
              <w:spacing w:line="360" w:lineRule="auto"/>
              <w:ind w:left="0" w:leftChars="0" w:right="0" w:rightChars="0"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三、声环境影响分析</w:t>
            </w:r>
          </w:p>
          <w:p w14:paraId="2238D5DD">
            <w:pPr>
              <w:adjustRightInd w:val="0"/>
              <w:snapToGrid w:val="0"/>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1、噪声源强分析</w:t>
            </w:r>
          </w:p>
          <w:p w14:paraId="783CA520">
            <w:pPr>
              <w:pageBreakBefore w:val="0"/>
              <w:widowControl w:val="0"/>
              <w:kinsoku/>
              <w:wordWrap/>
              <w:overflowPunct/>
              <w:topLinePunct w:val="0"/>
              <w:autoSpaceDE/>
              <w:autoSpaceDN/>
              <w:bidi w:val="0"/>
              <w:spacing w:line="360" w:lineRule="auto"/>
              <w:ind w:firstLine="480" w:firstLineChars="200"/>
              <w:jc w:val="left"/>
              <w:rPr>
                <w:rFonts w:hint="default" w:ascii="Times New Roman" w:hAnsi="Times New Roman" w:eastAsia="宋体" w:cs="Times New Roman"/>
                <w:color w:val="auto"/>
                <w:sz w:val="24"/>
                <w:szCs w:val="32"/>
                <w:highlight w:val="none"/>
                <w:lang w:eastAsia="zh-CN"/>
              </w:rPr>
            </w:pPr>
            <w:r>
              <w:rPr>
                <w:rFonts w:hint="default" w:ascii="Times New Roman" w:hAnsi="Times New Roman" w:eastAsia="宋体" w:cs="Times New Roman"/>
                <w:color w:val="auto"/>
                <w:sz w:val="24"/>
                <w:szCs w:val="32"/>
                <w:highlight w:val="none"/>
                <w:lang w:eastAsia="zh-CN"/>
              </w:rPr>
              <w:t>本项目噪声主要来自</w:t>
            </w:r>
            <w:r>
              <w:rPr>
                <w:rFonts w:hint="eastAsia" w:cs="Times New Roman"/>
                <w:b w:val="0"/>
                <w:bCs w:val="0"/>
                <w:color w:val="auto"/>
                <w:sz w:val="24"/>
                <w:highlight w:val="none"/>
                <w:lang w:val="en-US" w:eastAsia="zh-CN"/>
              </w:rPr>
              <w:t>CNC自动车、空压机、超声波、平磨机、线切割机、铣床、插齿机、磨床、拉床、火花机、倒角机、抛丸机</w:t>
            </w:r>
            <w:r>
              <w:rPr>
                <w:rFonts w:hint="default" w:ascii="Times New Roman" w:hAnsi="Times New Roman" w:eastAsia="宋体" w:cs="Times New Roman"/>
                <w:color w:val="auto"/>
                <w:sz w:val="24"/>
                <w:szCs w:val="32"/>
                <w:highlight w:val="none"/>
                <w:lang w:val="en-US" w:eastAsia="zh-CN"/>
              </w:rPr>
              <w:t xml:space="preserve">，其声级值为 60～90dB（A），噪声源强具体见下表。                                                                                                                                                                                                                                                                                                                                                                                                                                                                                                                                                                                                                                                                                                                                                                                                                                                                                                                                                                                                                                                                                                                                                                                                                                                                                                                                                                                                                                                                                                                                                                                                                                                                                                                                                                                                                                                                                                                                                                                                                                                                                                                                                                                                                                                                                                                                                                                                                                                                                                                                                                                                                                                                                                                                                                                                                                                                                                                                                                                                                                                                                                                                                                                                                                                                                                                                                                                                                                                                                                                                                                               </w:t>
            </w:r>
          </w:p>
          <w:p w14:paraId="51E0A356">
            <w:pPr>
              <w:pStyle w:val="9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color w:val="auto"/>
                <w:kern w:val="0"/>
                <w:sz w:val="21"/>
                <w:szCs w:val="21"/>
                <w:highlight w:val="none"/>
              </w:rPr>
              <w:t>项目营运期主要噪声源源强</w:t>
            </w:r>
            <w:r>
              <w:rPr>
                <w:rFonts w:hint="default" w:ascii="Times New Roman" w:hAnsi="Times New Roman" w:eastAsia="宋体" w:cs="Times New Roman"/>
                <w:b/>
                <w:bCs/>
                <w:color w:val="auto"/>
                <w:sz w:val="21"/>
                <w:szCs w:val="21"/>
                <w:highlight w:val="none"/>
                <w:lang w:val="en-US" w:eastAsia="zh-CN"/>
              </w:rPr>
              <w:t>（室外声源）</w:t>
            </w:r>
          </w:p>
          <w:tbl>
            <w:tblPr>
              <w:tblStyle w:val="33"/>
              <w:tblW w:w="4890"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2"/>
              <w:gridCol w:w="345"/>
              <w:gridCol w:w="795"/>
              <w:gridCol w:w="450"/>
              <w:gridCol w:w="585"/>
              <w:gridCol w:w="480"/>
              <w:gridCol w:w="495"/>
              <w:gridCol w:w="1320"/>
              <w:gridCol w:w="870"/>
              <w:gridCol w:w="1535"/>
              <w:gridCol w:w="715"/>
            </w:tblGrid>
            <w:tr w14:paraId="7F6F477C">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191" w:type="pct"/>
                  <w:vMerge w:val="restart"/>
                  <w:tcBorders>
                    <w:top w:val="single" w:color="000000" w:sz="12" w:space="0"/>
                    <w:bottom w:val="single" w:color="000000" w:sz="4" w:space="0"/>
                    <w:right w:val="single" w:color="000000" w:sz="6" w:space="0"/>
                    <w:tl2br w:val="nil"/>
                    <w:tr2bl w:val="nil"/>
                  </w:tcBorders>
                  <w:noWrap w:val="0"/>
                  <w:vAlign w:val="center"/>
                </w:tcPr>
                <w:p w14:paraId="0E1EB4C0">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18" w:type="pct"/>
                  <w:vMerge w:val="restart"/>
                  <w:tcBorders>
                    <w:top w:val="single" w:color="000000" w:sz="12" w:space="0"/>
                    <w:left w:val="single" w:color="000000" w:sz="6" w:space="0"/>
                    <w:right w:val="single" w:color="000000" w:sz="6" w:space="0"/>
                    <w:tl2br w:val="nil"/>
                    <w:tr2bl w:val="nil"/>
                  </w:tcBorders>
                  <w:noWrap w:val="0"/>
                  <w:vAlign w:val="center"/>
                </w:tcPr>
                <w:p w14:paraId="5ED2BF76">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区域</w:t>
                  </w:r>
                </w:p>
              </w:tc>
              <w:tc>
                <w:tcPr>
                  <w:tcW w:w="503"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7266B55">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285"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A3E007A">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型号</w:t>
                  </w:r>
                </w:p>
              </w:tc>
              <w:tc>
                <w:tcPr>
                  <w:tcW w:w="988" w:type="pct"/>
                  <w:gridSpan w:val="3"/>
                  <w:tcBorders>
                    <w:top w:val="single" w:color="000000" w:sz="12" w:space="0"/>
                    <w:left w:val="single" w:color="000000" w:sz="6" w:space="0"/>
                    <w:bottom w:val="single" w:color="000000" w:sz="6" w:space="0"/>
                    <w:right w:val="single" w:color="000000" w:sz="6" w:space="0"/>
                    <w:tl2br w:val="nil"/>
                    <w:tr2bl w:val="nil"/>
                  </w:tcBorders>
                  <w:noWrap w:val="0"/>
                  <w:vAlign w:val="center"/>
                </w:tcPr>
                <w:p w14:paraId="7AEE1E91">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1387" w:type="pct"/>
                  <w:gridSpan w:val="2"/>
                  <w:tcBorders>
                    <w:top w:val="single" w:color="000000" w:sz="12" w:space="0"/>
                    <w:left w:val="single" w:color="000000" w:sz="6" w:space="0"/>
                    <w:bottom w:val="single" w:color="000000" w:sz="6" w:space="0"/>
                    <w:right w:val="single" w:color="000000" w:sz="6" w:space="0"/>
                    <w:tl2br w:val="nil"/>
                    <w:tr2bl w:val="nil"/>
                  </w:tcBorders>
                  <w:noWrap w:val="0"/>
                  <w:vAlign w:val="center"/>
                </w:tcPr>
                <w:p w14:paraId="2FABEAD1">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声源源强（任选一种）</w:t>
                  </w:r>
                </w:p>
              </w:tc>
              <w:tc>
                <w:tcPr>
                  <w:tcW w:w="972"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57E3448">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452" w:type="pct"/>
                  <w:vMerge w:val="restart"/>
                  <w:tcBorders>
                    <w:top w:val="single" w:color="000000" w:sz="12" w:space="0"/>
                    <w:left w:val="single" w:color="000000" w:sz="6" w:space="0"/>
                    <w:bottom w:val="single" w:color="000000" w:sz="4" w:space="0"/>
                    <w:tl2br w:val="nil"/>
                    <w:tr2bl w:val="nil"/>
                  </w:tcBorders>
                  <w:noWrap w:val="0"/>
                  <w:vAlign w:val="center"/>
                </w:tcPr>
                <w:p w14:paraId="3B1018C4">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运行时段</w:t>
                  </w:r>
                </w:p>
              </w:tc>
            </w:tr>
            <w:tr w14:paraId="0CE0A124">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1" w:type="pct"/>
                  <w:vMerge w:val="continue"/>
                  <w:tcBorders>
                    <w:top w:val="single" w:color="000000" w:sz="4" w:space="0"/>
                    <w:bottom w:val="single" w:color="000000" w:sz="6" w:space="0"/>
                    <w:right w:val="single" w:color="000000" w:sz="6" w:space="0"/>
                    <w:tl2br w:val="nil"/>
                    <w:tr2bl w:val="nil"/>
                  </w:tcBorders>
                  <w:noWrap w:val="0"/>
                  <w:vAlign w:val="center"/>
                </w:tcPr>
                <w:p w14:paraId="5EFE6446">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218" w:type="pct"/>
                  <w:vMerge w:val="continue"/>
                  <w:tcBorders>
                    <w:left w:val="single" w:color="000000" w:sz="6" w:space="0"/>
                    <w:bottom w:val="single" w:color="000000" w:sz="6" w:space="0"/>
                    <w:right w:val="single" w:color="000000" w:sz="6" w:space="0"/>
                    <w:tl2br w:val="nil"/>
                    <w:tr2bl w:val="nil"/>
                  </w:tcBorders>
                  <w:noWrap w:val="0"/>
                  <w:vAlign w:val="center"/>
                </w:tcPr>
                <w:p w14:paraId="3C2768D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503"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67070AF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285"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792384C1">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370"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5B5EF4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X</w:t>
                  </w:r>
                </w:p>
              </w:tc>
              <w:tc>
                <w:tcPr>
                  <w:tcW w:w="304"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44D733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Y</w:t>
                  </w:r>
                </w:p>
              </w:tc>
              <w:tc>
                <w:tcPr>
                  <w:tcW w:w="31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40E5DD0">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Z</w:t>
                  </w:r>
                </w:p>
              </w:tc>
              <w:tc>
                <w:tcPr>
                  <w:tcW w:w="83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BF628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（声压级/距声源距离）/（dB(A)/m）</w:t>
                  </w:r>
                </w:p>
              </w:tc>
              <w:tc>
                <w:tcPr>
                  <w:tcW w:w="55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EA0A1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声功率级/dB(A)</w:t>
                  </w:r>
                </w:p>
              </w:tc>
              <w:tc>
                <w:tcPr>
                  <w:tcW w:w="972"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27A2A187">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52" w:type="pct"/>
                  <w:vMerge w:val="continue"/>
                  <w:tcBorders>
                    <w:top w:val="single" w:color="000000" w:sz="4" w:space="0"/>
                    <w:left w:val="single" w:color="000000" w:sz="6" w:space="0"/>
                    <w:bottom w:val="single" w:color="000000" w:sz="6" w:space="0"/>
                    <w:tl2br w:val="nil"/>
                    <w:tr2bl w:val="nil"/>
                  </w:tcBorders>
                  <w:noWrap w:val="0"/>
                  <w:vAlign w:val="center"/>
                </w:tcPr>
                <w:p w14:paraId="3CD629A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r>
            <w:tr w14:paraId="7D111A13">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91" w:type="pct"/>
                  <w:tcBorders>
                    <w:top w:val="single" w:color="000000" w:sz="6" w:space="0"/>
                    <w:bottom w:val="single" w:color="000000" w:sz="6" w:space="0"/>
                    <w:right w:val="single" w:color="000000" w:sz="6" w:space="0"/>
                    <w:tl2br w:val="nil"/>
                    <w:tr2bl w:val="nil"/>
                  </w:tcBorders>
                  <w:noWrap w:val="0"/>
                  <w:vAlign w:val="center"/>
                </w:tcPr>
                <w:p w14:paraId="14A662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1</w:t>
                  </w:r>
                </w:p>
              </w:tc>
              <w:tc>
                <w:tcPr>
                  <w:tcW w:w="218" w:type="pct"/>
                  <w:vMerge w:val="restart"/>
                  <w:tcBorders>
                    <w:top w:val="single" w:color="000000" w:sz="6" w:space="0"/>
                    <w:left w:val="single" w:color="000000" w:sz="6" w:space="0"/>
                    <w:right w:val="single" w:color="000000" w:sz="6" w:space="0"/>
                    <w:tl2br w:val="nil"/>
                    <w:tr2bl w:val="nil"/>
                  </w:tcBorders>
                  <w:noWrap w:val="0"/>
                  <w:vAlign w:val="center"/>
                </w:tcPr>
                <w:p w14:paraId="512DDB9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厂房</w:t>
                  </w:r>
                </w:p>
              </w:tc>
              <w:tc>
                <w:tcPr>
                  <w:tcW w:w="50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69F107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风机1</w:t>
                  </w:r>
                </w:p>
              </w:tc>
              <w:tc>
                <w:tcPr>
                  <w:tcW w:w="28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27D80A6">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370"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4BFA26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w:t>
                  </w:r>
                  <w:r>
                    <w:rPr>
                      <w:rFonts w:hint="eastAsia" w:cs="Times New Roman"/>
                      <w:color w:val="auto"/>
                      <w:kern w:val="2"/>
                      <w:sz w:val="21"/>
                      <w:szCs w:val="24"/>
                      <w:highlight w:val="none"/>
                      <w:lang w:val="en-US" w:eastAsia="zh-CN" w:bidi="ar-SA"/>
                    </w:rPr>
                    <w:t>2</w:t>
                  </w:r>
                  <w:r>
                    <w:rPr>
                      <w:rFonts w:hint="default" w:ascii="Times New Roman" w:hAnsi="Times New Roman" w:eastAsia="宋体" w:cs="Times New Roman"/>
                      <w:color w:val="auto"/>
                      <w:kern w:val="2"/>
                      <w:sz w:val="21"/>
                      <w:szCs w:val="24"/>
                      <w:highlight w:val="none"/>
                      <w:lang w:val="en-US" w:eastAsia="zh-CN" w:bidi="ar-SA"/>
                    </w:rPr>
                    <w:t>0</w:t>
                  </w:r>
                </w:p>
              </w:tc>
              <w:tc>
                <w:tcPr>
                  <w:tcW w:w="304"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2D3076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5</w:t>
                  </w:r>
                </w:p>
              </w:tc>
              <w:tc>
                <w:tcPr>
                  <w:tcW w:w="31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F08184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1.2</w:t>
                  </w:r>
                </w:p>
              </w:tc>
              <w:tc>
                <w:tcPr>
                  <w:tcW w:w="83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D16CA6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55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A61AC2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85</w:t>
                  </w:r>
                </w:p>
              </w:tc>
              <w:tc>
                <w:tcPr>
                  <w:tcW w:w="972" w:type="pct"/>
                  <w:vMerge w:val="restart"/>
                  <w:tcBorders>
                    <w:top w:val="single" w:color="000000" w:sz="6" w:space="0"/>
                    <w:left w:val="single" w:color="000000" w:sz="6" w:space="0"/>
                    <w:right w:val="single" w:color="000000" w:sz="6" w:space="0"/>
                    <w:tl2br w:val="nil"/>
                    <w:tr2bl w:val="nil"/>
                  </w:tcBorders>
                  <w:noWrap w:val="0"/>
                  <w:vAlign w:val="center"/>
                </w:tcPr>
                <w:p w14:paraId="5584D6F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color w:val="auto"/>
                    </w:rPr>
                    <w:t>选用低噪声设备，安装减振垫、距离衰减等</w:t>
                  </w:r>
                  <w:r>
                    <w:rPr>
                      <w:rFonts w:hint="eastAsia"/>
                      <w:color w:val="auto"/>
                    </w:rPr>
                    <w:t>，风口安装消声器</w:t>
                  </w:r>
                </w:p>
              </w:tc>
              <w:tc>
                <w:tcPr>
                  <w:tcW w:w="452" w:type="pct"/>
                  <w:tcBorders>
                    <w:top w:val="single" w:color="000000" w:sz="6" w:space="0"/>
                    <w:left w:val="single" w:color="000000" w:sz="6" w:space="0"/>
                    <w:bottom w:val="single" w:color="000000" w:sz="6" w:space="0"/>
                    <w:tl2br w:val="nil"/>
                    <w:tr2bl w:val="nil"/>
                  </w:tcBorders>
                  <w:noWrap w:val="0"/>
                  <w:vAlign w:val="center"/>
                </w:tcPr>
                <w:p w14:paraId="7FF5C66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val="en-US" w:eastAsia="zh-CN"/>
                    </w:rPr>
                    <w:t>间断</w:t>
                  </w:r>
                </w:p>
              </w:tc>
            </w:tr>
            <w:tr w14:paraId="1479CB64">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1" w:type="pct"/>
                  <w:tcBorders>
                    <w:top w:val="single" w:color="000000" w:sz="6" w:space="0"/>
                    <w:bottom w:val="single" w:color="000000" w:sz="6" w:space="0"/>
                    <w:right w:val="single" w:color="000000" w:sz="6" w:space="0"/>
                    <w:tl2br w:val="nil"/>
                    <w:tr2bl w:val="nil"/>
                  </w:tcBorders>
                  <w:noWrap w:val="0"/>
                  <w:vAlign w:val="center"/>
                </w:tcPr>
                <w:p w14:paraId="18FD34AF">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2</w:t>
                  </w:r>
                </w:p>
              </w:tc>
              <w:tc>
                <w:tcPr>
                  <w:tcW w:w="218" w:type="pct"/>
                  <w:vMerge w:val="continue"/>
                  <w:tcBorders>
                    <w:left w:val="single" w:color="000000" w:sz="6" w:space="0"/>
                    <w:right w:val="single" w:color="000000" w:sz="6" w:space="0"/>
                    <w:tl2br w:val="nil"/>
                    <w:tr2bl w:val="nil"/>
                  </w:tcBorders>
                  <w:noWrap w:val="0"/>
                  <w:vAlign w:val="center"/>
                </w:tcPr>
                <w:p w14:paraId="589C9EF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p>
              </w:tc>
              <w:tc>
                <w:tcPr>
                  <w:tcW w:w="50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A66FFC5">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风机2</w:t>
                  </w:r>
                </w:p>
              </w:tc>
              <w:tc>
                <w:tcPr>
                  <w:tcW w:w="28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F8D99D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370"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3B8DB20">
                  <w:pPr>
                    <w:pStyle w:val="165"/>
                    <w:ind w:firstLine="0" w:firstLineChars="0"/>
                    <w:rPr>
                      <w:rFonts w:hint="default" w:ascii="Times New Roman" w:hAnsi="Times New Roman" w:eastAsia="宋体" w:cs="Times New Roman"/>
                      <w:color w:val="auto"/>
                      <w:kern w:val="2"/>
                      <w:sz w:val="21"/>
                      <w:szCs w:val="24"/>
                      <w:highlight w:val="none"/>
                      <w:lang w:val="en-US" w:eastAsia="zh-CN" w:bidi="ar-SA"/>
                    </w:rPr>
                  </w:pPr>
                  <w:r>
                    <w:rPr>
                      <w:color w:val="auto"/>
                    </w:rPr>
                    <w:t>25</w:t>
                  </w:r>
                </w:p>
              </w:tc>
              <w:tc>
                <w:tcPr>
                  <w:tcW w:w="304"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843A577">
                  <w:pPr>
                    <w:pStyle w:val="165"/>
                    <w:ind w:firstLine="0" w:firstLineChars="0"/>
                    <w:rPr>
                      <w:rFonts w:hint="default" w:ascii="Times New Roman" w:hAnsi="Times New Roman" w:eastAsia="宋体" w:cs="Times New Roman"/>
                      <w:color w:val="auto"/>
                      <w:kern w:val="2"/>
                      <w:sz w:val="21"/>
                      <w:szCs w:val="24"/>
                      <w:highlight w:val="none"/>
                      <w:lang w:val="en-US" w:eastAsia="zh-CN" w:bidi="ar-SA"/>
                    </w:rPr>
                  </w:pPr>
                  <w:r>
                    <w:rPr>
                      <w:rFonts w:hint="eastAsia"/>
                      <w:color w:val="auto"/>
                    </w:rPr>
                    <w:t>-2</w:t>
                  </w:r>
                </w:p>
              </w:tc>
              <w:tc>
                <w:tcPr>
                  <w:tcW w:w="31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0CC581B">
                  <w:pPr>
                    <w:pStyle w:val="165"/>
                    <w:ind w:firstLine="0" w:firstLineChars="0"/>
                    <w:rPr>
                      <w:rFonts w:hint="default" w:ascii="Times New Roman" w:hAnsi="Times New Roman" w:eastAsia="宋体" w:cs="Times New Roman"/>
                      <w:b w:val="0"/>
                      <w:color w:val="auto"/>
                      <w:sz w:val="21"/>
                      <w:szCs w:val="21"/>
                      <w:highlight w:val="none"/>
                      <w:lang w:val="en-US" w:eastAsia="zh-CN"/>
                    </w:rPr>
                  </w:pPr>
                  <w:r>
                    <w:rPr>
                      <w:rFonts w:hint="eastAsia"/>
                      <w:color w:val="auto"/>
                      <w:lang w:val="en-US" w:eastAsia="zh-CN"/>
                    </w:rPr>
                    <w:t>1.2</w:t>
                  </w:r>
                </w:p>
              </w:tc>
              <w:tc>
                <w:tcPr>
                  <w:tcW w:w="83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0CE73D9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55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A28031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eastAsia" w:cs="Times New Roman"/>
                      <w:b w:val="0"/>
                      <w:color w:val="auto"/>
                      <w:sz w:val="21"/>
                      <w:szCs w:val="21"/>
                      <w:highlight w:val="none"/>
                      <w:lang w:val="en-US" w:eastAsia="zh-CN"/>
                    </w:rPr>
                    <w:t>85</w:t>
                  </w:r>
                </w:p>
              </w:tc>
              <w:tc>
                <w:tcPr>
                  <w:tcW w:w="972" w:type="pct"/>
                  <w:vMerge w:val="continue"/>
                  <w:tcBorders>
                    <w:left w:val="single" w:color="000000" w:sz="6" w:space="0"/>
                    <w:bottom w:val="single" w:color="000000" w:sz="6" w:space="0"/>
                    <w:right w:val="single" w:color="000000" w:sz="6" w:space="0"/>
                    <w:tl2br w:val="nil"/>
                    <w:tr2bl w:val="nil"/>
                  </w:tcBorders>
                  <w:noWrap w:val="0"/>
                  <w:vAlign w:val="center"/>
                </w:tcPr>
                <w:p w14:paraId="2EAF538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p>
              </w:tc>
              <w:tc>
                <w:tcPr>
                  <w:tcW w:w="452" w:type="pct"/>
                  <w:tcBorders>
                    <w:top w:val="single" w:color="000000" w:sz="6" w:space="0"/>
                    <w:left w:val="single" w:color="000000" w:sz="6" w:space="0"/>
                    <w:bottom w:val="single" w:color="000000" w:sz="6" w:space="0"/>
                    <w:tl2br w:val="nil"/>
                    <w:tr2bl w:val="nil"/>
                  </w:tcBorders>
                  <w:noWrap w:val="0"/>
                  <w:vAlign w:val="center"/>
                </w:tcPr>
                <w:p w14:paraId="1BCCC016">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间断</w:t>
                  </w:r>
                </w:p>
              </w:tc>
            </w:tr>
            <w:tr w14:paraId="7F0B49F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11"/>
                  <w:tcBorders>
                    <w:top w:val="single" w:color="000000" w:sz="6" w:space="0"/>
                    <w:bottom w:val="single" w:color="000000" w:sz="12" w:space="0"/>
                    <w:tl2br w:val="nil"/>
                    <w:tr2bl w:val="nil"/>
                  </w:tcBorders>
                  <w:noWrap w:val="0"/>
                  <w:vAlign w:val="center"/>
                </w:tcPr>
                <w:p w14:paraId="773F090E">
                  <w:pPr>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注：坐标取厂区中心（</w:t>
                  </w:r>
                  <w:r>
                    <w:rPr>
                      <w:rFonts w:hint="default" w:ascii="Times New Roman" w:hAnsi="Times New Roman" w:eastAsia="宋体" w:cs="Times New Roman"/>
                      <w:color w:val="auto"/>
                      <w:sz w:val="21"/>
                      <w:szCs w:val="21"/>
                      <w:highlight w:val="none"/>
                      <w:lang w:val="en-US" w:eastAsia="zh-CN"/>
                    </w:rPr>
                    <w:t>东经</w:t>
                  </w:r>
                  <w:r>
                    <w:rPr>
                      <w:rFonts w:hint="eastAsia" w:cs="Times New Roman"/>
                      <w:color w:val="auto"/>
                      <w:sz w:val="21"/>
                      <w:szCs w:val="21"/>
                      <w:highlight w:val="none"/>
                      <w:lang w:val="en-US" w:eastAsia="zh-CN"/>
                    </w:rPr>
                    <w:t>115°23′48.689″</w:t>
                  </w:r>
                  <w:r>
                    <w:rPr>
                      <w:rFonts w:hint="default" w:ascii="Times New Roman" w:hAnsi="Times New Roman" w:eastAsia="宋体" w:cs="Times New Roman"/>
                      <w:color w:val="auto"/>
                      <w:sz w:val="21"/>
                      <w:szCs w:val="21"/>
                      <w:highlight w:val="none"/>
                      <w:lang w:val="en-US" w:eastAsia="zh-CN"/>
                    </w:rPr>
                    <w:t>，北纬</w:t>
                  </w:r>
                  <w:r>
                    <w:rPr>
                      <w:rFonts w:hint="eastAsia" w:cs="Times New Roman"/>
                      <w:color w:val="auto"/>
                      <w:sz w:val="21"/>
                      <w:szCs w:val="21"/>
                      <w:highlight w:val="none"/>
                      <w:lang w:val="en-US" w:eastAsia="zh-CN"/>
                    </w:rPr>
                    <w:t>28°28′2.974″</w:t>
                  </w:r>
                  <w:r>
                    <w:rPr>
                      <w:rFonts w:hint="default" w:ascii="Times New Roman" w:hAnsi="Times New Roman" w:eastAsia="宋体" w:cs="Times New Roman"/>
                      <w:b w:val="0"/>
                      <w:color w:val="auto"/>
                      <w:sz w:val="21"/>
                      <w:szCs w:val="21"/>
                      <w:highlight w:val="none"/>
                      <w:lang w:val="en-US" w:eastAsia="zh-CN"/>
                    </w:rPr>
                    <w:t>）位置为（0,0）点，以正东方向为X轴，以正北方向为Y轴。</w:t>
                  </w:r>
                </w:p>
              </w:tc>
            </w:tr>
          </w:tbl>
          <w:p w14:paraId="586713D5">
            <w:pPr>
              <w:pStyle w:val="46"/>
              <w:ind w:left="0" w:leftChars="0" w:firstLine="0" w:firstLineChars="0"/>
              <w:rPr>
                <w:rFonts w:hint="default" w:ascii="Times New Roman" w:hAnsi="Times New Roman" w:eastAsia="宋体" w:cs="Times New Roman"/>
                <w:color w:val="auto"/>
                <w:sz w:val="24"/>
                <w:szCs w:val="24"/>
                <w:highlight w:val="none"/>
                <w:lang w:val="en-US" w:eastAsia="zh-CN"/>
              </w:rPr>
            </w:pPr>
          </w:p>
        </w:tc>
      </w:tr>
    </w:tbl>
    <w:p w14:paraId="6221D62F">
      <w:pPr>
        <w:adjustRightInd w:val="0"/>
        <w:snapToGrid w:val="0"/>
        <w:jc w:val="center"/>
        <w:rPr>
          <w:rFonts w:hint="default" w:ascii="Times New Roman" w:hAnsi="Times New Roman" w:eastAsia="宋体" w:cs="Times New Roman"/>
          <w:bCs/>
          <w:color w:val="auto"/>
          <w:sz w:val="24"/>
          <w:szCs w:val="24"/>
          <w:highlight w:val="none"/>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134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689"/>
      </w:tblGrid>
      <w:tr w14:paraId="3030B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74" w:hRule="atLeast"/>
          <w:jc w:val="center"/>
        </w:trPr>
        <w:tc>
          <w:tcPr>
            <w:tcW w:w="754" w:type="dxa"/>
            <w:noWrap w:val="0"/>
            <w:tcMar>
              <w:left w:w="28" w:type="dxa"/>
              <w:right w:w="28" w:type="dxa"/>
            </w:tcMar>
            <w:vAlign w:val="center"/>
          </w:tcPr>
          <w:p w14:paraId="4FC954BA">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运营</w:t>
            </w:r>
          </w:p>
          <w:p w14:paraId="787D6899">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期环</w:t>
            </w:r>
          </w:p>
          <w:p w14:paraId="51DF1332">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境影</w:t>
            </w:r>
          </w:p>
          <w:p w14:paraId="4CF26901">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响和</w:t>
            </w:r>
          </w:p>
          <w:p w14:paraId="67C210B0">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保护</w:t>
            </w:r>
          </w:p>
          <w:p w14:paraId="0DC8D712">
            <w:pPr>
              <w:adjustRightInd w:val="0"/>
              <w:snapToGrid w:val="0"/>
              <w:jc w:val="center"/>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rPr>
              <w:t>措施</w:t>
            </w:r>
          </w:p>
        </w:tc>
        <w:tc>
          <w:tcPr>
            <w:tcW w:w="12689" w:type="dxa"/>
            <w:noWrap w:val="0"/>
            <w:vAlign w:val="top"/>
          </w:tcPr>
          <w:p w14:paraId="56B600EE">
            <w:pPr>
              <w:adjustRightInd w:val="0"/>
              <w:snapToGrid w:val="0"/>
              <w:jc w:val="center"/>
              <w:rPr>
                <w:rFonts w:hint="eastAsia" w:eastAsia="宋体"/>
                <w:b/>
                <w:bCs/>
                <w:color w:val="auto"/>
                <w:kern w:val="0"/>
                <w:szCs w:val="21"/>
                <w:lang w:eastAsia="zh-CN"/>
              </w:rPr>
            </w:pPr>
            <w:r>
              <w:rPr>
                <w:b/>
                <w:bCs/>
                <w:color w:val="auto"/>
                <w:kern w:val="0"/>
                <w:szCs w:val="21"/>
              </w:rPr>
              <w:t>表4-</w:t>
            </w:r>
            <w:r>
              <w:rPr>
                <w:rFonts w:hint="eastAsia"/>
                <w:b/>
                <w:bCs/>
                <w:color w:val="auto"/>
                <w:kern w:val="0"/>
                <w:szCs w:val="21"/>
                <w:lang w:val="en-US" w:eastAsia="zh-CN"/>
              </w:rPr>
              <w:t>17</w:t>
            </w:r>
            <w:r>
              <w:rPr>
                <w:b/>
                <w:bCs/>
                <w:color w:val="auto"/>
                <w:kern w:val="0"/>
                <w:szCs w:val="21"/>
              </w:rPr>
              <w:t xml:space="preserve"> </w:t>
            </w:r>
            <w:r>
              <w:rPr>
                <w:rFonts w:hint="eastAsia"/>
                <w:b/>
                <w:bCs/>
                <w:color w:val="auto"/>
                <w:kern w:val="0"/>
                <w:szCs w:val="21"/>
              </w:rPr>
              <w:t>工业企业噪声源强调查清单</w:t>
            </w:r>
            <w:r>
              <w:rPr>
                <w:rFonts w:hint="eastAsia"/>
                <w:b/>
                <w:bCs/>
                <w:color w:val="auto"/>
                <w:kern w:val="0"/>
                <w:szCs w:val="21"/>
                <w:lang w:eastAsia="zh-CN"/>
              </w:rPr>
              <w:t>（</w:t>
            </w:r>
            <w:r>
              <w:rPr>
                <w:rFonts w:hint="eastAsia"/>
                <w:b/>
                <w:bCs/>
                <w:color w:val="auto"/>
                <w:kern w:val="0"/>
                <w:szCs w:val="21"/>
              </w:rPr>
              <w:t>室内声源</w:t>
            </w:r>
            <w:r>
              <w:rPr>
                <w:rFonts w:hint="eastAsia"/>
                <w:b/>
                <w:bCs/>
                <w:color w:val="auto"/>
                <w:kern w:val="0"/>
                <w:szCs w:val="21"/>
                <w:lang w:eastAsia="zh-CN"/>
              </w:rPr>
              <w:t>）</w:t>
            </w:r>
          </w:p>
          <w:tbl>
            <w:tblPr>
              <w:tblStyle w:val="33"/>
              <w:tblW w:w="49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9"/>
              <w:gridCol w:w="468"/>
              <w:gridCol w:w="1242"/>
              <w:gridCol w:w="409"/>
              <w:gridCol w:w="552"/>
              <w:gridCol w:w="450"/>
              <w:gridCol w:w="505"/>
              <w:gridCol w:w="448"/>
              <w:gridCol w:w="355"/>
              <w:gridCol w:w="425"/>
              <w:gridCol w:w="469"/>
              <w:gridCol w:w="395"/>
              <w:gridCol w:w="432"/>
              <w:gridCol w:w="415"/>
              <w:gridCol w:w="415"/>
              <w:gridCol w:w="415"/>
              <w:gridCol w:w="435"/>
              <w:gridCol w:w="409"/>
              <w:gridCol w:w="397"/>
              <w:gridCol w:w="397"/>
              <w:gridCol w:w="397"/>
              <w:gridCol w:w="415"/>
              <w:gridCol w:w="425"/>
              <w:gridCol w:w="425"/>
              <w:gridCol w:w="427"/>
              <w:gridCol w:w="427"/>
              <w:gridCol w:w="410"/>
            </w:tblGrid>
            <w:tr w14:paraId="763CDF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exact"/>
                <w:jc w:val="center"/>
              </w:trPr>
              <w:tc>
                <w:tcPr>
                  <w:tcW w:w="165" w:type="pct"/>
                  <w:vMerge w:val="restart"/>
                  <w:tcBorders>
                    <w:tl2br w:val="nil"/>
                    <w:tr2bl w:val="nil"/>
                  </w:tcBorders>
                  <w:shd w:val="clear" w:color="auto" w:fill="auto"/>
                  <w:vAlign w:val="center"/>
                </w:tcPr>
                <w:p w14:paraId="2B89CACC">
                  <w:pPr>
                    <w:adjustRightInd w:val="0"/>
                    <w:snapToGrid w:val="0"/>
                    <w:jc w:val="center"/>
                    <w:rPr>
                      <w:color w:val="auto"/>
                      <w:sz w:val="20"/>
                      <w:szCs w:val="20"/>
                    </w:rPr>
                  </w:pPr>
                  <w:r>
                    <w:rPr>
                      <w:color w:val="auto"/>
                      <w:sz w:val="20"/>
                      <w:szCs w:val="20"/>
                    </w:rPr>
                    <w:t>序号</w:t>
                  </w:r>
                </w:p>
              </w:tc>
              <w:tc>
                <w:tcPr>
                  <w:tcW w:w="189" w:type="pct"/>
                  <w:vMerge w:val="restart"/>
                  <w:tcBorders>
                    <w:tl2br w:val="nil"/>
                    <w:tr2bl w:val="nil"/>
                  </w:tcBorders>
                  <w:shd w:val="clear" w:color="auto" w:fill="auto"/>
                  <w:vAlign w:val="center"/>
                </w:tcPr>
                <w:p w14:paraId="4FCE2C1F">
                  <w:pPr>
                    <w:adjustRightInd w:val="0"/>
                    <w:snapToGrid w:val="0"/>
                    <w:jc w:val="center"/>
                    <w:rPr>
                      <w:color w:val="auto"/>
                      <w:sz w:val="20"/>
                      <w:szCs w:val="20"/>
                    </w:rPr>
                  </w:pPr>
                  <w:r>
                    <w:rPr>
                      <w:color w:val="auto"/>
                      <w:sz w:val="20"/>
                      <w:szCs w:val="20"/>
                    </w:rPr>
                    <w:t>建筑物名称</w:t>
                  </w:r>
                </w:p>
              </w:tc>
              <w:tc>
                <w:tcPr>
                  <w:tcW w:w="502" w:type="pct"/>
                  <w:vMerge w:val="restart"/>
                  <w:tcBorders>
                    <w:tl2br w:val="nil"/>
                    <w:tr2bl w:val="nil"/>
                  </w:tcBorders>
                  <w:shd w:val="clear" w:color="auto" w:fill="auto"/>
                  <w:vAlign w:val="center"/>
                </w:tcPr>
                <w:p w14:paraId="4BF71C3C">
                  <w:pPr>
                    <w:adjustRightInd w:val="0"/>
                    <w:snapToGrid w:val="0"/>
                    <w:jc w:val="center"/>
                    <w:rPr>
                      <w:color w:val="auto"/>
                      <w:sz w:val="20"/>
                      <w:szCs w:val="20"/>
                    </w:rPr>
                  </w:pPr>
                  <w:r>
                    <w:rPr>
                      <w:color w:val="auto"/>
                      <w:sz w:val="20"/>
                      <w:szCs w:val="20"/>
                    </w:rPr>
                    <w:t>声源名称</w:t>
                  </w:r>
                </w:p>
              </w:tc>
              <w:tc>
                <w:tcPr>
                  <w:tcW w:w="165" w:type="pct"/>
                  <w:vMerge w:val="restart"/>
                  <w:tcBorders>
                    <w:tl2br w:val="nil"/>
                    <w:tr2bl w:val="nil"/>
                  </w:tcBorders>
                  <w:shd w:val="clear" w:color="auto" w:fill="auto"/>
                  <w:vAlign w:val="center"/>
                </w:tcPr>
                <w:p w14:paraId="038AE683">
                  <w:pPr>
                    <w:adjustRightInd w:val="0"/>
                    <w:snapToGrid w:val="0"/>
                    <w:jc w:val="center"/>
                    <w:rPr>
                      <w:rFonts w:hint="default"/>
                      <w:color w:val="auto"/>
                      <w:sz w:val="20"/>
                      <w:szCs w:val="20"/>
                      <w:lang w:val="en-US"/>
                    </w:rPr>
                  </w:pPr>
                  <w:r>
                    <w:rPr>
                      <w:rFonts w:hint="eastAsia"/>
                      <w:color w:val="auto"/>
                      <w:sz w:val="20"/>
                      <w:szCs w:val="20"/>
                      <w:lang w:val="en-US" w:eastAsia="zh-CN"/>
                    </w:rPr>
                    <w:t>数量</w:t>
                  </w:r>
                </w:p>
              </w:tc>
              <w:tc>
                <w:tcPr>
                  <w:tcW w:w="223" w:type="pct"/>
                  <w:tcBorders>
                    <w:tl2br w:val="nil"/>
                    <w:tr2bl w:val="nil"/>
                  </w:tcBorders>
                  <w:shd w:val="clear" w:color="auto" w:fill="auto"/>
                  <w:vAlign w:val="center"/>
                </w:tcPr>
                <w:p w14:paraId="598FD3C4">
                  <w:pPr>
                    <w:adjustRightInd w:val="0"/>
                    <w:snapToGrid w:val="0"/>
                    <w:ind w:left="-105" w:leftChars="-50" w:right="-105" w:rightChars="-50"/>
                    <w:jc w:val="center"/>
                    <w:rPr>
                      <w:color w:val="auto"/>
                      <w:sz w:val="20"/>
                      <w:szCs w:val="20"/>
                      <w:highlight w:val="none"/>
                    </w:rPr>
                  </w:pPr>
                  <w:r>
                    <w:rPr>
                      <w:color w:val="auto"/>
                      <w:sz w:val="20"/>
                      <w:szCs w:val="20"/>
                      <w:highlight w:val="none"/>
                    </w:rPr>
                    <w:t>声源源强</w:t>
                  </w:r>
                </w:p>
              </w:tc>
              <w:tc>
                <w:tcPr>
                  <w:tcW w:w="181" w:type="pct"/>
                  <w:vMerge w:val="restart"/>
                  <w:tcBorders>
                    <w:tl2br w:val="nil"/>
                    <w:tr2bl w:val="nil"/>
                  </w:tcBorders>
                  <w:shd w:val="clear" w:color="auto" w:fill="auto"/>
                  <w:vAlign w:val="center"/>
                </w:tcPr>
                <w:p w14:paraId="4D8603DA">
                  <w:pPr>
                    <w:adjustRightInd w:val="0"/>
                    <w:snapToGrid w:val="0"/>
                    <w:jc w:val="center"/>
                    <w:rPr>
                      <w:color w:val="auto"/>
                      <w:sz w:val="20"/>
                      <w:szCs w:val="20"/>
                    </w:rPr>
                  </w:pPr>
                  <w:r>
                    <w:rPr>
                      <w:color w:val="auto"/>
                      <w:sz w:val="20"/>
                      <w:szCs w:val="20"/>
                    </w:rPr>
                    <w:t>声源控制措施</w:t>
                  </w:r>
                </w:p>
              </w:tc>
              <w:tc>
                <w:tcPr>
                  <w:tcW w:w="528" w:type="pct"/>
                  <w:gridSpan w:val="3"/>
                  <w:tcBorders>
                    <w:tl2br w:val="nil"/>
                    <w:tr2bl w:val="nil"/>
                  </w:tcBorders>
                  <w:shd w:val="clear" w:color="auto" w:fill="auto"/>
                  <w:vAlign w:val="center"/>
                </w:tcPr>
                <w:p w14:paraId="1A6D42BD">
                  <w:pPr>
                    <w:adjustRightInd w:val="0"/>
                    <w:snapToGrid w:val="0"/>
                    <w:jc w:val="center"/>
                    <w:rPr>
                      <w:color w:val="auto"/>
                      <w:sz w:val="20"/>
                      <w:szCs w:val="20"/>
                    </w:rPr>
                  </w:pPr>
                  <w:r>
                    <w:rPr>
                      <w:color w:val="auto"/>
                      <w:sz w:val="20"/>
                      <w:szCs w:val="20"/>
                    </w:rPr>
                    <w:t>空间相对位置/m</w:t>
                  </w:r>
                </w:p>
              </w:tc>
              <w:tc>
                <w:tcPr>
                  <w:tcW w:w="695" w:type="pct"/>
                  <w:gridSpan w:val="4"/>
                  <w:tcBorders>
                    <w:tl2br w:val="nil"/>
                    <w:tr2bl w:val="nil"/>
                  </w:tcBorders>
                  <w:shd w:val="clear" w:color="auto" w:fill="auto"/>
                  <w:vAlign w:val="center"/>
                </w:tcPr>
                <w:p w14:paraId="60870D60">
                  <w:pPr>
                    <w:adjustRightInd w:val="0"/>
                    <w:snapToGrid w:val="0"/>
                    <w:jc w:val="center"/>
                    <w:rPr>
                      <w:color w:val="auto"/>
                      <w:sz w:val="20"/>
                      <w:szCs w:val="20"/>
                    </w:rPr>
                  </w:pPr>
                  <w:r>
                    <w:rPr>
                      <w:color w:val="auto"/>
                      <w:sz w:val="20"/>
                      <w:szCs w:val="20"/>
                    </w:rPr>
                    <w:t>距室内边界距离/m</w:t>
                  </w:r>
                </w:p>
              </w:tc>
              <w:tc>
                <w:tcPr>
                  <w:tcW w:w="679" w:type="pct"/>
                  <w:gridSpan w:val="4"/>
                  <w:tcBorders>
                    <w:tl2br w:val="nil"/>
                    <w:tr2bl w:val="nil"/>
                  </w:tcBorders>
                  <w:shd w:val="clear" w:color="auto" w:fill="auto"/>
                  <w:vAlign w:val="center"/>
                </w:tcPr>
                <w:p w14:paraId="6E8ED62A">
                  <w:pPr>
                    <w:adjustRightInd w:val="0"/>
                    <w:snapToGrid w:val="0"/>
                    <w:jc w:val="center"/>
                    <w:rPr>
                      <w:color w:val="auto"/>
                      <w:sz w:val="20"/>
                      <w:szCs w:val="20"/>
                    </w:rPr>
                  </w:pPr>
                  <w:r>
                    <w:rPr>
                      <w:color w:val="auto"/>
                      <w:sz w:val="20"/>
                      <w:szCs w:val="20"/>
                    </w:rPr>
                    <w:t>室内边界声级/dB(A)</w:t>
                  </w:r>
                </w:p>
              </w:tc>
              <w:tc>
                <w:tcPr>
                  <w:tcW w:w="165" w:type="pct"/>
                  <w:vMerge w:val="restart"/>
                  <w:tcBorders>
                    <w:tl2br w:val="nil"/>
                    <w:tr2bl w:val="nil"/>
                  </w:tcBorders>
                  <w:shd w:val="clear" w:color="auto" w:fill="auto"/>
                  <w:vAlign w:val="center"/>
                </w:tcPr>
                <w:p w14:paraId="5CB5D25A">
                  <w:pPr>
                    <w:adjustRightInd w:val="0"/>
                    <w:snapToGrid w:val="0"/>
                    <w:jc w:val="center"/>
                    <w:rPr>
                      <w:color w:val="auto"/>
                      <w:sz w:val="20"/>
                      <w:szCs w:val="20"/>
                    </w:rPr>
                  </w:pPr>
                  <w:r>
                    <w:rPr>
                      <w:color w:val="auto"/>
                      <w:sz w:val="20"/>
                      <w:szCs w:val="20"/>
                    </w:rPr>
                    <w:t>运行时段</w:t>
                  </w:r>
                </w:p>
              </w:tc>
              <w:tc>
                <w:tcPr>
                  <w:tcW w:w="649" w:type="pct"/>
                  <w:gridSpan w:val="4"/>
                  <w:tcBorders>
                    <w:tl2br w:val="nil"/>
                    <w:tr2bl w:val="nil"/>
                  </w:tcBorders>
                  <w:shd w:val="clear" w:color="auto" w:fill="auto"/>
                  <w:vAlign w:val="center"/>
                </w:tcPr>
                <w:p w14:paraId="34920AC9">
                  <w:pPr>
                    <w:adjustRightInd w:val="0"/>
                    <w:snapToGrid w:val="0"/>
                    <w:jc w:val="center"/>
                    <w:rPr>
                      <w:color w:val="auto"/>
                      <w:sz w:val="20"/>
                      <w:szCs w:val="20"/>
                    </w:rPr>
                  </w:pPr>
                  <w:r>
                    <w:rPr>
                      <w:color w:val="auto"/>
                      <w:sz w:val="20"/>
                      <w:szCs w:val="20"/>
                    </w:rPr>
                    <w:t>建筑物插入损失 / dB(A)</w:t>
                  </w:r>
                </w:p>
              </w:tc>
              <w:tc>
                <w:tcPr>
                  <w:tcW w:w="854" w:type="pct"/>
                  <w:gridSpan w:val="5"/>
                  <w:tcBorders>
                    <w:tl2br w:val="nil"/>
                    <w:tr2bl w:val="nil"/>
                  </w:tcBorders>
                  <w:shd w:val="clear" w:color="auto" w:fill="auto"/>
                  <w:vAlign w:val="center"/>
                </w:tcPr>
                <w:p w14:paraId="7885AA1E">
                  <w:pPr>
                    <w:adjustRightInd w:val="0"/>
                    <w:snapToGrid w:val="0"/>
                    <w:jc w:val="center"/>
                    <w:rPr>
                      <w:color w:val="auto"/>
                      <w:sz w:val="20"/>
                      <w:szCs w:val="20"/>
                    </w:rPr>
                  </w:pPr>
                  <w:r>
                    <w:rPr>
                      <w:color w:val="auto"/>
                      <w:sz w:val="20"/>
                      <w:szCs w:val="20"/>
                    </w:rPr>
                    <w:t>建筑物外噪声声压级/dB(A)</w:t>
                  </w:r>
                </w:p>
              </w:tc>
            </w:tr>
            <w:tr w14:paraId="61332B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Merge w:val="continue"/>
                  <w:tcBorders>
                    <w:tl2br w:val="nil"/>
                    <w:tr2bl w:val="nil"/>
                  </w:tcBorders>
                  <w:shd w:val="clear" w:color="auto" w:fill="auto"/>
                  <w:tcMar>
                    <w:top w:w="0" w:type="dxa"/>
                    <w:left w:w="0" w:type="dxa"/>
                    <w:bottom w:w="0" w:type="dxa"/>
                    <w:right w:w="0" w:type="dxa"/>
                  </w:tcMar>
                  <w:vAlign w:val="center"/>
                </w:tcPr>
                <w:p w14:paraId="4EB150AE">
                  <w:pPr>
                    <w:adjustRightInd w:val="0"/>
                    <w:snapToGrid w:val="0"/>
                    <w:jc w:val="center"/>
                    <w:rPr>
                      <w:color w:val="auto"/>
                      <w:sz w:val="20"/>
                      <w:szCs w:val="20"/>
                    </w:rPr>
                  </w:pPr>
                </w:p>
              </w:tc>
              <w:tc>
                <w:tcPr>
                  <w:tcW w:w="189" w:type="pct"/>
                  <w:vMerge w:val="continue"/>
                  <w:tcBorders>
                    <w:tl2br w:val="nil"/>
                    <w:tr2bl w:val="nil"/>
                  </w:tcBorders>
                  <w:shd w:val="clear" w:color="auto" w:fill="auto"/>
                  <w:tcMar>
                    <w:top w:w="0" w:type="dxa"/>
                    <w:left w:w="0" w:type="dxa"/>
                    <w:bottom w:w="0" w:type="dxa"/>
                    <w:right w:w="0" w:type="dxa"/>
                  </w:tcMar>
                  <w:vAlign w:val="center"/>
                </w:tcPr>
                <w:p w14:paraId="4869D744">
                  <w:pPr>
                    <w:adjustRightInd w:val="0"/>
                    <w:snapToGrid w:val="0"/>
                    <w:jc w:val="center"/>
                    <w:rPr>
                      <w:color w:val="auto"/>
                      <w:sz w:val="20"/>
                      <w:szCs w:val="20"/>
                    </w:rPr>
                  </w:pPr>
                </w:p>
              </w:tc>
              <w:tc>
                <w:tcPr>
                  <w:tcW w:w="502" w:type="pct"/>
                  <w:vMerge w:val="continue"/>
                  <w:tcBorders>
                    <w:tl2br w:val="nil"/>
                    <w:tr2bl w:val="nil"/>
                  </w:tcBorders>
                  <w:shd w:val="clear" w:color="auto" w:fill="auto"/>
                  <w:tcMar>
                    <w:top w:w="0" w:type="dxa"/>
                    <w:left w:w="0" w:type="dxa"/>
                    <w:bottom w:w="0" w:type="dxa"/>
                    <w:right w:w="0" w:type="dxa"/>
                  </w:tcMar>
                  <w:vAlign w:val="center"/>
                </w:tcPr>
                <w:p w14:paraId="07374211">
                  <w:pPr>
                    <w:adjustRightInd w:val="0"/>
                    <w:snapToGrid w:val="0"/>
                    <w:jc w:val="center"/>
                    <w:rPr>
                      <w:color w:val="auto"/>
                      <w:sz w:val="20"/>
                      <w:szCs w:val="20"/>
                    </w:rPr>
                  </w:pPr>
                </w:p>
              </w:tc>
              <w:tc>
                <w:tcPr>
                  <w:tcW w:w="165" w:type="pct"/>
                  <w:vMerge w:val="continue"/>
                  <w:tcBorders>
                    <w:tl2br w:val="nil"/>
                    <w:tr2bl w:val="nil"/>
                  </w:tcBorders>
                  <w:shd w:val="clear" w:color="auto" w:fill="auto"/>
                  <w:tcMar>
                    <w:top w:w="0" w:type="dxa"/>
                    <w:left w:w="0" w:type="dxa"/>
                    <w:bottom w:w="0" w:type="dxa"/>
                    <w:right w:w="0" w:type="dxa"/>
                  </w:tcMar>
                  <w:vAlign w:val="center"/>
                </w:tcPr>
                <w:p w14:paraId="2250C171">
                  <w:pPr>
                    <w:adjustRightInd w:val="0"/>
                    <w:snapToGrid w:val="0"/>
                    <w:jc w:val="center"/>
                    <w:rPr>
                      <w:color w:val="auto"/>
                      <w:sz w:val="20"/>
                      <w:szCs w:val="20"/>
                    </w:rPr>
                  </w:pPr>
                </w:p>
              </w:tc>
              <w:tc>
                <w:tcPr>
                  <w:tcW w:w="223" w:type="pct"/>
                  <w:tcBorders>
                    <w:tl2br w:val="nil"/>
                    <w:tr2bl w:val="nil"/>
                  </w:tcBorders>
                  <w:shd w:val="clear" w:color="auto" w:fill="auto"/>
                  <w:tcMar>
                    <w:top w:w="0" w:type="dxa"/>
                    <w:left w:w="0" w:type="dxa"/>
                    <w:bottom w:w="0" w:type="dxa"/>
                    <w:right w:w="0" w:type="dxa"/>
                  </w:tcMar>
                  <w:vAlign w:val="center"/>
                </w:tcPr>
                <w:p w14:paraId="2B84A7FC">
                  <w:pPr>
                    <w:adjustRightInd w:val="0"/>
                    <w:snapToGrid w:val="0"/>
                    <w:jc w:val="center"/>
                    <w:rPr>
                      <w:color w:val="auto"/>
                      <w:sz w:val="20"/>
                      <w:szCs w:val="20"/>
                      <w:highlight w:val="none"/>
                    </w:rPr>
                  </w:pPr>
                  <w:r>
                    <w:rPr>
                      <w:color w:val="auto"/>
                      <w:sz w:val="20"/>
                      <w:szCs w:val="20"/>
                      <w:highlight w:val="none"/>
                    </w:rPr>
                    <w:t>声功率级/dB(A</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143F4AE">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717A5EAD">
                  <w:pPr>
                    <w:adjustRightInd w:val="0"/>
                    <w:snapToGrid w:val="0"/>
                    <w:jc w:val="center"/>
                    <w:rPr>
                      <w:color w:val="auto"/>
                      <w:sz w:val="20"/>
                      <w:szCs w:val="20"/>
                    </w:rPr>
                  </w:pPr>
                  <w:r>
                    <w:rPr>
                      <w:color w:val="auto"/>
                      <w:sz w:val="20"/>
                      <w:szCs w:val="20"/>
                    </w:rPr>
                    <w:t>X</w:t>
                  </w:r>
                </w:p>
              </w:tc>
              <w:tc>
                <w:tcPr>
                  <w:tcW w:w="181" w:type="pct"/>
                  <w:tcBorders>
                    <w:tl2br w:val="nil"/>
                    <w:tr2bl w:val="nil"/>
                  </w:tcBorders>
                  <w:shd w:val="clear" w:color="auto" w:fill="auto"/>
                  <w:tcMar>
                    <w:top w:w="0" w:type="dxa"/>
                    <w:left w:w="0" w:type="dxa"/>
                    <w:bottom w:w="0" w:type="dxa"/>
                    <w:right w:w="0" w:type="dxa"/>
                  </w:tcMar>
                  <w:vAlign w:val="center"/>
                </w:tcPr>
                <w:p w14:paraId="23AA3C0D">
                  <w:pPr>
                    <w:adjustRightInd w:val="0"/>
                    <w:snapToGrid w:val="0"/>
                    <w:jc w:val="center"/>
                    <w:rPr>
                      <w:color w:val="auto"/>
                      <w:sz w:val="20"/>
                      <w:szCs w:val="20"/>
                    </w:rPr>
                  </w:pPr>
                  <w:r>
                    <w:rPr>
                      <w:color w:val="auto"/>
                      <w:sz w:val="20"/>
                      <w:szCs w:val="20"/>
                    </w:rPr>
                    <w:t>Y</w:t>
                  </w:r>
                </w:p>
              </w:tc>
              <w:tc>
                <w:tcPr>
                  <w:tcW w:w="143" w:type="pct"/>
                  <w:tcBorders>
                    <w:tl2br w:val="nil"/>
                    <w:tr2bl w:val="nil"/>
                  </w:tcBorders>
                  <w:shd w:val="clear" w:color="auto" w:fill="auto"/>
                  <w:tcMar>
                    <w:top w:w="0" w:type="dxa"/>
                    <w:left w:w="0" w:type="dxa"/>
                    <w:bottom w:w="0" w:type="dxa"/>
                    <w:right w:w="0" w:type="dxa"/>
                  </w:tcMar>
                  <w:vAlign w:val="center"/>
                </w:tcPr>
                <w:p w14:paraId="5DEAEC47">
                  <w:pPr>
                    <w:adjustRightInd w:val="0"/>
                    <w:snapToGrid w:val="0"/>
                    <w:jc w:val="center"/>
                    <w:rPr>
                      <w:color w:val="auto"/>
                      <w:sz w:val="20"/>
                      <w:szCs w:val="20"/>
                    </w:rPr>
                  </w:pPr>
                  <w:r>
                    <w:rPr>
                      <w:color w:val="auto"/>
                      <w:sz w:val="20"/>
                      <w:szCs w:val="20"/>
                    </w:rPr>
                    <w:t>Z</w:t>
                  </w:r>
                </w:p>
              </w:tc>
              <w:tc>
                <w:tcPr>
                  <w:tcW w:w="171" w:type="pct"/>
                  <w:tcBorders>
                    <w:tl2br w:val="nil"/>
                    <w:tr2bl w:val="nil"/>
                  </w:tcBorders>
                  <w:shd w:val="clear" w:color="auto" w:fill="auto"/>
                  <w:tcMar>
                    <w:top w:w="0" w:type="dxa"/>
                    <w:left w:w="0" w:type="dxa"/>
                    <w:bottom w:w="0" w:type="dxa"/>
                    <w:right w:w="0" w:type="dxa"/>
                  </w:tcMar>
                  <w:vAlign w:val="center"/>
                </w:tcPr>
                <w:p w14:paraId="32049DE2">
                  <w:pPr>
                    <w:adjustRightInd w:val="0"/>
                    <w:snapToGrid w:val="0"/>
                    <w:jc w:val="center"/>
                    <w:rPr>
                      <w:color w:val="auto"/>
                      <w:sz w:val="20"/>
                      <w:szCs w:val="20"/>
                    </w:rPr>
                  </w:pPr>
                  <w:r>
                    <w:rPr>
                      <w:rFonts w:hint="eastAsia"/>
                      <w:color w:val="auto"/>
                      <w:sz w:val="20"/>
                      <w:szCs w:val="20"/>
                    </w:rPr>
                    <w:t>东</w:t>
                  </w:r>
                </w:p>
              </w:tc>
              <w:tc>
                <w:tcPr>
                  <w:tcW w:w="189" w:type="pct"/>
                  <w:tcBorders>
                    <w:tl2br w:val="nil"/>
                    <w:tr2bl w:val="nil"/>
                  </w:tcBorders>
                  <w:shd w:val="clear" w:color="auto" w:fill="auto"/>
                  <w:tcMar>
                    <w:top w:w="0" w:type="dxa"/>
                    <w:left w:w="0" w:type="dxa"/>
                    <w:bottom w:w="0" w:type="dxa"/>
                    <w:right w:w="0" w:type="dxa"/>
                  </w:tcMar>
                  <w:vAlign w:val="center"/>
                </w:tcPr>
                <w:p w14:paraId="38977F9C">
                  <w:pPr>
                    <w:adjustRightInd w:val="0"/>
                    <w:snapToGrid w:val="0"/>
                    <w:jc w:val="center"/>
                    <w:rPr>
                      <w:color w:val="auto"/>
                      <w:sz w:val="20"/>
                      <w:szCs w:val="20"/>
                    </w:rPr>
                  </w:pPr>
                  <w:r>
                    <w:rPr>
                      <w:rFonts w:hint="eastAsia"/>
                      <w:color w:val="auto"/>
                      <w:sz w:val="20"/>
                      <w:szCs w:val="20"/>
                    </w:rPr>
                    <w:t>南</w:t>
                  </w:r>
                </w:p>
              </w:tc>
              <w:tc>
                <w:tcPr>
                  <w:tcW w:w="159" w:type="pct"/>
                  <w:tcBorders>
                    <w:tl2br w:val="nil"/>
                    <w:tr2bl w:val="nil"/>
                  </w:tcBorders>
                  <w:shd w:val="clear" w:color="auto" w:fill="auto"/>
                  <w:tcMar>
                    <w:top w:w="0" w:type="dxa"/>
                    <w:left w:w="0" w:type="dxa"/>
                    <w:bottom w:w="0" w:type="dxa"/>
                    <w:right w:w="0" w:type="dxa"/>
                  </w:tcMar>
                  <w:vAlign w:val="center"/>
                </w:tcPr>
                <w:p w14:paraId="7EE96E96">
                  <w:pPr>
                    <w:adjustRightInd w:val="0"/>
                    <w:snapToGrid w:val="0"/>
                    <w:jc w:val="center"/>
                    <w:rPr>
                      <w:color w:val="auto"/>
                      <w:sz w:val="20"/>
                      <w:szCs w:val="20"/>
                    </w:rPr>
                  </w:pPr>
                  <w:r>
                    <w:rPr>
                      <w:rFonts w:hint="eastAsia"/>
                      <w:color w:val="auto"/>
                      <w:sz w:val="20"/>
                      <w:szCs w:val="20"/>
                    </w:rPr>
                    <w:t>西</w:t>
                  </w:r>
                </w:p>
              </w:tc>
              <w:tc>
                <w:tcPr>
                  <w:tcW w:w="174" w:type="pct"/>
                  <w:tcBorders>
                    <w:tl2br w:val="nil"/>
                    <w:tr2bl w:val="nil"/>
                  </w:tcBorders>
                  <w:shd w:val="clear" w:color="auto" w:fill="auto"/>
                  <w:tcMar>
                    <w:top w:w="0" w:type="dxa"/>
                    <w:left w:w="0" w:type="dxa"/>
                    <w:bottom w:w="0" w:type="dxa"/>
                    <w:right w:w="0" w:type="dxa"/>
                  </w:tcMar>
                  <w:vAlign w:val="center"/>
                </w:tcPr>
                <w:p w14:paraId="37142AFC">
                  <w:pPr>
                    <w:adjustRightInd w:val="0"/>
                    <w:snapToGrid w:val="0"/>
                    <w:jc w:val="center"/>
                    <w:rPr>
                      <w:color w:val="auto"/>
                      <w:sz w:val="20"/>
                      <w:szCs w:val="20"/>
                    </w:rPr>
                  </w:pPr>
                  <w:r>
                    <w:rPr>
                      <w:rFonts w:hint="eastAsia"/>
                      <w:color w:val="auto"/>
                      <w:sz w:val="20"/>
                      <w:szCs w:val="20"/>
                    </w:rPr>
                    <w:t>北</w:t>
                  </w:r>
                </w:p>
              </w:tc>
              <w:tc>
                <w:tcPr>
                  <w:tcW w:w="167" w:type="pct"/>
                  <w:tcBorders>
                    <w:tl2br w:val="nil"/>
                    <w:tr2bl w:val="nil"/>
                  </w:tcBorders>
                  <w:shd w:val="clear" w:color="auto" w:fill="auto"/>
                  <w:tcMar>
                    <w:top w:w="0" w:type="dxa"/>
                    <w:left w:w="0" w:type="dxa"/>
                    <w:bottom w:w="0" w:type="dxa"/>
                    <w:right w:w="0" w:type="dxa"/>
                  </w:tcMar>
                  <w:vAlign w:val="center"/>
                </w:tcPr>
                <w:p w14:paraId="65342359">
                  <w:pPr>
                    <w:adjustRightInd w:val="0"/>
                    <w:snapToGrid w:val="0"/>
                    <w:jc w:val="center"/>
                    <w:rPr>
                      <w:color w:val="auto"/>
                      <w:sz w:val="20"/>
                      <w:szCs w:val="20"/>
                    </w:rPr>
                  </w:pPr>
                  <w:r>
                    <w:rPr>
                      <w:rFonts w:hint="eastAsia"/>
                      <w:color w:val="auto"/>
                      <w:sz w:val="20"/>
                      <w:szCs w:val="20"/>
                    </w:rPr>
                    <w:t>东</w:t>
                  </w:r>
                </w:p>
              </w:tc>
              <w:tc>
                <w:tcPr>
                  <w:tcW w:w="167" w:type="pct"/>
                  <w:tcBorders>
                    <w:tl2br w:val="nil"/>
                    <w:tr2bl w:val="nil"/>
                  </w:tcBorders>
                  <w:shd w:val="clear" w:color="auto" w:fill="auto"/>
                  <w:tcMar>
                    <w:top w:w="0" w:type="dxa"/>
                    <w:left w:w="0" w:type="dxa"/>
                    <w:bottom w:w="0" w:type="dxa"/>
                    <w:right w:w="0" w:type="dxa"/>
                  </w:tcMar>
                  <w:vAlign w:val="center"/>
                </w:tcPr>
                <w:p w14:paraId="62B08C94">
                  <w:pPr>
                    <w:adjustRightInd w:val="0"/>
                    <w:snapToGrid w:val="0"/>
                    <w:jc w:val="center"/>
                    <w:rPr>
                      <w:color w:val="auto"/>
                      <w:sz w:val="20"/>
                      <w:szCs w:val="20"/>
                    </w:rPr>
                  </w:pPr>
                  <w:r>
                    <w:rPr>
                      <w:rFonts w:hint="eastAsia"/>
                      <w:color w:val="auto"/>
                      <w:sz w:val="20"/>
                      <w:szCs w:val="20"/>
                    </w:rPr>
                    <w:t>南</w:t>
                  </w:r>
                </w:p>
              </w:tc>
              <w:tc>
                <w:tcPr>
                  <w:tcW w:w="167" w:type="pct"/>
                  <w:tcBorders>
                    <w:tl2br w:val="nil"/>
                    <w:tr2bl w:val="nil"/>
                  </w:tcBorders>
                  <w:shd w:val="clear" w:color="auto" w:fill="auto"/>
                  <w:tcMar>
                    <w:top w:w="0" w:type="dxa"/>
                    <w:left w:w="0" w:type="dxa"/>
                    <w:bottom w:w="0" w:type="dxa"/>
                    <w:right w:w="0" w:type="dxa"/>
                  </w:tcMar>
                  <w:vAlign w:val="center"/>
                </w:tcPr>
                <w:p w14:paraId="2E5BB1BE">
                  <w:pPr>
                    <w:adjustRightInd w:val="0"/>
                    <w:snapToGrid w:val="0"/>
                    <w:jc w:val="center"/>
                    <w:rPr>
                      <w:color w:val="auto"/>
                      <w:sz w:val="20"/>
                      <w:szCs w:val="20"/>
                    </w:rPr>
                  </w:pPr>
                  <w:r>
                    <w:rPr>
                      <w:rFonts w:hint="eastAsia"/>
                      <w:color w:val="auto"/>
                      <w:sz w:val="20"/>
                      <w:szCs w:val="20"/>
                    </w:rPr>
                    <w:t>西</w:t>
                  </w:r>
                </w:p>
              </w:tc>
              <w:tc>
                <w:tcPr>
                  <w:tcW w:w="175" w:type="pct"/>
                  <w:tcBorders>
                    <w:tl2br w:val="nil"/>
                    <w:tr2bl w:val="nil"/>
                  </w:tcBorders>
                  <w:shd w:val="clear" w:color="auto" w:fill="auto"/>
                  <w:tcMar>
                    <w:top w:w="0" w:type="dxa"/>
                    <w:left w:w="0" w:type="dxa"/>
                    <w:bottom w:w="0" w:type="dxa"/>
                    <w:right w:w="0" w:type="dxa"/>
                  </w:tcMar>
                  <w:vAlign w:val="center"/>
                </w:tcPr>
                <w:p w14:paraId="52A9C201">
                  <w:pPr>
                    <w:adjustRightInd w:val="0"/>
                    <w:snapToGrid w:val="0"/>
                    <w:jc w:val="center"/>
                    <w:rPr>
                      <w:color w:val="auto"/>
                      <w:sz w:val="20"/>
                      <w:szCs w:val="20"/>
                    </w:rPr>
                  </w:pPr>
                  <w:r>
                    <w:rPr>
                      <w:rFonts w:hint="eastAsia"/>
                      <w:color w:val="auto"/>
                      <w:sz w:val="20"/>
                      <w:szCs w:val="20"/>
                    </w:rPr>
                    <w:t>北</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5DB64360">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16C161B8">
                  <w:pPr>
                    <w:adjustRightInd w:val="0"/>
                    <w:snapToGrid w:val="0"/>
                    <w:jc w:val="center"/>
                    <w:rPr>
                      <w:color w:val="auto"/>
                      <w:sz w:val="20"/>
                      <w:szCs w:val="20"/>
                    </w:rPr>
                  </w:pPr>
                  <w:r>
                    <w:rPr>
                      <w:rFonts w:hint="eastAsia"/>
                      <w:color w:val="auto"/>
                      <w:sz w:val="20"/>
                      <w:szCs w:val="20"/>
                    </w:rPr>
                    <w:t>东</w:t>
                  </w:r>
                </w:p>
              </w:tc>
              <w:tc>
                <w:tcPr>
                  <w:tcW w:w="160" w:type="pct"/>
                  <w:tcBorders>
                    <w:tl2br w:val="nil"/>
                    <w:tr2bl w:val="nil"/>
                  </w:tcBorders>
                  <w:shd w:val="clear" w:color="auto" w:fill="auto"/>
                  <w:tcMar>
                    <w:top w:w="0" w:type="dxa"/>
                    <w:left w:w="0" w:type="dxa"/>
                    <w:bottom w:w="0" w:type="dxa"/>
                    <w:right w:w="0" w:type="dxa"/>
                  </w:tcMar>
                  <w:vAlign w:val="center"/>
                </w:tcPr>
                <w:p w14:paraId="2C1E05F8">
                  <w:pPr>
                    <w:adjustRightInd w:val="0"/>
                    <w:snapToGrid w:val="0"/>
                    <w:jc w:val="center"/>
                    <w:rPr>
                      <w:color w:val="auto"/>
                      <w:sz w:val="20"/>
                      <w:szCs w:val="20"/>
                    </w:rPr>
                  </w:pPr>
                  <w:r>
                    <w:rPr>
                      <w:rFonts w:hint="eastAsia"/>
                      <w:color w:val="auto"/>
                      <w:sz w:val="20"/>
                      <w:szCs w:val="20"/>
                    </w:rPr>
                    <w:t>南</w:t>
                  </w:r>
                </w:p>
              </w:tc>
              <w:tc>
                <w:tcPr>
                  <w:tcW w:w="160" w:type="pct"/>
                  <w:tcBorders>
                    <w:tl2br w:val="nil"/>
                    <w:tr2bl w:val="nil"/>
                  </w:tcBorders>
                  <w:shd w:val="clear" w:color="auto" w:fill="auto"/>
                  <w:tcMar>
                    <w:top w:w="0" w:type="dxa"/>
                    <w:left w:w="0" w:type="dxa"/>
                    <w:bottom w:w="0" w:type="dxa"/>
                    <w:right w:w="0" w:type="dxa"/>
                  </w:tcMar>
                  <w:vAlign w:val="center"/>
                </w:tcPr>
                <w:p w14:paraId="5AC1253F">
                  <w:pPr>
                    <w:adjustRightInd w:val="0"/>
                    <w:snapToGrid w:val="0"/>
                    <w:jc w:val="center"/>
                    <w:rPr>
                      <w:color w:val="auto"/>
                      <w:sz w:val="20"/>
                      <w:szCs w:val="20"/>
                    </w:rPr>
                  </w:pPr>
                  <w:r>
                    <w:rPr>
                      <w:rFonts w:hint="eastAsia"/>
                      <w:color w:val="auto"/>
                      <w:sz w:val="20"/>
                      <w:szCs w:val="20"/>
                    </w:rPr>
                    <w:t>西</w:t>
                  </w:r>
                </w:p>
              </w:tc>
              <w:tc>
                <w:tcPr>
                  <w:tcW w:w="167" w:type="pct"/>
                  <w:tcBorders>
                    <w:tl2br w:val="nil"/>
                    <w:tr2bl w:val="nil"/>
                  </w:tcBorders>
                  <w:shd w:val="clear" w:color="auto" w:fill="auto"/>
                  <w:tcMar>
                    <w:top w:w="0" w:type="dxa"/>
                    <w:left w:w="0" w:type="dxa"/>
                    <w:bottom w:w="0" w:type="dxa"/>
                    <w:right w:w="0" w:type="dxa"/>
                  </w:tcMar>
                  <w:vAlign w:val="center"/>
                </w:tcPr>
                <w:p w14:paraId="77C325BA">
                  <w:pPr>
                    <w:adjustRightInd w:val="0"/>
                    <w:snapToGrid w:val="0"/>
                    <w:jc w:val="center"/>
                    <w:rPr>
                      <w:color w:val="auto"/>
                      <w:sz w:val="20"/>
                      <w:szCs w:val="20"/>
                    </w:rPr>
                  </w:pPr>
                  <w:r>
                    <w:rPr>
                      <w:rFonts w:hint="eastAsia"/>
                      <w:color w:val="auto"/>
                      <w:sz w:val="20"/>
                      <w:szCs w:val="20"/>
                    </w:rPr>
                    <w:t>北</w:t>
                  </w:r>
                </w:p>
              </w:tc>
              <w:tc>
                <w:tcPr>
                  <w:tcW w:w="171" w:type="pct"/>
                  <w:tcBorders>
                    <w:tl2br w:val="nil"/>
                    <w:tr2bl w:val="nil"/>
                  </w:tcBorders>
                  <w:shd w:val="clear" w:color="auto" w:fill="auto"/>
                  <w:tcMar>
                    <w:top w:w="0" w:type="dxa"/>
                    <w:left w:w="0" w:type="dxa"/>
                    <w:bottom w:w="0" w:type="dxa"/>
                    <w:right w:w="0" w:type="dxa"/>
                  </w:tcMar>
                  <w:vAlign w:val="center"/>
                </w:tcPr>
                <w:p w14:paraId="38C1692E">
                  <w:pPr>
                    <w:adjustRightInd w:val="0"/>
                    <w:snapToGrid w:val="0"/>
                    <w:jc w:val="center"/>
                    <w:rPr>
                      <w:color w:val="auto"/>
                      <w:sz w:val="20"/>
                      <w:szCs w:val="20"/>
                    </w:rPr>
                  </w:pPr>
                  <w:r>
                    <w:rPr>
                      <w:rFonts w:hint="eastAsia"/>
                      <w:color w:val="auto"/>
                      <w:sz w:val="20"/>
                      <w:szCs w:val="20"/>
                    </w:rPr>
                    <w:t>东</w:t>
                  </w:r>
                </w:p>
              </w:tc>
              <w:tc>
                <w:tcPr>
                  <w:tcW w:w="171" w:type="pct"/>
                  <w:tcBorders>
                    <w:tl2br w:val="nil"/>
                    <w:tr2bl w:val="nil"/>
                  </w:tcBorders>
                  <w:shd w:val="clear" w:color="auto" w:fill="auto"/>
                  <w:tcMar>
                    <w:top w:w="0" w:type="dxa"/>
                    <w:left w:w="0" w:type="dxa"/>
                    <w:bottom w:w="0" w:type="dxa"/>
                    <w:right w:w="0" w:type="dxa"/>
                  </w:tcMar>
                  <w:vAlign w:val="center"/>
                </w:tcPr>
                <w:p w14:paraId="40FB62CB">
                  <w:pPr>
                    <w:adjustRightInd w:val="0"/>
                    <w:snapToGrid w:val="0"/>
                    <w:jc w:val="center"/>
                    <w:rPr>
                      <w:color w:val="auto"/>
                      <w:sz w:val="20"/>
                      <w:szCs w:val="20"/>
                    </w:rPr>
                  </w:pPr>
                  <w:r>
                    <w:rPr>
                      <w:rFonts w:hint="eastAsia"/>
                      <w:color w:val="auto"/>
                      <w:sz w:val="20"/>
                      <w:szCs w:val="20"/>
                    </w:rPr>
                    <w:t>南</w:t>
                  </w:r>
                </w:p>
              </w:tc>
              <w:tc>
                <w:tcPr>
                  <w:tcW w:w="172" w:type="pct"/>
                  <w:tcBorders>
                    <w:tl2br w:val="nil"/>
                    <w:tr2bl w:val="nil"/>
                  </w:tcBorders>
                  <w:shd w:val="clear" w:color="auto" w:fill="auto"/>
                  <w:tcMar>
                    <w:top w:w="0" w:type="dxa"/>
                    <w:left w:w="0" w:type="dxa"/>
                    <w:bottom w:w="0" w:type="dxa"/>
                    <w:right w:w="0" w:type="dxa"/>
                  </w:tcMar>
                  <w:vAlign w:val="center"/>
                </w:tcPr>
                <w:p w14:paraId="2B82B653">
                  <w:pPr>
                    <w:adjustRightInd w:val="0"/>
                    <w:snapToGrid w:val="0"/>
                    <w:jc w:val="center"/>
                    <w:rPr>
                      <w:color w:val="auto"/>
                      <w:sz w:val="20"/>
                      <w:szCs w:val="20"/>
                    </w:rPr>
                  </w:pPr>
                  <w:r>
                    <w:rPr>
                      <w:rFonts w:hint="eastAsia"/>
                      <w:color w:val="auto"/>
                      <w:sz w:val="20"/>
                      <w:szCs w:val="20"/>
                    </w:rPr>
                    <w:t>西</w:t>
                  </w:r>
                </w:p>
              </w:tc>
              <w:tc>
                <w:tcPr>
                  <w:tcW w:w="172" w:type="pct"/>
                  <w:tcBorders>
                    <w:tl2br w:val="nil"/>
                    <w:tr2bl w:val="nil"/>
                  </w:tcBorders>
                  <w:shd w:val="clear" w:color="auto" w:fill="auto"/>
                  <w:tcMar>
                    <w:top w:w="0" w:type="dxa"/>
                    <w:left w:w="0" w:type="dxa"/>
                    <w:bottom w:w="0" w:type="dxa"/>
                    <w:right w:w="0" w:type="dxa"/>
                  </w:tcMar>
                  <w:vAlign w:val="center"/>
                </w:tcPr>
                <w:p w14:paraId="7E24DADF">
                  <w:pPr>
                    <w:adjustRightInd w:val="0"/>
                    <w:snapToGrid w:val="0"/>
                    <w:jc w:val="center"/>
                    <w:rPr>
                      <w:color w:val="auto"/>
                      <w:sz w:val="20"/>
                      <w:szCs w:val="20"/>
                    </w:rPr>
                  </w:pPr>
                  <w:r>
                    <w:rPr>
                      <w:rFonts w:hint="eastAsia"/>
                      <w:color w:val="auto"/>
                      <w:sz w:val="20"/>
                      <w:szCs w:val="20"/>
                    </w:rPr>
                    <w:t>北</w:t>
                  </w:r>
                </w:p>
              </w:tc>
              <w:tc>
                <w:tcPr>
                  <w:tcW w:w="165" w:type="pct"/>
                  <w:tcBorders>
                    <w:tl2br w:val="nil"/>
                    <w:tr2bl w:val="nil"/>
                  </w:tcBorders>
                  <w:shd w:val="clear" w:color="auto" w:fill="auto"/>
                  <w:tcMar>
                    <w:top w:w="0" w:type="dxa"/>
                    <w:left w:w="0" w:type="dxa"/>
                    <w:bottom w:w="0" w:type="dxa"/>
                    <w:right w:w="0" w:type="dxa"/>
                  </w:tcMar>
                  <w:vAlign w:val="center"/>
                </w:tcPr>
                <w:p w14:paraId="49A43A10">
                  <w:pPr>
                    <w:adjustRightInd w:val="0"/>
                    <w:snapToGrid w:val="0"/>
                    <w:jc w:val="center"/>
                    <w:rPr>
                      <w:color w:val="auto"/>
                      <w:sz w:val="20"/>
                      <w:szCs w:val="20"/>
                    </w:rPr>
                  </w:pPr>
                  <w:r>
                    <w:rPr>
                      <w:color w:val="auto"/>
                      <w:sz w:val="20"/>
                      <w:szCs w:val="20"/>
                    </w:rPr>
                    <w:t>建筑物外距离</w:t>
                  </w:r>
                </w:p>
              </w:tc>
            </w:tr>
            <w:tr w14:paraId="2391EA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70281D9D">
                  <w:pPr>
                    <w:adjustRightInd w:val="0"/>
                    <w:snapToGrid w:val="0"/>
                    <w:jc w:val="center"/>
                    <w:rPr>
                      <w:color w:val="auto"/>
                      <w:sz w:val="20"/>
                      <w:szCs w:val="20"/>
                    </w:rPr>
                  </w:pPr>
                  <w:r>
                    <w:rPr>
                      <w:color w:val="auto"/>
                      <w:sz w:val="20"/>
                      <w:szCs w:val="20"/>
                    </w:rPr>
                    <w:t>1</w:t>
                  </w:r>
                </w:p>
              </w:tc>
              <w:tc>
                <w:tcPr>
                  <w:tcW w:w="189" w:type="pct"/>
                  <w:vMerge w:val="restart"/>
                  <w:tcBorders>
                    <w:tl2br w:val="nil"/>
                    <w:tr2bl w:val="nil"/>
                  </w:tcBorders>
                  <w:shd w:val="clear" w:color="auto" w:fill="auto"/>
                  <w:tcMar>
                    <w:top w:w="0" w:type="dxa"/>
                    <w:left w:w="0" w:type="dxa"/>
                    <w:bottom w:w="0" w:type="dxa"/>
                    <w:right w:w="0" w:type="dxa"/>
                  </w:tcMar>
                  <w:vAlign w:val="center"/>
                </w:tcPr>
                <w:p w14:paraId="412B63EA">
                  <w:pPr>
                    <w:adjustRightInd w:val="0"/>
                    <w:snapToGrid w:val="0"/>
                    <w:jc w:val="center"/>
                    <w:rPr>
                      <w:color w:val="auto"/>
                      <w:sz w:val="20"/>
                      <w:szCs w:val="20"/>
                    </w:rPr>
                  </w:pPr>
                  <w:r>
                    <w:rPr>
                      <w:rFonts w:hint="eastAsia"/>
                      <w:color w:val="auto"/>
                      <w:sz w:val="20"/>
                      <w:szCs w:val="20"/>
                    </w:rPr>
                    <w:t>生产车间</w:t>
                  </w:r>
                </w:p>
              </w:tc>
              <w:tc>
                <w:tcPr>
                  <w:tcW w:w="502" w:type="pct"/>
                  <w:tcBorders>
                    <w:tl2br w:val="nil"/>
                    <w:tr2bl w:val="nil"/>
                  </w:tcBorders>
                  <w:shd w:val="clear" w:color="auto" w:fill="auto"/>
                  <w:tcMar>
                    <w:top w:w="0" w:type="dxa"/>
                    <w:left w:w="0" w:type="dxa"/>
                    <w:bottom w:w="0" w:type="dxa"/>
                    <w:right w:w="0" w:type="dxa"/>
                  </w:tcMar>
                  <w:vAlign w:val="center"/>
                </w:tcPr>
                <w:p w14:paraId="669054ED">
                  <w:pPr>
                    <w:keepNext w:val="0"/>
                    <w:keepLines w:val="0"/>
                    <w:widowControl/>
                    <w:suppressLineNumbers w:val="0"/>
                    <w:jc w:val="center"/>
                    <w:textAlignment w:val="center"/>
                    <w:rPr>
                      <w:rFonts w:hint="eastAsia"/>
                      <w:color w:val="auto"/>
                      <w:sz w:val="20"/>
                      <w:szCs w:val="20"/>
                      <w:lang w:eastAsia="zh-CN"/>
                    </w:rPr>
                  </w:pPr>
                  <w:r>
                    <w:rPr>
                      <w:rFonts w:hint="default" w:ascii="Times New Roman" w:hAnsi="Times New Roman" w:eastAsia="宋体" w:cs="Times New Roman"/>
                      <w:i w:val="0"/>
                      <w:iCs w:val="0"/>
                      <w:color w:val="auto"/>
                      <w:kern w:val="0"/>
                      <w:sz w:val="20"/>
                      <w:szCs w:val="20"/>
                      <w:u w:val="none"/>
                      <w:lang w:val="en-US" w:eastAsia="zh-CN" w:bidi="ar"/>
                    </w:rPr>
                    <w:t>CNC</w:t>
                  </w:r>
                  <w:r>
                    <w:rPr>
                      <w:rFonts w:hint="eastAsia" w:ascii="宋体" w:hAnsi="宋体" w:eastAsia="宋体" w:cs="宋体"/>
                      <w:i w:val="0"/>
                      <w:iCs w:val="0"/>
                      <w:color w:val="auto"/>
                      <w:kern w:val="0"/>
                      <w:sz w:val="20"/>
                      <w:szCs w:val="20"/>
                      <w:u w:val="none"/>
                      <w:lang w:val="en-US" w:eastAsia="zh-CN" w:bidi="ar"/>
                    </w:rPr>
                    <w:t>自动车</w:t>
                  </w:r>
                </w:p>
              </w:tc>
              <w:tc>
                <w:tcPr>
                  <w:tcW w:w="165" w:type="pct"/>
                  <w:tcBorders>
                    <w:tl2br w:val="nil"/>
                    <w:tr2bl w:val="nil"/>
                  </w:tcBorders>
                  <w:shd w:val="clear" w:color="auto" w:fill="auto"/>
                  <w:tcMar>
                    <w:top w:w="0" w:type="dxa"/>
                    <w:left w:w="0" w:type="dxa"/>
                    <w:bottom w:w="0" w:type="dxa"/>
                    <w:right w:w="0" w:type="dxa"/>
                  </w:tcMar>
                  <w:vAlign w:val="center"/>
                </w:tcPr>
                <w:p w14:paraId="34120EF7">
                  <w:pPr>
                    <w:keepNext w:val="0"/>
                    <w:keepLines w:val="0"/>
                    <w:widowControl/>
                    <w:suppressLineNumbers w:val="0"/>
                    <w:jc w:val="center"/>
                    <w:textAlignment w:val="center"/>
                    <w:rPr>
                      <w:color w:val="auto"/>
                      <w:sz w:val="18"/>
                      <w:szCs w:val="18"/>
                      <w:lang w:bidi="zh-CN"/>
                    </w:rPr>
                  </w:pPr>
                  <w:r>
                    <w:rPr>
                      <w:rFonts w:hint="default" w:ascii="Times New Roman" w:hAnsi="Times New Roman" w:eastAsia="宋体" w:cs="Times New Roman"/>
                      <w:i w:val="0"/>
                      <w:iCs w:val="0"/>
                      <w:color w:val="auto"/>
                      <w:kern w:val="0"/>
                      <w:sz w:val="21"/>
                      <w:szCs w:val="21"/>
                      <w:u w:val="none"/>
                      <w:lang w:val="en-US" w:eastAsia="zh-CN" w:bidi="ar"/>
                    </w:rPr>
                    <w:t>90</w:t>
                  </w:r>
                </w:p>
              </w:tc>
              <w:tc>
                <w:tcPr>
                  <w:tcW w:w="223" w:type="pct"/>
                  <w:tcBorders>
                    <w:tl2br w:val="nil"/>
                    <w:tr2bl w:val="nil"/>
                  </w:tcBorders>
                  <w:shd w:val="clear" w:color="auto" w:fill="auto"/>
                  <w:tcMar>
                    <w:top w:w="0" w:type="dxa"/>
                    <w:left w:w="0" w:type="dxa"/>
                    <w:bottom w:w="0" w:type="dxa"/>
                    <w:right w:w="0" w:type="dxa"/>
                  </w:tcMar>
                  <w:vAlign w:val="center"/>
                </w:tcPr>
                <w:p w14:paraId="202BCC1D">
                  <w:pPr>
                    <w:jc w:val="center"/>
                    <w:rPr>
                      <w:rFonts w:hint="default" w:eastAsia="宋体"/>
                      <w:color w:val="auto"/>
                      <w:sz w:val="20"/>
                      <w:szCs w:val="20"/>
                      <w:highlight w:val="none"/>
                      <w:lang w:val="en-US" w:eastAsia="zh-CN"/>
                    </w:rPr>
                  </w:pPr>
                  <w:r>
                    <w:rPr>
                      <w:rFonts w:hint="eastAsia"/>
                      <w:color w:val="auto"/>
                      <w:sz w:val="18"/>
                      <w:szCs w:val="18"/>
                      <w:highlight w:val="none"/>
                    </w:rPr>
                    <w:t>7</w:t>
                  </w:r>
                  <w:r>
                    <w:rPr>
                      <w:rFonts w:hint="eastAsia"/>
                      <w:color w:val="auto"/>
                      <w:sz w:val="18"/>
                      <w:szCs w:val="18"/>
                      <w:highlight w:val="none"/>
                      <w:lang w:val="en-US" w:eastAsia="zh-CN"/>
                    </w:rPr>
                    <w:t>8.01</w:t>
                  </w:r>
                </w:p>
              </w:tc>
              <w:tc>
                <w:tcPr>
                  <w:tcW w:w="181" w:type="pct"/>
                  <w:vMerge w:val="restart"/>
                  <w:tcBorders>
                    <w:tl2br w:val="nil"/>
                    <w:tr2bl w:val="nil"/>
                  </w:tcBorders>
                  <w:shd w:val="clear" w:color="auto" w:fill="auto"/>
                  <w:tcMar>
                    <w:top w:w="0" w:type="dxa"/>
                    <w:left w:w="0" w:type="dxa"/>
                    <w:bottom w:w="0" w:type="dxa"/>
                    <w:right w:w="0" w:type="dxa"/>
                  </w:tcMar>
                  <w:vAlign w:val="center"/>
                </w:tcPr>
                <w:p w14:paraId="6926A6E4">
                  <w:pPr>
                    <w:adjustRightInd w:val="0"/>
                    <w:snapToGrid w:val="0"/>
                    <w:jc w:val="center"/>
                    <w:rPr>
                      <w:color w:val="auto"/>
                      <w:sz w:val="20"/>
                      <w:szCs w:val="20"/>
                    </w:rPr>
                  </w:pPr>
                  <w:r>
                    <w:rPr>
                      <w:color w:val="auto"/>
                      <w:sz w:val="20"/>
                      <w:szCs w:val="20"/>
                    </w:rPr>
                    <w:t>减振隔声消声等</w:t>
                  </w:r>
                </w:p>
              </w:tc>
              <w:tc>
                <w:tcPr>
                  <w:tcW w:w="204" w:type="pct"/>
                  <w:tcBorders>
                    <w:tl2br w:val="nil"/>
                    <w:tr2bl w:val="nil"/>
                  </w:tcBorders>
                  <w:shd w:val="clear" w:color="auto" w:fill="auto"/>
                  <w:tcMar>
                    <w:top w:w="0" w:type="dxa"/>
                    <w:left w:w="0" w:type="dxa"/>
                    <w:bottom w:w="0" w:type="dxa"/>
                    <w:right w:w="0" w:type="dxa"/>
                  </w:tcMar>
                  <w:vAlign w:val="center"/>
                </w:tcPr>
                <w:p w14:paraId="4CF8B62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w:t>
                  </w:r>
                </w:p>
              </w:tc>
              <w:tc>
                <w:tcPr>
                  <w:tcW w:w="181" w:type="pct"/>
                  <w:tcBorders>
                    <w:tl2br w:val="nil"/>
                    <w:tr2bl w:val="nil"/>
                  </w:tcBorders>
                  <w:shd w:val="clear" w:color="auto" w:fill="auto"/>
                  <w:tcMar>
                    <w:top w:w="0" w:type="dxa"/>
                    <w:left w:w="0" w:type="dxa"/>
                    <w:bottom w:w="0" w:type="dxa"/>
                    <w:right w:w="0" w:type="dxa"/>
                  </w:tcMar>
                  <w:vAlign w:val="center"/>
                </w:tcPr>
                <w:p w14:paraId="78EDFF1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43" w:type="pct"/>
                  <w:tcBorders>
                    <w:tl2br w:val="nil"/>
                    <w:tr2bl w:val="nil"/>
                  </w:tcBorders>
                  <w:shd w:val="clear" w:color="auto" w:fill="auto"/>
                  <w:tcMar>
                    <w:top w:w="0" w:type="dxa"/>
                    <w:left w:w="0" w:type="dxa"/>
                    <w:bottom w:w="0" w:type="dxa"/>
                    <w:right w:w="0" w:type="dxa"/>
                  </w:tcMar>
                  <w:vAlign w:val="center"/>
                </w:tcPr>
                <w:p w14:paraId="630D766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22.2</w:t>
                  </w:r>
                </w:p>
              </w:tc>
              <w:tc>
                <w:tcPr>
                  <w:tcW w:w="171" w:type="pct"/>
                  <w:tcBorders>
                    <w:tl2br w:val="nil"/>
                    <w:tr2bl w:val="nil"/>
                  </w:tcBorders>
                  <w:shd w:val="clear" w:color="auto" w:fill="auto"/>
                  <w:tcMar>
                    <w:top w:w="0" w:type="dxa"/>
                    <w:left w:w="0" w:type="dxa"/>
                    <w:bottom w:w="0" w:type="dxa"/>
                    <w:right w:w="0" w:type="dxa"/>
                  </w:tcMar>
                  <w:vAlign w:val="center"/>
                </w:tcPr>
                <w:p w14:paraId="178B300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3.0</w:t>
                  </w:r>
                </w:p>
              </w:tc>
              <w:tc>
                <w:tcPr>
                  <w:tcW w:w="189" w:type="pct"/>
                  <w:tcBorders>
                    <w:tl2br w:val="nil"/>
                    <w:tr2bl w:val="nil"/>
                  </w:tcBorders>
                  <w:shd w:val="clear" w:color="auto" w:fill="auto"/>
                  <w:tcMar>
                    <w:top w:w="0" w:type="dxa"/>
                    <w:left w:w="0" w:type="dxa"/>
                    <w:bottom w:w="0" w:type="dxa"/>
                    <w:right w:w="0" w:type="dxa"/>
                  </w:tcMar>
                  <w:vAlign w:val="center"/>
                </w:tcPr>
                <w:p w14:paraId="6EFDB3E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1.6</w:t>
                  </w:r>
                </w:p>
              </w:tc>
              <w:tc>
                <w:tcPr>
                  <w:tcW w:w="159" w:type="pct"/>
                  <w:tcBorders>
                    <w:tl2br w:val="nil"/>
                    <w:tr2bl w:val="nil"/>
                  </w:tcBorders>
                  <w:shd w:val="clear" w:color="auto" w:fill="auto"/>
                  <w:tcMar>
                    <w:top w:w="0" w:type="dxa"/>
                    <w:left w:w="0" w:type="dxa"/>
                    <w:bottom w:w="0" w:type="dxa"/>
                    <w:right w:w="0" w:type="dxa"/>
                  </w:tcMar>
                  <w:vAlign w:val="center"/>
                </w:tcPr>
                <w:p w14:paraId="53094E8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1.6</w:t>
                  </w:r>
                </w:p>
              </w:tc>
              <w:tc>
                <w:tcPr>
                  <w:tcW w:w="174" w:type="pct"/>
                  <w:tcBorders>
                    <w:tl2br w:val="nil"/>
                    <w:tr2bl w:val="nil"/>
                  </w:tcBorders>
                  <w:shd w:val="clear" w:color="auto" w:fill="auto"/>
                  <w:tcMar>
                    <w:top w:w="0" w:type="dxa"/>
                    <w:left w:w="0" w:type="dxa"/>
                    <w:bottom w:w="0" w:type="dxa"/>
                    <w:right w:w="0" w:type="dxa"/>
                  </w:tcMar>
                  <w:vAlign w:val="center"/>
                </w:tcPr>
                <w:p w14:paraId="67488E3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67" w:type="pct"/>
                  <w:tcBorders>
                    <w:tl2br w:val="nil"/>
                    <w:tr2bl w:val="nil"/>
                  </w:tcBorders>
                  <w:shd w:val="clear" w:color="auto" w:fill="auto"/>
                  <w:tcMar>
                    <w:top w:w="0" w:type="dxa"/>
                    <w:left w:w="0" w:type="dxa"/>
                    <w:bottom w:w="0" w:type="dxa"/>
                    <w:right w:w="0" w:type="dxa"/>
                  </w:tcMar>
                  <w:vAlign w:val="center"/>
                </w:tcPr>
                <w:p w14:paraId="329F4C1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55.23</w:t>
                  </w:r>
                </w:p>
              </w:tc>
              <w:tc>
                <w:tcPr>
                  <w:tcW w:w="167" w:type="pct"/>
                  <w:tcBorders>
                    <w:tl2br w:val="nil"/>
                    <w:tr2bl w:val="nil"/>
                  </w:tcBorders>
                  <w:shd w:val="clear" w:color="auto" w:fill="auto"/>
                  <w:tcMar>
                    <w:top w:w="0" w:type="dxa"/>
                    <w:left w:w="0" w:type="dxa"/>
                    <w:bottom w:w="0" w:type="dxa"/>
                    <w:right w:w="0" w:type="dxa"/>
                  </w:tcMar>
                  <w:vAlign w:val="center"/>
                </w:tcPr>
                <w:p w14:paraId="4BAE1BA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60.69</w:t>
                  </w:r>
                </w:p>
              </w:tc>
              <w:tc>
                <w:tcPr>
                  <w:tcW w:w="167" w:type="pct"/>
                  <w:tcBorders>
                    <w:tl2br w:val="nil"/>
                    <w:tr2bl w:val="nil"/>
                  </w:tcBorders>
                  <w:shd w:val="clear" w:color="auto" w:fill="auto"/>
                  <w:tcMar>
                    <w:top w:w="0" w:type="dxa"/>
                    <w:left w:w="0" w:type="dxa"/>
                    <w:bottom w:w="0" w:type="dxa"/>
                    <w:right w:w="0" w:type="dxa"/>
                  </w:tcMar>
                  <w:vAlign w:val="center"/>
                </w:tcPr>
                <w:p w14:paraId="270A866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60.69</w:t>
                  </w:r>
                </w:p>
              </w:tc>
              <w:tc>
                <w:tcPr>
                  <w:tcW w:w="175" w:type="pct"/>
                  <w:tcBorders>
                    <w:tl2br w:val="nil"/>
                    <w:tr2bl w:val="nil"/>
                  </w:tcBorders>
                  <w:shd w:val="clear" w:color="auto" w:fill="auto"/>
                  <w:tcMar>
                    <w:top w:w="0" w:type="dxa"/>
                    <w:left w:w="0" w:type="dxa"/>
                    <w:bottom w:w="0" w:type="dxa"/>
                    <w:right w:w="0" w:type="dxa"/>
                  </w:tcMar>
                  <w:vAlign w:val="center"/>
                </w:tcPr>
                <w:p w14:paraId="0D9AAEA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58.75</w:t>
                  </w:r>
                </w:p>
              </w:tc>
              <w:tc>
                <w:tcPr>
                  <w:tcW w:w="165" w:type="pct"/>
                  <w:vMerge w:val="restart"/>
                  <w:tcBorders>
                    <w:tl2br w:val="nil"/>
                    <w:tr2bl w:val="nil"/>
                  </w:tcBorders>
                  <w:shd w:val="clear" w:color="auto" w:fill="auto"/>
                  <w:tcMar>
                    <w:top w:w="0" w:type="dxa"/>
                    <w:left w:w="0" w:type="dxa"/>
                    <w:bottom w:w="0" w:type="dxa"/>
                    <w:right w:w="0" w:type="dxa"/>
                  </w:tcMar>
                  <w:vAlign w:val="center"/>
                </w:tcPr>
                <w:p w14:paraId="79AC5D68">
                  <w:pPr>
                    <w:adjustRightInd w:val="0"/>
                    <w:snapToGrid w:val="0"/>
                    <w:jc w:val="center"/>
                    <w:rPr>
                      <w:color w:val="auto"/>
                      <w:sz w:val="20"/>
                      <w:szCs w:val="20"/>
                    </w:rPr>
                  </w:pPr>
                  <w:r>
                    <w:rPr>
                      <w:rFonts w:hint="eastAsia"/>
                      <w:color w:val="auto"/>
                      <w:sz w:val="20"/>
                      <w:szCs w:val="20"/>
                    </w:rPr>
                    <w:t>昼间</w:t>
                  </w:r>
                </w:p>
              </w:tc>
              <w:tc>
                <w:tcPr>
                  <w:tcW w:w="160" w:type="pct"/>
                  <w:tcBorders>
                    <w:tl2br w:val="nil"/>
                    <w:tr2bl w:val="nil"/>
                  </w:tcBorders>
                  <w:shd w:val="clear" w:color="auto" w:fill="auto"/>
                  <w:tcMar>
                    <w:top w:w="0" w:type="dxa"/>
                    <w:left w:w="0" w:type="dxa"/>
                    <w:bottom w:w="0" w:type="dxa"/>
                    <w:right w:w="0" w:type="dxa"/>
                  </w:tcMar>
                  <w:vAlign w:val="center"/>
                </w:tcPr>
                <w:p w14:paraId="09E421F4">
                  <w:pPr>
                    <w:jc w:val="center"/>
                    <w:rPr>
                      <w:rFonts w:hint="default" w:eastAsia="宋体"/>
                      <w:color w:val="auto"/>
                      <w:sz w:val="20"/>
                      <w:szCs w:val="20"/>
                      <w:lang w:val="en-US" w:eastAsia="zh-CN"/>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0542439">
                  <w:pPr>
                    <w:jc w:val="center"/>
                    <w:rPr>
                      <w:rFonts w:hint="default" w:eastAsia="宋体"/>
                      <w:color w:val="auto"/>
                      <w:sz w:val="20"/>
                      <w:szCs w:val="20"/>
                      <w:lang w:val="en-US" w:eastAsia="zh-CN"/>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0B5CAB3">
                  <w:pPr>
                    <w:jc w:val="center"/>
                    <w:rPr>
                      <w:rFonts w:hint="default" w:eastAsia="宋体"/>
                      <w:color w:val="auto"/>
                      <w:sz w:val="20"/>
                      <w:szCs w:val="20"/>
                      <w:lang w:val="en-US" w:eastAsia="zh-CN"/>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54303B16">
                  <w:pPr>
                    <w:jc w:val="center"/>
                    <w:rPr>
                      <w:rFonts w:hint="default" w:eastAsia="宋体"/>
                      <w:color w:val="auto"/>
                      <w:sz w:val="20"/>
                      <w:szCs w:val="20"/>
                      <w:lang w:val="en-US" w:eastAsia="zh-CN"/>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5612064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35.23</w:t>
                  </w:r>
                </w:p>
              </w:tc>
              <w:tc>
                <w:tcPr>
                  <w:tcW w:w="171" w:type="pct"/>
                  <w:tcBorders>
                    <w:tl2br w:val="nil"/>
                    <w:tr2bl w:val="nil"/>
                  </w:tcBorders>
                  <w:shd w:val="clear" w:color="auto" w:fill="auto"/>
                  <w:tcMar>
                    <w:top w:w="0" w:type="dxa"/>
                    <w:left w:w="0" w:type="dxa"/>
                    <w:bottom w:w="0" w:type="dxa"/>
                    <w:right w:w="0" w:type="dxa"/>
                  </w:tcMar>
                  <w:vAlign w:val="center"/>
                </w:tcPr>
                <w:p w14:paraId="56C1AA0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40.69</w:t>
                  </w:r>
                </w:p>
              </w:tc>
              <w:tc>
                <w:tcPr>
                  <w:tcW w:w="172" w:type="pct"/>
                  <w:tcBorders>
                    <w:tl2br w:val="nil"/>
                    <w:tr2bl w:val="nil"/>
                  </w:tcBorders>
                  <w:shd w:val="clear" w:color="auto" w:fill="auto"/>
                  <w:tcMar>
                    <w:top w:w="0" w:type="dxa"/>
                    <w:left w:w="0" w:type="dxa"/>
                    <w:bottom w:w="0" w:type="dxa"/>
                    <w:right w:w="0" w:type="dxa"/>
                  </w:tcMar>
                  <w:vAlign w:val="center"/>
                </w:tcPr>
                <w:p w14:paraId="28D3F7F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40.69</w:t>
                  </w:r>
                </w:p>
              </w:tc>
              <w:tc>
                <w:tcPr>
                  <w:tcW w:w="172" w:type="pct"/>
                  <w:tcBorders>
                    <w:tl2br w:val="nil"/>
                    <w:tr2bl w:val="nil"/>
                  </w:tcBorders>
                  <w:shd w:val="clear" w:color="auto" w:fill="auto"/>
                  <w:tcMar>
                    <w:top w:w="0" w:type="dxa"/>
                    <w:left w:w="0" w:type="dxa"/>
                    <w:bottom w:w="0" w:type="dxa"/>
                    <w:right w:w="0" w:type="dxa"/>
                  </w:tcMar>
                  <w:vAlign w:val="center"/>
                </w:tcPr>
                <w:p w14:paraId="310647D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38.75</w:t>
                  </w:r>
                </w:p>
              </w:tc>
              <w:tc>
                <w:tcPr>
                  <w:tcW w:w="165" w:type="pct"/>
                  <w:tcBorders>
                    <w:tl2br w:val="nil"/>
                    <w:tr2bl w:val="nil"/>
                  </w:tcBorders>
                  <w:shd w:val="clear" w:color="auto" w:fill="auto"/>
                  <w:tcMar>
                    <w:top w:w="0" w:type="dxa"/>
                    <w:left w:w="0" w:type="dxa"/>
                    <w:bottom w:w="0" w:type="dxa"/>
                    <w:right w:w="0" w:type="dxa"/>
                  </w:tcMar>
                  <w:vAlign w:val="center"/>
                </w:tcPr>
                <w:p w14:paraId="2833D966">
                  <w:pPr>
                    <w:adjustRightInd w:val="0"/>
                    <w:snapToGrid w:val="0"/>
                    <w:jc w:val="center"/>
                    <w:rPr>
                      <w:color w:val="auto"/>
                      <w:sz w:val="20"/>
                      <w:szCs w:val="20"/>
                    </w:rPr>
                  </w:pPr>
                  <w:r>
                    <w:rPr>
                      <w:color w:val="auto"/>
                      <w:sz w:val="20"/>
                      <w:szCs w:val="20"/>
                    </w:rPr>
                    <w:t>1</w:t>
                  </w:r>
                </w:p>
              </w:tc>
            </w:tr>
            <w:tr w14:paraId="50C72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65" w:type="pct"/>
                  <w:tcBorders>
                    <w:tl2br w:val="nil"/>
                    <w:tr2bl w:val="nil"/>
                  </w:tcBorders>
                  <w:shd w:val="clear" w:color="auto" w:fill="auto"/>
                  <w:tcMar>
                    <w:top w:w="0" w:type="dxa"/>
                    <w:left w:w="0" w:type="dxa"/>
                    <w:bottom w:w="0" w:type="dxa"/>
                    <w:right w:w="0" w:type="dxa"/>
                  </w:tcMar>
                  <w:vAlign w:val="center"/>
                </w:tcPr>
                <w:p w14:paraId="64539E50">
                  <w:pPr>
                    <w:adjustRightInd w:val="0"/>
                    <w:snapToGrid w:val="0"/>
                    <w:jc w:val="center"/>
                    <w:rPr>
                      <w:color w:val="auto"/>
                      <w:sz w:val="20"/>
                      <w:szCs w:val="20"/>
                    </w:rPr>
                  </w:pPr>
                  <w:r>
                    <w:rPr>
                      <w:color w:val="auto"/>
                      <w:sz w:val="20"/>
                      <w:szCs w:val="20"/>
                    </w:rPr>
                    <w:t>2</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077B0B80">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4C639745">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滚齿机</w:t>
                  </w:r>
                </w:p>
              </w:tc>
              <w:tc>
                <w:tcPr>
                  <w:tcW w:w="165" w:type="pct"/>
                  <w:tcBorders>
                    <w:tl2br w:val="nil"/>
                    <w:tr2bl w:val="nil"/>
                  </w:tcBorders>
                  <w:shd w:val="clear" w:color="auto" w:fill="auto"/>
                  <w:tcMar>
                    <w:top w:w="0" w:type="dxa"/>
                    <w:left w:w="0" w:type="dxa"/>
                    <w:bottom w:w="0" w:type="dxa"/>
                    <w:right w:w="0" w:type="dxa"/>
                  </w:tcMar>
                  <w:vAlign w:val="center"/>
                </w:tcPr>
                <w:p w14:paraId="4E4BAD7C">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2</w:t>
                  </w:r>
                </w:p>
              </w:tc>
              <w:tc>
                <w:tcPr>
                  <w:tcW w:w="223" w:type="pct"/>
                  <w:tcBorders>
                    <w:tl2br w:val="nil"/>
                    <w:tr2bl w:val="nil"/>
                  </w:tcBorders>
                  <w:shd w:val="clear" w:color="auto" w:fill="auto"/>
                  <w:tcMar>
                    <w:top w:w="0" w:type="dxa"/>
                    <w:left w:w="0" w:type="dxa"/>
                    <w:bottom w:w="0" w:type="dxa"/>
                    <w:right w:w="0" w:type="dxa"/>
                  </w:tcMar>
                  <w:vAlign w:val="center"/>
                </w:tcPr>
                <w:p w14:paraId="60994A0A">
                  <w:pPr>
                    <w:jc w:val="center"/>
                    <w:rPr>
                      <w:rFonts w:hint="default" w:eastAsia="宋体"/>
                      <w:color w:val="auto"/>
                      <w:sz w:val="20"/>
                      <w:szCs w:val="20"/>
                      <w:highlight w:val="none"/>
                      <w:lang w:val="en-US" w:eastAsia="zh-CN"/>
                    </w:rPr>
                  </w:pPr>
                  <w:r>
                    <w:rPr>
                      <w:rFonts w:hint="eastAsia"/>
                      <w:color w:val="auto"/>
                      <w:sz w:val="18"/>
                      <w:szCs w:val="18"/>
                      <w:highlight w:val="none"/>
                    </w:rPr>
                    <w:t>7</w:t>
                  </w:r>
                  <w:r>
                    <w:rPr>
                      <w:rFonts w:hint="eastAsia"/>
                      <w:color w:val="auto"/>
                      <w:sz w:val="18"/>
                      <w:szCs w:val="18"/>
                      <w:highlight w:val="none"/>
                      <w:lang w:val="en-US" w:eastAsia="zh-CN"/>
                    </w:rPr>
                    <w:t>3.01</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4C25ABE1">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7D283F1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w:t>
                  </w:r>
                  <w:r>
                    <w:rPr>
                      <w:rFonts w:hint="eastAsia" w:ascii="Times New Roman" w:hAnsi="Times New Roman" w:cs="Times New Roman"/>
                      <w:color w:val="auto"/>
                      <w:kern w:val="2"/>
                      <w:sz w:val="18"/>
                      <w:szCs w:val="18"/>
                      <w:lang w:val="en-US" w:eastAsia="zh-CN" w:bidi="ar-SA"/>
                    </w:rPr>
                    <w:t>3</w:t>
                  </w:r>
                  <w:r>
                    <w:rPr>
                      <w:rFonts w:hint="default" w:ascii="Times New Roman" w:hAnsi="Times New Roman" w:cs="Times New Roman"/>
                      <w:color w:val="auto"/>
                      <w:kern w:val="2"/>
                      <w:sz w:val="18"/>
                      <w:szCs w:val="18"/>
                      <w:lang w:val="en-US" w:eastAsia="zh-CN" w:bidi="ar-SA"/>
                    </w:rPr>
                    <w:t>8.8</w:t>
                  </w:r>
                </w:p>
              </w:tc>
              <w:tc>
                <w:tcPr>
                  <w:tcW w:w="181" w:type="pct"/>
                  <w:tcBorders>
                    <w:tl2br w:val="nil"/>
                    <w:tr2bl w:val="nil"/>
                  </w:tcBorders>
                  <w:shd w:val="clear" w:color="auto" w:fill="auto"/>
                  <w:tcMar>
                    <w:top w:w="0" w:type="dxa"/>
                    <w:left w:w="0" w:type="dxa"/>
                    <w:bottom w:w="0" w:type="dxa"/>
                    <w:right w:w="0" w:type="dxa"/>
                  </w:tcMar>
                  <w:vAlign w:val="center"/>
                </w:tcPr>
                <w:p w14:paraId="2783187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-1.6</w:t>
                  </w:r>
                </w:p>
              </w:tc>
              <w:tc>
                <w:tcPr>
                  <w:tcW w:w="143" w:type="pct"/>
                  <w:tcBorders>
                    <w:tl2br w:val="nil"/>
                    <w:tr2bl w:val="nil"/>
                  </w:tcBorders>
                  <w:shd w:val="clear" w:color="auto" w:fill="auto"/>
                  <w:tcMar>
                    <w:top w:w="0" w:type="dxa"/>
                    <w:left w:w="0" w:type="dxa"/>
                    <w:bottom w:w="0" w:type="dxa"/>
                    <w:right w:w="0" w:type="dxa"/>
                  </w:tcMar>
                  <w:vAlign w:val="center"/>
                </w:tcPr>
                <w:p w14:paraId="2D7C348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11FE23E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7476039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3.0</w:t>
                  </w:r>
                </w:p>
              </w:tc>
              <w:tc>
                <w:tcPr>
                  <w:tcW w:w="159" w:type="pct"/>
                  <w:tcBorders>
                    <w:tl2br w:val="nil"/>
                    <w:tr2bl w:val="nil"/>
                  </w:tcBorders>
                  <w:shd w:val="clear" w:color="auto" w:fill="auto"/>
                  <w:tcMar>
                    <w:top w:w="0" w:type="dxa"/>
                    <w:left w:w="0" w:type="dxa"/>
                    <w:bottom w:w="0" w:type="dxa"/>
                    <w:right w:w="0" w:type="dxa"/>
                  </w:tcMar>
                  <w:vAlign w:val="center"/>
                </w:tcPr>
                <w:p w14:paraId="203380A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207FE14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3.0</w:t>
                  </w:r>
                </w:p>
              </w:tc>
              <w:tc>
                <w:tcPr>
                  <w:tcW w:w="167" w:type="pct"/>
                  <w:tcBorders>
                    <w:tl2br w:val="nil"/>
                    <w:tr2bl w:val="nil"/>
                  </w:tcBorders>
                  <w:shd w:val="clear" w:color="auto" w:fill="auto"/>
                  <w:tcMar>
                    <w:top w:w="0" w:type="dxa"/>
                    <w:left w:w="0" w:type="dxa"/>
                    <w:bottom w:w="0" w:type="dxa"/>
                    <w:right w:w="0" w:type="dxa"/>
                  </w:tcMar>
                  <w:vAlign w:val="center"/>
                </w:tcPr>
                <w:p w14:paraId="3364143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67" w:type="pct"/>
                  <w:tcBorders>
                    <w:tl2br w:val="nil"/>
                    <w:tr2bl w:val="nil"/>
                  </w:tcBorders>
                  <w:shd w:val="clear" w:color="auto" w:fill="auto"/>
                  <w:tcMar>
                    <w:top w:w="0" w:type="dxa"/>
                    <w:left w:w="0" w:type="dxa"/>
                    <w:bottom w:w="0" w:type="dxa"/>
                    <w:right w:w="0" w:type="dxa"/>
                  </w:tcMar>
                  <w:vAlign w:val="center"/>
                </w:tcPr>
                <w:p w14:paraId="6C741BA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50.46</w:t>
                  </w:r>
                </w:p>
              </w:tc>
              <w:tc>
                <w:tcPr>
                  <w:tcW w:w="167" w:type="pct"/>
                  <w:tcBorders>
                    <w:tl2br w:val="nil"/>
                    <w:tr2bl w:val="nil"/>
                  </w:tcBorders>
                  <w:shd w:val="clear" w:color="auto" w:fill="auto"/>
                  <w:tcMar>
                    <w:top w:w="0" w:type="dxa"/>
                    <w:left w:w="0" w:type="dxa"/>
                    <w:bottom w:w="0" w:type="dxa"/>
                    <w:right w:w="0" w:type="dxa"/>
                  </w:tcMar>
                  <w:vAlign w:val="center"/>
                </w:tcPr>
                <w:p w14:paraId="65DE32F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75" w:type="pct"/>
                  <w:tcBorders>
                    <w:tl2br w:val="nil"/>
                    <w:tr2bl w:val="nil"/>
                  </w:tcBorders>
                  <w:shd w:val="clear" w:color="auto" w:fill="auto"/>
                  <w:tcMar>
                    <w:top w:w="0" w:type="dxa"/>
                    <w:left w:w="0" w:type="dxa"/>
                    <w:bottom w:w="0" w:type="dxa"/>
                    <w:right w:w="0" w:type="dxa"/>
                  </w:tcMar>
                  <w:vAlign w:val="center"/>
                </w:tcPr>
                <w:p w14:paraId="44CA670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50.46</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6973EE22">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3B65C1D5">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44F278A">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F408E21">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7D3652D">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68286AD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1" w:type="pct"/>
                  <w:tcBorders>
                    <w:tl2br w:val="nil"/>
                    <w:tr2bl w:val="nil"/>
                  </w:tcBorders>
                  <w:shd w:val="clear" w:color="auto" w:fill="auto"/>
                  <w:tcMar>
                    <w:top w:w="0" w:type="dxa"/>
                    <w:left w:w="0" w:type="dxa"/>
                    <w:bottom w:w="0" w:type="dxa"/>
                    <w:right w:w="0" w:type="dxa"/>
                  </w:tcMar>
                  <w:vAlign w:val="center"/>
                </w:tcPr>
                <w:p w14:paraId="4142A4F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30.46</w:t>
                  </w:r>
                </w:p>
              </w:tc>
              <w:tc>
                <w:tcPr>
                  <w:tcW w:w="172" w:type="pct"/>
                  <w:tcBorders>
                    <w:tl2br w:val="nil"/>
                    <w:tr2bl w:val="nil"/>
                  </w:tcBorders>
                  <w:shd w:val="clear" w:color="auto" w:fill="auto"/>
                  <w:tcMar>
                    <w:top w:w="0" w:type="dxa"/>
                    <w:left w:w="0" w:type="dxa"/>
                    <w:bottom w:w="0" w:type="dxa"/>
                    <w:right w:w="0" w:type="dxa"/>
                  </w:tcMar>
                  <w:vAlign w:val="center"/>
                </w:tcPr>
                <w:p w14:paraId="533A060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2" w:type="pct"/>
                  <w:tcBorders>
                    <w:tl2br w:val="nil"/>
                    <w:tr2bl w:val="nil"/>
                  </w:tcBorders>
                  <w:shd w:val="clear" w:color="auto" w:fill="auto"/>
                  <w:tcMar>
                    <w:top w:w="0" w:type="dxa"/>
                    <w:left w:w="0" w:type="dxa"/>
                    <w:bottom w:w="0" w:type="dxa"/>
                    <w:right w:w="0" w:type="dxa"/>
                  </w:tcMar>
                  <w:vAlign w:val="center"/>
                </w:tcPr>
                <w:p w14:paraId="25623B7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30.46</w:t>
                  </w:r>
                </w:p>
              </w:tc>
              <w:tc>
                <w:tcPr>
                  <w:tcW w:w="165" w:type="pct"/>
                  <w:tcBorders>
                    <w:tl2br w:val="nil"/>
                    <w:tr2bl w:val="nil"/>
                  </w:tcBorders>
                  <w:shd w:val="clear" w:color="auto" w:fill="auto"/>
                  <w:tcMar>
                    <w:top w:w="0" w:type="dxa"/>
                    <w:left w:w="0" w:type="dxa"/>
                    <w:bottom w:w="0" w:type="dxa"/>
                    <w:right w:w="0" w:type="dxa"/>
                  </w:tcMar>
                  <w:vAlign w:val="center"/>
                </w:tcPr>
                <w:p w14:paraId="3BCC8747">
                  <w:pPr>
                    <w:adjustRightInd w:val="0"/>
                    <w:snapToGrid w:val="0"/>
                    <w:jc w:val="center"/>
                    <w:rPr>
                      <w:color w:val="auto"/>
                      <w:sz w:val="20"/>
                      <w:szCs w:val="20"/>
                    </w:rPr>
                  </w:pPr>
                  <w:r>
                    <w:rPr>
                      <w:color w:val="auto"/>
                      <w:sz w:val="20"/>
                      <w:szCs w:val="20"/>
                    </w:rPr>
                    <w:t>1</w:t>
                  </w:r>
                </w:p>
              </w:tc>
            </w:tr>
            <w:tr w14:paraId="257A10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534564C8">
                  <w:pPr>
                    <w:adjustRightInd w:val="0"/>
                    <w:snapToGrid w:val="0"/>
                    <w:jc w:val="center"/>
                    <w:rPr>
                      <w:color w:val="auto"/>
                      <w:sz w:val="20"/>
                      <w:szCs w:val="20"/>
                    </w:rPr>
                  </w:pPr>
                  <w:r>
                    <w:rPr>
                      <w:color w:val="auto"/>
                      <w:sz w:val="20"/>
                      <w:szCs w:val="20"/>
                    </w:rPr>
                    <w:t>3</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F84EEC2">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0FB6B597">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空压机</w:t>
                  </w:r>
                </w:p>
              </w:tc>
              <w:tc>
                <w:tcPr>
                  <w:tcW w:w="165" w:type="pct"/>
                  <w:tcBorders>
                    <w:tl2br w:val="nil"/>
                    <w:tr2bl w:val="nil"/>
                  </w:tcBorders>
                  <w:shd w:val="clear" w:color="auto" w:fill="auto"/>
                  <w:tcMar>
                    <w:top w:w="0" w:type="dxa"/>
                    <w:left w:w="0" w:type="dxa"/>
                    <w:bottom w:w="0" w:type="dxa"/>
                    <w:right w:w="0" w:type="dxa"/>
                  </w:tcMar>
                  <w:vAlign w:val="center"/>
                </w:tcPr>
                <w:p w14:paraId="07E08B23">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6</w:t>
                  </w:r>
                </w:p>
              </w:tc>
              <w:tc>
                <w:tcPr>
                  <w:tcW w:w="223" w:type="pct"/>
                  <w:tcBorders>
                    <w:tl2br w:val="nil"/>
                    <w:tr2bl w:val="nil"/>
                  </w:tcBorders>
                  <w:shd w:val="clear" w:color="auto" w:fill="auto"/>
                  <w:tcMar>
                    <w:top w:w="0" w:type="dxa"/>
                    <w:left w:w="0" w:type="dxa"/>
                    <w:bottom w:w="0" w:type="dxa"/>
                    <w:right w:w="0" w:type="dxa"/>
                  </w:tcMar>
                  <w:vAlign w:val="center"/>
                </w:tcPr>
                <w:p w14:paraId="5496C916">
                  <w:pPr>
                    <w:jc w:val="center"/>
                    <w:rPr>
                      <w:rFonts w:hint="default" w:eastAsia="宋体"/>
                      <w:color w:val="auto"/>
                      <w:sz w:val="20"/>
                      <w:szCs w:val="20"/>
                      <w:highlight w:val="none"/>
                      <w:lang w:val="en-US" w:eastAsia="zh-CN"/>
                    </w:rPr>
                  </w:pPr>
                  <w:r>
                    <w:rPr>
                      <w:rFonts w:hint="eastAsia"/>
                      <w:color w:val="auto"/>
                      <w:sz w:val="18"/>
                      <w:szCs w:val="18"/>
                      <w:highlight w:val="none"/>
                    </w:rPr>
                    <w:t>7</w:t>
                  </w:r>
                  <w:r>
                    <w:rPr>
                      <w:rFonts w:hint="eastAsia"/>
                      <w:color w:val="auto"/>
                      <w:sz w:val="18"/>
                      <w:szCs w:val="18"/>
                      <w:highlight w:val="none"/>
                      <w:lang w:val="en-US" w:eastAsia="zh-CN"/>
                    </w:rPr>
                    <w:t>9.54</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43D9FD4">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4997ACA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w:t>
                  </w:r>
                  <w:r>
                    <w:rPr>
                      <w:rFonts w:hint="eastAsia" w:ascii="Times New Roman" w:hAnsi="Times New Roman" w:cs="Times New Roman"/>
                      <w:color w:val="auto"/>
                      <w:kern w:val="2"/>
                      <w:sz w:val="18"/>
                      <w:szCs w:val="18"/>
                      <w:lang w:val="en-US" w:eastAsia="zh-CN" w:bidi="ar-SA"/>
                    </w:rPr>
                    <w:t>2</w:t>
                  </w:r>
                  <w:r>
                    <w:rPr>
                      <w:rFonts w:hint="default" w:ascii="Times New Roman" w:hAnsi="Times New Roman" w:cs="Times New Roman"/>
                      <w:color w:val="auto"/>
                      <w:kern w:val="2"/>
                      <w:sz w:val="18"/>
                      <w:szCs w:val="18"/>
                      <w:lang w:val="en-US" w:eastAsia="zh-CN" w:bidi="ar-SA"/>
                    </w:rPr>
                    <w:t>2.3</w:t>
                  </w:r>
                </w:p>
              </w:tc>
              <w:tc>
                <w:tcPr>
                  <w:tcW w:w="181" w:type="pct"/>
                  <w:tcBorders>
                    <w:tl2br w:val="nil"/>
                    <w:tr2bl w:val="nil"/>
                  </w:tcBorders>
                  <w:shd w:val="clear" w:color="auto" w:fill="auto"/>
                  <w:tcMar>
                    <w:top w:w="0" w:type="dxa"/>
                    <w:left w:w="0" w:type="dxa"/>
                    <w:bottom w:w="0" w:type="dxa"/>
                    <w:right w:w="0" w:type="dxa"/>
                  </w:tcMar>
                  <w:vAlign w:val="center"/>
                </w:tcPr>
                <w:p w14:paraId="4C5E495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2.4</w:t>
                  </w:r>
                </w:p>
              </w:tc>
              <w:tc>
                <w:tcPr>
                  <w:tcW w:w="143" w:type="pct"/>
                  <w:tcBorders>
                    <w:tl2br w:val="nil"/>
                    <w:tr2bl w:val="nil"/>
                  </w:tcBorders>
                  <w:shd w:val="clear" w:color="auto" w:fill="auto"/>
                  <w:tcMar>
                    <w:top w:w="0" w:type="dxa"/>
                    <w:left w:w="0" w:type="dxa"/>
                    <w:bottom w:w="0" w:type="dxa"/>
                    <w:right w:w="0" w:type="dxa"/>
                  </w:tcMar>
                  <w:vAlign w:val="center"/>
                </w:tcPr>
                <w:p w14:paraId="501D4B7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38FF470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0409C3D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w:t>
                  </w:r>
                </w:p>
              </w:tc>
              <w:tc>
                <w:tcPr>
                  <w:tcW w:w="159" w:type="pct"/>
                  <w:tcBorders>
                    <w:tl2br w:val="nil"/>
                    <w:tr2bl w:val="nil"/>
                  </w:tcBorders>
                  <w:shd w:val="clear" w:color="auto" w:fill="auto"/>
                  <w:tcMar>
                    <w:top w:w="0" w:type="dxa"/>
                    <w:left w:w="0" w:type="dxa"/>
                    <w:bottom w:w="0" w:type="dxa"/>
                    <w:right w:w="0" w:type="dxa"/>
                  </w:tcMar>
                  <w:vAlign w:val="center"/>
                </w:tcPr>
                <w:p w14:paraId="753B5B4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w:t>
                  </w:r>
                </w:p>
              </w:tc>
              <w:tc>
                <w:tcPr>
                  <w:tcW w:w="174" w:type="pct"/>
                  <w:tcBorders>
                    <w:tl2br w:val="nil"/>
                    <w:tr2bl w:val="nil"/>
                  </w:tcBorders>
                  <w:shd w:val="clear" w:color="auto" w:fill="auto"/>
                  <w:tcMar>
                    <w:top w:w="0" w:type="dxa"/>
                    <w:left w:w="0" w:type="dxa"/>
                    <w:bottom w:w="0" w:type="dxa"/>
                    <w:right w:w="0" w:type="dxa"/>
                  </w:tcMar>
                  <w:vAlign w:val="center"/>
                </w:tcPr>
                <w:p w14:paraId="7BFE219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w:t>
                  </w:r>
                </w:p>
              </w:tc>
              <w:tc>
                <w:tcPr>
                  <w:tcW w:w="167" w:type="pct"/>
                  <w:tcBorders>
                    <w:tl2br w:val="nil"/>
                    <w:tr2bl w:val="nil"/>
                  </w:tcBorders>
                  <w:shd w:val="clear" w:color="auto" w:fill="auto"/>
                  <w:tcMar>
                    <w:top w:w="0" w:type="dxa"/>
                    <w:left w:w="0" w:type="dxa"/>
                    <w:bottom w:w="0" w:type="dxa"/>
                    <w:right w:w="0" w:type="dxa"/>
                  </w:tcMar>
                  <w:vAlign w:val="center"/>
                </w:tcPr>
                <w:p w14:paraId="5EC4342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59.49</w:t>
                  </w:r>
                </w:p>
              </w:tc>
              <w:tc>
                <w:tcPr>
                  <w:tcW w:w="167" w:type="pct"/>
                  <w:tcBorders>
                    <w:tl2br w:val="nil"/>
                    <w:tr2bl w:val="nil"/>
                  </w:tcBorders>
                  <w:shd w:val="clear" w:color="auto" w:fill="auto"/>
                  <w:tcMar>
                    <w:top w:w="0" w:type="dxa"/>
                    <w:left w:w="0" w:type="dxa"/>
                    <w:bottom w:w="0" w:type="dxa"/>
                    <w:right w:w="0" w:type="dxa"/>
                  </w:tcMar>
                  <w:vAlign w:val="center"/>
                </w:tcPr>
                <w:p w14:paraId="5F17C58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49.03</w:t>
                  </w:r>
                </w:p>
              </w:tc>
              <w:tc>
                <w:tcPr>
                  <w:tcW w:w="167" w:type="pct"/>
                  <w:tcBorders>
                    <w:tl2br w:val="nil"/>
                    <w:tr2bl w:val="nil"/>
                  </w:tcBorders>
                  <w:shd w:val="clear" w:color="auto" w:fill="auto"/>
                  <w:tcMar>
                    <w:top w:w="0" w:type="dxa"/>
                    <w:left w:w="0" w:type="dxa"/>
                    <w:bottom w:w="0" w:type="dxa"/>
                    <w:right w:w="0" w:type="dxa"/>
                  </w:tcMar>
                  <w:vAlign w:val="center"/>
                </w:tcPr>
                <w:p w14:paraId="48BDEEB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52.13</w:t>
                  </w:r>
                </w:p>
              </w:tc>
              <w:tc>
                <w:tcPr>
                  <w:tcW w:w="175" w:type="pct"/>
                  <w:tcBorders>
                    <w:tl2br w:val="nil"/>
                    <w:tr2bl w:val="nil"/>
                  </w:tcBorders>
                  <w:shd w:val="clear" w:color="auto" w:fill="auto"/>
                  <w:tcMar>
                    <w:top w:w="0" w:type="dxa"/>
                    <w:left w:w="0" w:type="dxa"/>
                    <w:bottom w:w="0" w:type="dxa"/>
                    <w:right w:w="0" w:type="dxa"/>
                  </w:tcMar>
                  <w:vAlign w:val="center"/>
                </w:tcPr>
                <w:p w14:paraId="16842D7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52.13</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22ECAF48">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1A1933B1">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70E4761">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45FE8C8">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3BF7674D">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0673F82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39.49</w:t>
                  </w:r>
                </w:p>
              </w:tc>
              <w:tc>
                <w:tcPr>
                  <w:tcW w:w="171" w:type="pct"/>
                  <w:tcBorders>
                    <w:tl2br w:val="nil"/>
                    <w:tr2bl w:val="nil"/>
                  </w:tcBorders>
                  <w:shd w:val="clear" w:color="auto" w:fill="auto"/>
                  <w:tcMar>
                    <w:top w:w="0" w:type="dxa"/>
                    <w:left w:w="0" w:type="dxa"/>
                    <w:bottom w:w="0" w:type="dxa"/>
                    <w:right w:w="0" w:type="dxa"/>
                  </w:tcMar>
                  <w:vAlign w:val="center"/>
                </w:tcPr>
                <w:p w14:paraId="034BAA7C">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29.03</w:t>
                  </w:r>
                </w:p>
              </w:tc>
              <w:tc>
                <w:tcPr>
                  <w:tcW w:w="172" w:type="pct"/>
                  <w:tcBorders>
                    <w:tl2br w:val="nil"/>
                    <w:tr2bl w:val="nil"/>
                  </w:tcBorders>
                  <w:shd w:val="clear" w:color="auto" w:fill="auto"/>
                  <w:tcMar>
                    <w:top w:w="0" w:type="dxa"/>
                    <w:left w:w="0" w:type="dxa"/>
                    <w:bottom w:w="0" w:type="dxa"/>
                    <w:right w:w="0" w:type="dxa"/>
                  </w:tcMar>
                  <w:vAlign w:val="center"/>
                </w:tcPr>
                <w:p w14:paraId="1A3C5E0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32.13</w:t>
                  </w:r>
                </w:p>
              </w:tc>
              <w:tc>
                <w:tcPr>
                  <w:tcW w:w="172" w:type="pct"/>
                  <w:tcBorders>
                    <w:tl2br w:val="nil"/>
                    <w:tr2bl w:val="nil"/>
                  </w:tcBorders>
                  <w:shd w:val="clear" w:color="auto" w:fill="auto"/>
                  <w:tcMar>
                    <w:top w:w="0" w:type="dxa"/>
                    <w:left w:w="0" w:type="dxa"/>
                    <w:bottom w:w="0" w:type="dxa"/>
                    <w:right w:w="0" w:type="dxa"/>
                  </w:tcMar>
                  <w:vAlign w:val="center"/>
                </w:tcPr>
                <w:p w14:paraId="2571BA5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32.13</w:t>
                  </w:r>
                </w:p>
              </w:tc>
              <w:tc>
                <w:tcPr>
                  <w:tcW w:w="165" w:type="pct"/>
                  <w:tcBorders>
                    <w:tl2br w:val="nil"/>
                    <w:tr2bl w:val="nil"/>
                  </w:tcBorders>
                  <w:shd w:val="clear" w:color="auto" w:fill="auto"/>
                  <w:tcMar>
                    <w:top w:w="0" w:type="dxa"/>
                    <w:left w:w="0" w:type="dxa"/>
                    <w:bottom w:w="0" w:type="dxa"/>
                    <w:right w:w="0" w:type="dxa"/>
                  </w:tcMar>
                  <w:vAlign w:val="center"/>
                </w:tcPr>
                <w:p w14:paraId="3943616A">
                  <w:pPr>
                    <w:adjustRightInd w:val="0"/>
                    <w:snapToGrid w:val="0"/>
                    <w:jc w:val="center"/>
                    <w:rPr>
                      <w:color w:val="auto"/>
                      <w:sz w:val="20"/>
                      <w:szCs w:val="20"/>
                    </w:rPr>
                  </w:pPr>
                  <w:r>
                    <w:rPr>
                      <w:color w:val="auto"/>
                      <w:sz w:val="20"/>
                      <w:szCs w:val="20"/>
                    </w:rPr>
                    <w:t>1</w:t>
                  </w:r>
                </w:p>
              </w:tc>
            </w:tr>
            <w:tr w14:paraId="55F9F5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tcBorders>
                    <w:tl2br w:val="nil"/>
                    <w:tr2bl w:val="nil"/>
                  </w:tcBorders>
                  <w:shd w:val="clear" w:color="auto" w:fill="auto"/>
                  <w:tcMar>
                    <w:top w:w="0" w:type="dxa"/>
                    <w:left w:w="0" w:type="dxa"/>
                    <w:bottom w:w="0" w:type="dxa"/>
                    <w:right w:w="0" w:type="dxa"/>
                  </w:tcMar>
                  <w:vAlign w:val="center"/>
                </w:tcPr>
                <w:p w14:paraId="527FEA7D">
                  <w:pPr>
                    <w:adjustRightInd w:val="0"/>
                    <w:snapToGrid w:val="0"/>
                    <w:jc w:val="center"/>
                    <w:rPr>
                      <w:color w:val="auto"/>
                      <w:sz w:val="20"/>
                      <w:szCs w:val="20"/>
                    </w:rPr>
                  </w:pPr>
                  <w:r>
                    <w:rPr>
                      <w:color w:val="auto"/>
                      <w:sz w:val="20"/>
                      <w:szCs w:val="20"/>
                    </w:rPr>
                    <w:t>4</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3B72A6EC">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7AE38592">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甩油机</w:t>
                  </w:r>
                </w:p>
              </w:tc>
              <w:tc>
                <w:tcPr>
                  <w:tcW w:w="165" w:type="pct"/>
                  <w:tcBorders>
                    <w:tl2br w:val="nil"/>
                    <w:tr2bl w:val="nil"/>
                  </w:tcBorders>
                  <w:shd w:val="clear" w:color="auto" w:fill="auto"/>
                  <w:tcMar>
                    <w:top w:w="0" w:type="dxa"/>
                    <w:left w:w="0" w:type="dxa"/>
                    <w:bottom w:w="0" w:type="dxa"/>
                    <w:right w:w="0" w:type="dxa"/>
                  </w:tcMar>
                  <w:vAlign w:val="center"/>
                </w:tcPr>
                <w:p w14:paraId="4EF22276">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1</w:t>
                  </w:r>
                </w:p>
              </w:tc>
              <w:tc>
                <w:tcPr>
                  <w:tcW w:w="223" w:type="pct"/>
                  <w:tcBorders>
                    <w:tl2br w:val="nil"/>
                    <w:tr2bl w:val="nil"/>
                  </w:tcBorders>
                  <w:shd w:val="clear" w:color="auto" w:fill="auto"/>
                  <w:tcMar>
                    <w:top w:w="0" w:type="dxa"/>
                    <w:left w:w="0" w:type="dxa"/>
                    <w:bottom w:w="0" w:type="dxa"/>
                    <w:right w:w="0" w:type="dxa"/>
                  </w:tcMar>
                  <w:vAlign w:val="center"/>
                </w:tcPr>
                <w:p w14:paraId="605DB252">
                  <w:pPr>
                    <w:jc w:val="center"/>
                    <w:rPr>
                      <w:color w:val="auto"/>
                      <w:sz w:val="20"/>
                      <w:szCs w:val="20"/>
                      <w:highlight w:val="none"/>
                    </w:rPr>
                  </w:pPr>
                  <w:r>
                    <w:rPr>
                      <w:rFonts w:hint="eastAsia"/>
                      <w:color w:val="auto"/>
                      <w:sz w:val="18"/>
                      <w:szCs w:val="18"/>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476AA636">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554596E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39.4</w:t>
                  </w:r>
                </w:p>
              </w:tc>
              <w:tc>
                <w:tcPr>
                  <w:tcW w:w="181" w:type="pct"/>
                  <w:tcBorders>
                    <w:tl2br w:val="nil"/>
                    <w:tr2bl w:val="nil"/>
                  </w:tcBorders>
                  <w:shd w:val="clear" w:color="auto" w:fill="auto"/>
                  <w:tcMar>
                    <w:top w:w="0" w:type="dxa"/>
                    <w:left w:w="0" w:type="dxa"/>
                    <w:bottom w:w="0" w:type="dxa"/>
                    <w:right w:w="0" w:type="dxa"/>
                  </w:tcMar>
                  <w:vAlign w:val="center"/>
                </w:tcPr>
                <w:p w14:paraId="74D23F4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17.2</w:t>
                  </w:r>
                </w:p>
              </w:tc>
              <w:tc>
                <w:tcPr>
                  <w:tcW w:w="143" w:type="pct"/>
                  <w:tcBorders>
                    <w:tl2br w:val="nil"/>
                    <w:tr2bl w:val="nil"/>
                  </w:tcBorders>
                  <w:shd w:val="clear" w:color="auto" w:fill="auto"/>
                  <w:tcMar>
                    <w:top w:w="0" w:type="dxa"/>
                    <w:left w:w="0" w:type="dxa"/>
                    <w:bottom w:w="0" w:type="dxa"/>
                    <w:right w:w="0" w:type="dxa"/>
                  </w:tcMar>
                  <w:vAlign w:val="center"/>
                </w:tcPr>
                <w:p w14:paraId="2AAE2BE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13C143A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313561F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6BAE703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1A6D7DF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5B5E42C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66.02</w:t>
                  </w:r>
                </w:p>
              </w:tc>
              <w:tc>
                <w:tcPr>
                  <w:tcW w:w="167" w:type="pct"/>
                  <w:tcBorders>
                    <w:tl2br w:val="nil"/>
                    <w:tr2bl w:val="nil"/>
                  </w:tcBorders>
                  <w:shd w:val="clear" w:color="auto" w:fill="auto"/>
                  <w:tcMar>
                    <w:top w:w="0" w:type="dxa"/>
                    <w:left w:w="0" w:type="dxa"/>
                    <w:bottom w:w="0" w:type="dxa"/>
                    <w:right w:w="0" w:type="dxa"/>
                  </w:tcMar>
                  <w:vAlign w:val="center"/>
                </w:tcPr>
                <w:p w14:paraId="6A93744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72.04</w:t>
                  </w:r>
                </w:p>
              </w:tc>
              <w:tc>
                <w:tcPr>
                  <w:tcW w:w="167" w:type="pct"/>
                  <w:tcBorders>
                    <w:tl2br w:val="nil"/>
                    <w:tr2bl w:val="nil"/>
                  </w:tcBorders>
                  <w:shd w:val="clear" w:color="auto" w:fill="auto"/>
                  <w:tcMar>
                    <w:top w:w="0" w:type="dxa"/>
                    <w:left w:w="0" w:type="dxa"/>
                    <w:bottom w:w="0" w:type="dxa"/>
                    <w:right w:w="0" w:type="dxa"/>
                  </w:tcMar>
                  <w:vAlign w:val="center"/>
                </w:tcPr>
                <w:p w14:paraId="7F627D4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66.02</w:t>
                  </w:r>
                </w:p>
              </w:tc>
              <w:tc>
                <w:tcPr>
                  <w:tcW w:w="175" w:type="pct"/>
                  <w:tcBorders>
                    <w:tl2br w:val="nil"/>
                    <w:tr2bl w:val="nil"/>
                  </w:tcBorders>
                  <w:shd w:val="clear" w:color="auto" w:fill="auto"/>
                  <w:tcMar>
                    <w:top w:w="0" w:type="dxa"/>
                    <w:left w:w="0" w:type="dxa"/>
                    <w:bottom w:w="0" w:type="dxa"/>
                    <w:right w:w="0" w:type="dxa"/>
                  </w:tcMar>
                  <w:vAlign w:val="center"/>
                </w:tcPr>
                <w:p w14:paraId="5189267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72.04</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0DA38841">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676F1728">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3FBADC08">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3237238">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35C6EE4E">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6D6913B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46.02</w:t>
                  </w:r>
                </w:p>
              </w:tc>
              <w:tc>
                <w:tcPr>
                  <w:tcW w:w="171" w:type="pct"/>
                  <w:tcBorders>
                    <w:tl2br w:val="nil"/>
                    <w:tr2bl w:val="nil"/>
                  </w:tcBorders>
                  <w:shd w:val="clear" w:color="auto" w:fill="auto"/>
                  <w:tcMar>
                    <w:top w:w="0" w:type="dxa"/>
                    <w:left w:w="0" w:type="dxa"/>
                    <w:bottom w:w="0" w:type="dxa"/>
                    <w:right w:w="0" w:type="dxa"/>
                  </w:tcMar>
                  <w:vAlign w:val="center"/>
                </w:tcPr>
                <w:p w14:paraId="5C320BD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52.04</w:t>
                  </w:r>
                </w:p>
              </w:tc>
              <w:tc>
                <w:tcPr>
                  <w:tcW w:w="172" w:type="pct"/>
                  <w:tcBorders>
                    <w:tl2br w:val="nil"/>
                    <w:tr2bl w:val="nil"/>
                  </w:tcBorders>
                  <w:shd w:val="clear" w:color="auto" w:fill="auto"/>
                  <w:tcMar>
                    <w:top w:w="0" w:type="dxa"/>
                    <w:left w:w="0" w:type="dxa"/>
                    <w:bottom w:w="0" w:type="dxa"/>
                    <w:right w:w="0" w:type="dxa"/>
                  </w:tcMar>
                  <w:vAlign w:val="center"/>
                </w:tcPr>
                <w:p w14:paraId="07F1DD0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46.02</w:t>
                  </w:r>
                </w:p>
              </w:tc>
              <w:tc>
                <w:tcPr>
                  <w:tcW w:w="172" w:type="pct"/>
                  <w:tcBorders>
                    <w:tl2br w:val="nil"/>
                    <w:tr2bl w:val="nil"/>
                  </w:tcBorders>
                  <w:shd w:val="clear" w:color="auto" w:fill="auto"/>
                  <w:tcMar>
                    <w:top w:w="0" w:type="dxa"/>
                    <w:left w:w="0" w:type="dxa"/>
                    <w:bottom w:w="0" w:type="dxa"/>
                    <w:right w:w="0" w:type="dxa"/>
                  </w:tcMar>
                  <w:vAlign w:val="center"/>
                </w:tcPr>
                <w:p w14:paraId="461B0B4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52.04</w:t>
                  </w:r>
                </w:p>
              </w:tc>
              <w:tc>
                <w:tcPr>
                  <w:tcW w:w="165" w:type="pct"/>
                  <w:tcBorders>
                    <w:tl2br w:val="nil"/>
                    <w:tr2bl w:val="nil"/>
                  </w:tcBorders>
                  <w:shd w:val="clear" w:color="auto" w:fill="auto"/>
                  <w:tcMar>
                    <w:top w:w="0" w:type="dxa"/>
                    <w:left w:w="0" w:type="dxa"/>
                    <w:bottom w:w="0" w:type="dxa"/>
                    <w:right w:w="0" w:type="dxa"/>
                  </w:tcMar>
                  <w:vAlign w:val="center"/>
                </w:tcPr>
                <w:p w14:paraId="781C7019">
                  <w:pPr>
                    <w:adjustRightInd w:val="0"/>
                    <w:snapToGrid w:val="0"/>
                    <w:jc w:val="center"/>
                    <w:rPr>
                      <w:color w:val="auto"/>
                      <w:sz w:val="20"/>
                      <w:szCs w:val="20"/>
                    </w:rPr>
                  </w:pPr>
                  <w:r>
                    <w:rPr>
                      <w:color w:val="auto"/>
                      <w:sz w:val="20"/>
                      <w:szCs w:val="20"/>
                    </w:rPr>
                    <w:t>1</w:t>
                  </w:r>
                </w:p>
              </w:tc>
            </w:tr>
            <w:tr w14:paraId="31202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7B07A8D0">
                  <w:pPr>
                    <w:adjustRightInd w:val="0"/>
                    <w:snapToGrid w:val="0"/>
                    <w:jc w:val="center"/>
                    <w:rPr>
                      <w:color w:val="auto"/>
                      <w:sz w:val="20"/>
                      <w:szCs w:val="20"/>
                    </w:rPr>
                  </w:pPr>
                  <w:r>
                    <w:rPr>
                      <w:color w:val="auto"/>
                      <w:sz w:val="20"/>
                      <w:szCs w:val="20"/>
                    </w:rPr>
                    <w:t>5</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8F2D68B">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64FBDB94">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螺丝机</w:t>
                  </w:r>
                </w:p>
              </w:tc>
              <w:tc>
                <w:tcPr>
                  <w:tcW w:w="165" w:type="pct"/>
                  <w:tcBorders>
                    <w:tl2br w:val="nil"/>
                    <w:tr2bl w:val="nil"/>
                  </w:tcBorders>
                  <w:shd w:val="clear" w:color="auto" w:fill="auto"/>
                  <w:tcMar>
                    <w:top w:w="0" w:type="dxa"/>
                    <w:left w:w="0" w:type="dxa"/>
                    <w:bottom w:w="0" w:type="dxa"/>
                    <w:right w:w="0" w:type="dxa"/>
                  </w:tcMar>
                  <w:vAlign w:val="center"/>
                </w:tcPr>
                <w:p w14:paraId="7C098DE9">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0</w:t>
                  </w:r>
                </w:p>
              </w:tc>
              <w:tc>
                <w:tcPr>
                  <w:tcW w:w="223" w:type="pct"/>
                  <w:tcBorders>
                    <w:tl2br w:val="nil"/>
                    <w:tr2bl w:val="nil"/>
                  </w:tcBorders>
                  <w:shd w:val="clear" w:color="auto" w:fill="auto"/>
                  <w:tcMar>
                    <w:top w:w="0" w:type="dxa"/>
                    <w:left w:w="0" w:type="dxa"/>
                    <w:bottom w:w="0" w:type="dxa"/>
                    <w:right w:w="0" w:type="dxa"/>
                  </w:tcMar>
                  <w:vAlign w:val="center"/>
                </w:tcPr>
                <w:p w14:paraId="284D825A">
                  <w:pPr>
                    <w:jc w:val="center"/>
                    <w:rPr>
                      <w:color w:val="auto"/>
                      <w:sz w:val="20"/>
                      <w:szCs w:val="20"/>
                      <w:highlight w:val="none"/>
                    </w:rPr>
                  </w:pPr>
                  <w:r>
                    <w:rPr>
                      <w:rFonts w:hint="eastAsia"/>
                      <w:color w:val="auto"/>
                      <w:sz w:val="18"/>
                      <w:szCs w:val="18"/>
                      <w:highlight w:val="none"/>
                    </w:rPr>
                    <w:t>85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6C3CB0B">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5C2063F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-37</w:t>
                  </w:r>
                </w:p>
              </w:tc>
              <w:tc>
                <w:tcPr>
                  <w:tcW w:w="181" w:type="pct"/>
                  <w:tcBorders>
                    <w:tl2br w:val="nil"/>
                    <w:tr2bl w:val="nil"/>
                  </w:tcBorders>
                  <w:shd w:val="clear" w:color="auto" w:fill="auto"/>
                  <w:tcMar>
                    <w:top w:w="0" w:type="dxa"/>
                    <w:left w:w="0" w:type="dxa"/>
                    <w:bottom w:w="0" w:type="dxa"/>
                    <w:right w:w="0" w:type="dxa"/>
                  </w:tcMar>
                  <w:vAlign w:val="center"/>
                </w:tcPr>
                <w:p w14:paraId="3CA5121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12.4</w:t>
                  </w:r>
                </w:p>
              </w:tc>
              <w:tc>
                <w:tcPr>
                  <w:tcW w:w="143" w:type="pct"/>
                  <w:tcBorders>
                    <w:tl2br w:val="nil"/>
                    <w:tr2bl w:val="nil"/>
                  </w:tcBorders>
                  <w:shd w:val="clear" w:color="auto" w:fill="auto"/>
                  <w:tcMar>
                    <w:top w:w="0" w:type="dxa"/>
                    <w:left w:w="0" w:type="dxa"/>
                    <w:bottom w:w="0" w:type="dxa"/>
                    <w:right w:w="0" w:type="dxa"/>
                  </w:tcMar>
                  <w:vAlign w:val="center"/>
                </w:tcPr>
                <w:p w14:paraId="0544D19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66CC21D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44F6EC6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5C494A4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74" w:type="pct"/>
                  <w:tcBorders>
                    <w:tl2br w:val="nil"/>
                    <w:tr2bl w:val="nil"/>
                  </w:tcBorders>
                  <w:shd w:val="clear" w:color="auto" w:fill="auto"/>
                  <w:tcMar>
                    <w:top w:w="0" w:type="dxa"/>
                    <w:left w:w="0" w:type="dxa"/>
                    <w:bottom w:w="0" w:type="dxa"/>
                    <w:right w:w="0" w:type="dxa"/>
                  </w:tcMar>
                  <w:vAlign w:val="center"/>
                </w:tcPr>
                <w:p w14:paraId="1DF2EE4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14B99F9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63.49</w:t>
                  </w:r>
                </w:p>
              </w:tc>
              <w:tc>
                <w:tcPr>
                  <w:tcW w:w="167" w:type="pct"/>
                  <w:tcBorders>
                    <w:tl2br w:val="nil"/>
                    <w:tr2bl w:val="nil"/>
                  </w:tcBorders>
                  <w:shd w:val="clear" w:color="auto" w:fill="auto"/>
                  <w:tcMar>
                    <w:top w:w="0" w:type="dxa"/>
                    <w:left w:w="0" w:type="dxa"/>
                    <w:bottom w:w="0" w:type="dxa"/>
                    <w:right w:w="0" w:type="dxa"/>
                  </w:tcMar>
                  <w:vAlign w:val="center"/>
                </w:tcPr>
                <w:p w14:paraId="71C4F8D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66.99</w:t>
                  </w:r>
                </w:p>
              </w:tc>
              <w:tc>
                <w:tcPr>
                  <w:tcW w:w="167" w:type="pct"/>
                  <w:tcBorders>
                    <w:tl2br w:val="nil"/>
                    <w:tr2bl w:val="nil"/>
                  </w:tcBorders>
                  <w:shd w:val="clear" w:color="auto" w:fill="auto"/>
                  <w:tcMar>
                    <w:top w:w="0" w:type="dxa"/>
                    <w:left w:w="0" w:type="dxa"/>
                    <w:bottom w:w="0" w:type="dxa"/>
                    <w:right w:w="0" w:type="dxa"/>
                  </w:tcMar>
                  <w:vAlign w:val="center"/>
                </w:tcPr>
                <w:p w14:paraId="78CA2E9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63.49</w:t>
                  </w:r>
                </w:p>
              </w:tc>
              <w:tc>
                <w:tcPr>
                  <w:tcW w:w="175" w:type="pct"/>
                  <w:tcBorders>
                    <w:tl2br w:val="nil"/>
                    <w:tr2bl w:val="nil"/>
                  </w:tcBorders>
                  <w:shd w:val="clear" w:color="auto" w:fill="auto"/>
                  <w:tcMar>
                    <w:top w:w="0" w:type="dxa"/>
                    <w:left w:w="0" w:type="dxa"/>
                    <w:bottom w:w="0" w:type="dxa"/>
                    <w:right w:w="0" w:type="dxa"/>
                  </w:tcMar>
                  <w:vAlign w:val="center"/>
                </w:tcPr>
                <w:p w14:paraId="78355FE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66.99</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07B03429">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46716E69">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C67A409">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2DAF9931">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625EF0A1">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4E2EF2CB">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43.49</w:t>
                  </w:r>
                </w:p>
              </w:tc>
              <w:tc>
                <w:tcPr>
                  <w:tcW w:w="171" w:type="pct"/>
                  <w:tcBorders>
                    <w:tl2br w:val="nil"/>
                    <w:tr2bl w:val="nil"/>
                  </w:tcBorders>
                  <w:shd w:val="clear" w:color="auto" w:fill="auto"/>
                  <w:tcMar>
                    <w:top w:w="0" w:type="dxa"/>
                    <w:left w:w="0" w:type="dxa"/>
                    <w:bottom w:w="0" w:type="dxa"/>
                    <w:right w:w="0" w:type="dxa"/>
                  </w:tcMar>
                  <w:vAlign w:val="center"/>
                </w:tcPr>
                <w:p w14:paraId="5FD2D90C">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46.99</w:t>
                  </w:r>
                </w:p>
              </w:tc>
              <w:tc>
                <w:tcPr>
                  <w:tcW w:w="172" w:type="pct"/>
                  <w:tcBorders>
                    <w:tl2br w:val="nil"/>
                    <w:tr2bl w:val="nil"/>
                  </w:tcBorders>
                  <w:shd w:val="clear" w:color="auto" w:fill="auto"/>
                  <w:tcMar>
                    <w:top w:w="0" w:type="dxa"/>
                    <w:left w:w="0" w:type="dxa"/>
                    <w:bottom w:w="0" w:type="dxa"/>
                    <w:right w:w="0" w:type="dxa"/>
                  </w:tcMar>
                  <w:vAlign w:val="center"/>
                </w:tcPr>
                <w:p w14:paraId="1825ED5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43.49</w:t>
                  </w:r>
                </w:p>
              </w:tc>
              <w:tc>
                <w:tcPr>
                  <w:tcW w:w="172" w:type="pct"/>
                  <w:tcBorders>
                    <w:tl2br w:val="nil"/>
                    <w:tr2bl w:val="nil"/>
                  </w:tcBorders>
                  <w:shd w:val="clear" w:color="auto" w:fill="auto"/>
                  <w:tcMar>
                    <w:top w:w="0" w:type="dxa"/>
                    <w:left w:w="0" w:type="dxa"/>
                    <w:bottom w:w="0" w:type="dxa"/>
                    <w:right w:w="0" w:type="dxa"/>
                  </w:tcMar>
                  <w:vAlign w:val="center"/>
                </w:tcPr>
                <w:p w14:paraId="4D27087F">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46.99</w:t>
                  </w:r>
                </w:p>
              </w:tc>
              <w:tc>
                <w:tcPr>
                  <w:tcW w:w="165" w:type="pct"/>
                  <w:tcBorders>
                    <w:tl2br w:val="nil"/>
                    <w:tr2bl w:val="nil"/>
                  </w:tcBorders>
                  <w:shd w:val="clear" w:color="auto" w:fill="auto"/>
                  <w:tcMar>
                    <w:top w:w="0" w:type="dxa"/>
                    <w:left w:w="0" w:type="dxa"/>
                    <w:bottom w:w="0" w:type="dxa"/>
                    <w:right w:w="0" w:type="dxa"/>
                  </w:tcMar>
                  <w:vAlign w:val="center"/>
                </w:tcPr>
                <w:p w14:paraId="7D1B529D">
                  <w:pPr>
                    <w:adjustRightInd w:val="0"/>
                    <w:snapToGrid w:val="0"/>
                    <w:jc w:val="center"/>
                    <w:rPr>
                      <w:color w:val="auto"/>
                      <w:sz w:val="20"/>
                      <w:szCs w:val="20"/>
                    </w:rPr>
                  </w:pPr>
                  <w:r>
                    <w:rPr>
                      <w:color w:val="auto"/>
                      <w:sz w:val="20"/>
                      <w:szCs w:val="20"/>
                    </w:rPr>
                    <w:t>1</w:t>
                  </w:r>
                </w:p>
              </w:tc>
            </w:tr>
            <w:tr w14:paraId="1D1A66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37FFE496">
                  <w:pPr>
                    <w:adjustRightInd w:val="0"/>
                    <w:snapToGrid w:val="0"/>
                    <w:jc w:val="center"/>
                    <w:rPr>
                      <w:color w:val="auto"/>
                      <w:sz w:val="20"/>
                      <w:szCs w:val="20"/>
                    </w:rPr>
                  </w:pPr>
                  <w:r>
                    <w:rPr>
                      <w:color w:val="auto"/>
                      <w:sz w:val="20"/>
                      <w:szCs w:val="20"/>
                    </w:rPr>
                    <w:t>6</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D100CE2">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69C32A91">
                  <w:pPr>
                    <w:keepNext w:val="0"/>
                    <w:keepLines w:val="0"/>
                    <w:widowControl/>
                    <w:suppressLineNumbers w:val="0"/>
                    <w:jc w:val="center"/>
                    <w:textAlignment w:val="center"/>
                    <w:rPr>
                      <w:rFonts w:hint="default"/>
                      <w:color w:val="auto"/>
                      <w:sz w:val="20"/>
                      <w:szCs w:val="20"/>
                      <w:lang w:val="en-US" w:eastAsia="zh-CN"/>
                    </w:rPr>
                  </w:pPr>
                  <w:r>
                    <w:rPr>
                      <w:rFonts w:hint="eastAsia" w:ascii="宋体" w:hAnsi="宋体" w:eastAsia="宋体" w:cs="宋体"/>
                      <w:i w:val="0"/>
                      <w:iCs w:val="0"/>
                      <w:color w:val="auto"/>
                      <w:kern w:val="0"/>
                      <w:sz w:val="20"/>
                      <w:szCs w:val="20"/>
                      <w:u w:val="none"/>
                      <w:lang w:val="en-US" w:eastAsia="zh-CN" w:bidi="ar"/>
                    </w:rPr>
                    <w:t>超声波</w:t>
                  </w:r>
                  <w:r>
                    <w:rPr>
                      <w:rFonts w:hint="eastAsia" w:ascii="宋体" w:hAnsi="宋体" w:cs="宋体"/>
                      <w:i w:val="0"/>
                      <w:iCs w:val="0"/>
                      <w:color w:val="auto"/>
                      <w:kern w:val="0"/>
                      <w:sz w:val="20"/>
                      <w:szCs w:val="20"/>
                      <w:u w:val="none"/>
                      <w:lang w:val="en-US" w:eastAsia="zh-CN" w:bidi="ar"/>
                    </w:rPr>
                    <w:t>清洗机</w:t>
                  </w:r>
                </w:p>
              </w:tc>
              <w:tc>
                <w:tcPr>
                  <w:tcW w:w="165" w:type="pct"/>
                  <w:tcBorders>
                    <w:tl2br w:val="nil"/>
                    <w:tr2bl w:val="nil"/>
                  </w:tcBorders>
                  <w:shd w:val="clear" w:color="auto" w:fill="auto"/>
                  <w:tcMar>
                    <w:top w:w="0" w:type="dxa"/>
                    <w:left w:w="0" w:type="dxa"/>
                    <w:bottom w:w="0" w:type="dxa"/>
                    <w:right w:w="0" w:type="dxa"/>
                  </w:tcMar>
                  <w:vAlign w:val="center"/>
                </w:tcPr>
                <w:p w14:paraId="50CEC8C2">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5</w:t>
                  </w:r>
                </w:p>
              </w:tc>
              <w:tc>
                <w:tcPr>
                  <w:tcW w:w="223" w:type="pct"/>
                  <w:tcBorders>
                    <w:tl2br w:val="nil"/>
                    <w:tr2bl w:val="nil"/>
                  </w:tcBorders>
                  <w:shd w:val="clear" w:color="auto" w:fill="auto"/>
                  <w:tcMar>
                    <w:top w:w="0" w:type="dxa"/>
                    <w:left w:w="0" w:type="dxa"/>
                    <w:bottom w:w="0" w:type="dxa"/>
                    <w:right w:w="0" w:type="dxa"/>
                  </w:tcMar>
                  <w:vAlign w:val="center"/>
                </w:tcPr>
                <w:p w14:paraId="450FDD3E">
                  <w:pPr>
                    <w:jc w:val="center"/>
                    <w:rPr>
                      <w:color w:val="auto"/>
                      <w:sz w:val="20"/>
                      <w:szCs w:val="20"/>
                      <w:highlight w:val="none"/>
                    </w:rPr>
                  </w:pPr>
                  <w:r>
                    <w:rPr>
                      <w:rFonts w:hint="eastAsia"/>
                      <w:color w:val="auto"/>
                      <w:sz w:val="18"/>
                      <w:szCs w:val="18"/>
                      <w:highlight w:val="none"/>
                    </w:rPr>
                    <w:t>70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711E670B">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75D61BE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88</w:t>
                  </w:r>
                </w:p>
              </w:tc>
              <w:tc>
                <w:tcPr>
                  <w:tcW w:w="181" w:type="pct"/>
                  <w:tcBorders>
                    <w:tl2br w:val="nil"/>
                    <w:tr2bl w:val="nil"/>
                  </w:tcBorders>
                  <w:shd w:val="clear" w:color="auto" w:fill="auto"/>
                  <w:tcMar>
                    <w:top w:w="0" w:type="dxa"/>
                    <w:left w:w="0" w:type="dxa"/>
                    <w:bottom w:w="0" w:type="dxa"/>
                    <w:right w:w="0" w:type="dxa"/>
                  </w:tcMar>
                  <w:vAlign w:val="center"/>
                </w:tcPr>
                <w:p w14:paraId="500FC7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43" w:type="pct"/>
                  <w:tcBorders>
                    <w:tl2br w:val="nil"/>
                    <w:tr2bl w:val="nil"/>
                  </w:tcBorders>
                  <w:shd w:val="clear" w:color="auto" w:fill="auto"/>
                  <w:tcMar>
                    <w:top w:w="0" w:type="dxa"/>
                    <w:left w:w="0" w:type="dxa"/>
                    <w:bottom w:w="0" w:type="dxa"/>
                    <w:right w:w="0" w:type="dxa"/>
                  </w:tcMar>
                  <w:vAlign w:val="center"/>
                </w:tcPr>
                <w:p w14:paraId="224BEB3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7F6D342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36FCD50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1.6</w:t>
                  </w:r>
                </w:p>
              </w:tc>
              <w:tc>
                <w:tcPr>
                  <w:tcW w:w="159" w:type="pct"/>
                  <w:tcBorders>
                    <w:tl2br w:val="nil"/>
                    <w:tr2bl w:val="nil"/>
                  </w:tcBorders>
                  <w:shd w:val="clear" w:color="auto" w:fill="auto"/>
                  <w:tcMar>
                    <w:top w:w="0" w:type="dxa"/>
                    <w:left w:w="0" w:type="dxa"/>
                    <w:bottom w:w="0" w:type="dxa"/>
                    <w:right w:w="0" w:type="dxa"/>
                  </w:tcMar>
                  <w:vAlign w:val="center"/>
                </w:tcPr>
                <w:p w14:paraId="265CA03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1.6</w:t>
                  </w:r>
                </w:p>
              </w:tc>
              <w:tc>
                <w:tcPr>
                  <w:tcW w:w="174" w:type="pct"/>
                  <w:tcBorders>
                    <w:tl2br w:val="nil"/>
                    <w:tr2bl w:val="nil"/>
                  </w:tcBorders>
                  <w:shd w:val="clear" w:color="auto" w:fill="auto"/>
                  <w:tcMar>
                    <w:top w:w="0" w:type="dxa"/>
                    <w:left w:w="0" w:type="dxa"/>
                    <w:bottom w:w="0" w:type="dxa"/>
                    <w:right w:w="0" w:type="dxa"/>
                  </w:tcMar>
                  <w:vAlign w:val="center"/>
                </w:tcPr>
                <w:p w14:paraId="5F52F1B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67" w:type="pct"/>
                  <w:tcBorders>
                    <w:tl2br w:val="nil"/>
                    <w:tr2bl w:val="nil"/>
                  </w:tcBorders>
                  <w:shd w:val="clear" w:color="auto" w:fill="auto"/>
                  <w:tcMar>
                    <w:top w:w="0" w:type="dxa"/>
                    <w:left w:w="0" w:type="dxa"/>
                    <w:bottom w:w="0" w:type="dxa"/>
                    <w:right w:w="0" w:type="dxa"/>
                  </w:tcMar>
                  <w:vAlign w:val="center"/>
                </w:tcPr>
                <w:p w14:paraId="3F6CDC3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60.00</w:t>
                  </w:r>
                </w:p>
              </w:tc>
              <w:tc>
                <w:tcPr>
                  <w:tcW w:w="167" w:type="pct"/>
                  <w:tcBorders>
                    <w:tl2br w:val="nil"/>
                    <w:tr2bl w:val="nil"/>
                  </w:tcBorders>
                  <w:shd w:val="clear" w:color="auto" w:fill="auto"/>
                  <w:tcMar>
                    <w:top w:w="0" w:type="dxa"/>
                    <w:left w:w="0" w:type="dxa"/>
                    <w:bottom w:w="0" w:type="dxa"/>
                    <w:right w:w="0" w:type="dxa"/>
                  </w:tcMar>
                  <w:vAlign w:val="center"/>
                </w:tcPr>
                <w:p w14:paraId="604D6B7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61.94</w:t>
                  </w:r>
                </w:p>
              </w:tc>
              <w:tc>
                <w:tcPr>
                  <w:tcW w:w="167" w:type="pct"/>
                  <w:tcBorders>
                    <w:tl2br w:val="nil"/>
                    <w:tr2bl w:val="nil"/>
                  </w:tcBorders>
                  <w:shd w:val="clear" w:color="auto" w:fill="auto"/>
                  <w:tcMar>
                    <w:top w:w="0" w:type="dxa"/>
                    <w:left w:w="0" w:type="dxa"/>
                    <w:bottom w:w="0" w:type="dxa"/>
                    <w:right w:w="0" w:type="dxa"/>
                  </w:tcMar>
                  <w:vAlign w:val="center"/>
                </w:tcPr>
                <w:p w14:paraId="56529A0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61.94</w:t>
                  </w:r>
                </w:p>
              </w:tc>
              <w:tc>
                <w:tcPr>
                  <w:tcW w:w="175" w:type="pct"/>
                  <w:tcBorders>
                    <w:tl2br w:val="nil"/>
                    <w:tr2bl w:val="nil"/>
                  </w:tcBorders>
                  <w:shd w:val="clear" w:color="auto" w:fill="auto"/>
                  <w:tcMar>
                    <w:top w:w="0" w:type="dxa"/>
                    <w:left w:w="0" w:type="dxa"/>
                    <w:bottom w:w="0" w:type="dxa"/>
                    <w:right w:w="0" w:type="dxa"/>
                  </w:tcMar>
                  <w:vAlign w:val="center"/>
                </w:tcPr>
                <w:p w14:paraId="6D1B3F4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60.00</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2EB776E6">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64EC38BB">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288A6AF4">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2EE92829">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D24A91D">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2BCC70D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40.00</w:t>
                  </w:r>
                </w:p>
              </w:tc>
              <w:tc>
                <w:tcPr>
                  <w:tcW w:w="171" w:type="pct"/>
                  <w:tcBorders>
                    <w:tl2br w:val="nil"/>
                    <w:tr2bl w:val="nil"/>
                  </w:tcBorders>
                  <w:shd w:val="clear" w:color="auto" w:fill="auto"/>
                  <w:tcMar>
                    <w:top w:w="0" w:type="dxa"/>
                    <w:left w:w="0" w:type="dxa"/>
                    <w:bottom w:w="0" w:type="dxa"/>
                    <w:right w:w="0" w:type="dxa"/>
                  </w:tcMar>
                  <w:vAlign w:val="center"/>
                </w:tcPr>
                <w:p w14:paraId="049494F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41.94</w:t>
                  </w:r>
                </w:p>
              </w:tc>
              <w:tc>
                <w:tcPr>
                  <w:tcW w:w="172" w:type="pct"/>
                  <w:tcBorders>
                    <w:tl2br w:val="nil"/>
                    <w:tr2bl w:val="nil"/>
                  </w:tcBorders>
                  <w:shd w:val="clear" w:color="auto" w:fill="auto"/>
                  <w:tcMar>
                    <w:top w:w="0" w:type="dxa"/>
                    <w:left w:w="0" w:type="dxa"/>
                    <w:bottom w:w="0" w:type="dxa"/>
                    <w:right w:w="0" w:type="dxa"/>
                  </w:tcMar>
                  <w:vAlign w:val="center"/>
                </w:tcPr>
                <w:p w14:paraId="1DFE020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41.94</w:t>
                  </w:r>
                </w:p>
              </w:tc>
              <w:tc>
                <w:tcPr>
                  <w:tcW w:w="172" w:type="pct"/>
                  <w:tcBorders>
                    <w:tl2br w:val="nil"/>
                    <w:tr2bl w:val="nil"/>
                  </w:tcBorders>
                  <w:shd w:val="clear" w:color="auto" w:fill="auto"/>
                  <w:tcMar>
                    <w:top w:w="0" w:type="dxa"/>
                    <w:left w:w="0" w:type="dxa"/>
                    <w:bottom w:w="0" w:type="dxa"/>
                    <w:right w:w="0" w:type="dxa"/>
                  </w:tcMar>
                  <w:vAlign w:val="center"/>
                </w:tcPr>
                <w:p w14:paraId="5453994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40.00</w:t>
                  </w:r>
                </w:p>
              </w:tc>
              <w:tc>
                <w:tcPr>
                  <w:tcW w:w="165" w:type="pct"/>
                  <w:tcBorders>
                    <w:tl2br w:val="nil"/>
                    <w:tr2bl w:val="nil"/>
                  </w:tcBorders>
                  <w:shd w:val="clear" w:color="auto" w:fill="auto"/>
                  <w:tcMar>
                    <w:top w:w="0" w:type="dxa"/>
                    <w:left w:w="0" w:type="dxa"/>
                    <w:bottom w:w="0" w:type="dxa"/>
                    <w:right w:w="0" w:type="dxa"/>
                  </w:tcMar>
                  <w:vAlign w:val="center"/>
                </w:tcPr>
                <w:p w14:paraId="43609050">
                  <w:pPr>
                    <w:adjustRightInd w:val="0"/>
                    <w:snapToGrid w:val="0"/>
                    <w:jc w:val="center"/>
                    <w:rPr>
                      <w:color w:val="auto"/>
                      <w:sz w:val="20"/>
                      <w:szCs w:val="20"/>
                    </w:rPr>
                  </w:pPr>
                  <w:r>
                    <w:rPr>
                      <w:color w:val="auto"/>
                      <w:sz w:val="20"/>
                      <w:szCs w:val="20"/>
                    </w:rPr>
                    <w:t>1</w:t>
                  </w:r>
                </w:p>
              </w:tc>
            </w:tr>
            <w:tr w14:paraId="765A39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20E7E757">
                  <w:pPr>
                    <w:adjustRightInd w:val="0"/>
                    <w:snapToGrid w:val="0"/>
                    <w:jc w:val="center"/>
                    <w:rPr>
                      <w:color w:val="auto"/>
                      <w:sz w:val="20"/>
                      <w:szCs w:val="20"/>
                    </w:rPr>
                  </w:pPr>
                  <w:r>
                    <w:rPr>
                      <w:color w:val="auto"/>
                      <w:sz w:val="20"/>
                      <w:szCs w:val="20"/>
                    </w:rPr>
                    <w:t>7</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5434646B">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1B20E102">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热风干燥机</w:t>
                  </w:r>
                </w:p>
              </w:tc>
              <w:tc>
                <w:tcPr>
                  <w:tcW w:w="165" w:type="pct"/>
                  <w:tcBorders>
                    <w:tl2br w:val="nil"/>
                    <w:tr2bl w:val="nil"/>
                  </w:tcBorders>
                  <w:shd w:val="clear" w:color="auto" w:fill="auto"/>
                  <w:tcMar>
                    <w:top w:w="0" w:type="dxa"/>
                    <w:left w:w="0" w:type="dxa"/>
                    <w:bottom w:w="0" w:type="dxa"/>
                    <w:right w:w="0" w:type="dxa"/>
                  </w:tcMar>
                  <w:vAlign w:val="center"/>
                </w:tcPr>
                <w:p w14:paraId="030E386F">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1</w:t>
                  </w:r>
                </w:p>
              </w:tc>
              <w:tc>
                <w:tcPr>
                  <w:tcW w:w="223" w:type="pct"/>
                  <w:tcBorders>
                    <w:tl2br w:val="nil"/>
                    <w:tr2bl w:val="nil"/>
                  </w:tcBorders>
                  <w:shd w:val="clear" w:color="auto" w:fill="auto"/>
                  <w:tcMar>
                    <w:top w:w="0" w:type="dxa"/>
                    <w:left w:w="0" w:type="dxa"/>
                    <w:bottom w:w="0" w:type="dxa"/>
                    <w:right w:w="0" w:type="dxa"/>
                  </w:tcMar>
                  <w:vAlign w:val="center"/>
                </w:tcPr>
                <w:p w14:paraId="12895439">
                  <w:pPr>
                    <w:jc w:val="center"/>
                    <w:rPr>
                      <w:color w:val="auto"/>
                      <w:sz w:val="20"/>
                      <w:szCs w:val="20"/>
                      <w:highlight w:val="none"/>
                    </w:rPr>
                  </w:pPr>
                  <w:r>
                    <w:rPr>
                      <w:rFonts w:hint="eastAsia"/>
                      <w:color w:val="auto"/>
                      <w:sz w:val="18"/>
                      <w:szCs w:val="18"/>
                      <w:highlight w:val="none"/>
                    </w:rPr>
                    <w:t>70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234ACAD7">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0F6583C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-32</w:t>
                  </w:r>
                </w:p>
              </w:tc>
              <w:tc>
                <w:tcPr>
                  <w:tcW w:w="181" w:type="pct"/>
                  <w:tcBorders>
                    <w:tl2br w:val="nil"/>
                    <w:tr2bl w:val="nil"/>
                  </w:tcBorders>
                  <w:shd w:val="clear" w:color="auto" w:fill="auto"/>
                  <w:tcMar>
                    <w:top w:w="0" w:type="dxa"/>
                    <w:left w:w="0" w:type="dxa"/>
                    <w:bottom w:w="0" w:type="dxa"/>
                    <w:right w:w="0" w:type="dxa"/>
                  </w:tcMar>
                  <w:vAlign w:val="center"/>
                </w:tcPr>
                <w:p w14:paraId="154A16F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117</w:t>
                  </w:r>
                </w:p>
              </w:tc>
              <w:tc>
                <w:tcPr>
                  <w:tcW w:w="143" w:type="pct"/>
                  <w:tcBorders>
                    <w:tl2br w:val="nil"/>
                    <w:tr2bl w:val="nil"/>
                  </w:tcBorders>
                  <w:shd w:val="clear" w:color="auto" w:fill="auto"/>
                  <w:tcMar>
                    <w:top w:w="0" w:type="dxa"/>
                    <w:left w:w="0" w:type="dxa"/>
                    <w:bottom w:w="0" w:type="dxa"/>
                    <w:right w:w="0" w:type="dxa"/>
                  </w:tcMar>
                  <w:vAlign w:val="center"/>
                </w:tcPr>
                <w:p w14:paraId="362982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6205AB0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2.2</w:t>
                  </w:r>
                </w:p>
              </w:tc>
              <w:tc>
                <w:tcPr>
                  <w:tcW w:w="189" w:type="pct"/>
                  <w:tcBorders>
                    <w:tl2br w:val="nil"/>
                    <w:tr2bl w:val="nil"/>
                  </w:tcBorders>
                  <w:shd w:val="clear" w:color="auto" w:fill="auto"/>
                  <w:tcMar>
                    <w:top w:w="0" w:type="dxa"/>
                    <w:left w:w="0" w:type="dxa"/>
                    <w:bottom w:w="0" w:type="dxa"/>
                    <w:right w:w="0" w:type="dxa"/>
                  </w:tcMar>
                  <w:vAlign w:val="center"/>
                </w:tcPr>
                <w:p w14:paraId="5A79D5D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2.5</w:t>
                  </w:r>
                </w:p>
              </w:tc>
              <w:tc>
                <w:tcPr>
                  <w:tcW w:w="159" w:type="pct"/>
                  <w:tcBorders>
                    <w:tl2br w:val="nil"/>
                    <w:tr2bl w:val="nil"/>
                  </w:tcBorders>
                  <w:shd w:val="clear" w:color="auto" w:fill="auto"/>
                  <w:tcMar>
                    <w:top w:w="0" w:type="dxa"/>
                    <w:left w:w="0" w:type="dxa"/>
                    <w:bottom w:w="0" w:type="dxa"/>
                    <w:right w:w="0" w:type="dxa"/>
                  </w:tcMar>
                  <w:vAlign w:val="center"/>
                </w:tcPr>
                <w:p w14:paraId="38A197D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3.8</w:t>
                  </w:r>
                </w:p>
              </w:tc>
              <w:tc>
                <w:tcPr>
                  <w:tcW w:w="174" w:type="pct"/>
                  <w:tcBorders>
                    <w:tl2br w:val="nil"/>
                    <w:tr2bl w:val="nil"/>
                  </w:tcBorders>
                  <w:shd w:val="clear" w:color="auto" w:fill="auto"/>
                  <w:tcMar>
                    <w:top w:w="0" w:type="dxa"/>
                    <w:left w:w="0" w:type="dxa"/>
                    <w:bottom w:w="0" w:type="dxa"/>
                    <w:right w:w="0" w:type="dxa"/>
                  </w:tcMar>
                  <w:vAlign w:val="center"/>
                </w:tcPr>
                <w:p w14:paraId="35BED1E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7.0</w:t>
                  </w:r>
                </w:p>
              </w:tc>
              <w:tc>
                <w:tcPr>
                  <w:tcW w:w="167" w:type="pct"/>
                  <w:tcBorders>
                    <w:tl2br w:val="nil"/>
                    <w:tr2bl w:val="nil"/>
                  </w:tcBorders>
                  <w:shd w:val="clear" w:color="auto" w:fill="auto"/>
                  <w:tcMar>
                    <w:top w:w="0" w:type="dxa"/>
                    <w:left w:w="0" w:type="dxa"/>
                    <w:bottom w:w="0" w:type="dxa"/>
                    <w:right w:w="0" w:type="dxa"/>
                  </w:tcMar>
                  <w:vAlign w:val="center"/>
                </w:tcPr>
                <w:p w14:paraId="43CAFB7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65.94</w:t>
                  </w:r>
                </w:p>
              </w:tc>
              <w:tc>
                <w:tcPr>
                  <w:tcW w:w="167" w:type="pct"/>
                  <w:tcBorders>
                    <w:tl2br w:val="nil"/>
                    <w:tr2bl w:val="nil"/>
                  </w:tcBorders>
                  <w:shd w:val="clear" w:color="auto" w:fill="auto"/>
                  <w:tcMar>
                    <w:top w:w="0" w:type="dxa"/>
                    <w:left w:w="0" w:type="dxa"/>
                    <w:bottom w:w="0" w:type="dxa"/>
                    <w:right w:w="0" w:type="dxa"/>
                  </w:tcMar>
                  <w:vAlign w:val="center"/>
                </w:tcPr>
                <w:p w14:paraId="7C710C8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64.83</w:t>
                  </w:r>
                </w:p>
              </w:tc>
              <w:tc>
                <w:tcPr>
                  <w:tcW w:w="167" w:type="pct"/>
                  <w:tcBorders>
                    <w:tl2br w:val="nil"/>
                    <w:tr2bl w:val="nil"/>
                  </w:tcBorders>
                  <w:shd w:val="clear" w:color="auto" w:fill="auto"/>
                  <w:tcMar>
                    <w:top w:w="0" w:type="dxa"/>
                    <w:left w:w="0" w:type="dxa"/>
                    <w:bottom w:w="0" w:type="dxa"/>
                    <w:right w:w="0" w:type="dxa"/>
                  </w:tcMar>
                  <w:vAlign w:val="center"/>
                </w:tcPr>
                <w:p w14:paraId="588FD71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61.19</w:t>
                  </w:r>
                </w:p>
              </w:tc>
              <w:tc>
                <w:tcPr>
                  <w:tcW w:w="175" w:type="pct"/>
                  <w:tcBorders>
                    <w:tl2br w:val="nil"/>
                    <w:tr2bl w:val="nil"/>
                  </w:tcBorders>
                  <w:shd w:val="clear" w:color="auto" w:fill="auto"/>
                  <w:tcMar>
                    <w:top w:w="0" w:type="dxa"/>
                    <w:left w:w="0" w:type="dxa"/>
                    <w:bottom w:w="0" w:type="dxa"/>
                    <w:right w:w="0" w:type="dxa"/>
                  </w:tcMar>
                  <w:vAlign w:val="center"/>
                </w:tcPr>
                <w:p w14:paraId="3523039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55.89</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7F909E59">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5AC97D5D">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DC8BD6A">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A541D71">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32BFFE38">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306CAFE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45.94</w:t>
                  </w:r>
                </w:p>
              </w:tc>
              <w:tc>
                <w:tcPr>
                  <w:tcW w:w="171" w:type="pct"/>
                  <w:tcBorders>
                    <w:tl2br w:val="nil"/>
                    <w:tr2bl w:val="nil"/>
                  </w:tcBorders>
                  <w:shd w:val="clear" w:color="auto" w:fill="auto"/>
                  <w:tcMar>
                    <w:top w:w="0" w:type="dxa"/>
                    <w:left w:w="0" w:type="dxa"/>
                    <w:bottom w:w="0" w:type="dxa"/>
                    <w:right w:w="0" w:type="dxa"/>
                  </w:tcMar>
                  <w:vAlign w:val="center"/>
                </w:tcPr>
                <w:p w14:paraId="4FA1F3E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44.83</w:t>
                  </w:r>
                </w:p>
              </w:tc>
              <w:tc>
                <w:tcPr>
                  <w:tcW w:w="172" w:type="pct"/>
                  <w:tcBorders>
                    <w:tl2br w:val="nil"/>
                    <w:tr2bl w:val="nil"/>
                  </w:tcBorders>
                  <w:shd w:val="clear" w:color="auto" w:fill="auto"/>
                  <w:tcMar>
                    <w:top w:w="0" w:type="dxa"/>
                    <w:left w:w="0" w:type="dxa"/>
                    <w:bottom w:w="0" w:type="dxa"/>
                    <w:right w:w="0" w:type="dxa"/>
                  </w:tcMar>
                  <w:vAlign w:val="center"/>
                </w:tcPr>
                <w:p w14:paraId="79D1762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41.19</w:t>
                  </w:r>
                </w:p>
              </w:tc>
              <w:tc>
                <w:tcPr>
                  <w:tcW w:w="172" w:type="pct"/>
                  <w:tcBorders>
                    <w:tl2br w:val="nil"/>
                    <w:tr2bl w:val="nil"/>
                  </w:tcBorders>
                  <w:shd w:val="clear" w:color="auto" w:fill="auto"/>
                  <w:tcMar>
                    <w:top w:w="0" w:type="dxa"/>
                    <w:left w:w="0" w:type="dxa"/>
                    <w:bottom w:w="0" w:type="dxa"/>
                    <w:right w:w="0" w:type="dxa"/>
                  </w:tcMar>
                  <w:vAlign w:val="center"/>
                </w:tcPr>
                <w:p w14:paraId="35F579D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35.89</w:t>
                  </w:r>
                </w:p>
              </w:tc>
              <w:tc>
                <w:tcPr>
                  <w:tcW w:w="165" w:type="pct"/>
                  <w:tcBorders>
                    <w:tl2br w:val="nil"/>
                    <w:tr2bl w:val="nil"/>
                  </w:tcBorders>
                  <w:shd w:val="clear" w:color="auto" w:fill="auto"/>
                  <w:tcMar>
                    <w:top w:w="0" w:type="dxa"/>
                    <w:left w:w="0" w:type="dxa"/>
                    <w:bottom w:w="0" w:type="dxa"/>
                    <w:right w:w="0" w:type="dxa"/>
                  </w:tcMar>
                  <w:vAlign w:val="center"/>
                </w:tcPr>
                <w:p w14:paraId="78C12F40">
                  <w:pPr>
                    <w:adjustRightInd w:val="0"/>
                    <w:snapToGrid w:val="0"/>
                    <w:jc w:val="center"/>
                    <w:rPr>
                      <w:color w:val="auto"/>
                      <w:sz w:val="20"/>
                      <w:szCs w:val="20"/>
                    </w:rPr>
                  </w:pPr>
                  <w:r>
                    <w:rPr>
                      <w:color w:val="auto"/>
                      <w:sz w:val="20"/>
                      <w:szCs w:val="20"/>
                    </w:rPr>
                    <w:t>1</w:t>
                  </w:r>
                </w:p>
              </w:tc>
            </w:tr>
            <w:tr w14:paraId="44547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7BB4ECD7">
                  <w:pPr>
                    <w:adjustRightInd w:val="0"/>
                    <w:snapToGrid w:val="0"/>
                    <w:jc w:val="center"/>
                    <w:rPr>
                      <w:color w:val="auto"/>
                      <w:sz w:val="20"/>
                      <w:szCs w:val="20"/>
                    </w:rPr>
                  </w:pPr>
                  <w:r>
                    <w:rPr>
                      <w:color w:val="auto"/>
                      <w:sz w:val="20"/>
                      <w:szCs w:val="20"/>
                    </w:rPr>
                    <w:t>8</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39287DAD">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798300C2">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平磨机</w:t>
                  </w:r>
                </w:p>
              </w:tc>
              <w:tc>
                <w:tcPr>
                  <w:tcW w:w="165" w:type="pct"/>
                  <w:tcBorders>
                    <w:tl2br w:val="nil"/>
                    <w:tr2bl w:val="nil"/>
                  </w:tcBorders>
                  <w:shd w:val="clear" w:color="auto" w:fill="auto"/>
                  <w:tcMar>
                    <w:top w:w="0" w:type="dxa"/>
                    <w:left w:w="0" w:type="dxa"/>
                    <w:bottom w:w="0" w:type="dxa"/>
                    <w:right w:w="0" w:type="dxa"/>
                  </w:tcMar>
                  <w:vAlign w:val="center"/>
                </w:tcPr>
                <w:p w14:paraId="6844DD97">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10</w:t>
                  </w:r>
                </w:p>
              </w:tc>
              <w:tc>
                <w:tcPr>
                  <w:tcW w:w="223" w:type="pct"/>
                  <w:tcBorders>
                    <w:tl2br w:val="nil"/>
                    <w:tr2bl w:val="nil"/>
                  </w:tcBorders>
                  <w:shd w:val="clear" w:color="auto" w:fill="auto"/>
                  <w:tcMar>
                    <w:top w:w="0" w:type="dxa"/>
                    <w:left w:w="0" w:type="dxa"/>
                    <w:bottom w:w="0" w:type="dxa"/>
                    <w:right w:w="0" w:type="dxa"/>
                  </w:tcMar>
                  <w:vAlign w:val="center"/>
                </w:tcPr>
                <w:p w14:paraId="4FA670AA">
                  <w:pPr>
                    <w:jc w:val="center"/>
                    <w:rPr>
                      <w:color w:val="auto"/>
                      <w:sz w:val="20"/>
                      <w:szCs w:val="20"/>
                      <w:highlight w:val="none"/>
                    </w:rPr>
                  </w:pPr>
                  <w:r>
                    <w:rPr>
                      <w:rFonts w:hint="eastAsia"/>
                      <w:color w:val="auto"/>
                      <w:sz w:val="18"/>
                      <w:szCs w:val="18"/>
                      <w:highlight w:val="none"/>
                    </w:rPr>
                    <w:t>85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7E3B32D9">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4F3ECC5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-52.3</w:t>
                  </w:r>
                </w:p>
              </w:tc>
              <w:tc>
                <w:tcPr>
                  <w:tcW w:w="181" w:type="pct"/>
                  <w:tcBorders>
                    <w:tl2br w:val="nil"/>
                    <w:tr2bl w:val="nil"/>
                  </w:tcBorders>
                  <w:shd w:val="clear" w:color="auto" w:fill="auto"/>
                  <w:tcMar>
                    <w:top w:w="0" w:type="dxa"/>
                    <w:left w:w="0" w:type="dxa"/>
                    <w:bottom w:w="0" w:type="dxa"/>
                    <w:right w:w="0" w:type="dxa"/>
                  </w:tcMar>
                  <w:vAlign w:val="center"/>
                </w:tcPr>
                <w:p w14:paraId="4E5EF2E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r>
                    <w:rPr>
                      <w:rFonts w:hint="default" w:ascii="Times New Roman" w:hAnsi="Times New Roman" w:cs="Times New Roman"/>
                      <w:color w:val="auto"/>
                      <w:kern w:val="2"/>
                      <w:sz w:val="18"/>
                      <w:szCs w:val="18"/>
                      <w:lang w:val="en-US" w:eastAsia="zh-CN" w:bidi="ar-SA"/>
                    </w:rPr>
                    <w:t>2.4</w:t>
                  </w:r>
                </w:p>
              </w:tc>
              <w:tc>
                <w:tcPr>
                  <w:tcW w:w="143" w:type="pct"/>
                  <w:tcBorders>
                    <w:tl2br w:val="nil"/>
                    <w:tr2bl w:val="nil"/>
                  </w:tcBorders>
                  <w:shd w:val="clear" w:color="auto" w:fill="auto"/>
                  <w:tcMar>
                    <w:top w:w="0" w:type="dxa"/>
                    <w:left w:w="0" w:type="dxa"/>
                    <w:bottom w:w="0" w:type="dxa"/>
                    <w:right w:w="0" w:type="dxa"/>
                  </w:tcMar>
                  <w:vAlign w:val="center"/>
                </w:tcPr>
                <w:p w14:paraId="4B7E5B2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3B0A3D9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7AA97D8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w:t>
                  </w:r>
                </w:p>
              </w:tc>
              <w:tc>
                <w:tcPr>
                  <w:tcW w:w="159" w:type="pct"/>
                  <w:tcBorders>
                    <w:tl2br w:val="nil"/>
                    <w:tr2bl w:val="nil"/>
                  </w:tcBorders>
                  <w:shd w:val="clear" w:color="auto" w:fill="auto"/>
                  <w:tcMar>
                    <w:top w:w="0" w:type="dxa"/>
                    <w:left w:w="0" w:type="dxa"/>
                    <w:bottom w:w="0" w:type="dxa"/>
                    <w:right w:w="0" w:type="dxa"/>
                  </w:tcMar>
                  <w:vAlign w:val="center"/>
                </w:tcPr>
                <w:p w14:paraId="5BE5DC7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w:t>
                  </w:r>
                </w:p>
              </w:tc>
              <w:tc>
                <w:tcPr>
                  <w:tcW w:w="174" w:type="pct"/>
                  <w:tcBorders>
                    <w:tl2br w:val="nil"/>
                    <w:tr2bl w:val="nil"/>
                  </w:tcBorders>
                  <w:shd w:val="clear" w:color="auto" w:fill="auto"/>
                  <w:tcMar>
                    <w:top w:w="0" w:type="dxa"/>
                    <w:left w:w="0" w:type="dxa"/>
                    <w:bottom w:w="0" w:type="dxa"/>
                    <w:right w:w="0" w:type="dxa"/>
                  </w:tcMar>
                  <w:vAlign w:val="center"/>
                </w:tcPr>
                <w:p w14:paraId="4BA4F62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5.5</w:t>
                  </w:r>
                </w:p>
              </w:tc>
              <w:tc>
                <w:tcPr>
                  <w:tcW w:w="167" w:type="pct"/>
                  <w:tcBorders>
                    <w:tl2br w:val="nil"/>
                    <w:tr2bl w:val="nil"/>
                  </w:tcBorders>
                  <w:shd w:val="clear" w:color="auto" w:fill="auto"/>
                  <w:tcMar>
                    <w:top w:w="0" w:type="dxa"/>
                    <w:left w:w="0" w:type="dxa"/>
                    <w:bottom w:w="0" w:type="dxa"/>
                    <w:right w:w="0" w:type="dxa"/>
                  </w:tcMar>
                  <w:vAlign w:val="center"/>
                </w:tcPr>
                <w:p w14:paraId="54D683C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56.48</w:t>
                  </w:r>
                </w:p>
              </w:tc>
              <w:tc>
                <w:tcPr>
                  <w:tcW w:w="167" w:type="pct"/>
                  <w:tcBorders>
                    <w:tl2br w:val="nil"/>
                    <w:tr2bl w:val="nil"/>
                  </w:tcBorders>
                  <w:shd w:val="clear" w:color="auto" w:fill="auto"/>
                  <w:tcMar>
                    <w:top w:w="0" w:type="dxa"/>
                    <w:left w:w="0" w:type="dxa"/>
                    <w:bottom w:w="0" w:type="dxa"/>
                    <w:right w:w="0" w:type="dxa"/>
                  </w:tcMar>
                  <w:vAlign w:val="center"/>
                </w:tcPr>
                <w:p w14:paraId="4922B67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46.02</w:t>
                  </w:r>
                </w:p>
              </w:tc>
              <w:tc>
                <w:tcPr>
                  <w:tcW w:w="167" w:type="pct"/>
                  <w:tcBorders>
                    <w:tl2br w:val="nil"/>
                    <w:tr2bl w:val="nil"/>
                  </w:tcBorders>
                  <w:shd w:val="clear" w:color="auto" w:fill="auto"/>
                  <w:tcMar>
                    <w:top w:w="0" w:type="dxa"/>
                    <w:left w:w="0" w:type="dxa"/>
                    <w:bottom w:w="0" w:type="dxa"/>
                    <w:right w:w="0" w:type="dxa"/>
                  </w:tcMar>
                  <w:vAlign w:val="center"/>
                </w:tcPr>
                <w:p w14:paraId="1C6DBE1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49.12</w:t>
                  </w:r>
                </w:p>
              </w:tc>
              <w:tc>
                <w:tcPr>
                  <w:tcW w:w="175" w:type="pct"/>
                  <w:tcBorders>
                    <w:tl2br w:val="nil"/>
                    <w:tr2bl w:val="nil"/>
                  </w:tcBorders>
                  <w:shd w:val="clear" w:color="auto" w:fill="auto"/>
                  <w:tcMar>
                    <w:top w:w="0" w:type="dxa"/>
                    <w:left w:w="0" w:type="dxa"/>
                    <w:bottom w:w="0" w:type="dxa"/>
                    <w:right w:w="0" w:type="dxa"/>
                  </w:tcMar>
                  <w:vAlign w:val="center"/>
                </w:tcPr>
                <w:p w14:paraId="3B4DD68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45.19</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575187FA">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421464BD">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79447F0B">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299B4342">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8C79C54">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29F2F847">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36.48</w:t>
                  </w:r>
                </w:p>
              </w:tc>
              <w:tc>
                <w:tcPr>
                  <w:tcW w:w="171" w:type="pct"/>
                  <w:tcBorders>
                    <w:tl2br w:val="nil"/>
                    <w:tr2bl w:val="nil"/>
                  </w:tcBorders>
                  <w:shd w:val="clear" w:color="auto" w:fill="auto"/>
                  <w:tcMar>
                    <w:top w:w="0" w:type="dxa"/>
                    <w:left w:w="0" w:type="dxa"/>
                    <w:bottom w:w="0" w:type="dxa"/>
                    <w:right w:w="0" w:type="dxa"/>
                  </w:tcMar>
                  <w:vAlign w:val="center"/>
                </w:tcPr>
                <w:p w14:paraId="3B5E5BB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26.02</w:t>
                  </w:r>
                </w:p>
              </w:tc>
              <w:tc>
                <w:tcPr>
                  <w:tcW w:w="172" w:type="pct"/>
                  <w:tcBorders>
                    <w:tl2br w:val="nil"/>
                    <w:tr2bl w:val="nil"/>
                  </w:tcBorders>
                  <w:shd w:val="clear" w:color="auto" w:fill="auto"/>
                  <w:tcMar>
                    <w:top w:w="0" w:type="dxa"/>
                    <w:left w:w="0" w:type="dxa"/>
                    <w:bottom w:w="0" w:type="dxa"/>
                    <w:right w:w="0" w:type="dxa"/>
                  </w:tcMar>
                  <w:vAlign w:val="center"/>
                </w:tcPr>
                <w:p w14:paraId="1505E37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29.12</w:t>
                  </w:r>
                </w:p>
              </w:tc>
              <w:tc>
                <w:tcPr>
                  <w:tcW w:w="172" w:type="pct"/>
                  <w:tcBorders>
                    <w:tl2br w:val="nil"/>
                    <w:tr2bl w:val="nil"/>
                  </w:tcBorders>
                  <w:shd w:val="clear" w:color="auto" w:fill="auto"/>
                  <w:tcMar>
                    <w:top w:w="0" w:type="dxa"/>
                    <w:left w:w="0" w:type="dxa"/>
                    <w:bottom w:w="0" w:type="dxa"/>
                    <w:right w:w="0" w:type="dxa"/>
                  </w:tcMar>
                  <w:vAlign w:val="center"/>
                </w:tcPr>
                <w:p w14:paraId="263B577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25.19</w:t>
                  </w:r>
                </w:p>
              </w:tc>
              <w:tc>
                <w:tcPr>
                  <w:tcW w:w="165" w:type="pct"/>
                  <w:tcBorders>
                    <w:tl2br w:val="nil"/>
                    <w:tr2bl w:val="nil"/>
                  </w:tcBorders>
                  <w:shd w:val="clear" w:color="auto" w:fill="auto"/>
                  <w:tcMar>
                    <w:top w:w="0" w:type="dxa"/>
                    <w:left w:w="0" w:type="dxa"/>
                    <w:bottom w:w="0" w:type="dxa"/>
                    <w:right w:w="0" w:type="dxa"/>
                  </w:tcMar>
                  <w:vAlign w:val="center"/>
                </w:tcPr>
                <w:p w14:paraId="265E48FA">
                  <w:pPr>
                    <w:adjustRightInd w:val="0"/>
                    <w:snapToGrid w:val="0"/>
                    <w:jc w:val="center"/>
                    <w:rPr>
                      <w:color w:val="auto"/>
                      <w:sz w:val="20"/>
                      <w:szCs w:val="20"/>
                    </w:rPr>
                  </w:pPr>
                  <w:r>
                    <w:rPr>
                      <w:color w:val="auto"/>
                      <w:sz w:val="20"/>
                      <w:szCs w:val="20"/>
                    </w:rPr>
                    <w:t>1</w:t>
                  </w:r>
                </w:p>
              </w:tc>
            </w:tr>
            <w:tr w14:paraId="74472B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082411CA">
                  <w:pPr>
                    <w:adjustRightInd w:val="0"/>
                    <w:snapToGrid w:val="0"/>
                    <w:jc w:val="center"/>
                    <w:rPr>
                      <w:color w:val="auto"/>
                      <w:sz w:val="20"/>
                      <w:szCs w:val="20"/>
                    </w:rPr>
                  </w:pPr>
                  <w:r>
                    <w:rPr>
                      <w:rFonts w:hint="eastAsia"/>
                      <w:color w:val="auto"/>
                      <w:sz w:val="20"/>
                      <w:szCs w:val="20"/>
                    </w:rPr>
                    <w:t>9</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259F762F">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28AD1907">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自动绗</w:t>
                  </w:r>
                </w:p>
              </w:tc>
              <w:tc>
                <w:tcPr>
                  <w:tcW w:w="165" w:type="pct"/>
                  <w:tcBorders>
                    <w:tl2br w:val="nil"/>
                    <w:tr2bl w:val="nil"/>
                  </w:tcBorders>
                  <w:shd w:val="clear" w:color="auto" w:fill="auto"/>
                  <w:tcMar>
                    <w:top w:w="0" w:type="dxa"/>
                    <w:left w:w="0" w:type="dxa"/>
                    <w:bottom w:w="0" w:type="dxa"/>
                    <w:right w:w="0" w:type="dxa"/>
                  </w:tcMar>
                  <w:vAlign w:val="center"/>
                </w:tcPr>
                <w:p w14:paraId="1D61C543">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1</w:t>
                  </w:r>
                </w:p>
              </w:tc>
              <w:tc>
                <w:tcPr>
                  <w:tcW w:w="223" w:type="pct"/>
                  <w:tcBorders>
                    <w:tl2br w:val="nil"/>
                    <w:tr2bl w:val="nil"/>
                  </w:tcBorders>
                  <w:shd w:val="clear" w:color="auto" w:fill="auto"/>
                  <w:tcMar>
                    <w:top w:w="0" w:type="dxa"/>
                    <w:left w:w="0" w:type="dxa"/>
                    <w:bottom w:w="0" w:type="dxa"/>
                    <w:right w:w="0" w:type="dxa"/>
                  </w:tcMar>
                  <w:vAlign w:val="center"/>
                </w:tcPr>
                <w:p w14:paraId="02BF2E42">
                  <w:pPr>
                    <w:jc w:val="center"/>
                    <w:rPr>
                      <w:color w:val="auto"/>
                      <w:sz w:val="20"/>
                      <w:szCs w:val="20"/>
                      <w:highlight w:val="none"/>
                    </w:rPr>
                  </w:pPr>
                  <w:r>
                    <w:rPr>
                      <w:rFonts w:hint="eastAsia"/>
                      <w:color w:val="auto"/>
                      <w:sz w:val="18"/>
                      <w:szCs w:val="18"/>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796A025E">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0EEADB2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w:t>
                  </w:r>
                  <w:r>
                    <w:rPr>
                      <w:rFonts w:hint="eastAsia" w:ascii="Times New Roman" w:hAnsi="Times New Roman" w:cs="Times New Roman"/>
                      <w:color w:val="auto"/>
                      <w:kern w:val="2"/>
                      <w:sz w:val="18"/>
                      <w:szCs w:val="18"/>
                      <w:lang w:val="en-US" w:eastAsia="zh-CN" w:bidi="ar-SA"/>
                    </w:rPr>
                    <w:t>6</w:t>
                  </w:r>
                  <w:r>
                    <w:rPr>
                      <w:rFonts w:hint="default" w:ascii="Times New Roman" w:hAnsi="Times New Roman" w:cs="Times New Roman"/>
                      <w:color w:val="auto"/>
                      <w:kern w:val="2"/>
                      <w:sz w:val="18"/>
                      <w:szCs w:val="18"/>
                      <w:lang w:val="en-US" w:eastAsia="zh-CN" w:bidi="ar-SA"/>
                    </w:rPr>
                    <w:t>7</w:t>
                  </w:r>
                </w:p>
              </w:tc>
              <w:tc>
                <w:tcPr>
                  <w:tcW w:w="181" w:type="pct"/>
                  <w:tcBorders>
                    <w:tl2br w:val="nil"/>
                    <w:tr2bl w:val="nil"/>
                  </w:tcBorders>
                  <w:shd w:val="clear" w:color="auto" w:fill="auto"/>
                  <w:tcMar>
                    <w:top w:w="0" w:type="dxa"/>
                    <w:left w:w="0" w:type="dxa"/>
                    <w:bottom w:w="0" w:type="dxa"/>
                    <w:right w:w="0" w:type="dxa"/>
                  </w:tcMar>
                  <w:vAlign w:val="center"/>
                </w:tcPr>
                <w:p w14:paraId="5C8971C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25.5</w:t>
                  </w:r>
                </w:p>
              </w:tc>
              <w:tc>
                <w:tcPr>
                  <w:tcW w:w="143" w:type="pct"/>
                  <w:tcBorders>
                    <w:tl2br w:val="nil"/>
                    <w:tr2bl w:val="nil"/>
                  </w:tcBorders>
                  <w:shd w:val="clear" w:color="auto" w:fill="auto"/>
                  <w:tcMar>
                    <w:top w:w="0" w:type="dxa"/>
                    <w:left w:w="0" w:type="dxa"/>
                    <w:bottom w:w="0" w:type="dxa"/>
                    <w:right w:w="0" w:type="dxa"/>
                  </w:tcMar>
                  <w:vAlign w:val="center"/>
                </w:tcPr>
                <w:p w14:paraId="405DFD9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168AD92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0F46FD6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544897E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74" w:type="pct"/>
                  <w:tcBorders>
                    <w:tl2br w:val="nil"/>
                    <w:tr2bl w:val="nil"/>
                  </w:tcBorders>
                  <w:shd w:val="clear" w:color="auto" w:fill="auto"/>
                  <w:tcMar>
                    <w:top w:w="0" w:type="dxa"/>
                    <w:left w:w="0" w:type="dxa"/>
                    <w:bottom w:w="0" w:type="dxa"/>
                    <w:right w:w="0" w:type="dxa"/>
                  </w:tcMar>
                  <w:vAlign w:val="center"/>
                </w:tcPr>
                <w:p w14:paraId="23659EF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794FA23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59.49</w:t>
                  </w:r>
                </w:p>
              </w:tc>
              <w:tc>
                <w:tcPr>
                  <w:tcW w:w="167" w:type="pct"/>
                  <w:tcBorders>
                    <w:tl2br w:val="nil"/>
                    <w:tr2bl w:val="nil"/>
                  </w:tcBorders>
                  <w:shd w:val="clear" w:color="auto" w:fill="auto"/>
                  <w:tcMar>
                    <w:top w:w="0" w:type="dxa"/>
                    <w:left w:w="0" w:type="dxa"/>
                    <w:bottom w:w="0" w:type="dxa"/>
                    <w:right w:w="0" w:type="dxa"/>
                  </w:tcMar>
                  <w:vAlign w:val="center"/>
                </w:tcPr>
                <w:p w14:paraId="609FB24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63.01</w:t>
                  </w:r>
                </w:p>
              </w:tc>
              <w:tc>
                <w:tcPr>
                  <w:tcW w:w="167" w:type="pct"/>
                  <w:tcBorders>
                    <w:tl2br w:val="nil"/>
                    <w:tr2bl w:val="nil"/>
                  </w:tcBorders>
                  <w:shd w:val="clear" w:color="auto" w:fill="auto"/>
                  <w:tcMar>
                    <w:top w:w="0" w:type="dxa"/>
                    <w:left w:w="0" w:type="dxa"/>
                    <w:bottom w:w="0" w:type="dxa"/>
                    <w:right w:w="0" w:type="dxa"/>
                  </w:tcMar>
                  <w:vAlign w:val="center"/>
                </w:tcPr>
                <w:p w14:paraId="2C82196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59.49</w:t>
                  </w:r>
                </w:p>
              </w:tc>
              <w:tc>
                <w:tcPr>
                  <w:tcW w:w="175" w:type="pct"/>
                  <w:tcBorders>
                    <w:tl2br w:val="nil"/>
                    <w:tr2bl w:val="nil"/>
                  </w:tcBorders>
                  <w:shd w:val="clear" w:color="auto" w:fill="auto"/>
                  <w:tcMar>
                    <w:top w:w="0" w:type="dxa"/>
                    <w:left w:w="0" w:type="dxa"/>
                    <w:bottom w:w="0" w:type="dxa"/>
                    <w:right w:w="0" w:type="dxa"/>
                  </w:tcMar>
                  <w:vAlign w:val="center"/>
                </w:tcPr>
                <w:p w14:paraId="51570CD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63.01</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4CDF67CB">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78B68BC8">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410A67E">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532E07A">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EE6212B">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1706CD8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39.49</w:t>
                  </w:r>
                </w:p>
              </w:tc>
              <w:tc>
                <w:tcPr>
                  <w:tcW w:w="171" w:type="pct"/>
                  <w:tcBorders>
                    <w:tl2br w:val="nil"/>
                    <w:tr2bl w:val="nil"/>
                  </w:tcBorders>
                  <w:shd w:val="clear" w:color="auto" w:fill="auto"/>
                  <w:tcMar>
                    <w:top w:w="0" w:type="dxa"/>
                    <w:left w:w="0" w:type="dxa"/>
                    <w:bottom w:w="0" w:type="dxa"/>
                    <w:right w:w="0" w:type="dxa"/>
                  </w:tcMar>
                  <w:vAlign w:val="center"/>
                </w:tcPr>
                <w:p w14:paraId="6E455DE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43.01</w:t>
                  </w:r>
                </w:p>
              </w:tc>
              <w:tc>
                <w:tcPr>
                  <w:tcW w:w="172" w:type="pct"/>
                  <w:tcBorders>
                    <w:tl2br w:val="nil"/>
                    <w:tr2bl w:val="nil"/>
                  </w:tcBorders>
                  <w:shd w:val="clear" w:color="auto" w:fill="auto"/>
                  <w:tcMar>
                    <w:top w:w="0" w:type="dxa"/>
                    <w:left w:w="0" w:type="dxa"/>
                    <w:bottom w:w="0" w:type="dxa"/>
                    <w:right w:w="0" w:type="dxa"/>
                  </w:tcMar>
                  <w:vAlign w:val="center"/>
                </w:tcPr>
                <w:p w14:paraId="4983E817">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39.49</w:t>
                  </w:r>
                </w:p>
              </w:tc>
              <w:tc>
                <w:tcPr>
                  <w:tcW w:w="172" w:type="pct"/>
                  <w:tcBorders>
                    <w:tl2br w:val="nil"/>
                    <w:tr2bl w:val="nil"/>
                  </w:tcBorders>
                  <w:shd w:val="clear" w:color="auto" w:fill="auto"/>
                  <w:tcMar>
                    <w:top w:w="0" w:type="dxa"/>
                    <w:left w:w="0" w:type="dxa"/>
                    <w:bottom w:w="0" w:type="dxa"/>
                    <w:right w:w="0" w:type="dxa"/>
                  </w:tcMar>
                  <w:vAlign w:val="center"/>
                </w:tcPr>
                <w:p w14:paraId="585ED9D0">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43.01</w:t>
                  </w:r>
                </w:p>
              </w:tc>
              <w:tc>
                <w:tcPr>
                  <w:tcW w:w="165" w:type="pct"/>
                  <w:tcBorders>
                    <w:tl2br w:val="nil"/>
                    <w:tr2bl w:val="nil"/>
                  </w:tcBorders>
                  <w:shd w:val="clear" w:color="auto" w:fill="auto"/>
                  <w:tcMar>
                    <w:top w:w="0" w:type="dxa"/>
                    <w:left w:w="0" w:type="dxa"/>
                    <w:bottom w:w="0" w:type="dxa"/>
                    <w:right w:w="0" w:type="dxa"/>
                  </w:tcMar>
                  <w:vAlign w:val="center"/>
                </w:tcPr>
                <w:p w14:paraId="2C354887">
                  <w:pPr>
                    <w:adjustRightInd w:val="0"/>
                    <w:snapToGrid w:val="0"/>
                    <w:jc w:val="center"/>
                    <w:rPr>
                      <w:color w:val="auto"/>
                      <w:sz w:val="20"/>
                      <w:szCs w:val="20"/>
                    </w:rPr>
                  </w:pPr>
                  <w:r>
                    <w:rPr>
                      <w:color w:val="auto"/>
                      <w:sz w:val="20"/>
                      <w:szCs w:val="20"/>
                    </w:rPr>
                    <w:t>1</w:t>
                  </w:r>
                </w:p>
              </w:tc>
            </w:tr>
            <w:tr w14:paraId="3E9822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581FF6B3">
                  <w:pPr>
                    <w:adjustRightInd w:val="0"/>
                    <w:snapToGrid w:val="0"/>
                    <w:jc w:val="center"/>
                    <w:rPr>
                      <w:color w:val="auto"/>
                      <w:sz w:val="20"/>
                      <w:szCs w:val="20"/>
                    </w:rPr>
                  </w:pPr>
                  <w:r>
                    <w:rPr>
                      <w:rFonts w:hint="eastAsia"/>
                      <w:color w:val="auto"/>
                      <w:sz w:val="20"/>
                      <w:szCs w:val="20"/>
                    </w:rPr>
                    <w:t>10</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5881AA15">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2B256187">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线切割机</w:t>
                  </w:r>
                </w:p>
              </w:tc>
              <w:tc>
                <w:tcPr>
                  <w:tcW w:w="165" w:type="pct"/>
                  <w:tcBorders>
                    <w:tl2br w:val="nil"/>
                    <w:tr2bl w:val="nil"/>
                  </w:tcBorders>
                  <w:shd w:val="clear" w:color="auto" w:fill="auto"/>
                  <w:tcMar>
                    <w:top w:w="0" w:type="dxa"/>
                    <w:left w:w="0" w:type="dxa"/>
                    <w:bottom w:w="0" w:type="dxa"/>
                    <w:right w:w="0" w:type="dxa"/>
                  </w:tcMar>
                  <w:vAlign w:val="center"/>
                </w:tcPr>
                <w:p w14:paraId="5D4C0FA7">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4</w:t>
                  </w:r>
                </w:p>
              </w:tc>
              <w:tc>
                <w:tcPr>
                  <w:tcW w:w="223" w:type="pct"/>
                  <w:tcBorders>
                    <w:tl2br w:val="nil"/>
                    <w:tr2bl w:val="nil"/>
                  </w:tcBorders>
                  <w:shd w:val="clear" w:color="auto" w:fill="auto"/>
                  <w:tcMar>
                    <w:top w:w="0" w:type="dxa"/>
                    <w:left w:w="0" w:type="dxa"/>
                    <w:bottom w:w="0" w:type="dxa"/>
                    <w:right w:w="0" w:type="dxa"/>
                  </w:tcMar>
                  <w:vAlign w:val="center"/>
                </w:tcPr>
                <w:p w14:paraId="5D833E51">
                  <w:pPr>
                    <w:jc w:val="center"/>
                    <w:rPr>
                      <w:color w:val="auto"/>
                      <w:sz w:val="20"/>
                      <w:szCs w:val="20"/>
                      <w:highlight w:val="none"/>
                    </w:rPr>
                  </w:pPr>
                  <w:r>
                    <w:rPr>
                      <w:rFonts w:hint="eastAsia"/>
                      <w:color w:val="auto"/>
                      <w:sz w:val="18"/>
                      <w:szCs w:val="18"/>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2B1348E0">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24E1828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22.1</w:t>
                  </w:r>
                </w:p>
              </w:tc>
              <w:tc>
                <w:tcPr>
                  <w:tcW w:w="181" w:type="pct"/>
                  <w:tcBorders>
                    <w:tl2br w:val="nil"/>
                    <w:tr2bl w:val="nil"/>
                  </w:tcBorders>
                  <w:shd w:val="clear" w:color="auto" w:fill="auto"/>
                  <w:tcMar>
                    <w:top w:w="0" w:type="dxa"/>
                    <w:left w:w="0" w:type="dxa"/>
                    <w:bottom w:w="0" w:type="dxa"/>
                    <w:right w:w="0" w:type="dxa"/>
                  </w:tcMar>
                  <w:vAlign w:val="center"/>
                </w:tcPr>
                <w:p w14:paraId="4782501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35.3</w:t>
                  </w:r>
                </w:p>
              </w:tc>
              <w:tc>
                <w:tcPr>
                  <w:tcW w:w="143" w:type="pct"/>
                  <w:tcBorders>
                    <w:tl2br w:val="nil"/>
                    <w:tr2bl w:val="nil"/>
                  </w:tcBorders>
                  <w:shd w:val="clear" w:color="auto" w:fill="auto"/>
                  <w:tcMar>
                    <w:top w:w="0" w:type="dxa"/>
                    <w:left w:w="0" w:type="dxa"/>
                    <w:bottom w:w="0" w:type="dxa"/>
                    <w:right w:w="0" w:type="dxa"/>
                  </w:tcMar>
                  <w:vAlign w:val="center"/>
                </w:tcPr>
                <w:p w14:paraId="4FC6811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600FB52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150A955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7AFF0CE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2B61D26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240D6E6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67" w:type="pct"/>
                  <w:tcBorders>
                    <w:tl2br w:val="nil"/>
                    <w:tr2bl w:val="nil"/>
                  </w:tcBorders>
                  <w:shd w:val="clear" w:color="auto" w:fill="auto"/>
                  <w:tcMar>
                    <w:top w:w="0" w:type="dxa"/>
                    <w:left w:w="0" w:type="dxa"/>
                    <w:bottom w:w="0" w:type="dxa"/>
                    <w:right w:w="0" w:type="dxa"/>
                  </w:tcMar>
                  <w:vAlign w:val="center"/>
                </w:tcPr>
                <w:p w14:paraId="38EB33D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w:t>
                  </w:r>
                </w:p>
              </w:tc>
              <w:tc>
                <w:tcPr>
                  <w:tcW w:w="167" w:type="pct"/>
                  <w:tcBorders>
                    <w:tl2br w:val="nil"/>
                    <w:tr2bl w:val="nil"/>
                  </w:tcBorders>
                  <w:shd w:val="clear" w:color="auto" w:fill="auto"/>
                  <w:tcMar>
                    <w:top w:w="0" w:type="dxa"/>
                    <w:left w:w="0" w:type="dxa"/>
                    <w:bottom w:w="0" w:type="dxa"/>
                    <w:right w:w="0" w:type="dxa"/>
                  </w:tcMar>
                  <w:vAlign w:val="center"/>
                </w:tcPr>
                <w:p w14:paraId="1BFBA8A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75" w:type="pct"/>
                  <w:tcBorders>
                    <w:tl2br w:val="nil"/>
                    <w:tr2bl w:val="nil"/>
                  </w:tcBorders>
                  <w:shd w:val="clear" w:color="auto" w:fill="auto"/>
                  <w:tcMar>
                    <w:top w:w="0" w:type="dxa"/>
                    <w:left w:w="0" w:type="dxa"/>
                    <w:bottom w:w="0" w:type="dxa"/>
                    <w:right w:w="0" w:type="dxa"/>
                  </w:tcMar>
                  <w:vAlign w:val="center"/>
                </w:tcPr>
                <w:p w14:paraId="767E00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60</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461B317E">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60F48E75">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C5E63A3">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E4B62DA">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72E2C0BB">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1CDE226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1" w:type="pct"/>
                  <w:tcBorders>
                    <w:tl2br w:val="nil"/>
                    <w:tr2bl w:val="nil"/>
                  </w:tcBorders>
                  <w:shd w:val="clear" w:color="auto" w:fill="auto"/>
                  <w:tcMar>
                    <w:top w:w="0" w:type="dxa"/>
                    <w:left w:w="0" w:type="dxa"/>
                    <w:bottom w:w="0" w:type="dxa"/>
                    <w:right w:w="0" w:type="dxa"/>
                  </w:tcMar>
                  <w:vAlign w:val="center"/>
                </w:tcPr>
                <w:p w14:paraId="7A8C6E2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40.00</w:t>
                  </w:r>
                </w:p>
              </w:tc>
              <w:tc>
                <w:tcPr>
                  <w:tcW w:w="172" w:type="pct"/>
                  <w:tcBorders>
                    <w:tl2br w:val="nil"/>
                    <w:tr2bl w:val="nil"/>
                  </w:tcBorders>
                  <w:shd w:val="clear" w:color="auto" w:fill="auto"/>
                  <w:tcMar>
                    <w:top w:w="0" w:type="dxa"/>
                    <w:left w:w="0" w:type="dxa"/>
                    <w:bottom w:w="0" w:type="dxa"/>
                    <w:right w:w="0" w:type="dxa"/>
                  </w:tcMar>
                  <w:vAlign w:val="center"/>
                </w:tcPr>
                <w:p w14:paraId="383740E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2" w:type="pct"/>
                  <w:tcBorders>
                    <w:tl2br w:val="nil"/>
                    <w:tr2bl w:val="nil"/>
                  </w:tcBorders>
                  <w:shd w:val="clear" w:color="auto" w:fill="auto"/>
                  <w:tcMar>
                    <w:top w:w="0" w:type="dxa"/>
                    <w:left w:w="0" w:type="dxa"/>
                    <w:bottom w:w="0" w:type="dxa"/>
                    <w:right w:w="0" w:type="dxa"/>
                  </w:tcMar>
                  <w:vAlign w:val="center"/>
                </w:tcPr>
                <w:p w14:paraId="02AA5D8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40.00</w:t>
                  </w:r>
                </w:p>
              </w:tc>
              <w:tc>
                <w:tcPr>
                  <w:tcW w:w="165" w:type="pct"/>
                  <w:tcBorders>
                    <w:tl2br w:val="nil"/>
                    <w:tr2bl w:val="nil"/>
                  </w:tcBorders>
                  <w:shd w:val="clear" w:color="auto" w:fill="auto"/>
                  <w:tcMar>
                    <w:top w:w="0" w:type="dxa"/>
                    <w:left w:w="0" w:type="dxa"/>
                    <w:bottom w:w="0" w:type="dxa"/>
                    <w:right w:w="0" w:type="dxa"/>
                  </w:tcMar>
                  <w:vAlign w:val="center"/>
                </w:tcPr>
                <w:p w14:paraId="5155F87E">
                  <w:pPr>
                    <w:adjustRightInd w:val="0"/>
                    <w:snapToGrid w:val="0"/>
                    <w:jc w:val="center"/>
                    <w:rPr>
                      <w:color w:val="auto"/>
                      <w:sz w:val="20"/>
                      <w:szCs w:val="20"/>
                    </w:rPr>
                  </w:pPr>
                  <w:r>
                    <w:rPr>
                      <w:color w:val="auto"/>
                      <w:sz w:val="20"/>
                      <w:szCs w:val="20"/>
                    </w:rPr>
                    <w:t>1</w:t>
                  </w:r>
                </w:p>
              </w:tc>
            </w:tr>
            <w:tr w14:paraId="24CACE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43674899">
                  <w:pPr>
                    <w:adjustRightInd w:val="0"/>
                    <w:snapToGrid w:val="0"/>
                    <w:jc w:val="center"/>
                    <w:rPr>
                      <w:color w:val="auto"/>
                      <w:sz w:val="20"/>
                      <w:szCs w:val="20"/>
                    </w:rPr>
                  </w:pPr>
                  <w:r>
                    <w:rPr>
                      <w:rFonts w:hint="eastAsia"/>
                      <w:color w:val="auto"/>
                      <w:sz w:val="20"/>
                      <w:szCs w:val="20"/>
                    </w:rPr>
                    <w:t>11</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7DD1F441">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505BC2D0">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铣齿机</w:t>
                  </w:r>
                </w:p>
              </w:tc>
              <w:tc>
                <w:tcPr>
                  <w:tcW w:w="165" w:type="pct"/>
                  <w:tcBorders>
                    <w:tl2br w:val="nil"/>
                    <w:tr2bl w:val="nil"/>
                  </w:tcBorders>
                  <w:shd w:val="clear" w:color="auto" w:fill="auto"/>
                  <w:tcMar>
                    <w:top w:w="0" w:type="dxa"/>
                    <w:left w:w="0" w:type="dxa"/>
                    <w:bottom w:w="0" w:type="dxa"/>
                    <w:right w:w="0" w:type="dxa"/>
                  </w:tcMar>
                  <w:vAlign w:val="center"/>
                </w:tcPr>
                <w:p w14:paraId="4F017700">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21"/>
                      <w:szCs w:val="21"/>
                      <w:u w:val="none"/>
                      <w:lang w:val="en-US" w:eastAsia="zh-CN" w:bidi="ar"/>
                    </w:rPr>
                    <w:t>5</w:t>
                  </w:r>
                </w:p>
              </w:tc>
              <w:tc>
                <w:tcPr>
                  <w:tcW w:w="223" w:type="pct"/>
                  <w:tcBorders>
                    <w:tl2br w:val="nil"/>
                    <w:tr2bl w:val="nil"/>
                  </w:tcBorders>
                  <w:shd w:val="clear" w:color="auto" w:fill="auto"/>
                  <w:tcMar>
                    <w:top w:w="0" w:type="dxa"/>
                    <w:left w:w="0" w:type="dxa"/>
                    <w:bottom w:w="0" w:type="dxa"/>
                    <w:right w:w="0" w:type="dxa"/>
                  </w:tcMar>
                  <w:vAlign w:val="center"/>
                </w:tcPr>
                <w:p w14:paraId="7E276627">
                  <w:pPr>
                    <w:jc w:val="center"/>
                    <w:rPr>
                      <w:color w:val="auto"/>
                      <w:sz w:val="20"/>
                      <w:szCs w:val="20"/>
                      <w:highlight w:val="none"/>
                    </w:rPr>
                  </w:pPr>
                  <w:r>
                    <w:rPr>
                      <w:rFonts w:hint="eastAsia"/>
                      <w:color w:val="auto"/>
                      <w:sz w:val="18"/>
                      <w:szCs w:val="18"/>
                      <w:highlight w:val="none"/>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C33814E">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566FBB9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w:t>
                  </w:r>
                  <w:r>
                    <w:rPr>
                      <w:rFonts w:hint="default" w:ascii="Times New Roman" w:hAnsi="Times New Roman" w:cs="Times New Roman"/>
                      <w:color w:val="auto"/>
                      <w:kern w:val="2"/>
                      <w:sz w:val="18"/>
                      <w:szCs w:val="18"/>
                      <w:lang w:val="en-US" w:eastAsia="zh-CN" w:bidi="ar-SA"/>
                    </w:rPr>
                    <w:t>8</w:t>
                  </w:r>
                </w:p>
              </w:tc>
              <w:tc>
                <w:tcPr>
                  <w:tcW w:w="181" w:type="pct"/>
                  <w:tcBorders>
                    <w:tl2br w:val="nil"/>
                    <w:tr2bl w:val="nil"/>
                  </w:tcBorders>
                  <w:shd w:val="clear" w:color="auto" w:fill="auto"/>
                  <w:tcMar>
                    <w:top w:w="0" w:type="dxa"/>
                    <w:left w:w="0" w:type="dxa"/>
                    <w:bottom w:w="0" w:type="dxa"/>
                    <w:right w:w="0" w:type="dxa"/>
                  </w:tcMar>
                  <w:vAlign w:val="center"/>
                </w:tcPr>
                <w:p w14:paraId="52848A7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-1.6</w:t>
                  </w:r>
                </w:p>
              </w:tc>
              <w:tc>
                <w:tcPr>
                  <w:tcW w:w="143" w:type="pct"/>
                  <w:tcBorders>
                    <w:tl2br w:val="nil"/>
                    <w:tr2bl w:val="nil"/>
                  </w:tcBorders>
                  <w:shd w:val="clear" w:color="auto" w:fill="auto"/>
                  <w:tcMar>
                    <w:top w:w="0" w:type="dxa"/>
                    <w:left w:w="0" w:type="dxa"/>
                    <w:bottom w:w="0" w:type="dxa"/>
                    <w:right w:w="0" w:type="dxa"/>
                  </w:tcMar>
                  <w:vAlign w:val="center"/>
                </w:tcPr>
                <w:p w14:paraId="372D5A7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33047BC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54AA050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3.0</w:t>
                  </w:r>
                </w:p>
              </w:tc>
              <w:tc>
                <w:tcPr>
                  <w:tcW w:w="159" w:type="pct"/>
                  <w:tcBorders>
                    <w:tl2br w:val="nil"/>
                    <w:tr2bl w:val="nil"/>
                  </w:tcBorders>
                  <w:shd w:val="clear" w:color="auto" w:fill="auto"/>
                  <w:tcMar>
                    <w:top w:w="0" w:type="dxa"/>
                    <w:left w:w="0" w:type="dxa"/>
                    <w:bottom w:w="0" w:type="dxa"/>
                    <w:right w:w="0" w:type="dxa"/>
                  </w:tcMar>
                  <w:vAlign w:val="center"/>
                </w:tcPr>
                <w:p w14:paraId="47A496C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500ACB5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3.0</w:t>
                  </w:r>
                </w:p>
              </w:tc>
              <w:tc>
                <w:tcPr>
                  <w:tcW w:w="167" w:type="pct"/>
                  <w:tcBorders>
                    <w:tl2br w:val="nil"/>
                    <w:tr2bl w:val="nil"/>
                  </w:tcBorders>
                  <w:shd w:val="clear" w:color="auto" w:fill="auto"/>
                  <w:tcMar>
                    <w:top w:w="0" w:type="dxa"/>
                    <w:left w:w="0" w:type="dxa"/>
                    <w:bottom w:w="0" w:type="dxa"/>
                    <w:right w:w="0" w:type="dxa"/>
                  </w:tcMar>
                  <w:vAlign w:val="center"/>
                </w:tcPr>
                <w:p w14:paraId="7B3D119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67" w:type="pct"/>
                  <w:tcBorders>
                    <w:tl2br w:val="nil"/>
                    <w:tr2bl w:val="nil"/>
                  </w:tcBorders>
                  <w:shd w:val="clear" w:color="auto" w:fill="auto"/>
                  <w:tcMar>
                    <w:top w:w="0" w:type="dxa"/>
                    <w:left w:w="0" w:type="dxa"/>
                    <w:bottom w:w="0" w:type="dxa"/>
                    <w:right w:w="0" w:type="dxa"/>
                  </w:tcMar>
                  <w:vAlign w:val="center"/>
                </w:tcPr>
                <w:p w14:paraId="2FDBB00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50.48</w:t>
                  </w:r>
                </w:p>
              </w:tc>
              <w:tc>
                <w:tcPr>
                  <w:tcW w:w="167" w:type="pct"/>
                  <w:tcBorders>
                    <w:tl2br w:val="nil"/>
                    <w:tr2bl w:val="nil"/>
                  </w:tcBorders>
                  <w:shd w:val="clear" w:color="auto" w:fill="auto"/>
                  <w:tcMar>
                    <w:top w:w="0" w:type="dxa"/>
                    <w:left w:w="0" w:type="dxa"/>
                    <w:bottom w:w="0" w:type="dxa"/>
                    <w:right w:w="0" w:type="dxa"/>
                  </w:tcMar>
                  <w:vAlign w:val="center"/>
                </w:tcPr>
                <w:p w14:paraId="3DA600B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75" w:type="pct"/>
                  <w:tcBorders>
                    <w:tl2br w:val="nil"/>
                    <w:tr2bl w:val="nil"/>
                  </w:tcBorders>
                  <w:shd w:val="clear" w:color="auto" w:fill="auto"/>
                  <w:tcMar>
                    <w:top w:w="0" w:type="dxa"/>
                    <w:left w:w="0" w:type="dxa"/>
                    <w:bottom w:w="0" w:type="dxa"/>
                    <w:right w:w="0" w:type="dxa"/>
                  </w:tcMar>
                  <w:vAlign w:val="center"/>
                </w:tcPr>
                <w:p w14:paraId="03E6E85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50.48</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2D99CB2E">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6A751734">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7F62B6C6">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E096BC8">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69DA024C">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1EAB66A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1" w:type="pct"/>
                  <w:tcBorders>
                    <w:tl2br w:val="nil"/>
                    <w:tr2bl w:val="nil"/>
                  </w:tcBorders>
                  <w:shd w:val="clear" w:color="auto" w:fill="auto"/>
                  <w:tcMar>
                    <w:top w:w="0" w:type="dxa"/>
                    <w:left w:w="0" w:type="dxa"/>
                    <w:bottom w:w="0" w:type="dxa"/>
                    <w:right w:w="0" w:type="dxa"/>
                  </w:tcMar>
                  <w:vAlign w:val="center"/>
                </w:tcPr>
                <w:p w14:paraId="39EB8C6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30.48</w:t>
                  </w:r>
                </w:p>
              </w:tc>
              <w:tc>
                <w:tcPr>
                  <w:tcW w:w="172" w:type="pct"/>
                  <w:tcBorders>
                    <w:tl2br w:val="nil"/>
                    <w:tr2bl w:val="nil"/>
                  </w:tcBorders>
                  <w:shd w:val="clear" w:color="auto" w:fill="auto"/>
                  <w:tcMar>
                    <w:top w:w="0" w:type="dxa"/>
                    <w:left w:w="0" w:type="dxa"/>
                    <w:bottom w:w="0" w:type="dxa"/>
                    <w:right w:w="0" w:type="dxa"/>
                  </w:tcMar>
                  <w:vAlign w:val="center"/>
                </w:tcPr>
                <w:p w14:paraId="5044731C">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2" w:type="pct"/>
                  <w:tcBorders>
                    <w:tl2br w:val="nil"/>
                    <w:tr2bl w:val="nil"/>
                  </w:tcBorders>
                  <w:shd w:val="clear" w:color="auto" w:fill="auto"/>
                  <w:tcMar>
                    <w:top w:w="0" w:type="dxa"/>
                    <w:left w:w="0" w:type="dxa"/>
                    <w:bottom w:w="0" w:type="dxa"/>
                    <w:right w:w="0" w:type="dxa"/>
                  </w:tcMar>
                  <w:vAlign w:val="center"/>
                </w:tcPr>
                <w:p w14:paraId="4F3D0199">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30.48</w:t>
                  </w:r>
                </w:p>
              </w:tc>
              <w:tc>
                <w:tcPr>
                  <w:tcW w:w="165" w:type="pct"/>
                  <w:tcBorders>
                    <w:tl2br w:val="nil"/>
                    <w:tr2bl w:val="nil"/>
                  </w:tcBorders>
                  <w:shd w:val="clear" w:color="auto" w:fill="auto"/>
                  <w:tcMar>
                    <w:top w:w="0" w:type="dxa"/>
                    <w:left w:w="0" w:type="dxa"/>
                    <w:bottom w:w="0" w:type="dxa"/>
                    <w:right w:w="0" w:type="dxa"/>
                  </w:tcMar>
                  <w:vAlign w:val="center"/>
                </w:tcPr>
                <w:p w14:paraId="73DCAFF2">
                  <w:pPr>
                    <w:adjustRightInd w:val="0"/>
                    <w:snapToGrid w:val="0"/>
                    <w:jc w:val="center"/>
                    <w:rPr>
                      <w:color w:val="auto"/>
                      <w:sz w:val="20"/>
                      <w:szCs w:val="20"/>
                    </w:rPr>
                  </w:pPr>
                  <w:r>
                    <w:rPr>
                      <w:color w:val="auto"/>
                      <w:sz w:val="20"/>
                      <w:szCs w:val="20"/>
                    </w:rPr>
                    <w:t>1</w:t>
                  </w:r>
                </w:p>
              </w:tc>
            </w:tr>
            <w:tr w14:paraId="25D75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105D93AF">
                  <w:pPr>
                    <w:adjustRightInd w:val="0"/>
                    <w:snapToGrid w:val="0"/>
                    <w:jc w:val="center"/>
                    <w:rPr>
                      <w:color w:val="auto"/>
                      <w:sz w:val="20"/>
                      <w:szCs w:val="20"/>
                    </w:rPr>
                  </w:pPr>
                  <w:r>
                    <w:rPr>
                      <w:rFonts w:hint="eastAsia"/>
                      <w:color w:val="auto"/>
                      <w:sz w:val="20"/>
                      <w:szCs w:val="20"/>
                    </w:rPr>
                    <w:t>12</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73EE472">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257A71B0">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插齿机</w:t>
                  </w:r>
                </w:p>
              </w:tc>
              <w:tc>
                <w:tcPr>
                  <w:tcW w:w="165" w:type="pct"/>
                  <w:tcBorders>
                    <w:tl2br w:val="nil"/>
                    <w:tr2bl w:val="nil"/>
                  </w:tcBorders>
                  <w:shd w:val="clear" w:color="auto" w:fill="auto"/>
                  <w:tcMar>
                    <w:top w:w="0" w:type="dxa"/>
                    <w:left w:w="0" w:type="dxa"/>
                    <w:bottom w:w="0" w:type="dxa"/>
                    <w:right w:w="0" w:type="dxa"/>
                  </w:tcMar>
                  <w:vAlign w:val="center"/>
                </w:tcPr>
                <w:p w14:paraId="6C2FE5D2">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25</w:t>
                  </w:r>
                </w:p>
              </w:tc>
              <w:tc>
                <w:tcPr>
                  <w:tcW w:w="223" w:type="pct"/>
                  <w:tcBorders>
                    <w:tl2br w:val="nil"/>
                    <w:tr2bl w:val="nil"/>
                  </w:tcBorders>
                  <w:shd w:val="clear" w:color="auto" w:fill="auto"/>
                  <w:tcMar>
                    <w:top w:w="0" w:type="dxa"/>
                    <w:left w:w="0" w:type="dxa"/>
                    <w:bottom w:w="0" w:type="dxa"/>
                    <w:right w:w="0" w:type="dxa"/>
                  </w:tcMar>
                  <w:vAlign w:val="center"/>
                </w:tcPr>
                <w:p w14:paraId="0427BCE8">
                  <w:pPr>
                    <w:jc w:val="center"/>
                    <w:rPr>
                      <w:color w:val="auto"/>
                      <w:sz w:val="20"/>
                      <w:szCs w:val="20"/>
                      <w:highlight w:val="none"/>
                    </w:rPr>
                  </w:pPr>
                  <w:r>
                    <w:rPr>
                      <w:rFonts w:hint="eastAsia"/>
                      <w:color w:val="auto"/>
                      <w:sz w:val="18"/>
                      <w:szCs w:val="18"/>
                      <w:highlight w:val="none"/>
                    </w:rPr>
                    <w:t>70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AE1161C">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18DA85F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62</w:t>
                  </w:r>
                </w:p>
              </w:tc>
              <w:tc>
                <w:tcPr>
                  <w:tcW w:w="181" w:type="pct"/>
                  <w:tcBorders>
                    <w:tl2br w:val="nil"/>
                    <w:tr2bl w:val="nil"/>
                  </w:tcBorders>
                  <w:shd w:val="clear" w:color="auto" w:fill="auto"/>
                  <w:tcMar>
                    <w:top w:w="0" w:type="dxa"/>
                    <w:left w:w="0" w:type="dxa"/>
                    <w:bottom w:w="0" w:type="dxa"/>
                    <w:right w:w="0" w:type="dxa"/>
                  </w:tcMar>
                  <w:vAlign w:val="center"/>
                </w:tcPr>
                <w:p w14:paraId="4117989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77</w:t>
                  </w:r>
                </w:p>
              </w:tc>
              <w:tc>
                <w:tcPr>
                  <w:tcW w:w="143" w:type="pct"/>
                  <w:tcBorders>
                    <w:tl2br w:val="nil"/>
                    <w:tr2bl w:val="nil"/>
                  </w:tcBorders>
                  <w:shd w:val="clear" w:color="auto" w:fill="auto"/>
                  <w:tcMar>
                    <w:top w:w="0" w:type="dxa"/>
                    <w:left w:w="0" w:type="dxa"/>
                    <w:bottom w:w="0" w:type="dxa"/>
                    <w:right w:w="0" w:type="dxa"/>
                  </w:tcMar>
                  <w:vAlign w:val="center"/>
                </w:tcPr>
                <w:p w14:paraId="015BBA3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7E4CA37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66DF587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2.5</w:t>
                  </w:r>
                </w:p>
              </w:tc>
              <w:tc>
                <w:tcPr>
                  <w:tcW w:w="159" w:type="pct"/>
                  <w:tcBorders>
                    <w:tl2br w:val="nil"/>
                    <w:tr2bl w:val="nil"/>
                  </w:tcBorders>
                  <w:shd w:val="clear" w:color="auto" w:fill="auto"/>
                  <w:tcMar>
                    <w:top w:w="0" w:type="dxa"/>
                    <w:left w:w="0" w:type="dxa"/>
                    <w:bottom w:w="0" w:type="dxa"/>
                    <w:right w:w="0" w:type="dxa"/>
                  </w:tcMar>
                  <w:vAlign w:val="center"/>
                </w:tcPr>
                <w:p w14:paraId="33113E3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w:t>
                  </w:r>
                </w:p>
              </w:tc>
              <w:tc>
                <w:tcPr>
                  <w:tcW w:w="174" w:type="pct"/>
                  <w:tcBorders>
                    <w:tl2br w:val="nil"/>
                    <w:tr2bl w:val="nil"/>
                  </w:tcBorders>
                  <w:shd w:val="clear" w:color="auto" w:fill="auto"/>
                  <w:tcMar>
                    <w:top w:w="0" w:type="dxa"/>
                    <w:left w:w="0" w:type="dxa"/>
                    <w:bottom w:w="0" w:type="dxa"/>
                    <w:right w:w="0" w:type="dxa"/>
                  </w:tcMar>
                  <w:vAlign w:val="center"/>
                </w:tcPr>
                <w:p w14:paraId="29D85D1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7.5</w:t>
                  </w:r>
                </w:p>
              </w:tc>
              <w:tc>
                <w:tcPr>
                  <w:tcW w:w="167" w:type="pct"/>
                  <w:tcBorders>
                    <w:tl2br w:val="nil"/>
                    <w:tr2bl w:val="nil"/>
                  </w:tcBorders>
                  <w:shd w:val="clear" w:color="auto" w:fill="auto"/>
                  <w:tcMar>
                    <w:top w:w="0" w:type="dxa"/>
                    <w:left w:w="0" w:type="dxa"/>
                    <w:bottom w:w="0" w:type="dxa"/>
                    <w:right w:w="0" w:type="dxa"/>
                  </w:tcMar>
                  <w:vAlign w:val="center"/>
                </w:tcPr>
                <w:p w14:paraId="05FD485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58.75</w:t>
                  </w:r>
                </w:p>
              </w:tc>
              <w:tc>
                <w:tcPr>
                  <w:tcW w:w="167" w:type="pct"/>
                  <w:tcBorders>
                    <w:tl2br w:val="nil"/>
                    <w:tr2bl w:val="nil"/>
                  </w:tcBorders>
                  <w:shd w:val="clear" w:color="auto" w:fill="auto"/>
                  <w:tcMar>
                    <w:top w:w="0" w:type="dxa"/>
                    <w:left w:w="0" w:type="dxa"/>
                    <w:bottom w:w="0" w:type="dxa"/>
                    <w:right w:w="0" w:type="dxa"/>
                  </w:tcMar>
                  <w:vAlign w:val="center"/>
                </w:tcPr>
                <w:p w14:paraId="446382D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56.81</w:t>
                  </w:r>
                </w:p>
              </w:tc>
              <w:tc>
                <w:tcPr>
                  <w:tcW w:w="167" w:type="pct"/>
                  <w:tcBorders>
                    <w:tl2br w:val="nil"/>
                    <w:tr2bl w:val="nil"/>
                  </w:tcBorders>
                  <w:shd w:val="clear" w:color="auto" w:fill="auto"/>
                  <w:tcMar>
                    <w:top w:w="0" w:type="dxa"/>
                    <w:left w:w="0" w:type="dxa"/>
                    <w:bottom w:w="0" w:type="dxa"/>
                    <w:right w:w="0" w:type="dxa"/>
                  </w:tcMar>
                  <w:vAlign w:val="center"/>
                </w:tcPr>
                <w:p w14:paraId="6F13D98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46.71</w:t>
                  </w:r>
                </w:p>
              </w:tc>
              <w:tc>
                <w:tcPr>
                  <w:tcW w:w="175" w:type="pct"/>
                  <w:tcBorders>
                    <w:tl2br w:val="nil"/>
                    <w:tr2bl w:val="nil"/>
                  </w:tcBorders>
                  <w:shd w:val="clear" w:color="auto" w:fill="auto"/>
                  <w:tcMar>
                    <w:top w:w="0" w:type="dxa"/>
                    <w:left w:w="0" w:type="dxa"/>
                    <w:bottom w:w="0" w:type="dxa"/>
                    <w:right w:w="0" w:type="dxa"/>
                  </w:tcMar>
                  <w:vAlign w:val="center"/>
                </w:tcPr>
                <w:p w14:paraId="139D024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47.27</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70A1FDDB">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3F7E72C6">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573FA1D">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1CA573A5">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5937323C">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55CEC99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38.75</w:t>
                  </w:r>
                </w:p>
              </w:tc>
              <w:tc>
                <w:tcPr>
                  <w:tcW w:w="171" w:type="pct"/>
                  <w:tcBorders>
                    <w:tl2br w:val="nil"/>
                    <w:tr2bl w:val="nil"/>
                  </w:tcBorders>
                  <w:shd w:val="clear" w:color="auto" w:fill="auto"/>
                  <w:tcMar>
                    <w:top w:w="0" w:type="dxa"/>
                    <w:left w:w="0" w:type="dxa"/>
                    <w:bottom w:w="0" w:type="dxa"/>
                    <w:right w:w="0" w:type="dxa"/>
                  </w:tcMar>
                  <w:vAlign w:val="center"/>
                </w:tcPr>
                <w:p w14:paraId="50E6ADE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36.81</w:t>
                  </w:r>
                </w:p>
              </w:tc>
              <w:tc>
                <w:tcPr>
                  <w:tcW w:w="172" w:type="pct"/>
                  <w:tcBorders>
                    <w:tl2br w:val="nil"/>
                    <w:tr2bl w:val="nil"/>
                  </w:tcBorders>
                  <w:shd w:val="clear" w:color="auto" w:fill="auto"/>
                  <w:tcMar>
                    <w:top w:w="0" w:type="dxa"/>
                    <w:left w:w="0" w:type="dxa"/>
                    <w:bottom w:w="0" w:type="dxa"/>
                    <w:right w:w="0" w:type="dxa"/>
                  </w:tcMar>
                  <w:vAlign w:val="center"/>
                </w:tcPr>
                <w:p w14:paraId="173CB17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26.71</w:t>
                  </w:r>
                </w:p>
              </w:tc>
              <w:tc>
                <w:tcPr>
                  <w:tcW w:w="172" w:type="pct"/>
                  <w:tcBorders>
                    <w:tl2br w:val="nil"/>
                    <w:tr2bl w:val="nil"/>
                  </w:tcBorders>
                  <w:shd w:val="clear" w:color="auto" w:fill="auto"/>
                  <w:tcMar>
                    <w:top w:w="0" w:type="dxa"/>
                    <w:left w:w="0" w:type="dxa"/>
                    <w:bottom w:w="0" w:type="dxa"/>
                    <w:right w:w="0" w:type="dxa"/>
                  </w:tcMar>
                  <w:vAlign w:val="center"/>
                </w:tcPr>
                <w:p w14:paraId="66CB5D3B">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27.27</w:t>
                  </w:r>
                </w:p>
              </w:tc>
              <w:tc>
                <w:tcPr>
                  <w:tcW w:w="165" w:type="pct"/>
                  <w:tcBorders>
                    <w:tl2br w:val="nil"/>
                    <w:tr2bl w:val="nil"/>
                  </w:tcBorders>
                  <w:shd w:val="clear" w:color="auto" w:fill="auto"/>
                  <w:tcMar>
                    <w:top w:w="0" w:type="dxa"/>
                    <w:left w:w="0" w:type="dxa"/>
                    <w:bottom w:w="0" w:type="dxa"/>
                    <w:right w:w="0" w:type="dxa"/>
                  </w:tcMar>
                  <w:vAlign w:val="center"/>
                </w:tcPr>
                <w:p w14:paraId="7F135B90">
                  <w:pPr>
                    <w:adjustRightInd w:val="0"/>
                    <w:snapToGrid w:val="0"/>
                    <w:jc w:val="center"/>
                    <w:rPr>
                      <w:color w:val="auto"/>
                      <w:sz w:val="20"/>
                      <w:szCs w:val="20"/>
                    </w:rPr>
                  </w:pPr>
                  <w:r>
                    <w:rPr>
                      <w:color w:val="auto"/>
                      <w:sz w:val="20"/>
                      <w:szCs w:val="20"/>
                    </w:rPr>
                    <w:t>1</w:t>
                  </w:r>
                </w:p>
              </w:tc>
            </w:tr>
            <w:tr w14:paraId="4F852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60E24008">
                  <w:pPr>
                    <w:adjustRightInd w:val="0"/>
                    <w:snapToGrid w:val="0"/>
                    <w:jc w:val="center"/>
                    <w:rPr>
                      <w:color w:val="auto"/>
                      <w:sz w:val="20"/>
                      <w:szCs w:val="20"/>
                    </w:rPr>
                  </w:pPr>
                  <w:r>
                    <w:rPr>
                      <w:rFonts w:hint="eastAsia"/>
                      <w:color w:val="auto"/>
                      <w:sz w:val="20"/>
                      <w:szCs w:val="20"/>
                    </w:rPr>
                    <w:t>13</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2C333BD2">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454A4B96">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万能外磨圆</w:t>
                  </w:r>
                </w:p>
              </w:tc>
              <w:tc>
                <w:tcPr>
                  <w:tcW w:w="165" w:type="pct"/>
                  <w:tcBorders>
                    <w:tl2br w:val="nil"/>
                    <w:tr2bl w:val="nil"/>
                  </w:tcBorders>
                  <w:shd w:val="clear" w:color="auto" w:fill="auto"/>
                  <w:tcMar>
                    <w:top w:w="0" w:type="dxa"/>
                    <w:left w:w="0" w:type="dxa"/>
                    <w:bottom w:w="0" w:type="dxa"/>
                    <w:right w:w="0" w:type="dxa"/>
                  </w:tcMar>
                  <w:vAlign w:val="center"/>
                </w:tcPr>
                <w:p w14:paraId="2B778FBD">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2</w:t>
                  </w:r>
                </w:p>
              </w:tc>
              <w:tc>
                <w:tcPr>
                  <w:tcW w:w="223" w:type="pct"/>
                  <w:tcBorders>
                    <w:tl2br w:val="nil"/>
                    <w:tr2bl w:val="nil"/>
                  </w:tcBorders>
                  <w:shd w:val="clear" w:color="auto" w:fill="auto"/>
                  <w:tcMar>
                    <w:top w:w="0" w:type="dxa"/>
                    <w:left w:w="0" w:type="dxa"/>
                    <w:bottom w:w="0" w:type="dxa"/>
                    <w:right w:w="0" w:type="dxa"/>
                  </w:tcMar>
                  <w:vAlign w:val="center"/>
                </w:tcPr>
                <w:p w14:paraId="1AB9A147">
                  <w:pPr>
                    <w:jc w:val="center"/>
                    <w:rPr>
                      <w:color w:val="auto"/>
                      <w:sz w:val="20"/>
                      <w:szCs w:val="20"/>
                      <w:highlight w:val="none"/>
                    </w:rPr>
                  </w:pPr>
                  <w:r>
                    <w:rPr>
                      <w:rFonts w:hint="eastAsia"/>
                      <w:color w:val="auto"/>
                      <w:sz w:val="18"/>
                      <w:szCs w:val="18"/>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4949CA5F">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50183B5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w:t>
                  </w:r>
                  <w:r>
                    <w:rPr>
                      <w:rFonts w:hint="eastAsia" w:ascii="Times New Roman" w:hAnsi="Times New Roman" w:cs="Times New Roman"/>
                      <w:color w:val="auto"/>
                      <w:kern w:val="2"/>
                      <w:sz w:val="18"/>
                      <w:szCs w:val="18"/>
                      <w:lang w:val="en-US" w:eastAsia="zh-CN" w:bidi="ar-SA"/>
                    </w:rPr>
                    <w:t>2</w:t>
                  </w:r>
                  <w:r>
                    <w:rPr>
                      <w:rFonts w:hint="default" w:ascii="Times New Roman" w:hAnsi="Times New Roman" w:cs="Times New Roman"/>
                      <w:color w:val="auto"/>
                      <w:kern w:val="2"/>
                      <w:sz w:val="18"/>
                      <w:szCs w:val="18"/>
                      <w:lang w:val="en-US" w:eastAsia="zh-CN" w:bidi="ar-SA"/>
                    </w:rPr>
                    <w:t>2.3</w:t>
                  </w:r>
                </w:p>
              </w:tc>
              <w:tc>
                <w:tcPr>
                  <w:tcW w:w="181" w:type="pct"/>
                  <w:tcBorders>
                    <w:tl2br w:val="nil"/>
                    <w:tr2bl w:val="nil"/>
                  </w:tcBorders>
                  <w:shd w:val="clear" w:color="auto" w:fill="auto"/>
                  <w:tcMar>
                    <w:top w:w="0" w:type="dxa"/>
                    <w:left w:w="0" w:type="dxa"/>
                    <w:bottom w:w="0" w:type="dxa"/>
                    <w:right w:w="0" w:type="dxa"/>
                  </w:tcMar>
                  <w:vAlign w:val="center"/>
                </w:tcPr>
                <w:p w14:paraId="708305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2.4</w:t>
                  </w:r>
                </w:p>
              </w:tc>
              <w:tc>
                <w:tcPr>
                  <w:tcW w:w="143" w:type="pct"/>
                  <w:tcBorders>
                    <w:tl2br w:val="nil"/>
                    <w:tr2bl w:val="nil"/>
                  </w:tcBorders>
                  <w:shd w:val="clear" w:color="auto" w:fill="auto"/>
                  <w:tcMar>
                    <w:top w:w="0" w:type="dxa"/>
                    <w:left w:w="0" w:type="dxa"/>
                    <w:bottom w:w="0" w:type="dxa"/>
                    <w:right w:w="0" w:type="dxa"/>
                  </w:tcMar>
                  <w:vAlign w:val="center"/>
                </w:tcPr>
                <w:p w14:paraId="306F54C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458E962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6E71C36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w:t>
                  </w:r>
                </w:p>
              </w:tc>
              <w:tc>
                <w:tcPr>
                  <w:tcW w:w="159" w:type="pct"/>
                  <w:tcBorders>
                    <w:tl2br w:val="nil"/>
                    <w:tr2bl w:val="nil"/>
                  </w:tcBorders>
                  <w:shd w:val="clear" w:color="auto" w:fill="auto"/>
                  <w:tcMar>
                    <w:top w:w="0" w:type="dxa"/>
                    <w:left w:w="0" w:type="dxa"/>
                    <w:bottom w:w="0" w:type="dxa"/>
                    <w:right w:w="0" w:type="dxa"/>
                  </w:tcMar>
                  <w:vAlign w:val="center"/>
                </w:tcPr>
                <w:p w14:paraId="51849AF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w:t>
                  </w:r>
                </w:p>
              </w:tc>
              <w:tc>
                <w:tcPr>
                  <w:tcW w:w="174" w:type="pct"/>
                  <w:tcBorders>
                    <w:tl2br w:val="nil"/>
                    <w:tr2bl w:val="nil"/>
                  </w:tcBorders>
                  <w:shd w:val="clear" w:color="auto" w:fill="auto"/>
                  <w:tcMar>
                    <w:top w:w="0" w:type="dxa"/>
                    <w:left w:w="0" w:type="dxa"/>
                    <w:bottom w:w="0" w:type="dxa"/>
                    <w:right w:w="0" w:type="dxa"/>
                  </w:tcMar>
                  <w:vAlign w:val="center"/>
                </w:tcPr>
                <w:p w14:paraId="77C79DE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3.5</w:t>
                  </w:r>
                </w:p>
              </w:tc>
              <w:tc>
                <w:tcPr>
                  <w:tcW w:w="167" w:type="pct"/>
                  <w:tcBorders>
                    <w:tl2br w:val="nil"/>
                    <w:tr2bl w:val="nil"/>
                  </w:tcBorders>
                  <w:shd w:val="clear" w:color="auto" w:fill="auto"/>
                  <w:tcMar>
                    <w:top w:w="0" w:type="dxa"/>
                    <w:left w:w="0" w:type="dxa"/>
                    <w:bottom w:w="0" w:type="dxa"/>
                    <w:right w:w="0" w:type="dxa"/>
                  </w:tcMar>
                  <w:vAlign w:val="center"/>
                </w:tcPr>
                <w:p w14:paraId="0689A92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64.93</w:t>
                  </w:r>
                </w:p>
              </w:tc>
              <w:tc>
                <w:tcPr>
                  <w:tcW w:w="167" w:type="pct"/>
                  <w:tcBorders>
                    <w:tl2br w:val="nil"/>
                    <w:tr2bl w:val="nil"/>
                  </w:tcBorders>
                  <w:shd w:val="clear" w:color="auto" w:fill="auto"/>
                  <w:tcMar>
                    <w:top w:w="0" w:type="dxa"/>
                    <w:left w:w="0" w:type="dxa"/>
                    <w:bottom w:w="0" w:type="dxa"/>
                    <w:right w:w="0" w:type="dxa"/>
                  </w:tcMar>
                  <w:vAlign w:val="center"/>
                </w:tcPr>
                <w:p w14:paraId="4DCF98D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54.47</w:t>
                  </w:r>
                </w:p>
              </w:tc>
              <w:tc>
                <w:tcPr>
                  <w:tcW w:w="167" w:type="pct"/>
                  <w:tcBorders>
                    <w:tl2br w:val="nil"/>
                    <w:tr2bl w:val="nil"/>
                  </w:tcBorders>
                  <w:shd w:val="clear" w:color="auto" w:fill="auto"/>
                  <w:tcMar>
                    <w:top w:w="0" w:type="dxa"/>
                    <w:left w:w="0" w:type="dxa"/>
                    <w:bottom w:w="0" w:type="dxa"/>
                    <w:right w:w="0" w:type="dxa"/>
                  </w:tcMar>
                  <w:vAlign w:val="center"/>
                </w:tcPr>
                <w:p w14:paraId="121F6E2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57.57</w:t>
                  </w:r>
                </w:p>
              </w:tc>
              <w:tc>
                <w:tcPr>
                  <w:tcW w:w="175" w:type="pct"/>
                  <w:tcBorders>
                    <w:tl2br w:val="nil"/>
                    <w:tr2bl w:val="nil"/>
                  </w:tcBorders>
                  <w:shd w:val="clear" w:color="auto" w:fill="auto"/>
                  <w:tcMar>
                    <w:top w:w="0" w:type="dxa"/>
                    <w:left w:w="0" w:type="dxa"/>
                    <w:bottom w:w="0" w:type="dxa"/>
                    <w:right w:w="0" w:type="dxa"/>
                  </w:tcMar>
                  <w:vAlign w:val="center"/>
                </w:tcPr>
                <w:p w14:paraId="7D75C00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57.57</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6AE89E23">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32E17E8B">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98FE9E4">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14CEEB4">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72FC7ACA">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3A5542E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44.93</w:t>
                  </w:r>
                </w:p>
              </w:tc>
              <w:tc>
                <w:tcPr>
                  <w:tcW w:w="171" w:type="pct"/>
                  <w:tcBorders>
                    <w:tl2br w:val="nil"/>
                    <w:tr2bl w:val="nil"/>
                  </w:tcBorders>
                  <w:shd w:val="clear" w:color="auto" w:fill="auto"/>
                  <w:tcMar>
                    <w:top w:w="0" w:type="dxa"/>
                    <w:left w:w="0" w:type="dxa"/>
                    <w:bottom w:w="0" w:type="dxa"/>
                    <w:right w:w="0" w:type="dxa"/>
                  </w:tcMar>
                  <w:vAlign w:val="center"/>
                </w:tcPr>
                <w:p w14:paraId="08F971A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34.47</w:t>
                  </w:r>
                </w:p>
              </w:tc>
              <w:tc>
                <w:tcPr>
                  <w:tcW w:w="172" w:type="pct"/>
                  <w:tcBorders>
                    <w:tl2br w:val="nil"/>
                    <w:tr2bl w:val="nil"/>
                  </w:tcBorders>
                  <w:shd w:val="clear" w:color="auto" w:fill="auto"/>
                  <w:tcMar>
                    <w:top w:w="0" w:type="dxa"/>
                    <w:left w:w="0" w:type="dxa"/>
                    <w:bottom w:w="0" w:type="dxa"/>
                    <w:right w:w="0" w:type="dxa"/>
                  </w:tcMar>
                  <w:vAlign w:val="center"/>
                </w:tcPr>
                <w:p w14:paraId="182FC90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37.57</w:t>
                  </w:r>
                </w:p>
              </w:tc>
              <w:tc>
                <w:tcPr>
                  <w:tcW w:w="172" w:type="pct"/>
                  <w:tcBorders>
                    <w:tl2br w:val="nil"/>
                    <w:tr2bl w:val="nil"/>
                  </w:tcBorders>
                  <w:shd w:val="clear" w:color="auto" w:fill="auto"/>
                  <w:tcMar>
                    <w:top w:w="0" w:type="dxa"/>
                    <w:left w:w="0" w:type="dxa"/>
                    <w:bottom w:w="0" w:type="dxa"/>
                    <w:right w:w="0" w:type="dxa"/>
                  </w:tcMar>
                  <w:vAlign w:val="center"/>
                </w:tcPr>
                <w:p w14:paraId="78C87ED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37.57</w:t>
                  </w:r>
                </w:p>
              </w:tc>
              <w:tc>
                <w:tcPr>
                  <w:tcW w:w="165" w:type="pct"/>
                  <w:tcBorders>
                    <w:tl2br w:val="nil"/>
                    <w:tr2bl w:val="nil"/>
                  </w:tcBorders>
                  <w:shd w:val="clear" w:color="auto" w:fill="auto"/>
                  <w:tcMar>
                    <w:top w:w="0" w:type="dxa"/>
                    <w:left w:w="0" w:type="dxa"/>
                    <w:bottom w:w="0" w:type="dxa"/>
                    <w:right w:w="0" w:type="dxa"/>
                  </w:tcMar>
                  <w:vAlign w:val="center"/>
                </w:tcPr>
                <w:p w14:paraId="364C8468">
                  <w:pPr>
                    <w:adjustRightInd w:val="0"/>
                    <w:snapToGrid w:val="0"/>
                    <w:jc w:val="center"/>
                    <w:rPr>
                      <w:color w:val="auto"/>
                      <w:sz w:val="20"/>
                      <w:szCs w:val="20"/>
                    </w:rPr>
                  </w:pPr>
                  <w:r>
                    <w:rPr>
                      <w:color w:val="auto"/>
                      <w:sz w:val="20"/>
                      <w:szCs w:val="20"/>
                    </w:rPr>
                    <w:t>1</w:t>
                  </w:r>
                </w:p>
              </w:tc>
            </w:tr>
            <w:tr w14:paraId="0D8B0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5A8D64A5">
                  <w:pPr>
                    <w:adjustRightInd w:val="0"/>
                    <w:snapToGrid w:val="0"/>
                    <w:jc w:val="center"/>
                    <w:rPr>
                      <w:color w:val="auto"/>
                      <w:sz w:val="20"/>
                      <w:szCs w:val="20"/>
                    </w:rPr>
                  </w:pPr>
                  <w:r>
                    <w:rPr>
                      <w:rFonts w:hint="eastAsia"/>
                      <w:color w:val="auto"/>
                      <w:sz w:val="20"/>
                      <w:szCs w:val="20"/>
                    </w:rPr>
                    <w:t>14</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1A772867">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5411DE71">
                  <w:pPr>
                    <w:keepNext w:val="0"/>
                    <w:keepLines w:val="0"/>
                    <w:widowControl/>
                    <w:suppressLineNumbers w:val="0"/>
                    <w:jc w:val="left"/>
                    <w:textAlignment w:val="center"/>
                    <w:rPr>
                      <w:rFonts w:hint="eastAsia"/>
                      <w:color w:val="auto"/>
                      <w:sz w:val="20"/>
                      <w:szCs w:val="20"/>
                      <w:lang w:eastAsia="zh-CN"/>
                    </w:rPr>
                  </w:pPr>
                  <w:r>
                    <w:rPr>
                      <w:rFonts w:hint="default" w:ascii="Times New Roman" w:hAnsi="Times New Roman" w:eastAsia="宋体" w:cs="Times New Roman"/>
                      <w:i w:val="0"/>
                      <w:iCs w:val="0"/>
                      <w:color w:val="auto"/>
                      <w:kern w:val="0"/>
                      <w:sz w:val="20"/>
                      <w:szCs w:val="20"/>
                      <w:u w:val="none"/>
                      <w:lang w:val="en-US" w:eastAsia="zh-CN" w:bidi="ar"/>
                    </w:rPr>
                    <w:t>CNC5</w:t>
                  </w:r>
                  <w:r>
                    <w:rPr>
                      <w:rFonts w:hint="eastAsia" w:ascii="宋体" w:hAnsi="宋体" w:eastAsia="宋体" w:cs="宋体"/>
                      <w:i w:val="0"/>
                      <w:iCs w:val="0"/>
                      <w:color w:val="auto"/>
                      <w:kern w:val="0"/>
                      <w:sz w:val="20"/>
                      <w:szCs w:val="20"/>
                      <w:u w:val="none"/>
                      <w:lang w:val="en-US" w:eastAsia="zh-CN" w:bidi="ar"/>
                    </w:rPr>
                    <w:t>轴复合机</w:t>
                  </w:r>
                </w:p>
              </w:tc>
              <w:tc>
                <w:tcPr>
                  <w:tcW w:w="165" w:type="pct"/>
                  <w:tcBorders>
                    <w:tl2br w:val="nil"/>
                    <w:tr2bl w:val="nil"/>
                  </w:tcBorders>
                  <w:shd w:val="clear" w:color="auto" w:fill="auto"/>
                  <w:tcMar>
                    <w:top w:w="0" w:type="dxa"/>
                    <w:left w:w="0" w:type="dxa"/>
                    <w:bottom w:w="0" w:type="dxa"/>
                    <w:right w:w="0" w:type="dxa"/>
                  </w:tcMar>
                  <w:vAlign w:val="center"/>
                </w:tcPr>
                <w:p w14:paraId="4DD21B23">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2</w:t>
                  </w:r>
                </w:p>
              </w:tc>
              <w:tc>
                <w:tcPr>
                  <w:tcW w:w="223" w:type="pct"/>
                  <w:tcBorders>
                    <w:tl2br w:val="nil"/>
                    <w:tr2bl w:val="nil"/>
                  </w:tcBorders>
                  <w:shd w:val="clear" w:color="auto" w:fill="auto"/>
                  <w:tcMar>
                    <w:top w:w="0" w:type="dxa"/>
                    <w:left w:w="0" w:type="dxa"/>
                    <w:bottom w:w="0" w:type="dxa"/>
                    <w:right w:w="0" w:type="dxa"/>
                  </w:tcMar>
                  <w:vAlign w:val="center"/>
                </w:tcPr>
                <w:p w14:paraId="433B7C22">
                  <w:pPr>
                    <w:jc w:val="center"/>
                    <w:rPr>
                      <w:color w:val="auto"/>
                      <w:sz w:val="20"/>
                      <w:szCs w:val="20"/>
                      <w:highlight w:val="none"/>
                    </w:rPr>
                  </w:pPr>
                  <w:r>
                    <w:rPr>
                      <w:rFonts w:hint="eastAsia"/>
                      <w:color w:val="auto"/>
                      <w:sz w:val="18"/>
                      <w:szCs w:val="18"/>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7605E7AC">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6D3E7C3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39.4</w:t>
                  </w:r>
                </w:p>
              </w:tc>
              <w:tc>
                <w:tcPr>
                  <w:tcW w:w="181" w:type="pct"/>
                  <w:tcBorders>
                    <w:tl2br w:val="nil"/>
                    <w:tr2bl w:val="nil"/>
                  </w:tcBorders>
                  <w:shd w:val="clear" w:color="auto" w:fill="auto"/>
                  <w:tcMar>
                    <w:top w:w="0" w:type="dxa"/>
                    <w:left w:w="0" w:type="dxa"/>
                    <w:bottom w:w="0" w:type="dxa"/>
                    <w:right w:w="0" w:type="dxa"/>
                  </w:tcMar>
                  <w:vAlign w:val="center"/>
                </w:tcPr>
                <w:p w14:paraId="2614262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17.2</w:t>
                  </w:r>
                </w:p>
              </w:tc>
              <w:tc>
                <w:tcPr>
                  <w:tcW w:w="143" w:type="pct"/>
                  <w:tcBorders>
                    <w:tl2br w:val="nil"/>
                    <w:tr2bl w:val="nil"/>
                  </w:tcBorders>
                  <w:shd w:val="clear" w:color="auto" w:fill="auto"/>
                  <w:tcMar>
                    <w:top w:w="0" w:type="dxa"/>
                    <w:left w:w="0" w:type="dxa"/>
                    <w:bottom w:w="0" w:type="dxa"/>
                    <w:right w:w="0" w:type="dxa"/>
                  </w:tcMar>
                  <w:vAlign w:val="center"/>
                </w:tcPr>
                <w:p w14:paraId="7CEF5FC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620B07E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1509B87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w:t>
                  </w:r>
                </w:p>
              </w:tc>
              <w:tc>
                <w:tcPr>
                  <w:tcW w:w="159" w:type="pct"/>
                  <w:tcBorders>
                    <w:tl2br w:val="nil"/>
                    <w:tr2bl w:val="nil"/>
                  </w:tcBorders>
                  <w:shd w:val="clear" w:color="auto" w:fill="auto"/>
                  <w:tcMar>
                    <w:top w:w="0" w:type="dxa"/>
                    <w:left w:w="0" w:type="dxa"/>
                    <w:bottom w:w="0" w:type="dxa"/>
                    <w:right w:w="0" w:type="dxa"/>
                  </w:tcMar>
                  <w:vAlign w:val="center"/>
                </w:tcPr>
                <w:p w14:paraId="02CB52A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87.0</w:t>
                  </w:r>
                </w:p>
              </w:tc>
              <w:tc>
                <w:tcPr>
                  <w:tcW w:w="174" w:type="pct"/>
                  <w:tcBorders>
                    <w:tl2br w:val="nil"/>
                    <w:tr2bl w:val="nil"/>
                  </w:tcBorders>
                  <w:shd w:val="clear" w:color="auto" w:fill="auto"/>
                  <w:tcMar>
                    <w:top w:w="0" w:type="dxa"/>
                    <w:left w:w="0" w:type="dxa"/>
                    <w:bottom w:w="0" w:type="dxa"/>
                    <w:right w:w="0" w:type="dxa"/>
                  </w:tcMar>
                  <w:vAlign w:val="center"/>
                </w:tcPr>
                <w:p w14:paraId="601EB20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50.0</w:t>
                  </w:r>
                </w:p>
              </w:tc>
              <w:tc>
                <w:tcPr>
                  <w:tcW w:w="167" w:type="pct"/>
                  <w:tcBorders>
                    <w:tl2br w:val="nil"/>
                    <w:tr2bl w:val="nil"/>
                  </w:tcBorders>
                  <w:shd w:val="clear" w:color="auto" w:fill="auto"/>
                  <w:tcMar>
                    <w:top w:w="0" w:type="dxa"/>
                    <w:left w:w="0" w:type="dxa"/>
                    <w:bottom w:w="0" w:type="dxa"/>
                    <w:right w:w="0" w:type="dxa"/>
                  </w:tcMar>
                  <w:vAlign w:val="center"/>
                </w:tcPr>
                <w:p w14:paraId="7480862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53.98</w:t>
                  </w:r>
                </w:p>
              </w:tc>
              <w:tc>
                <w:tcPr>
                  <w:tcW w:w="167" w:type="pct"/>
                  <w:tcBorders>
                    <w:tl2br w:val="nil"/>
                    <w:tr2bl w:val="nil"/>
                  </w:tcBorders>
                  <w:shd w:val="clear" w:color="auto" w:fill="auto"/>
                  <w:tcMar>
                    <w:top w:w="0" w:type="dxa"/>
                    <w:left w:w="0" w:type="dxa"/>
                    <w:bottom w:w="0" w:type="dxa"/>
                    <w:right w:w="0" w:type="dxa"/>
                  </w:tcMar>
                  <w:vAlign w:val="center"/>
                </w:tcPr>
                <w:p w14:paraId="5BFCDF3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41.94</w:t>
                  </w:r>
                </w:p>
              </w:tc>
              <w:tc>
                <w:tcPr>
                  <w:tcW w:w="167" w:type="pct"/>
                  <w:tcBorders>
                    <w:tl2br w:val="nil"/>
                    <w:tr2bl w:val="nil"/>
                  </w:tcBorders>
                  <w:shd w:val="clear" w:color="auto" w:fill="auto"/>
                  <w:tcMar>
                    <w:top w:w="0" w:type="dxa"/>
                    <w:left w:w="0" w:type="dxa"/>
                    <w:bottom w:w="0" w:type="dxa"/>
                    <w:right w:w="0" w:type="dxa"/>
                  </w:tcMar>
                  <w:vAlign w:val="center"/>
                </w:tcPr>
                <w:p w14:paraId="149FBDC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21.21</w:t>
                  </w:r>
                </w:p>
              </w:tc>
              <w:tc>
                <w:tcPr>
                  <w:tcW w:w="175" w:type="pct"/>
                  <w:tcBorders>
                    <w:tl2br w:val="nil"/>
                    <w:tr2bl w:val="nil"/>
                  </w:tcBorders>
                  <w:shd w:val="clear" w:color="auto" w:fill="auto"/>
                  <w:tcMar>
                    <w:top w:w="0" w:type="dxa"/>
                    <w:left w:w="0" w:type="dxa"/>
                    <w:bottom w:w="0" w:type="dxa"/>
                    <w:right w:w="0" w:type="dxa"/>
                  </w:tcMar>
                  <w:vAlign w:val="center"/>
                </w:tcPr>
                <w:p w14:paraId="21B8C86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26.02</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3761BAFD">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0AA471F7">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0B7F1FF">
                  <w:pPr>
                    <w:jc w:val="center"/>
                    <w:rPr>
                      <w:color w:val="auto"/>
                      <w:sz w:val="20"/>
                      <w:szCs w:val="20"/>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1F387785">
                  <w:pPr>
                    <w:jc w:val="center"/>
                    <w:rPr>
                      <w:color w:val="auto"/>
                      <w:sz w:val="20"/>
                      <w:szCs w:val="20"/>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401FEE5E">
                  <w:pPr>
                    <w:jc w:val="center"/>
                    <w:rPr>
                      <w:color w:val="auto"/>
                      <w:sz w:val="20"/>
                      <w:szCs w:val="20"/>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4A2AC3CC">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33.98</w:t>
                  </w:r>
                </w:p>
              </w:tc>
              <w:tc>
                <w:tcPr>
                  <w:tcW w:w="171" w:type="pct"/>
                  <w:tcBorders>
                    <w:tl2br w:val="nil"/>
                    <w:tr2bl w:val="nil"/>
                  </w:tcBorders>
                  <w:shd w:val="clear" w:color="auto" w:fill="auto"/>
                  <w:tcMar>
                    <w:top w:w="0" w:type="dxa"/>
                    <w:left w:w="0" w:type="dxa"/>
                    <w:bottom w:w="0" w:type="dxa"/>
                    <w:right w:w="0" w:type="dxa"/>
                  </w:tcMar>
                  <w:vAlign w:val="center"/>
                </w:tcPr>
                <w:p w14:paraId="537E87F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21.94</w:t>
                  </w:r>
                </w:p>
              </w:tc>
              <w:tc>
                <w:tcPr>
                  <w:tcW w:w="172" w:type="pct"/>
                  <w:tcBorders>
                    <w:tl2br w:val="nil"/>
                    <w:tr2bl w:val="nil"/>
                  </w:tcBorders>
                  <w:shd w:val="clear" w:color="auto" w:fill="auto"/>
                  <w:tcMar>
                    <w:top w:w="0" w:type="dxa"/>
                    <w:left w:w="0" w:type="dxa"/>
                    <w:bottom w:w="0" w:type="dxa"/>
                    <w:right w:w="0" w:type="dxa"/>
                  </w:tcMar>
                  <w:vAlign w:val="center"/>
                </w:tcPr>
                <w:p w14:paraId="408AFFA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1.21</w:t>
                  </w:r>
                </w:p>
              </w:tc>
              <w:tc>
                <w:tcPr>
                  <w:tcW w:w="172" w:type="pct"/>
                  <w:tcBorders>
                    <w:tl2br w:val="nil"/>
                    <w:tr2bl w:val="nil"/>
                  </w:tcBorders>
                  <w:shd w:val="clear" w:color="auto" w:fill="auto"/>
                  <w:tcMar>
                    <w:top w:w="0" w:type="dxa"/>
                    <w:left w:w="0" w:type="dxa"/>
                    <w:bottom w:w="0" w:type="dxa"/>
                    <w:right w:w="0" w:type="dxa"/>
                  </w:tcMar>
                  <w:vAlign w:val="center"/>
                </w:tcPr>
                <w:p w14:paraId="2AB27018">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6"/>
                      <w:szCs w:val="16"/>
                    </w:rPr>
                  </w:pPr>
                  <w:r>
                    <w:rPr>
                      <w:rFonts w:hint="eastAsia"/>
                      <w:color w:val="auto"/>
                      <w:sz w:val="18"/>
                      <w:szCs w:val="18"/>
                      <w:lang w:val="en-US" w:eastAsia="zh-CN"/>
                    </w:rPr>
                    <w:t>6.02</w:t>
                  </w:r>
                </w:p>
              </w:tc>
              <w:tc>
                <w:tcPr>
                  <w:tcW w:w="165" w:type="pct"/>
                  <w:tcBorders>
                    <w:tl2br w:val="nil"/>
                    <w:tr2bl w:val="nil"/>
                  </w:tcBorders>
                  <w:shd w:val="clear" w:color="auto" w:fill="auto"/>
                  <w:tcMar>
                    <w:top w:w="0" w:type="dxa"/>
                    <w:left w:w="0" w:type="dxa"/>
                    <w:bottom w:w="0" w:type="dxa"/>
                    <w:right w:w="0" w:type="dxa"/>
                  </w:tcMar>
                  <w:vAlign w:val="center"/>
                </w:tcPr>
                <w:p w14:paraId="4978FBA4">
                  <w:pPr>
                    <w:adjustRightInd w:val="0"/>
                    <w:snapToGrid w:val="0"/>
                    <w:jc w:val="center"/>
                    <w:rPr>
                      <w:color w:val="auto"/>
                      <w:sz w:val="20"/>
                      <w:szCs w:val="20"/>
                    </w:rPr>
                  </w:pPr>
                  <w:r>
                    <w:rPr>
                      <w:color w:val="auto"/>
                      <w:sz w:val="20"/>
                      <w:szCs w:val="20"/>
                    </w:rPr>
                    <w:t>1</w:t>
                  </w:r>
                </w:p>
              </w:tc>
            </w:tr>
            <w:tr w14:paraId="19128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2E09D8ED">
                  <w:pPr>
                    <w:adjustRightInd w:val="0"/>
                    <w:snapToGrid w:val="0"/>
                    <w:jc w:val="center"/>
                    <w:rPr>
                      <w:color w:val="auto"/>
                      <w:sz w:val="20"/>
                      <w:szCs w:val="20"/>
                    </w:rPr>
                  </w:pPr>
                  <w:r>
                    <w:rPr>
                      <w:rFonts w:hint="eastAsia"/>
                      <w:color w:val="auto"/>
                      <w:sz w:val="20"/>
                      <w:szCs w:val="20"/>
                    </w:rPr>
                    <w:t>15</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5D4887C6">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0B5FF7A4">
                  <w:pPr>
                    <w:keepNext w:val="0"/>
                    <w:keepLines w:val="0"/>
                    <w:widowControl/>
                    <w:suppressLineNumbers w:val="0"/>
                    <w:jc w:val="center"/>
                    <w:textAlignment w:val="center"/>
                    <w:rPr>
                      <w:rFonts w:hint="eastAsia"/>
                      <w:color w:val="auto"/>
                      <w:sz w:val="20"/>
                      <w:szCs w:val="20"/>
                      <w:lang w:eastAsia="zh-CN"/>
                    </w:rPr>
                  </w:pPr>
                  <w:r>
                    <w:rPr>
                      <w:rFonts w:hint="default" w:ascii="Times New Roman" w:hAnsi="Times New Roman" w:eastAsia="宋体" w:cs="Times New Roman"/>
                      <w:i w:val="0"/>
                      <w:iCs w:val="0"/>
                      <w:color w:val="auto"/>
                      <w:kern w:val="0"/>
                      <w:sz w:val="20"/>
                      <w:szCs w:val="20"/>
                      <w:u w:val="none"/>
                      <w:lang w:val="en-US" w:eastAsia="zh-CN" w:bidi="ar"/>
                    </w:rPr>
                    <w:t>NC</w:t>
                  </w:r>
                  <w:r>
                    <w:rPr>
                      <w:rFonts w:hint="eastAsia" w:ascii="宋体" w:hAnsi="宋体" w:eastAsia="宋体" w:cs="宋体"/>
                      <w:i w:val="0"/>
                      <w:iCs w:val="0"/>
                      <w:color w:val="auto"/>
                      <w:kern w:val="0"/>
                      <w:sz w:val="20"/>
                      <w:szCs w:val="20"/>
                      <w:u w:val="none"/>
                      <w:lang w:val="en-US" w:eastAsia="zh-CN" w:bidi="ar"/>
                    </w:rPr>
                    <w:t>车床</w:t>
                  </w:r>
                </w:p>
              </w:tc>
              <w:tc>
                <w:tcPr>
                  <w:tcW w:w="165" w:type="pct"/>
                  <w:tcBorders>
                    <w:tl2br w:val="nil"/>
                    <w:tr2bl w:val="nil"/>
                  </w:tcBorders>
                  <w:shd w:val="clear" w:color="auto" w:fill="auto"/>
                  <w:tcMar>
                    <w:top w:w="0" w:type="dxa"/>
                    <w:left w:w="0" w:type="dxa"/>
                    <w:bottom w:w="0" w:type="dxa"/>
                    <w:right w:w="0" w:type="dxa"/>
                  </w:tcMar>
                  <w:vAlign w:val="center"/>
                </w:tcPr>
                <w:p w14:paraId="57236053">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1</w:t>
                  </w:r>
                </w:p>
              </w:tc>
              <w:tc>
                <w:tcPr>
                  <w:tcW w:w="223" w:type="pct"/>
                  <w:tcBorders>
                    <w:tl2br w:val="nil"/>
                    <w:tr2bl w:val="nil"/>
                  </w:tcBorders>
                  <w:shd w:val="clear" w:color="auto" w:fill="auto"/>
                  <w:tcMar>
                    <w:top w:w="0" w:type="dxa"/>
                    <w:left w:w="0" w:type="dxa"/>
                    <w:bottom w:w="0" w:type="dxa"/>
                    <w:right w:w="0" w:type="dxa"/>
                  </w:tcMar>
                  <w:vAlign w:val="center"/>
                </w:tcPr>
                <w:p w14:paraId="30F62D87">
                  <w:pPr>
                    <w:adjustRightInd w:val="0"/>
                    <w:snapToGrid w:val="0"/>
                    <w:jc w:val="center"/>
                    <w:rPr>
                      <w:color w:val="auto"/>
                      <w:sz w:val="20"/>
                      <w:szCs w:val="20"/>
                      <w:highlight w:val="none"/>
                    </w:rPr>
                  </w:pPr>
                  <w:r>
                    <w:rPr>
                      <w:rFonts w:hint="eastAsia"/>
                      <w:color w:val="auto"/>
                      <w:sz w:val="18"/>
                      <w:szCs w:val="18"/>
                      <w:highlight w:val="none"/>
                    </w:rPr>
                    <w:t>85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5DD8192A">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73D6F33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default" w:ascii="Times New Roman" w:hAnsi="Times New Roman" w:eastAsia="宋体" w:cs="Times New Roman"/>
                      <w:color w:val="auto"/>
                      <w:sz w:val="18"/>
                      <w:szCs w:val="18"/>
                    </w:rPr>
                    <w:t>-37</w:t>
                  </w:r>
                </w:p>
              </w:tc>
              <w:tc>
                <w:tcPr>
                  <w:tcW w:w="181" w:type="pct"/>
                  <w:tcBorders>
                    <w:tl2br w:val="nil"/>
                    <w:tr2bl w:val="nil"/>
                  </w:tcBorders>
                  <w:shd w:val="clear" w:color="auto" w:fill="auto"/>
                  <w:tcMar>
                    <w:top w:w="0" w:type="dxa"/>
                    <w:left w:w="0" w:type="dxa"/>
                    <w:bottom w:w="0" w:type="dxa"/>
                    <w:right w:w="0" w:type="dxa"/>
                  </w:tcMar>
                  <w:vAlign w:val="center"/>
                </w:tcPr>
                <w:p w14:paraId="0131803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default" w:ascii="Times New Roman" w:hAnsi="Times New Roman" w:eastAsia="宋体" w:cs="Times New Roman"/>
                      <w:color w:val="auto"/>
                      <w:sz w:val="18"/>
                      <w:szCs w:val="18"/>
                    </w:rPr>
                    <w:t>12.4</w:t>
                  </w:r>
                </w:p>
              </w:tc>
              <w:tc>
                <w:tcPr>
                  <w:tcW w:w="143" w:type="pct"/>
                  <w:tcBorders>
                    <w:tl2br w:val="nil"/>
                    <w:tr2bl w:val="nil"/>
                  </w:tcBorders>
                  <w:shd w:val="clear" w:color="auto" w:fill="auto"/>
                  <w:tcMar>
                    <w:top w:w="0" w:type="dxa"/>
                    <w:left w:w="0" w:type="dxa"/>
                    <w:bottom w:w="0" w:type="dxa"/>
                    <w:right w:w="0" w:type="dxa"/>
                  </w:tcMar>
                  <w:vAlign w:val="center"/>
                </w:tcPr>
                <w:p w14:paraId="28235F2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67D3A0D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2</w:t>
                  </w:r>
                  <w:r>
                    <w:rPr>
                      <w:rFonts w:hint="eastAsia" w:ascii="Times New Roman" w:hAnsi="Times New Roman" w:eastAsia="宋体" w:cs="Times New Roman"/>
                      <w:color w:val="auto"/>
                      <w:kern w:val="2"/>
                      <w:sz w:val="18"/>
                      <w:szCs w:val="18"/>
                      <w:lang w:val="en-US" w:eastAsia="zh-CN" w:bidi="ar-SA"/>
                    </w:rPr>
                    <w:t>.5</w:t>
                  </w:r>
                </w:p>
              </w:tc>
              <w:tc>
                <w:tcPr>
                  <w:tcW w:w="189" w:type="pct"/>
                  <w:tcBorders>
                    <w:tl2br w:val="nil"/>
                    <w:tr2bl w:val="nil"/>
                  </w:tcBorders>
                  <w:shd w:val="clear" w:color="auto" w:fill="auto"/>
                  <w:tcMar>
                    <w:top w:w="0" w:type="dxa"/>
                    <w:left w:w="0" w:type="dxa"/>
                    <w:bottom w:w="0" w:type="dxa"/>
                    <w:right w:w="0" w:type="dxa"/>
                  </w:tcMar>
                  <w:vAlign w:val="center"/>
                </w:tcPr>
                <w:p w14:paraId="452FB14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2</w:t>
                  </w:r>
                  <w:r>
                    <w:rPr>
                      <w:rFonts w:hint="eastAsia" w:ascii="Times New Roman" w:hAnsi="Times New Roman" w:eastAsia="宋体" w:cs="Times New Roman"/>
                      <w:color w:val="auto"/>
                      <w:kern w:val="2"/>
                      <w:sz w:val="18"/>
                      <w:szCs w:val="18"/>
                      <w:lang w:val="en-US" w:eastAsia="zh-CN" w:bidi="ar-SA"/>
                    </w:rPr>
                    <w:t>.0</w:t>
                  </w:r>
                </w:p>
              </w:tc>
              <w:tc>
                <w:tcPr>
                  <w:tcW w:w="159" w:type="pct"/>
                  <w:tcBorders>
                    <w:tl2br w:val="nil"/>
                    <w:tr2bl w:val="nil"/>
                  </w:tcBorders>
                  <w:shd w:val="clear" w:color="auto" w:fill="auto"/>
                  <w:tcMar>
                    <w:top w:w="0" w:type="dxa"/>
                    <w:left w:w="0" w:type="dxa"/>
                    <w:bottom w:w="0" w:type="dxa"/>
                    <w:right w:w="0" w:type="dxa"/>
                  </w:tcMar>
                  <w:vAlign w:val="center"/>
                </w:tcPr>
                <w:p w14:paraId="4BB1419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2</w:t>
                  </w:r>
                  <w:r>
                    <w:rPr>
                      <w:rFonts w:hint="eastAsia" w:ascii="Times New Roman" w:hAnsi="Times New Roman" w:eastAsia="宋体" w:cs="Times New Roman"/>
                      <w:color w:val="auto"/>
                      <w:kern w:val="2"/>
                      <w:sz w:val="18"/>
                      <w:szCs w:val="18"/>
                      <w:lang w:val="en-US" w:eastAsia="zh-CN" w:bidi="ar-SA"/>
                    </w:rPr>
                    <w:t>.5</w:t>
                  </w:r>
                </w:p>
              </w:tc>
              <w:tc>
                <w:tcPr>
                  <w:tcW w:w="174" w:type="pct"/>
                  <w:tcBorders>
                    <w:tl2br w:val="nil"/>
                    <w:tr2bl w:val="nil"/>
                  </w:tcBorders>
                  <w:shd w:val="clear" w:color="auto" w:fill="auto"/>
                  <w:tcMar>
                    <w:top w:w="0" w:type="dxa"/>
                    <w:left w:w="0" w:type="dxa"/>
                    <w:bottom w:w="0" w:type="dxa"/>
                    <w:right w:w="0" w:type="dxa"/>
                  </w:tcMar>
                  <w:vAlign w:val="center"/>
                </w:tcPr>
                <w:p w14:paraId="2F0F5A0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2</w:t>
                  </w:r>
                  <w:r>
                    <w:rPr>
                      <w:rFonts w:hint="eastAsia" w:ascii="Times New Roman" w:hAnsi="Times New Roman" w:eastAsia="宋体" w:cs="Times New Roman"/>
                      <w:color w:val="auto"/>
                      <w:kern w:val="2"/>
                      <w:sz w:val="18"/>
                      <w:szCs w:val="18"/>
                      <w:lang w:val="en-US" w:eastAsia="zh-CN" w:bidi="ar-SA"/>
                    </w:rPr>
                    <w:t>.0</w:t>
                  </w:r>
                </w:p>
              </w:tc>
              <w:tc>
                <w:tcPr>
                  <w:tcW w:w="167" w:type="pct"/>
                  <w:tcBorders>
                    <w:tl2br w:val="nil"/>
                    <w:tr2bl w:val="nil"/>
                  </w:tcBorders>
                  <w:shd w:val="clear" w:color="auto" w:fill="auto"/>
                  <w:tcMar>
                    <w:top w:w="0" w:type="dxa"/>
                    <w:left w:w="0" w:type="dxa"/>
                    <w:bottom w:w="0" w:type="dxa"/>
                    <w:right w:w="0" w:type="dxa"/>
                  </w:tcMar>
                  <w:vAlign w:val="center"/>
                </w:tcPr>
                <w:p w14:paraId="2752005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66.02</w:t>
                  </w:r>
                </w:p>
              </w:tc>
              <w:tc>
                <w:tcPr>
                  <w:tcW w:w="167" w:type="pct"/>
                  <w:tcBorders>
                    <w:tl2br w:val="nil"/>
                    <w:tr2bl w:val="nil"/>
                  </w:tcBorders>
                  <w:shd w:val="clear" w:color="auto" w:fill="auto"/>
                  <w:tcMar>
                    <w:top w:w="0" w:type="dxa"/>
                    <w:left w:w="0" w:type="dxa"/>
                    <w:bottom w:w="0" w:type="dxa"/>
                    <w:right w:w="0" w:type="dxa"/>
                  </w:tcMar>
                  <w:vAlign w:val="center"/>
                </w:tcPr>
                <w:p w14:paraId="3DD6904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67.96</w:t>
                  </w:r>
                </w:p>
              </w:tc>
              <w:tc>
                <w:tcPr>
                  <w:tcW w:w="167" w:type="pct"/>
                  <w:tcBorders>
                    <w:tl2br w:val="nil"/>
                    <w:tr2bl w:val="nil"/>
                  </w:tcBorders>
                  <w:shd w:val="clear" w:color="auto" w:fill="auto"/>
                  <w:tcMar>
                    <w:top w:w="0" w:type="dxa"/>
                    <w:left w:w="0" w:type="dxa"/>
                    <w:bottom w:w="0" w:type="dxa"/>
                    <w:right w:w="0" w:type="dxa"/>
                  </w:tcMar>
                  <w:vAlign w:val="center"/>
                </w:tcPr>
                <w:p w14:paraId="1D0CAAB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66.02</w:t>
                  </w:r>
                </w:p>
              </w:tc>
              <w:tc>
                <w:tcPr>
                  <w:tcW w:w="175" w:type="pct"/>
                  <w:tcBorders>
                    <w:tl2br w:val="nil"/>
                    <w:tr2bl w:val="nil"/>
                  </w:tcBorders>
                  <w:shd w:val="clear" w:color="auto" w:fill="auto"/>
                  <w:tcMar>
                    <w:top w:w="0" w:type="dxa"/>
                    <w:left w:w="0" w:type="dxa"/>
                    <w:bottom w:w="0" w:type="dxa"/>
                    <w:right w:w="0" w:type="dxa"/>
                  </w:tcMar>
                  <w:vAlign w:val="center"/>
                </w:tcPr>
                <w:p w14:paraId="2A93F25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kern w:val="2"/>
                      <w:sz w:val="18"/>
                      <w:szCs w:val="18"/>
                      <w:lang w:val="en-US" w:eastAsia="zh-CN" w:bidi="ar-SA"/>
                    </w:rPr>
                    <w:t>67.96</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00882511">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77CC253B">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2C23A71F">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73D6A5F4">
                  <w:pPr>
                    <w:jc w:val="center"/>
                    <w:rPr>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059855C9">
                  <w:pPr>
                    <w:jc w:val="center"/>
                    <w:rPr>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3D96089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46.02</w:t>
                  </w:r>
                </w:p>
              </w:tc>
              <w:tc>
                <w:tcPr>
                  <w:tcW w:w="171" w:type="pct"/>
                  <w:tcBorders>
                    <w:tl2br w:val="nil"/>
                    <w:tr2bl w:val="nil"/>
                  </w:tcBorders>
                  <w:shd w:val="clear" w:color="auto" w:fill="auto"/>
                  <w:tcMar>
                    <w:top w:w="0" w:type="dxa"/>
                    <w:left w:w="0" w:type="dxa"/>
                    <w:bottom w:w="0" w:type="dxa"/>
                    <w:right w:w="0" w:type="dxa"/>
                  </w:tcMar>
                  <w:vAlign w:val="center"/>
                </w:tcPr>
                <w:p w14:paraId="420875D6">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47.96</w:t>
                  </w:r>
                </w:p>
              </w:tc>
              <w:tc>
                <w:tcPr>
                  <w:tcW w:w="172" w:type="pct"/>
                  <w:tcBorders>
                    <w:tl2br w:val="nil"/>
                    <w:tr2bl w:val="nil"/>
                  </w:tcBorders>
                  <w:shd w:val="clear" w:color="auto" w:fill="auto"/>
                  <w:tcMar>
                    <w:top w:w="0" w:type="dxa"/>
                    <w:left w:w="0" w:type="dxa"/>
                    <w:bottom w:w="0" w:type="dxa"/>
                    <w:right w:w="0" w:type="dxa"/>
                  </w:tcMar>
                  <w:vAlign w:val="center"/>
                </w:tcPr>
                <w:p w14:paraId="3688870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46.02</w:t>
                  </w:r>
                </w:p>
              </w:tc>
              <w:tc>
                <w:tcPr>
                  <w:tcW w:w="172" w:type="pct"/>
                  <w:tcBorders>
                    <w:tl2br w:val="nil"/>
                    <w:tr2bl w:val="nil"/>
                  </w:tcBorders>
                  <w:shd w:val="clear" w:color="auto" w:fill="auto"/>
                  <w:tcMar>
                    <w:top w:w="0" w:type="dxa"/>
                    <w:left w:w="0" w:type="dxa"/>
                    <w:bottom w:w="0" w:type="dxa"/>
                    <w:right w:w="0" w:type="dxa"/>
                  </w:tcMar>
                  <w:vAlign w:val="center"/>
                </w:tcPr>
                <w:p w14:paraId="71B6304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47.96</w:t>
                  </w:r>
                </w:p>
              </w:tc>
              <w:tc>
                <w:tcPr>
                  <w:tcW w:w="165" w:type="pct"/>
                  <w:tcBorders>
                    <w:tl2br w:val="nil"/>
                    <w:tr2bl w:val="nil"/>
                  </w:tcBorders>
                  <w:shd w:val="clear" w:color="auto" w:fill="auto"/>
                  <w:tcMar>
                    <w:top w:w="0" w:type="dxa"/>
                    <w:left w:w="0" w:type="dxa"/>
                    <w:bottom w:w="0" w:type="dxa"/>
                    <w:right w:w="0" w:type="dxa"/>
                  </w:tcMar>
                  <w:vAlign w:val="center"/>
                </w:tcPr>
                <w:p w14:paraId="1176DFDE">
                  <w:pPr>
                    <w:adjustRightInd w:val="0"/>
                    <w:snapToGrid w:val="0"/>
                    <w:jc w:val="center"/>
                    <w:rPr>
                      <w:color w:val="auto"/>
                      <w:sz w:val="20"/>
                      <w:szCs w:val="20"/>
                    </w:rPr>
                  </w:pPr>
                  <w:r>
                    <w:rPr>
                      <w:color w:val="auto"/>
                      <w:sz w:val="20"/>
                      <w:szCs w:val="20"/>
                    </w:rPr>
                    <w:t>1</w:t>
                  </w:r>
                </w:p>
              </w:tc>
            </w:tr>
            <w:tr w14:paraId="6BCC9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4CC5B740">
                  <w:pPr>
                    <w:adjustRightInd w:val="0"/>
                    <w:snapToGrid w:val="0"/>
                    <w:jc w:val="center"/>
                    <w:rPr>
                      <w:color w:val="auto"/>
                      <w:sz w:val="20"/>
                      <w:szCs w:val="20"/>
                    </w:rPr>
                  </w:pPr>
                  <w:r>
                    <w:rPr>
                      <w:rFonts w:hint="eastAsia"/>
                      <w:color w:val="auto"/>
                      <w:sz w:val="20"/>
                      <w:szCs w:val="20"/>
                    </w:rPr>
                    <w:t>16</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35B890E">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0CAF7823">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铣床</w:t>
                  </w:r>
                </w:p>
              </w:tc>
              <w:tc>
                <w:tcPr>
                  <w:tcW w:w="165" w:type="pct"/>
                  <w:tcBorders>
                    <w:tl2br w:val="nil"/>
                    <w:tr2bl w:val="nil"/>
                  </w:tcBorders>
                  <w:shd w:val="clear" w:color="auto" w:fill="auto"/>
                  <w:tcMar>
                    <w:top w:w="0" w:type="dxa"/>
                    <w:left w:w="0" w:type="dxa"/>
                    <w:bottom w:w="0" w:type="dxa"/>
                    <w:right w:w="0" w:type="dxa"/>
                  </w:tcMar>
                  <w:vAlign w:val="center"/>
                </w:tcPr>
                <w:p w14:paraId="2AAF28F1">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10</w:t>
                  </w:r>
                </w:p>
              </w:tc>
              <w:tc>
                <w:tcPr>
                  <w:tcW w:w="223" w:type="pct"/>
                  <w:tcBorders>
                    <w:tl2br w:val="nil"/>
                    <w:tr2bl w:val="nil"/>
                  </w:tcBorders>
                  <w:shd w:val="clear" w:color="auto" w:fill="auto"/>
                  <w:tcMar>
                    <w:top w:w="0" w:type="dxa"/>
                    <w:left w:w="0" w:type="dxa"/>
                    <w:bottom w:w="0" w:type="dxa"/>
                    <w:right w:w="0" w:type="dxa"/>
                  </w:tcMar>
                  <w:vAlign w:val="center"/>
                </w:tcPr>
                <w:p w14:paraId="2B141770">
                  <w:pPr>
                    <w:adjustRightInd w:val="0"/>
                    <w:snapToGrid w:val="0"/>
                    <w:jc w:val="center"/>
                    <w:rPr>
                      <w:color w:val="auto"/>
                      <w:sz w:val="20"/>
                      <w:szCs w:val="20"/>
                      <w:highlight w:val="none"/>
                    </w:rPr>
                  </w:pPr>
                  <w:r>
                    <w:rPr>
                      <w:rFonts w:hint="eastAsia"/>
                      <w:color w:val="auto"/>
                      <w:sz w:val="18"/>
                      <w:szCs w:val="18"/>
                      <w:highlight w:val="none"/>
                    </w:rPr>
                    <w:t>85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10476ED0">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6A84BCD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88</w:t>
                  </w:r>
                </w:p>
              </w:tc>
              <w:tc>
                <w:tcPr>
                  <w:tcW w:w="181" w:type="pct"/>
                  <w:tcBorders>
                    <w:tl2br w:val="nil"/>
                    <w:tr2bl w:val="nil"/>
                  </w:tcBorders>
                  <w:shd w:val="clear" w:color="auto" w:fill="auto"/>
                  <w:tcMar>
                    <w:top w:w="0" w:type="dxa"/>
                    <w:left w:w="0" w:type="dxa"/>
                    <w:bottom w:w="0" w:type="dxa"/>
                    <w:right w:w="0" w:type="dxa"/>
                  </w:tcMar>
                  <w:vAlign w:val="center"/>
                </w:tcPr>
                <w:p w14:paraId="2FF7987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15</w:t>
                  </w:r>
                </w:p>
              </w:tc>
              <w:tc>
                <w:tcPr>
                  <w:tcW w:w="143" w:type="pct"/>
                  <w:tcBorders>
                    <w:tl2br w:val="nil"/>
                    <w:tr2bl w:val="nil"/>
                  </w:tcBorders>
                  <w:shd w:val="clear" w:color="auto" w:fill="auto"/>
                  <w:tcMar>
                    <w:top w:w="0" w:type="dxa"/>
                    <w:left w:w="0" w:type="dxa"/>
                    <w:bottom w:w="0" w:type="dxa"/>
                    <w:right w:w="0" w:type="dxa"/>
                  </w:tcMar>
                  <w:vAlign w:val="center"/>
                </w:tcPr>
                <w:p w14:paraId="6C4CA54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692AC13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7F624C9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1.6</w:t>
                  </w:r>
                </w:p>
              </w:tc>
              <w:tc>
                <w:tcPr>
                  <w:tcW w:w="159" w:type="pct"/>
                  <w:tcBorders>
                    <w:tl2br w:val="nil"/>
                    <w:tr2bl w:val="nil"/>
                  </w:tcBorders>
                  <w:shd w:val="clear" w:color="auto" w:fill="auto"/>
                  <w:tcMar>
                    <w:top w:w="0" w:type="dxa"/>
                    <w:left w:w="0" w:type="dxa"/>
                    <w:bottom w:w="0" w:type="dxa"/>
                    <w:right w:w="0" w:type="dxa"/>
                  </w:tcMar>
                  <w:vAlign w:val="center"/>
                </w:tcPr>
                <w:p w14:paraId="26DBA3B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1.6</w:t>
                  </w:r>
                </w:p>
              </w:tc>
              <w:tc>
                <w:tcPr>
                  <w:tcW w:w="174" w:type="pct"/>
                  <w:tcBorders>
                    <w:tl2br w:val="nil"/>
                    <w:tr2bl w:val="nil"/>
                  </w:tcBorders>
                  <w:shd w:val="clear" w:color="auto" w:fill="auto"/>
                  <w:tcMar>
                    <w:top w:w="0" w:type="dxa"/>
                    <w:left w:w="0" w:type="dxa"/>
                    <w:bottom w:w="0" w:type="dxa"/>
                    <w:right w:w="0" w:type="dxa"/>
                  </w:tcMar>
                  <w:vAlign w:val="center"/>
                </w:tcPr>
                <w:p w14:paraId="549002C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67" w:type="pct"/>
                  <w:tcBorders>
                    <w:tl2br w:val="nil"/>
                    <w:tr2bl w:val="nil"/>
                  </w:tcBorders>
                  <w:shd w:val="clear" w:color="auto" w:fill="auto"/>
                  <w:tcMar>
                    <w:top w:w="0" w:type="dxa"/>
                    <w:left w:w="0" w:type="dxa"/>
                    <w:bottom w:w="0" w:type="dxa"/>
                    <w:right w:w="0" w:type="dxa"/>
                  </w:tcMar>
                  <w:vAlign w:val="center"/>
                </w:tcPr>
                <w:p w14:paraId="0A08AC3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56.99</w:t>
                  </w:r>
                </w:p>
              </w:tc>
              <w:tc>
                <w:tcPr>
                  <w:tcW w:w="167" w:type="pct"/>
                  <w:tcBorders>
                    <w:tl2br w:val="nil"/>
                    <w:tr2bl w:val="nil"/>
                  </w:tcBorders>
                  <w:shd w:val="clear" w:color="auto" w:fill="auto"/>
                  <w:tcMar>
                    <w:top w:w="0" w:type="dxa"/>
                    <w:left w:w="0" w:type="dxa"/>
                    <w:bottom w:w="0" w:type="dxa"/>
                    <w:right w:w="0" w:type="dxa"/>
                  </w:tcMar>
                  <w:vAlign w:val="center"/>
                </w:tcPr>
                <w:p w14:paraId="0948295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58.93</w:t>
                  </w:r>
                </w:p>
              </w:tc>
              <w:tc>
                <w:tcPr>
                  <w:tcW w:w="167" w:type="pct"/>
                  <w:tcBorders>
                    <w:tl2br w:val="nil"/>
                    <w:tr2bl w:val="nil"/>
                  </w:tcBorders>
                  <w:shd w:val="clear" w:color="auto" w:fill="auto"/>
                  <w:tcMar>
                    <w:top w:w="0" w:type="dxa"/>
                    <w:left w:w="0" w:type="dxa"/>
                    <w:bottom w:w="0" w:type="dxa"/>
                    <w:right w:w="0" w:type="dxa"/>
                  </w:tcMar>
                  <w:vAlign w:val="center"/>
                </w:tcPr>
                <w:p w14:paraId="5280692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56.99</w:t>
                  </w:r>
                </w:p>
              </w:tc>
              <w:tc>
                <w:tcPr>
                  <w:tcW w:w="175" w:type="pct"/>
                  <w:tcBorders>
                    <w:tl2br w:val="nil"/>
                    <w:tr2bl w:val="nil"/>
                  </w:tcBorders>
                  <w:shd w:val="clear" w:color="auto" w:fill="auto"/>
                  <w:tcMar>
                    <w:top w:w="0" w:type="dxa"/>
                    <w:left w:w="0" w:type="dxa"/>
                    <w:bottom w:w="0" w:type="dxa"/>
                    <w:right w:w="0" w:type="dxa"/>
                  </w:tcMar>
                  <w:vAlign w:val="center"/>
                </w:tcPr>
                <w:p w14:paraId="4D23113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58.93</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130EAAC8">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3E129FA5">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78DFD68">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893D2AB">
                  <w:pPr>
                    <w:jc w:val="center"/>
                    <w:rPr>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729DDEE">
                  <w:pPr>
                    <w:jc w:val="center"/>
                    <w:rPr>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4CF17A69">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46.99</w:t>
                  </w:r>
                </w:p>
              </w:tc>
              <w:tc>
                <w:tcPr>
                  <w:tcW w:w="171" w:type="pct"/>
                  <w:tcBorders>
                    <w:tl2br w:val="nil"/>
                    <w:tr2bl w:val="nil"/>
                  </w:tcBorders>
                  <w:shd w:val="clear" w:color="auto" w:fill="auto"/>
                  <w:tcMar>
                    <w:top w:w="0" w:type="dxa"/>
                    <w:left w:w="0" w:type="dxa"/>
                    <w:bottom w:w="0" w:type="dxa"/>
                    <w:right w:w="0" w:type="dxa"/>
                  </w:tcMar>
                  <w:vAlign w:val="center"/>
                </w:tcPr>
                <w:p w14:paraId="217848B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48.93</w:t>
                  </w:r>
                </w:p>
              </w:tc>
              <w:tc>
                <w:tcPr>
                  <w:tcW w:w="172" w:type="pct"/>
                  <w:tcBorders>
                    <w:tl2br w:val="nil"/>
                    <w:tr2bl w:val="nil"/>
                  </w:tcBorders>
                  <w:shd w:val="clear" w:color="auto" w:fill="auto"/>
                  <w:tcMar>
                    <w:top w:w="0" w:type="dxa"/>
                    <w:left w:w="0" w:type="dxa"/>
                    <w:bottom w:w="0" w:type="dxa"/>
                    <w:right w:w="0" w:type="dxa"/>
                  </w:tcMar>
                  <w:vAlign w:val="center"/>
                </w:tcPr>
                <w:p w14:paraId="0A49B487">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46.99</w:t>
                  </w:r>
                </w:p>
              </w:tc>
              <w:tc>
                <w:tcPr>
                  <w:tcW w:w="172" w:type="pct"/>
                  <w:tcBorders>
                    <w:tl2br w:val="nil"/>
                    <w:tr2bl w:val="nil"/>
                  </w:tcBorders>
                  <w:shd w:val="clear" w:color="auto" w:fill="auto"/>
                  <w:tcMar>
                    <w:top w:w="0" w:type="dxa"/>
                    <w:left w:w="0" w:type="dxa"/>
                    <w:bottom w:w="0" w:type="dxa"/>
                    <w:right w:w="0" w:type="dxa"/>
                  </w:tcMar>
                  <w:vAlign w:val="center"/>
                </w:tcPr>
                <w:p w14:paraId="1C4A4A9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48.93</w:t>
                  </w:r>
                </w:p>
              </w:tc>
              <w:tc>
                <w:tcPr>
                  <w:tcW w:w="165" w:type="pct"/>
                  <w:tcBorders>
                    <w:tl2br w:val="nil"/>
                    <w:tr2bl w:val="nil"/>
                  </w:tcBorders>
                  <w:shd w:val="clear" w:color="auto" w:fill="auto"/>
                  <w:tcMar>
                    <w:top w:w="0" w:type="dxa"/>
                    <w:left w:w="0" w:type="dxa"/>
                    <w:bottom w:w="0" w:type="dxa"/>
                    <w:right w:w="0" w:type="dxa"/>
                  </w:tcMar>
                  <w:vAlign w:val="center"/>
                </w:tcPr>
                <w:p w14:paraId="2253FD84">
                  <w:pPr>
                    <w:adjustRightInd w:val="0"/>
                    <w:snapToGrid w:val="0"/>
                    <w:jc w:val="center"/>
                    <w:rPr>
                      <w:color w:val="auto"/>
                      <w:sz w:val="20"/>
                      <w:szCs w:val="20"/>
                    </w:rPr>
                  </w:pPr>
                  <w:r>
                    <w:rPr>
                      <w:color w:val="auto"/>
                      <w:sz w:val="20"/>
                      <w:szCs w:val="20"/>
                    </w:rPr>
                    <w:t>1</w:t>
                  </w:r>
                </w:p>
              </w:tc>
            </w:tr>
            <w:tr w14:paraId="230928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20889BCC">
                  <w:pPr>
                    <w:adjustRightInd w:val="0"/>
                    <w:snapToGrid w:val="0"/>
                    <w:jc w:val="center"/>
                    <w:rPr>
                      <w:color w:val="auto"/>
                      <w:sz w:val="20"/>
                      <w:szCs w:val="20"/>
                    </w:rPr>
                  </w:pPr>
                  <w:r>
                    <w:rPr>
                      <w:rFonts w:hint="eastAsia"/>
                      <w:color w:val="auto"/>
                      <w:sz w:val="20"/>
                      <w:szCs w:val="20"/>
                    </w:rPr>
                    <w:t>17</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2BBC2ECC">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13D1819E">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磨床</w:t>
                  </w:r>
                </w:p>
              </w:tc>
              <w:tc>
                <w:tcPr>
                  <w:tcW w:w="165" w:type="pct"/>
                  <w:tcBorders>
                    <w:tl2br w:val="nil"/>
                    <w:tr2bl w:val="nil"/>
                  </w:tcBorders>
                  <w:shd w:val="clear" w:color="auto" w:fill="auto"/>
                  <w:tcMar>
                    <w:top w:w="0" w:type="dxa"/>
                    <w:left w:w="0" w:type="dxa"/>
                    <w:bottom w:w="0" w:type="dxa"/>
                    <w:right w:w="0" w:type="dxa"/>
                  </w:tcMar>
                  <w:vAlign w:val="center"/>
                </w:tcPr>
                <w:p w14:paraId="76FB7C3C">
                  <w:pPr>
                    <w:keepNext w:val="0"/>
                    <w:keepLines w:val="0"/>
                    <w:widowControl/>
                    <w:suppressLineNumbers w:val="0"/>
                    <w:jc w:val="center"/>
                    <w:textAlignment w:val="center"/>
                    <w:rPr>
                      <w:color w:val="auto"/>
                      <w:sz w:val="20"/>
                      <w:szCs w:val="20"/>
                    </w:rPr>
                  </w:pPr>
                  <w:r>
                    <w:rPr>
                      <w:rFonts w:hint="default" w:ascii="Times New Roman" w:hAnsi="Times New Roman" w:eastAsia="宋体" w:cs="Times New Roman"/>
                      <w:i w:val="0"/>
                      <w:iCs w:val="0"/>
                      <w:color w:val="auto"/>
                      <w:kern w:val="0"/>
                      <w:sz w:val="21"/>
                      <w:szCs w:val="21"/>
                      <w:u w:val="none"/>
                      <w:lang w:val="en-US" w:eastAsia="zh-CN" w:bidi="ar"/>
                    </w:rPr>
                    <w:t>6</w:t>
                  </w:r>
                </w:p>
              </w:tc>
              <w:tc>
                <w:tcPr>
                  <w:tcW w:w="223" w:type="pct"/>
                  <w:tcBorders>
                    <w:tl2br w:val="nil"/>
                    <w:tr2bl w:val="nil"/>
                  </w:tcBorders>
                  <w:shd w:val="clear" w:color="auto" w:fill="auto"/>
                  <w:tcMar>
                    <w:top w:w="0" w:type="dxa"/>
                    <w:left w:w="0" w:type="dxa"/>
                    <w:bottom w:w="0" w:type="dxa"/>
                    <w:right w:w="0" w:type="dxa"/>
                  </w:tcMar>
                  <w:vAlign w:val="center"/>
                </w:tcPr>
                <w:p w14:paraId="44FE6FDB">
                  <w:pPr>
                    <w:adjustRightInd w:val="0"/>
                    <w:snapToGrid w:val="0"/>
                    <w:jc w:val="center"/>
                    <w:rPr>
                      <w:color w:val="auto"/>
                      <w:sz w:val="20"/>
                      <w:szCs w:val="20"/>
                      <w:highlight w:val="none"/>
                    </w:rPr>
                  </w:pPr>
                  <w:r>
                    <w:rPr>
                      <w:rFonts w:hint="eastAsia"/>
                      <w:color w:val="auto"/>
                      <w:sz w:val="20"/>
                      <w:szCs w:val="20"/>
                      <w:highlight w:val="none"/>
                    </w:rPr>
                    <w:t>75</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055475DB">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45D8DEF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-62</w:t>
                  </w:r>
                </w:p>
              </w:tc>
              <w:tc>
                <w:tcPr>
                  <w:tcW w:w="181" w:type="pct"/>
                  <w:tcBorders>
                    <w:tl2br w:val="nil"/>
                    <w:tr2bl w:val="nil"/>
                  </w:tcBorders>
                  <w:shd w:val="clear" w:color="auto" w:fill="auto"/>
                  <w:tcMar>
                    <w:top w:w="0" w:type="dxa"/>
                    <w:left w:w="0" w:type="dxa"/>
                    <w:bottom w:w="0" w:type="dxa"/>
                    <w:right w:w="0" w:type="dxa"/>
                  </w:tcMar>
                  <w:vAlign w:val="center"/>
                </w:tcPr>
                <w:p w14:paraId="20E60EA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87</w:t>
                  </w:r>
                </w:p>
              </w:tc>
              <w:tc>
                <w:tcPr>
                  <w:tcW w:w="143" w:type="pct"/>
                  <w:tcBorders>
                    <w:tl2br w:val="nil"/>
                    <w:tr2bl w:val="nil"/>
                  </w:tcBorders>
                  <w:shd w:val="clear" w:color="auto" w:fill="auto"/>
                  <w:tcMar>
                    <w:top w:w="0" w:type="dxa"/>
                    <w:left w:w="0" w:type="dxa"/>
                    <w:bottom w:w="0" w:type="dxa"/>
                    <w:right w:w="0" w:type="dxa"/>
                  </w:tcMar>
                  <w:vAlign w:val="center"/>
                </w:tcPr>
                <w:p w14:paraId="6CDC85C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1.2</w:t>
                  </w:r>
                </w:p>
              </w:tc>
              <w:tc>
                <w:tcPr>
                  <w:tcW w:w="171" w:type="pct"/>
                  <w:tcBorders>
                    <w:tl2br w:val="nil"/>
                    <w:tr2bl w:val="nil"/>
                  </w:tcBorders>
                  <w:shd w:val="clear" w:color="auto" w:fill="auto"/>
                  <w:tcMar>
                    <w:top w:w="0" w:type="dxa"/>
                    <w:left w:w="0" w:type="dxa"/>
                    <w:bottom w:w="0" w:type="dxa"/>
                    <w:right w:w="0" w:type="dxa"/>
                  </w:tcMar>
                  <w:vAlign w:val="center"/>
                </w:tcPr>
                <w:p w14:paraId="076386C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22.0</w:t>
                  </w:r>
                </w:p>
              </w:tc>
              <w:tc>
                <w:tcPr>
                  <w:tcW w:w="189" w:type="pct"/>
                  <w:tcBorders>
                    <w:tl2br w:val="nil"/>
                    <w:tr2bl w:val="nil"/>
                  </w:tcBorders>
                  <w:shd w:val="clear" w:color="auto" w:fill="auto"/>
                  <w:tcMar>
                    <w:top w:w="0" w:type="dxa"/>
                    <w:left w:w="0" w:type="dxa"/>
                    <w:bottom w:w="0" w:type="dxa"/>
                    <w:right w:w="0" w:type="dxa"/>
                  </w:tcMar>
                  <w:vAlign w:val="center"/>
                </w:tcPr>
                <w:p w14:paraId="55B339E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kern w:val="2"/>
                      <w:sz w:val="18"/>
                      <w:szCs w:val="18"/>
                      <w:lang w:val="en-US" w:eastAsia="zh-CN" w:bidi="ar-SA"/>
                    </w:rPr>
                    <w:t>2.5</w:t>
                  </w:r>
                </w:p>
              </w:tc>
              <w:tc>
                <w:tcPr>
                  <w:tcW w:w="159" w:type="pct"/>
                  <w:tcBorders>
                    <w:tl2br w:val="nil"/>
                    <w:tr2bl w:val="nil"/>
                  </w:tcBorders>
                  <w:shd w:val="clear" w:color="auto" w:fill="auto"/>
                  <w:tcMar>
                    <w:top w:w="0" w:type="dxa"/>
                    <w:left w:w="0" w:type="dxa"/>
                    <w:bottom w:w="0" w:type="dxa"/>
                    <w:right w:w="0" w:type="dxa"/>
                  </w:tcMar>
                  <w:vAlign w:val="center"/>
                </w:tcPr>
                <w:p w14:paraId="299998D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1</w:t>
                  </w:r>
                  <w:r>
                    <w:rPr>
                      <w:rFonts w:hint="eastAsia" w:ascii="Times New Roman" w:hAnsi="Times New Roman" w:eastAsia="宋体" w:cs="Times New Roman"/>
                      <w:color w:val="auto"/>
                      <w:sz w:val="18"/>
                      <w:szCs w:val="18"/>
                      <w:lang w:val="en-US" w:eastAsia="zh-CN"/>
                    </w:rPr>
                    <w:t>8.0</w:t>
                  </w:r>
                </w:p>
              </w:tc>
              <w:tc>
                <w:tcPr>
                  <w:tcW w:w="174" w:type="pct"/>
                  <w:tcBorders>
                    <w:tl2br w:val="nil"/>
                    <w:tr2bl w:val="nil"/>
                  </w:tcBorders>
                  <w:shd w:val="clear" w:color="auto" w:fill="auto"/>
                  <w:tcMar>
                    <w:top w:w="0" w:type="dxa"/>
                    <w:left w:w="0" w:type="dxa"/>
                    <w:bottom w:w="0" w:type="dxa"/>
                    <w:right w:w="0" w:type="dxa"/>
                  </w:tcMar>
                  <w:vAlign w:val="center"/>
                </w:tcPr>
                <w:p w14:paraId="3BDCAB4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ascii="Times New Roman" w:hAnsi="Times New Roman" w:eastAsia="宋体" w:cs="Times New Roman"/>
                      <w:color w:val="auto"/>
                      <w:sz w:val="18"/>
                      <w:szCs w:val="18"/>
                      <w:lang w:val="en-US" w:eastAsia="zh-CN"/>
                    </w:rPr>
                    <w:t>7.5</w:t>
                  </w:r>
                </w:p>
              </w:tc>
              <w:tc>
                <w:tcPr>
                  <w:tcW w:w="167" w:type="pct"/>
                  <w:tcBorders>
                    <w:tl2br w:val="nil"/>
                    <w:tr2bl w:val="nil"/>
                  </w:tcBorders>
                  <w:shd w:val="clear" w:color="auto" w:fill="auto"/>
                  <w:tcMar>
                    <w:top w:w="0" w:type="dxa"/>
                    <w:left w:w="0" w:type="dxa"/>
                    <w:bottom w:w="0" w:type="dxa"/>
                    <w:right w:w="0" w:type="dxa"/>
                  </w:tcMar>
                  <w:vAlign w:val="center"/>
                </w:tcPr>
                <w:p w14:paraId="457DFAE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33.15</w:t>
                  </w:r>
                </w:p>
              </w:tc>
              <w:tc>
                <w:tcPr>
                  <w:tcW w:w="167" w:type="pct"/>
                  <w:tcBorders>
                    <w:tl2br w:val="nil"/>
                    <w:tr2bl w:val="nil"/>
                  </w:tcBorders>
                  <w:shd w:val="clear" w:color="auto" w:fill="auto"/>
                  <w:tcMar>
                    <w:top w:w="0" w:type="dxa"/>
                    <w:left w:w="0" w:type="dxa"/>
                    <w:bottom w:w="0" w:type="dxa"/>
                    <w:right w:w="0" w:type="dxa"/>
                  </w:tcMar>
                  <w:vAlign w:val="center"/>
                </w:tcPr>
                <w:p w14:paraId="6DB6EFB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52.04</w:t>
                  </w:r>
                </w:p>
              </w:tc>
              <w:tc>
                <w:tcPr>
                  <w:tcW w:w="167" w:type="pct"/>
                  <w:tcBorders>
                    <w:tl2br w:val="nil"/>
                    <w:tr2bl w:val="nil"/>
                  </w:tcBorders>
                  <w:shd w:val="clear" w:color="auto" w:fill="auto"/>
                  <w:tcMar>
                    <w:top w:w="0" w:type="dxa"/>
                    <w:left w:w="0" w:type="dxa"/>
                    <w:bottom w:w="0" w:type="dxa"/>
                    <w:right w:w="0" w:type="dxa"/>
                  </w:tcMar>
                  <w:vAlign w:val="center"/>
                </w:tcPr>
                <w:p w14:paraId="2D32627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34.89</w:t>
                  </w:r>
                </w:p>
              </w:tc>
              <w:tc>
                <w:tcPr>
                  <w:tcW w:w="175" w:type="pct"/>
                  <w:tcBorders>
                    <w:tl2br w:val="nil"/>
                    <w:tr2bl w:val="nil"/>
                  </w:tcBorders>
                  <w:shd w:val="clear" w:color="auto" w:fill="auto"/>
                  <w:tcMar>
                    <w:top w:w="0" w:type="dxa"/>
                    <w:left w:w="0" w:type="dxa"/>
                    <w:bottom w:w="0" w:type="dxa"/>
                    <w:right w:w="0" w:type="dxa"/>
                  </w:tcMar>
                  <w:vAlign w:val="center"/>
                </w:tcPr>
                <w:p w14:paraId="00ADD99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color w:val="auto"/>
                      <w:sz w:val="15"/>
                      <w:szCs w:val="15"/>
                    </w:rPr>
                  </w:pPr>
                  <w:r>
                    <w:rPr>
                      <w:rFonts w:hint="eastAsia" w:cs="Times New Roman"/>
                      <w:color w:val="auto"/>
                      <w:sz w:val="18"/>
                      <w:szCs w:val="18"/>
                      <w:lang w:val="en-US" w:eastAsia="zh-CN"/>
                    </w:rPr>
                    <w:t>42.50</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0AF09574">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055D6CE0">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17FDE913">
                  <w:pPr>
                    <w:jc w:val="center"/>
                    <w:rPr>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C375FC5">
                  <w:pPr>
                    <w:jc w:val="center"/>
                    <w:rPr>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2893D18A">
                  <w:pPr>
                    <w:jc w:val="center"/>
                    <w:rPr>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439010D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13.15</w:t>
                  </w:r>
                </w:p>
              </w:tc>
              <w:tc>
                <w:tcPr>
                  <w:tcW w:w="171" w:type="pct"/>
                  <w:tcBorders>
                    <w:tl2br w:val="nil"/>
                    <w:tr2bl w:val="nil"/>
                  </w:tcBorders>
                  <w:shd w:val="clear" w:color="auto" w:fill="auto"/>
                  <w:tcMar>
                    <w:top w:w="0" w:type="dxa"/>
                    <w:left w:w="0" w:type="dxa"/>
                    <w:bottom w:w="0" w:type="dxa"/>
                    <w:right w:w="0" w:type="dxa"/>
                  </w:tcMar>
                  <w:vAlign w:val="center"/>
                </w:tcPr>
                <w:p w14:paraId="13C2DEBB">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32.04</w:t>
                  </w:r>
                </w:p>
              </w:tc>
              <w:tc>
                <w:tcPr>
                  <w:tcW w:w="172" w:type="pct"/>
                  <w:tcBorders>
                    <w:tl2br w:val="nil"/>
                    <w:tr2bl w:val="nil"/>
                  </w:tcBorders>
                  <w:shd w:val="clear" w:color="auto" w:fill="auto"/>
                  <w:tcMar>
                    <w:top w:w="0" w:type="dxa"/>
                    <w:left w:w="0" w:type="dxa"/>
                    <w:bottom w:w="0" w:type="dxa"/>
                    <w:right w:w="0" w:type="dxa"/>
                  </w:tcMar>
                  <w:vAlign w:val="center"/>
                </w:tcPr>
                <w:p w14:paraId="4FBAA03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14.89</w:t>
                  </w:r>
                </w:p>
              </w:tc>
              <w:tc>
                <w:tcPr>
                  <w:tcW w:w="172" w:type="pct"/>
                  <w:tcBorders>
                    <w:tl2br w:val="nil"/>
                    <w:tr2bl w:val="nil"/>
                  </w:tcBorders>
                  <w:shd w:val="clear" w:color="auto" w:fill="auto"/>
                  <w:tcMar>
                    <w:top w:w="0" w:type="dxa"/>
                    <w:left w:w="0" w:type="dxa"/>
                    <w:bottom w:w="0" w:type="dxa"/>
                    <w:right w:w="0" w:type="dxa"/>
                  </w:tcMar>
                  <w:vAlign w:val="center"/>
                </w:tcPr>
                <w:p w14:paraId="7A3EA13D">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color w:val="auto"/>
                      <w:sz w:val="15"/>
                      <w:szCs w:val="15"/>
                    </w:rPr>
                  </w:pPr>
                  <w:r>
                    <w:rPr>
                      <w:rFonts w:hint="eastAsia"/>
                      <w:color w:val="auto"/>
                      <w:sz w:val="18"/>
                      <w:szCs w:val="18"/>
                      <w:lang w:val="en-US" w:eastAsia="zh-CN"/>
                    </w:rPr>
                    <w:t>22.50</w:t>
                  </w:r>
                </w:p>
              </w:tc>
              <w:tc>
                <w:tcPr>
                  <w:tcW w:w="165" w:type="pct"/>
                  <w:tcBorders>
                    <w:tl2br w:val="nil"/>
                    <w:tr2bl w:val="nil"/>
                  </w:tcBorders>
                  <w:shd w:val="clear" w:color="auto" w:fill="auto"/>
                  <w:tcMar>
                    <w:top w:w="0" w:type="dxa"/>
                    <w:left w:w="0" w:type="dxa"/>
                    <w:bottom w:w="0" w:type="dxa"/>
                    <w:right w:w="0" w:type="dxa"/>
                  </w:tcMar>
                  <w:vAlign w:val="center"/>
                </w:tcPr>
                <w:p w14:paraId="59B2322C">
                  <w:pPr>
                    <w:adjustRightInd w:val="0"/>
                    <w:snapToGrid w:val="0"/>
                    <w:jc w:val="center"/>
                    <w:rPr>
                      <w:color w:val="auto"/>
                      <w:sz w:val="20"/>
                      <w:szCs w:val="20"/>
                    </w:rPr>
                  </w:pPr>
                  <w:r>
                    <w:rPr>
                      <w:color w:val="auto"/>
                      <w:sz w:val="20"/>
                      <w:szCs w:val="20"/>
                    </w:rPr>
                    <w:t>1</w:t>
                  </w:r>
                </w:p>
              </w:tc>
            </w:tr>
            <w:tr w14:paraId="3349F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1DBE91F6">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18</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378157B2">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3FC60940">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拉床</w:t>
                  </w:r>
                </w:p>
              </w:tc>
              <w:tc>
                <w:tcPr>
                  <w:tcW w:w="165" w:type="pct"/>
                  <w:tcBorders>
                    <w:tl2br w:val="nil"/>
                    <w:tr2bl w:val="nil"/>
                  </w:tcBorders>
                  <w:shd w:val="clear" w:color="auto" w:fill="auto"/>
                  <w:tcMar>
                    <w:top w:w="0" w:type="dxa"/>
                    <w:left w:w="0" w:type="dxa"/>
                    <w:bottom w:w="0" w:type="dxa"/>
                    <w:right w:w="0" w:type="dxa"/>
                  </w:tcMar>
                  <w:vAlign w:val="center"/>
                </w:tcPr>
                <w:p w14:paraId="3F02D0C9">
                  <w:pPr>
                    <w:keepNext w:val="0"/>
                    <w:keepLines w:val="0"/>
                    <w:widowControl/>
                    <w:suppressLineNumbers w:val="0"/>
                    <w:jc w:val="center"/>
                    <w:textAlignment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p>
              </w:tc>
              <w:tc>
                <w:tcPr>
                  <w:tcW w:w="223" w:type="pct"/>
                  <w:tcBorders>
                    <w:tl2br w:val="nil"/>
                    <w:tr2bl w:val="nil"/>
                  </w:tcBorders>
                  <w:shd w:val="clear" w:color="auto" w:fill="auto"/>
                  <w:tcMar>
                    <w:top w:w="0" w:type="dxa"/>
                    <w:left w:w="0" w:type="dxa"/>
                    <w:bottom w:w="0" w:type="dxa"/>
                    <w:right w:w="0" w:type="dxa"/>
                  </w:tcMar>
                  <w:vAlign w:val="center"/>
                </w:tcPr>
                <w:p w14:paraId="2A799D8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63CE367F">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07732AA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w:t>
                  </w:r>
                  <w:r>
                    <w:rPr>
                      <w:rFonts w:hint="eastAsia" w:ascii="Times New Roman" w:hAnsi="Times New Roman" w:eastAsia="宋体" w:cs="Times New Roman"/>
                      <w:color w:val="auto"/>
                      <w:sz w:val="18"/>
                      <w:szCs w:val="18"/>
                      <w:lang w:val="en-US" w:eastAsia="zh-CN"/>
                    </w:rPr>
                    <w:t>3</w:t>
                  </w:r>
                  <w:r>
                    <w:rPr>
                      <w:rFonts w:hint="default" w:ascii="Times New Roman" w:hAnsi="Times New Roman" w:eastAsia="宋体" w:cs="Times New Roman"/>
                      <w:color w:val="auto"/>
                      <w:sz w:val="18"/>
                      <w:szCs w:val="18"/>
                    </w:rPr>
                    <w:t>8.8</w:t>
                  </w:r>
                </w:p>
              </w:tc>
              <w:tc>
                <w:tcPr>
                  <w:tcW w:w="181" w:type="pct"/>
                  <w:tcBorders>
                    <w:tl2br w:val="nil"/>
                    <w:tr2bl w:val="nil"/>
                  </w:tcBorders>
                  <w:shd w:val="clear" w:color="auto" w:fill="auto"/>
                  <w:tcMar>
                    <w:top w:w="0" w:type="dxa"/>
                    <w:left w:w="0" w:type="dxa"/>
                    <w:bottom w:w="0" w:type="dxa"/>
                    <w:right w:w="0" w:type="dxa"/>
                  </w:tcMar>
                  <w:vAlign w:val="center"/>
                </w:tcPr>
                <w:p w14:paraId="29A6660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-1.6</w:t>
                  </w:r>
                </w:p>
              </w:tc>
              <w:tc>
                <w:tcPr>
                  <w:tcW w:w="143" w:type="pct"/>
                  <w:tcBorders>
                    <w:tl2br w:val="nil"/>
                    <w:tr2bl w:val="nil"/>
                  </w:tcBorders>
                  <w:shd w:val="clear" w:color="auto" w:fill="auto"/>
                  <w:tcMar>
                    <w:top w:w="0" w:type="dxa"/>
                    <w:left w:w="0" w:type="dxa"/>
                    <w:bottom w:w="0" w:type="dxa"/>
                    <w:right w:w="0" w:type="dxa"/>
                  </w:tcMar>
                  <w:vAlign w:val="center"/>
                </w:tcPr>
                <w:p w14:paraId="0CCA3D8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3E5EA47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7AAAC18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3.0</w:t>
                  </w:r>
                </w:p>
              </w:tc>
              <w:tc>
                <w:tcPr>
                  <w:tcW w:w="159" w:type="pct"/>
                  <w:tcBorders>
                    <w:tl2br w:val="nil"/>
                    <w:tr2bl w:val="nil"/>
                  </w:tcBorders>
                  <w:shd w:val="clear" w:color="auto" w:fill="auto"/>
                  <w:tcMar>
                    <w:top w:w="0" w:type="dxa"/>
                    <w:left w:w="0" w:type="dxa"/>
                    <w:bottom w:w="0" w:type="dxa"/>
                    <w:right w:w="0" w:type="dxa"/>
                  </w:tcMar>
                  <w:vAlign w:val="center"/>
                </w:tcPr>
                <w:p w14:paraId="11C496C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601C765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3.0</w:t>
                  </w:r>
                </w:p>
              </w:tc>
              <w:tc>
                <w:tcPr>
                  <w:tcW w:w="167" w:type="pct"/>
                  <w:tcBorders>
                    <w:tl2br w:val="nil"/>
                    <w:tr2bl w:val="nil"/>
                  </w:tcBorders>
                  <w:shd w:val="clear" w:color="auto" w:fill="auto"/>
                  <w:tcMar>
                    <w:top w:w="0" w:type="dxa"/>
                    <w:left w:w="0" w:type="dxa"/>
                    <w:bottom w:w="0" w:type="dxa"/>
                    <w:right w:w="0" w:type="dxa"/>
                  </w:tcMar>
                  <w:vAlign w:val="center"/>
                </w:tcPr>
                <w:p w14:paraId="1D8BC91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56.99</w:t>
                  </w:r>
                </w:p>
              </w:tc>
              <w:tc>
                <w:tcPr>
                  <w:tcW w:w="167" w:type="pct"/>
                  <w:tcBorders>
                    <w:tl2br w:val="nil"/>
                    <w:tr2bl w:val="nil"/>
                  </w:tcBorders>
                  <w:shd w:val="clear" w:color="auto" w:fill="auto"/>
                  <w:tcMar>
                    <w:top w:w="0" w:type="dxa"/>
                    <w:left w:w="0" w:type="dxa"/>
                    <w:bottom w:w="0" w:type="dxa"/>
                    <w:right w:w="0" w:type="dxa"/>
                  </w:tcMar>
                  <w:vAlign w:val="center"/>
                </w:tcPr>
                <w:p w14:paraId="663689C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53.47</w:t>
                  </w:r>
                </w:p>
              </w:tc>
              <w:tc>
                <w:tcPr>
                  <w:tcW w:w="167" w:type="pct"/>
                  <w:tcBorders>
                    <w:tl2br w:val="nil"/>
                    <w:tr2bl w:val="nil"/>
                  </w:tcBorders>
                  <w:shd w:val="clear" w:color="auto" w:fill="auto"/>
                  <w:tcMar>
                    <w:top w:w="0" w:type="dxa"/>
                    <w:left w:w="0" w:type="dxa"/>
                    <w:bottom w:w="0" w:type="dxa"/>
                    <w:right w:w="0" w:type="dxa"/>
                  </w:tcMar>
                  <w:vAlign w:val="center"/>
                </w:tcPr>
                <w:p w14:paraId="2889DE6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56.99</w:t>
                  </w:r>
                </w:p>
              </w:tc>
              <w:tc>
                <w:tcPr>
                  <w:tcW w:w="175" w:type="pct"/>
                  <w:tcBorders>
                    <w:tl2br w:val="nil"/>
                    <w:tr2bl w:val="nil"/>
                  </w:tcBorders>
                  <w:shd w:val="clear" w:color="auto" w:fill="auto"/>
                  <w:tcMar>
                    <w:top w:w="0" w:type="dxa"/>
                    <w:left w:w="0" w:type="dxa"/>
                    <w:bottom w:w="0" w:type="dxa"/>
                    <w:right w:w="0" w:type="dxa"/>
                  </w:tcMar>
                  <w:vAlign w:val="center"/>
                </w:tcPr>
                <w:p w14:paraId="73DCBA4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53.47</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69E88F37">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55360E3F">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3FBB7BD">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BF6A0DD">
                  <w:pPr>
                    <w:jc w:val="center"/>
                    <w:rPr>
                      <w:rFonts w:hint="eastAsia"/>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7D1177A2">
                  <w:pPr>
                    <w:jc w:val="center"/>
                    <w:rPr>
                      <w:rFonts w:hint="eastAsia"/>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1EF969D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36.99</w:t>
                  </w:r>
                </w:p>
              </w:tc>
              <w:tc>
                <w:tcPr>
                  <w:tcW w:w="171" w:type="pct"/>
                  <w:tcBorders>
                    <w:tl2br w:val="nil"/>
                    <w:tr2bl w:val="nil"/>
                  </w:tcBorders>
                  <w:shd w:val="clear" w:color="auto" w:fill="auto"/>
                  <w:tcMar>
                    <w:top w:w="0" w:type="dxa"/>
                    <w:left w:w="0" w:type="dxa"/>
                    <w:bottom w:w="0" w:type="dxa"/>
                    <w:right w:w="0" w:type="dxa"/>
                  </w:tcMar>
                  <w:vAlign w:val="center"/>
                </w:tcPr>
                <w:p w14:paraId="1CD62E0C">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33.47</w:t>
                  </w:r>
                </w:p>
              </w:tc>
              <w:tc>
                <w:tcPr>
                  <w:tcW w:w="172" w:type="pct"/>
                  <w:tcBorders>
                    <w:tl2br w:val="nil"/>
                    <w:tr2bl w:val="nil"/>
                  </w:tcBorders>
                  <w:shd w:val="clear" w:color="auto" w:fill="auto"/>
                  <w:tcMar>
                    <w:top w:w="0" w:type="dxa"/>
                    <w:left w:w="0" w:type="dxa"/>
                    <w:bottom w:w="0" w:type="dxa"/>
                    <w:right w:w="0" w:type="dxa"/>
                  </w:tcMar>
                  <w:vAlign w:val="center"/>
                </w:tcPr>
                <w:p w14:paraId="4C5C50C7">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36.99</w:t>
                  </w:r>
                </w:p>
              </w:tc>
              <w:tc>
                <w:tcPr>
                  <w:tcW w:w="172" w:type="pct"/>
                  <w:tcBorders>
                    <w:tl2br w:val="nil"/>
                    <w:tr2bl w:val="nil"/>
                  </w:tcBorders>
                  <w:shd w:val="clear" w:color="auto" w:fill="auto"/>
                  <w:tcMar>
                    <w:top w:w="0" w:type="dxa"/>
                    <w:left w:w="0" w:type="dxa"/>
                    <w:bottom w:w="0" w:type="dxa"/>
                    <w:right w:w="0" w:type="dxa"/>
                  </w:tcMar>
                  <w:vAlign w:val="center"/>
                </w:tcPr>
                <w:p w14:paraId="0E676D9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33.47</w:t>
                  </w:r>
                </w:p>
              </w:tc>
              <w:tc>
                <w:tcPr>
                  <w:tcW w:w="165" w:type="pct"/>
                  <w:tcBorders>
                    <w:tl2br w:val="nil"/>
                    <w:tr2bl w:val="nil"/>
                  </w:tcBorders>
                  <w:shd w:val="clear" w:color="auto" w:fill="auto"/>
                  <w:tcMar>
                    <w:top w:w="0" w:type="dxa"/>
                    <w:left w:w="0" w:type="dxa"/>
                    <w:bottom w:w="0" w:type="dxa"/>
                    <w:right w:w="0" w:type="dxa"/>
                  </w:tcMar>
                  <w:vAlign w:val="center"/>
                </w:tcPr>
                <w:p w14:paraId="1D3EF66D">
                  <w:pPr>
                    <w:adjustRightInd w:val="0"/>
                    <w:snapToGrid w:val="0"/>
                    <w:jc w:val="center"/>
                    <w:rPr>
                      <w:rFonts w:hint="eastAsia" w:eastAsia="宋体"/>
                      <w:color w:val="auto"/>
                      <w:sz w:val="20"/>
                      <w:szCs w:val="20"/>
                      <w:lang w:val="en-US" w:eastAsia="zh-CN"/>
                    </w:rPr>
                  </w:pPr>
                  <w:r>
                    <w:rPr>
                      <w:rFonts w:hint="eastAsia"/>
                      <w:color w:val="auto"/>
                      <w:sz w:val="20"/>
                      <w:szCs w:val="20"/>
                      <w:lang w:val="en-US" w:eastAsia="zh-CN"/>
                    </w:rPr>
                    <w:t>1</w:t>
                  </w:r>
                </w:p>
              </w:tc>
            </w:tr>
            <w:tr w14:paraId="16F18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13FFF2A3">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19</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6C209D9D">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3B463C77">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火花机</w:t>
                  </w:r>
                </w:p>
              </w:tc>
              <w:tc>
                <w:tcPr>
                  <w:tcW w:w="165" w:type="pct"/>
                  <w:tcBorders>
                    <w:tl2br w:val="nil"/>
                    <w:tr2bl w:val="nil"/>
                  </w:tcBorders>
                  <w:shd w:val="clear" w:color="auto" w:fill="auto"/>
                  <w:tcMar>
                    <w:top w:w="0" w:type="dxa"/>
                    <w:left w:w="0" w:type="dxa"/>
                    <w:bottom w:w="0" w:type="dxa"/>
                    <w:right w:w="0" w:type="dxa"/>
                  </w:tcMar>
                  <w:vAlign w:val="center"/>
                </w:tcPr>
                <w:p w14:paraId="7EA61F7C">
                  <w:pPr>
                    <w:keepNext w:val="0"/>
                    <w:keepLines w:val="0"/>
                    <w:widowControl/>
                    <w:suppressLineNumbers w:val="0"/>
                    <w:jc w:val="center"/>
                    <w:textAlignment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w:t>
                  </w:r>
                </w:p>
              </w:tc>
              <w:tc>
                <w:tcPr>
                  <w:tcW w:w="223" w:type="pct"/>
                  <w:tcBorders>
                    <w:tl2br w:val="nil"/>
                    <w:tr2bl w:val="nil"/>
                  </w:tcBorders>
                  <w:shd w:val="clear" w:color="auto" w:fill="auto"/>
                  <w:tcMar>
                    <w:top w:w="0" w:type="dxa"/>
                    <w:left w:w="0" w:type="dxa"/>
                    <w:bottom w:w="0" w:type="dxa"/>
                    <w:right w:w="0" w:type="dxa"/>
                  </w:tcMar>
                  <w:vAlign w:val="center"/>
                </w:tcPr>
                <w:p w14:paraId="35B90E8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2E2A5508">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112B72D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52.3</w:t>
                  </w:r>
                </w:p>
              </w:tc>
              <w:tc>
                <w:tcPr>
                  <w:tcW w:w="181" w:type="pct"/>
                  <w:tcBorders>
                    <w:tl2br w:val="nil"/>
                    <w:tr2bl w:val="nil"/>
                  </w:tcBorders>
                  <w:shd w:val="clear" w:color="auto" w:fill="auto"/>
                  <w:tcMar>
                    <w:top w:w="0" w:type="dxa"/>
                    <w:left w:w="0" w:type="dxa"/>
                    <w:bottom w:w="0" w:type="dxa"/>
                    <w:right w:w="0" w:type="dxa"/>
                  </w:tcMar>
                  <w:vAlign w:val="center"/>
                </w:tcPr>
                <w:p w14:paraId="1CFA391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i w:val="0"/>
                      <w:iCs w:val="0"/>
                      <w:color w:val="auto"/>
                      <w:kern w:val="2"/>
                      <w:sz w:val="15"/>
                      <w:szCs w:val="15"/>
                      <w:highlight w:val="none"/>
                      <w:u w:val="none"/>
                      <w:lang w:val="en-US" w:eastAsia="zh-CN" w:bidi="ar-SA"/>
                    </w:rPr>
                  </w:pPr>
                  <w:r>
                    <w:rPr>
                      <w:rFonts w:hint="eastAsia" w:ascii="Times New Roman" w:hAnsi="Times New Roman" w:eastAsia="宋体" w:cs="Times New Roman"/>
                      <w:color w:val="auto"/>
                      <w:sz w:val="18"/>
                      <w:szCs w:val="18"/>
                      <w:lang w:val="en-US" w:eastAsia="zh-CN"/>
                    </w:rPr>
                    <w:t>5</w:t>
                  </w:r>
                  <w:r>
                    <w:rPr>
                      <w:rFonts w:hint="default" w:ascii="Times New Roman" w:hAnsi="Times New Roman" w:eastAsia="宋体" w:cs="Times New Roman"/>
                      <w:color w:val="auto"/>
                      <w:sz w:val="18"/>
                      <w:szCs w:val="18"/>
                    </w:rPr>
                    <w:t>2.4</w:t>
                  </w:r>
                </w:p>
              </w:tc>
              <w:tc>
                <w:tcPr>
                  <w:tcW w:w="143" w:type="pct"/>
                  <w:tcBorders>
                    <w:tl2br w:val="nil"/>
                    <w:tr2bl w:val="nil"/>
                  </w:tcBorders>
                  <w:shd w:val="clear" w:color="auto" w:fill="auto"/>
                  <w:tcMar>
                    <w:top w:w="0" w:type="dxa"/>
                    <w:left w:w="0" w:type="dxa"/>
                    <w:bottom w:w="0" w:type="dxa"/>
                    <w:right w:w="0" w:type="dxa"/>
                  </w:tcMar>
                  <w:vAlign w:val="center"/>
                </w:tcPr>
                <w:p w14:paraId="4D0CBAD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4988BDE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sz w:val="18"/>
                      <w:szCs w:val="18"/>
                      <w:lang w:val="en-US" w:eastAsia="zh-CN"/>
                    </w:rPr>
                    <w:t>0</w:t>
                  </w:r>
                </w:p>
              </w:tc>
              <w:tc>
                <w:tcPr>
                  <w:tcW w:w="189" w:type="pct"/>
                  <w:tcBorders>
                    <w:tl2br w:val="nil"/>
                    <w:tr2bl w:val="nil"/>
                  </w:tcBorders>
                  <w:shd w:val="clear" w:color="auto" w:fill="auto"/>
                  <w:tcMar>
                    <w:top w:w="0" w:type="dxa"/>
                    <w:left w:w="0" w:type="dxa"/>
                    <w:bottom w:w="0" w:type="dxa"/>
                    <w:right w:w="0" w:type="dxa"/>
                  </w:tcMar>
                  <w:vAlign w:val="center"/>
                </w:tcPr>
                <w:p w14:paraId="6BF6E99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sz w:val="18"/>
                      <w:szCs w:val="18"/>
                      <w:lang w:val="en-US" w:eastAsia="zh-CN"/>
                    </w:rPr>
                    <w:t>35.0</w:t>
                  </w:r>
                </w:p>
              </w:tc>
              <w:tc>
                <w:tcPr>
                  <w:tcW w:w="159" w:type="pct"/>
                  <w:tcBorders>
                    <w:tl2br w:val="nil"/>
                    <w:tr2bl w:val="nil"/>
                  </w:tcBorders>
                  <w:shd w:val="clear" w:color="auto" w:fill="auto"/>
                  <w:tcMar>
                    <w:top w:w="0" w:type="dxa"/>
                    <w:left w:w="0" w:type="dxa"/>
                    <w:bottom w:w="0" w:type="dxa"/>
                    <w:right w:w="0" w:type="dxa"/>
                  </w:tcMar>
                  <w:vAlign w:val="center"/>
                </w:tcPr>
                <w:p w14:paraId="13CC7A7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sz w:val="18"/>
                      <w:szCs w:val="18"/>
                      <w:lang w:val="en-US" w:eastAsia="zh-CN"/>
                    </w:rPr>
                    <w:t>110</w:t>
                  </w:r>
                </w:p>
              </w:tc>
              <w:tc>
                <w:tcPr>
                  <w:tcW w:w="174" w:type="pct"/>
                  <w:tcBorders>
                    <w:tl2br w:val="nil"/>
                    <w:tr2bl w:val="nil"/>
                  </w:tcBorders>
                  <w:shd w:val="clear" w:color="auto" w:fill="auto"/>
                  <w:tcMar>
                    <w:top w:w="0" w:type="dxa"/>
                    <w:left w:w="0" w:type="dxa"/>
                    <w:bottom w:w="0" w:type="dxa"/>
                    <w:right w:w="0" w:type="dxa"/>
                  </w:tcMar>
                  <w:vAlign w:val="center"/>
                </w:tcPr>
                <w:p w14:paraId="205F32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sz w:val="18"/>
                      <w:szCs w:val="18"/>
                      <w:lang w:val="en-US" w:eastAsia="zh-CN"/>
                    </w:rPr>
                    <w:t>65.5</w:t>
                  </w:r>
                </w:p>
              </w:tc>
              <w:tc>
                <w:tcPr>
                  <w:tcW w:w="167" w:type="pct"/>
                  <w:tcBorders>
                    <w:tl2br w:val="nil"/>
                    <w:tr2bl w:val="nil"/>
                  </w:tcBorders>
                  <w:shd w:val="clear" w:color="auto" w:fill="auto"/>
                  <w:tcMar>
                    <w:top w:w="0" w:type="dxa"/>
                    <w:left w:w="0" w:type="dxa"/>
                    <w:bottom w:w="0" w:type="dxa"/>
                    <w:right w:w="0" w:type="dxa"/>
                  </w:tcMar>
                  <w:vAlign w:val="center"/>
                </w:tcPr>
                <w:p w14:paraId="0A7ACF1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60</w:t>
                  </w:r>
                </w:p>
              </w:tc>
              <w:tc>
                <w:tcPr>
                  <w:tcW w:w="167" w:type="pct"/>
                  <w:tcBorders>
                    <w:tl2br w:val="nil"/>
                    <w:tr2bl w:val="nil"/>
                  </w:tcBorders>
                  <w:shd w:val="clear" w:color="auto" w:fill="auto"/>
                  <w:tcMar>
                    <w:top w:w="0" w:type="dxa"/>
                    <w:left w:w="0" w:type="dxa"/>
                    <w:bottom w:w="0" w:type="dxa"/>
                    <w:right w:w="0" w:type="dxa"/>
                  </w:tcMar>
                  <w:vAlign w:val="center"/>
                </w:tcPr>
                <w:p w14:paraId="4532561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29.12</w:t>
                  </w:r>
                </w:p>
              </w:tc>
              <w:tc>
                <w:tcPr>
                  <w:tcW w:w="167" w:type="pct"/>
                  <w:tcBorders>
                    <w:tl2br w:val="nil"/>
                    <w:tr2bl w:val="nil"/>
                  </w:tcBorders>
                  <w:shd w:val="clear" w:color="auto" w:fill="auto"/>
                  <w:tcMar>
                    <w:top w:w="0" w:type="dxa"/>
                    <w:left w:w="0" w:type="dxa"/>
                    <w:bottom w:w="0" w:type="dxa"/>
                    <w:right w:w="0" w:type="dxa"/>
                  </w:tcMar>
                  <w:vAlign w:val="center"/>
                </w:tcPr>
                <w:p w14:paraId="17AF539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19.17</w:t>
                  </w:r>
                </w:p>
              </w:tc>
              <w:tc>
                <w:tcPr>
                  <w:tcW w:w="175" w:type="pct"/>
                  <w:tcBorders>
                    <w:tl2br w:val="nil"/>
                    <w:tr2bl w:val="nil"/>
                  </w:tcBorders>
                  <w:shd w:val="clear" w:color="auto" w:fill="auto"/>
                  <w:tcMar>
                    <w:top w:w="0" w:type="dxa"/>
                    <w:left w:w="0" w:type="dxa"/>
                    <w:bottom w:w="0" w:type="dxa"/>
                    <w:right w:w="0" w:type="dxa"/>
                  </w:tcMar>
                  <w:vAlign w:val="center"/>
                </w:tcPr>
                <w:p w14:paraId="7226760C">
                  <w:pPr>
                    <w:keepNext w:val="0"/>
                    <w:keepLines w:val="0"/>
                    <w:widowControl/>
                    <w:suppressLineNumbers w:val="0"/>
                    <w:spacing w:before="0" w:beforeAutospacing="0" w:after="0" w:afterAutospacing="0"/>
                    <w:ind w:left="0" w:leftChars="0" w:right="0" w:rightChars="0"/>
                    <w:jc w:val="center"/>
                    <w:textAlignment w:val="center"/>
                    <w:rPr>
                      <w:rFonts w:hint="eastAsia"/>
                      <w:color w:val="auto"/>
                      <w:sz w:val="15"/>
                      <w:szCs w:val="15"/>
                    </w:rPr>
                  </w:pPr>
                  <w:r>
                    <w:rPr>
                      <w:rFonts w:hint="eastAsia"/>
                      <w:color w:val="auto"/>
                      <w:kern w:val="0"/>
                      <w:sz w:val="18"/>
                      <w:szCs w:val="18"/>
                      <w:lang w:val="en-US" w:eastAsia="zh-CN" w:bidi="ar"/>
                    </w:rPr>
                    <w:t>23.68</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45D7D115">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733E1AA6">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5A31C8F0">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03E0145">
                  <w:pPr>
                    <w:jc w:val="center"/>
                    <w:rPr>
                      <w:rFonts w:hint="eastAsia"/>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5E9C451E">
                  <w:pPr>
                    <w:jc w:val="center"/>
                    <w:rPr>
                      <w:rFonts w:hint="eastAsia"/>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009986E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40.00</w:t>
                  </w:r>
                </w:p>
              </w:tc>
              <w:tc>
                <w:tcPr>
                  <w:tcW w:w="171" w:type="pct"/>
                  <w:tcBorders>
                    <w:tl2br w:val="nil"/>
                    <w:tr2bl w:val="nil"/>
                  </w:tcBorders>
                  <w:shd w:val="clear" w:color="auto" w:fill="auto"/>
                  <w:tcMar>
                    <w:top w:w="0" w:type="dxa"/>
                    <w:left w:w="0" w:type="dxa"/>
                    <w:bottom w:w="0" w:type="dxa"/>
                    <w:right w:w="0" w:type="dxa"/>
                  </w:tcMar>
                  <w:vAlign w:val="center"/>
                </w:tcPr>
                <w:p w14:paraId="5E8D0E2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9.12</w:t>
                  </w:r>
                </w:p>
              </w:tc>
              <w:tc>
                <w:tcPr>
                  <w:tcW w:w="172" w:type="pct"/>
                  <w:tcBorders>
                    <w:tl2br w:val="nil"/>
                    <w:tr2bl w:val="nil"/>
                  </w:tcBorders>
                  <w:shd w:val="clear" w:color="auto" w:fill="auto"/>
                  <w:tcMar>
                    <w:top w:w="0" w:type="dxa"/>
                    <w:left w:w="0" w:type="dxa"/>
                    <w:bottom w:w="0" w:type="dxa"/>
                    <w:right w:w="0" w:type="dxa"/>
                  </w:tcMar>
                  <w:vAlign w:val="center"/>
                </w:tcPr>
                <w:p w14:paraId="38F11326">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0</w:t>
                  </w:r>
                </w:p>
              </w:tc>
              <w:tc>
                <w:tcPr>
                  <w:tcW w:w="172" w:type="pct"/>
                  <w:tcBorders>
                    <w:tl2br w:val="nil"/>
                    <w:tr2bl w:val="nil"/>
                  </w:tcBorders>
                  <w:shd w:val="clear" w:color="auto" w:fill="auto"/>
                  <w:tcMar>
                    <w:top w:w="0" w:type="dxa"/>
                    <w:left w:w="0" w:type="dxa"/>
                    <w:bottom w:w="0" w:type="dxa"/>
                    <w:right w:w="0" w:type="dxa"/>
                  </w:tcMar>
                  <w:vAlign w:val="center"/>
                </w:tcPr>
                <w:p w14:paraId="0077AD5E">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3.68</w:t>
                  </w:r>
                </w:p>
              </w:tc>
              <w:tc>
                <w:tcPr>
                  <w:tcW w:w="165" w:type="pct"/>
                  <w:tcBorders>
                    <w:tl2br w:val="nil"/>
                    <w:tr2bl w:val="nil"/>
                  </w:tcBorders>
                  <w:shd w:val="clear" w:color="auto" w:fill="auto"/>
                  <w:tcMar>
                    <w:top w:w="0" w:type="dxa"/>
                    <w:left w:w="0" w:type="dxa"/>
                    <w:bottom w:w="0" w:type="dxa"/>
                    <w:right w:w="0" w:type="dxa"/>
                  </w:tcMar>
                  <w:vAlign w:val="center"/>
                </w:tcPr>
                <w:p w14:paraId="2E54C808">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1</w:t>
                  </w:r>
                </w:p>
              </w:tc>
            </w:tr>
            <w:tr w14:paraId="5963E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3ADF1742">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20</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2B48CFA6">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7A309D29">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倒角机</w:t>
                  </w:r>
                </w:p>
              </w:tc>
              <w:tc>
                <w:tcPr>
                  <w:tcW w:w="165" w:type="pct"/>
                  <w:tcBorders>
                    <w:tl2br w:val="nil"/>
                    <w:tr2bl w:val="nil"/>
                  </w:tcBorders>
                  <w:shd w:val="clear" w:color="auto" w:fill="auto"/>
                  <w:tcMar>
                    <w:top w:w="0" w:type="dxa"/>
                    <w:left w:w="0" w:type="dxa"/>
                    <w:bottom w:w="0" w:type="dxa"/>
                    <w:right w:w="0" w:type="dxa"/>
                  </w:tcMar>
                  <w:vAlign w:val="center"/>
                </w:tcPr>
                <w:p w14:paraId="148A21D8">
                  <w:pPr>
                    <w:keepNext w:val="0"/>
                    <w:keepLines w:val="0"/>
                    <w:widowControl/>
                    <w:suppressLineNumbers w:val="0"/>
                    <w:jc w:val="center"/>
                    <w:textAlignment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w:t>
                  </w:r>
                </w:p>
              </w:tc>
              <w:tc>
                <w:tcPr>
                  <w:tcW w:w="223" w:type="pct"/>
                  <w:tcBorders>
                    <w:tl2br w:val="nil"/>
                    <w:tr2bl w:val="nil"/>
                  </w:tcBorders>
                  <w:shd w:val="clear" w:color="auto" w:fill="auto"/>
                  <w:tcMar>
                    <w:top w:w="0" w:type="dxa"/>
                    <w:left w:w="0" w:type="dxa"/>
                    <w:bottom w:w="0" w:type="dxa"/>
                    <w:right w:w="0" w:type="dxa"/>
                  </w:tcMar>
                  <w:vAlign w:val="center"/>
                </w:tcPr>
                <w:p w14:paraId="40EC215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41B303FD">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31AF8B6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eastAsia" w:ascii="Times New Roman" w:hAnsi="Times New Roman" w:eastAsia="宋体" w:cs="Times New Roman"/>
                      <w:color w:val="auto"/>
                      <w:kern w:val="2"/>
                      <w:sz w:val="18"/>
                      <w:szCs w:val="18"/>
                      <w:lang w:val="en-US" w:eastAsia="zh-CN" w:bidi="ar-SA"/>
                    </w:rPr>
                    <w:t>20.8</w:t>
                  </w:r>
                </w:p>
              </w:tc>
              <w:tc>
                <w:tcPr>
                  <w:tcW w:w="181" w:type="pct"/>
                  <w:tcBorders>
                    <w:tl2br w:val="nil"/>
                    <w:tr2bl w:val="nil"/>
                  </w:tcBorders>
                  <w:shd w:val="clear" w:color="auto" w:fill="auto"/>
                  <w:tcMar>
                    <w:top w:w="0" w:type="dxa"/>
                    <w:left w:w="0" w:type="dxa"/>
                    <w:bottom w:w="0" w:type="dxa"/>
                    <w:right w:w="0" w:type="dxa"/>
                  </w:tcMar>
                  <w:vAlign w:val="center"/>
                </w:tcPr>
                <w:p w14:paraId="3BC1607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i w:val="0"/>
                      <w:iCs w:val="0"/>
                      <w:color w:val="auto"/>
                      <w:kern w:val="2"/>
                      <w:sz w:val="15"/>
                      <w:szCs w:val="15"/>
                      <w:highlight w:val="none"/>
                      <w:u w:val="none"/>
                      <w:lang w:val="en-US" w:eastAsia="zh-CN" w:bidi="ar-SA"/>
                    </w:rPr>
                  </w:pPr>
                  <w:r>
                    <w:rPr>
                      <w:rFonts w:hint="eastAsia" w:ascii="Times New Roman" w:hAnsi="Times New Roman" w:eastAsia="宋体" w:cs="Times New Roman"/>
                      <w:color w:val="auto"/>
                      <w:sz w:val="18"/>
                      <w:szCs w:val="18"/>
                      <w:lang w:val="en-US" w:eastAsia="zh-CN"/>
                    </w:rPr>
                    <w:t>-</w:t>
                  </w:r>
                  <w:r>
                    <w:rPr>
                      <w:rFonts w:hint="default" w:ascii="Times New Roman" w:hAnsi="Times New Roman" w:eastAsia="宋体" w:cs="Times New Roman"/>
                      <w:color w:val="auto"/>
                      <w:sz w:val="18"/>
                      <w:szCs w:val="18"/>
                    </w:rPr>
                    <w:t>17.2</w:t>
                  </w:r>
                </w:p>
              </w:tc>
              <w:tc>
                <w:tcPr>
                  <w:tcW w:w="143" w:type="pct"/>
                  <w:tcBorders>
                    <w:tl2br w:val="nil"/>
                    <w:tr2bl w:val="nil"/>
                  </w:tcBorders>
                  <w:shd w:val="clear" w:color="auto" w:fill="auto"/>
                  <w:tcMar>
                    <w:top w:w="0" w:type="dxa"/>
                    <w:left w:w="0" w:type="dxa"/>
                    <w:bottom w:w="0" w:type="dxa"/>
                    <w:right w:w="0" w:type="dxa"/>
                  </w:tcMar>
                  <w:vAlign w:val="center"/>
                </w:tcPr>
                <w:p w14:paraId="280CC28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2B13158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383CDB5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2328764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456D1F9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3F9B02E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56.9</w:t>
                  </w:r>
                </w:p>
              </w:tc>
              <w:tc>
                <w:tcPr>
                  <w:tcW w:w="167" w:type="pct"/>
                  <w:tcBorders>
                    <w:tl2br w:val="nil"/>
                    <w:tr2bl w:val="nil"/>
                  </w:tcBorders>
                  <w:shd w:val="clear" w:color="auto" w:fill="auto"/>
                  <w:tcMar>
                    <w:top w:w="0" w:type="dxa"/>
                    <w:left w:w="0" w:type="dxa"/>
                    <w:bottom w:w="0" w:type="dxa"/>
                    <w:right w:w="0" w:type="dxa"/>
                  </w:tcMar>
                  <w:vAlign w:val="center"/>
                </w:tcPr>
                <w:p w14:paraId="5F342B8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olor w:val="auto"/>
                      <w:sz w:val="18"/>
                      <w:szCs w:val="18"/>
                      <w:lang w:val="en-US" w:eastAsia="zh-CN"/>
                    </w:rPr>
                    <w:t>63.01</w:t>
                  </w:r>
                </w:p>
              </w:tc>
              <w:tc>
                <w:tcPr>
                  <w:tcW w:w="167" w:type="pct"/>
                  <w:tcBorders>
                    <w:tl2br w:val="nil"/>
                    <w:tr2bl w:val="nil"/>
                  </w:tcBorders>
                  <w:shd w:val="clear" w:color="auto" w:fill="auto"/>
                  <w:tcMar>
                    <w:top w:w="0" w:type="dxa"/>
                    <w:left w:w="0" w:type="dxa"/>
                    <w:bottom w:w="0" w:type="dxa"/>
                    <w:right w:w="0" w:type="dxa"/>
                  </w:tcMar>
                  <w:vAlign w:val="center"/>
                </w:tcPr>
                <w:p w14:paraId="7E64EF1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s="Times New Roman"/>
                      <w:color w:val="auto"/>
                      <w:kern w:val="2"/>
                      <w:sz w:val="18"/>
                      <w:szCs w:val="18"/>
                      <w:lang w:val="en-US" w:eastAsia="zh-CN" w:bidi="ar-SA"/>
                    </w:rPr>
                    <w:t>56.9</w:t>
                  </w:r>
                </w:p>
              </w:tc>
              <w:tc>
                <w:tcPr>
                  <w:tcW w:w="175" w:type="pct"/>
                  <w:tcBorders>
                    <w:tl2br w:val="nil"/>
                    <w:tr2bl w:val="nil"/>
                  </w:tcBorders>
                  <w:shd w:val="clear" w:color="auto" w:fill="auto"/>
                  <w:tcMar>
                    <w:top w:w="0" w:type="dxa"/>
                    <w:left w:w="0" w:type="dxa"/>
                    <w:bottom w:w="0" w:type="dxa"/>
                    <w:right w:w="0" w:type="dxa"/>
                  </w:tcMar>
                  <w:vAlign w:val="center"/>
                </w:tcPr>
                <w:p w14:paraId="5B8D09B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color w:val="auto"/>
                      <w:sz w:val="18"/>
                      <w:szCs w:val="18"/>
                      <w:lang w:val="en-US" w:eastAsia="zh-CN"/>
                    </w:rPr>
                    <w:t>63.01</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4E231FC3">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0944B578">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020DFC7D">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370C7E39">
                  <w:pPr>
                    <w:jc w:val="center"/>
                    <w:rPr>
                      <w:rFonts w:hint="eastAsia"/>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7D1E5FED">
                  <w:pPr>
                    <w:jc w:val="center"/>
                    <w:rPr>
                      <w:rFonts w:hint="eastAsia"/>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7231EAC9">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36.9</w:t>
                  </w:r>
                </w:p>
              </w:tc>
              <w:tc>
                <w:tcPr>
                  <w:tcW w:w="171" w:type="pct"/>
                  <w:tcBorders>
                    <w:tl2br w:val="nil"/>
                    <w:tr2bl w:val="nil"/>
                  </w:tcBorders>
                  <w:shd w:val="clear" w:color="auto" w:fill="auto"/>
                  <w:tcMar>
                    <w:top w:w="0" w:type="dxa"/>
                    <w:left w:w="0" w:type="dxa"/>
                    <w:bottom w:w="0" w:type="dxa"/>
                    <w:right w:w="0" w:type="dxa"/>
                  </w:tcMar>
                  <w:vAlign w:val="center"/>
                </w:tcPr>
                <w:p w14:paraId="1FCBBF7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43.01</w:t>
                  </w:r>
                </w:p>
              </w:tc>
              <w:tc>
                <w:tcPr>
                  <w:tcW w:w="172" w:type="pct"/>
                  <w:tcBorders>
                    <w:tl2br w:val="nil"/>
                    <w:tr2bl w:val="nil"/>
                  </w:tcBorders>
                  <w:shd w:val="clear" w:color="auto" w:fill="auto"/>
                  <w:tcMar>
                    <w:top w:w="0" w:type="dxa"/>
                    <w:left w:w="0" w:type="dxa"/>
                    <w:bottom w:w="0" w:type="dxa"/>
                    <w:right w:w="0" w:type="dxa"/>
                  </w:tcMar>
                  <w:vAlign w:val="center"/>
                </w:tcPr>
                <w:p w14:paraId="0BAD68E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36.9</w:t>
                  </w:r>
                </w:p>
              </w:tc>
              <w:tc>
                <w:tcPr>
                  <w:tcW w:w="172" w:type="pct"/>
                  <w:tcBorders>
                    <w:tl2br w:val="nil"/>
                    <w:tr2bl w:val="nil"/>
                  </w:tcBorders>
                  <w:shd w:val="clear" w:color="auto" w:fill="auto"/>
                  <w:tcMar>
                    <w:top w:w="0" w:type="dxa"/>
                    <w:left w:w="0" w:type="dxa"/>
                    <w:bottom w:w="0" w:type="dxa"/>
                    <w:right w:w="0" w:type="dxa"/>
                  </w:tcMar>
                  <w:vAlign w:val="center"/>
                </w:tcPr>
                <w:p w14:paraId="20EEDB89">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43.01</w:t>
                  </w:r>
                </w:p>
              </w:tc>
              <w:tc>
                <w:tcPr>
                  <w:tcW w:w="165" w:type="pct"/>
                  <w:tcBorders>
                    <w:tl2br w:val="nil"/>
                    <w:tr2bl w:val="nil"/>
                  </w:tcBorders>
                  <w:shd w:val="clear" w:color="auto" w:fill="auto"/>
                  <w:tcMar>
                    <w:top w:w="0" w:type="dxa"/>
                    <w:left w:w="0" w:type="dxa"/>
                    <w:bottom w:w="0" w:type="dxa"/>
                    <w:right w:w="0" w:type="dxa"/>
                  </w:tcMar>
                  <w:vAlign w:val="center"/>
                </w:tcPr>
                <w:p w14:paraId="78949719">
                  <w:pPr>
                    <w:adjustRightInd w:val="0"/>
                    <w:snapToGrid w:val="0"/>
                    <w:jc w:val="center"/>
                    <w:rPr>
                      <w:rFonts w:hint="eastAsia" w:eastAsia="宋体"/>
                      <w:color w:val="auto"/>
                      <w:sz w:val="20"/>
                      <w:szCs w:val="20"/>
                      <w:lang w:val="en-US" w:eastAsia="zh-CN"/>
                    </w:rPr>
                  </w:pPr>
                  <w:r>
                    <w:rPr>
                      <w:rFonts w:hint="eastAsia"/>
                      <w:color w:val="auto"/>
                      <w:sz w:val="20"/>
                      <w:szCs w:val="20"/>
                      <w:lang w:val="en-US" w:eastAsia="zh-CN"/>
                    </w:rPr>
                    <w:t>1</w:t>
                  </w:r>
                </w:p>
              </w:tc>
            </w:tr>
            <w:tr w14:paraId="55EE12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305DF4BA">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21</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2B5A3D7C">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72D3A947">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抛丸机</w:t>
                  </w:r>
                </w:p>
              </w:tc>
              <w:tc>
                <w:tcPr>
                  <w:tcW w:w="165" w:type="pct"/>
                  <w:tcBorders>
                    <w:tl2br w:val="nil"/>
                    <w:tr2bl w:val="nil"/>
                  </w:tcBorders>
                  <w:shd w:val="clear" w:color="auto" w:fill="auto"/>
                  <w:tcMar>
                    <w:top w:w="0" w:type="dxa"/>
                    <w:left w:w="0" w:type="dxa"/>
                    <w:bottom w:w="0" w:type="dxa"/>
                    <w:right w:w="0" w:type="dxa"/>
                  </w:tcMar>
                  <w:vAlign w:val="center"/>
                </w:tcPr>
                <w:p w14:paraId="640EE117">
                  <w:pPr>
                    <w:keepNext w:val="0"/>
                    <w:keepLines w:val="0"/>
                    <w:widowControl/>
                    <w:suppressLineNumbers w:val="0"/>
                    <w:jc w:val="center"/>
                    <w:textAlignment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223" w:type="pct"/>
                  <w:tcBorders>
                    <w:tl2br w:val="nil"/>
                    <w:tr2bl w:val="nil"/>
                  </w:tcBorders>
                  <w:shd w:val="clear" w:color="auto" w:fill="auto"/>
                  <w:tcMar>
                    <w:top w:w="0" w:type="dxa"/>
                    <w:left w:w="0" w:type="dxa"/>
                    <w:bottom w:w="0" w:type="dxa"/>
                    <w:right w:w="0" w:type="dxa"/>
                  </w:tcMar>
                  <w:vAlign w:val="center"/>
                </w:tcPr>
                <w:p w14:paraId="7568396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1EECE1F4">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20160BF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-37</w:t>
                  </w:r>
                </w:p>
              </w:tc>
              <w:tc>
                <w:tcPr>
                  <w:tcW w:w="181" w:type="pct"/>
                  <w:tcBorders>
                    <w:tl2br w:val="nil"/>
                    <w:tr2bl w:val="nil"/>
                  </w:tcBorders>
                  <w:shd w:val="clear" w:color="auto" w:fill="auto"/>
                  <w:tcMar>
                    <w:top w:w="0" w:type="dxa"/>
                    <w:left w:w="0" w:type="dxa"/>
                    <w:bottom w:w="0" w:type="dxa"/>
                    <w:right w:w="0" w:type="dxa"/>
                  </w:tcMar>
                  <w:vAlign w:val="center"/>
                </w:tcPr>
                <w:p w14:paraId="55324ED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i w:val="0"/>
                      <w:iCs w:val="0"/>
                      <w:color w:val="auto"/>
                      <w:kern w:val="2"/>
                      <w:sz w:val="15"/>
                      <w:szCs w:val="15"/>
                      <w:highlight w:val="none"/>
                      <w:u w:val="none"/>
                      <w:lang w:val="en-US" w:eastAsia="zh-CN" w:bidi="ar-SA"/>
                    </w:rPr>
                  </w:pPr>
                  <w:r>
                    <w:rPr>
                      <w:rFonts w:hint="eastAsia" w:ascii="Times New Roman" w:hAnsi="Times New Roman" w:eastAsia="宋体" w:cs="Times New Roman"/>
                      <w:color w:val="auto"/>
                      <w:sz w:val="18"/>
                      <w:szCs w:val="18"/>
                      <w:lang w:val="en-US" w:eastAsia="zh-CN"/>
                    </w:rPr>
                    <w:t>7</w:t>
                  </w:r>
                  <w:r>
                    <w:rPr>
                      <w:rFonts w:hint="default" w:ascii="Times New Roman" w:hAnsi="Times New Roman" w:eastAsia="宋体" w:cs="Times New Roman"/>
                      <w:color w:val="auto"/>
                      <w:sz w:val="18"/>
                      <w:szCs w:val="18"/>
                    </w:rPr>
                    <w:t>4</w:t>
                  </w:r>
                </w:p>
              </w:tc>
              <w:tc>
                <w:tcPr>
                  <w:tcW w:w="143" w:type="pct"/>
                  <w:tcBorders>
                    <w:tl2br w:val="nil"/>
                    <w:tr2bl w:val="nil"/>
                  </w:tcBorders>
                  <w:shd w:val="clear" w:color="auto" w:fill="auto"/>
                  <w:tcMar>
                    <w:top w:w="0" w:type="dxa"/>
                    <w:left w:w="0" w:type="dxa"/>
                    <w:bottom w:w="0" w:type="dxa"/>
                    <w:right w:w="0" w:type="dxa"/>
                  </w:tcMar>
                  <w:vAlign w:val="center"/>
                </w:tcPr>
                <w:p w14:paraId="0C4059D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24E2028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1.5</w:t>
                  </w:r>
                </w:p>
              </w:tc>
              <w:tc>
                <w:tcPr>
                  <w:tcW w:w="189" w:type="pct"/>
                  <w:tcBorders>
                    <w:tl2br w:val="nil"/>
                    <w:tr2bl w:val="nil"/>
                  </w:tcBorders>
                  <w:shd w:val="clear" w:color="auto" w:fill="auto"/>
                  <w:tcMar>
                    <w:top w:w="0" w:type="dxa"/>
                    <w:left w:w="0" w:type="dxa"/>
                    <w:bottom w:w="0" w:type="dxa"/>
                    <w:right w:w="0" w:type="dxa"/>
                  </w:tcMar>
                  <w:vAlign w:val="center"/>
                </w:tcPr>
                <w:p w14:paraId="2EE363E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73CCC79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1.5</w:t>
                  </w:r>
                </w:p>
              </w:tc>
              <w:tc>
                <w:tcPr>
                  <w:tcW w:w="174" w:type="pct"/>
                  <w:tcBorders>
                    <w:tl2br w:val="nil"/>
                    <w:tr2bl w:val="nil"/>
                  </w:tcBorders>
                  <w:shd w:val="clear" w:color="auto" w:fill="auto"/>
                  <w:tcMar>
                    <w:top w:w="0" w:type="dxa"/>
                    <w:left w:w="0" w:type="dxa"/>
                    <w:bottom w:w="0" w:type="dxa"/>
                    <w:right w:w="0" w:type="dxa"/>
                  </w:tcMar>
                  <w:vAlign w:val="center"/>
                </w:tcPr>
                <w:p w14:paraId="6805CAA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5247826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56.48</w:t>
                  </w:r>
                </w:p>
              </w:tc>
              <w:tc>
                <w:tcPr>
                  <w:tcW w:w="167" w:type="pct"/>
                  <w:tcBorders>
                    <w:tl2br w:val="nil"/>
                    <w:tr2bl w:val="nil"/>
                  </w:tcBorders>
                  <w:shd w:val="clear" w:color="auto" w:fill="auto"/>
                  <w:tcMar>
                    <w:top w:w="0" w:type="dxa"/>
                    <w:left w:w="0" w:type="dxa"/>
                    <w:bottom w:w="0" w:type="dxa"/>
                    <w:right w:w="0" w:type="dxa"/>
                  </w:tcMar>
                  <w:vAlign w:val="center"/>
                </w:tcPr>
                <w:p w14:paraId="454E245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60</w:t>
                  </w:r>
                </w:p>
              </w:tc>
              <w:tc>
                <w:tcPr>
                  <w:tcW w:w="167" w:type="pct"/>
                  <w:tcBorders>
                    <w:tl2br w:val="nil"/>
                    <w:tr2bl w:val="nil"/>
                  </w:tcBorders>
                  <w:shd w:val="clear" w:color="auto" w:fill="auto"/>
                  <w:tcMar>
                    <w:top w:w="0" w:type="dxa"/>
                    <w:left w:w="0" w:type="dxa"/>
                    <w:bottom w:w="0" w:type="dxa"/>
                    <w:right w:w="0" w:type="dxa"/>
                  </w:tcMar>
                  <w:vAlign w:val="center"/>
                </w:tcPr>
                <w:p w14:paraId="415D2BE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56.48</w:t>
                  </w:r>
                </w:p>
              </w:tc>
              <w:tc>
                <w:tcPr>
                  <w:tcW w:w="175" w:type="pct"/>
                  <w:tcBorders>
                    <w:tl2br w:val="nil"/>
                    <w:tr2bl w:val="nil"/>
                  </w:tcBorders>
                  <w:shd w:val="clear" w:color="auto" w:fill="auto"/>
                  <w:tcMar>
                    <w:top w:w="0" w:type="dxa"/>
                    <w:left w:w="0" w:type="dxa"/>
                    <w:bottom w:w="0" w:type="dxa"/>
                    <w:right w:w="0" w:type="dxa"/>
                  </w:tcMar>
                  <w:vAlign w:val="center"/>
                </w:tcPr>
                <w:p w14:paraId="2275382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60</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53E32A59">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1AC4F140">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41BE1B93">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303CE3E7">
                  <w:pPr>
                    <w:jc w:val="center"/>
                    <w:rPr>
                      <w:rFonts w:hint="eastAsia"/>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1FF73471">
                  <w:pPr>
                    <w:jc w:val="center"/>
                    <w:rPr>
                      <w:rFonts w:hint="eastAsia"/>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241B08BA">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36.48</w:t>
                  </w:r>
                </w:p>
              </w:tc>
              <w:tc>
                <w:tcPr>
                  <w:tcW w:w="171" w:type="pct"/>
                  <w:tcBorders>
                    <w:tl2br w:val="nil"/>
                    <w:tr2bl w:val="nil"/>
                  </w:tcBorders>
                  <w:shd w:val="clear" w:color="auto" w:fill="auto"/>
                  <w:tcMar>
                    <w:top w:w="0" w:type="dxa"/>
                    <w:left w:w="0" w:type="dxa"/>
                    <w:bottom w:w="0" w:type="dxa"/>
                    <w:right w:w="0" w:type="dxa"/>
                  </w:tcMar>
                  <w:vAlign w:val="center"/>
                </w:tcPr>
                <w:p w14:paraId="00388787">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40.00</w:t>
                  </w:r>
                </w:p>
              </w:tc>
              <w:tc>
                <w:tcPr>
                  <w:tcW w:w="172" w:type="pct"/>
                  <w:tcBorders>
                    <w:tl2br w:val="nil"/>
                    <w:tr2bl w:val="nil"/>
                  </w:tcBorders>
                  <w:shd w:val="clear" w:color="auto" w:fill="auto"/>
                  <w:tcMar>
                    <w:top w:w="0" w:type="dxa"/>
                    <w:left w:w="0" w:type="dxa"/>
                    <w:bottom w:w="0" w:type="dxa"/>
                    <w:right w:w="0" w:type="dxa"/>
                  </w:tcMar>
                  <w:vAlign w:val="center"/>
                </w:tcPr>
                <w:p w14:paraId="01564721">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36.48</w:t>
                  </w:r>
                </w:p>
              </w:tc>
              <w:tc>
                <w:tcPr>
                  <w:tcW w:w="172" w:type="pct"/>
                  <w:tcBorders>
                    <w:tl2br w:val="nil"/>
                    <w:tr2bl w:val="nil"/>
                  </w:tcBorders>
                  <w:shd w:val="clear" w:color="auto" w:fill="auto"/>
                  <w:tcMar>
                    <w:top w:w="0" w:type="dxa"/>
                    <w:left w:w="0" w:type="dxa"/>
                    <w:bottom w:w="0" w:type="dxa"/>
                    <w:right w:w="0" w:type="dxa"/>
                  </w:tcMar>
                  <w:vAlign w:val="center"/>
                </w:tcPr>
                <w:p w14:paraId="15961CF2">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40.00</w:t>
                  </w:r>
                </w:p>
              </w:tc>
              <w:tc>
                <w:tcPr>
                  <w:tcW w:w="165" w:type="pct"/>
                  <w:tcBorders>
                    <w:tl2br w:val="nil"/>
                    <w:tr2bl w:val="nil"/>
                  </w:tcBorders>
                  <w:shd w:val="clear" w:color="auto" w:fill="auto"/>
                  <w:tcMar>
                    <w:top w:w="0" w:type="dxa"/>
                    <w:left w:w="0" w:type="dxa"/>
                    <w:bottom w:w="0" w:type="dxa"/>
                    <w:right w:w="0" w:type="dxa"/>
                  </w:tcMar>
                  <w:vAlign w:val="center"/>
                </w:tcPr>
                <w:p w14:paraId="4CD387B9">
                  <w:pPr>
                    <w:adjustRightInd w:val="0"/>
                    <w:snapToGrid w:val="0"/>
                    <w:jc w:val="center"/>
                    <w:rPr>
                      <w:rFonts w:hint="eastAsia" w:eastAsia="宋体"/>
                      <w:color w:val="auto"/>
                      <w:sz w:val="20"/>
                      <w:szCs w:val="20"/>
                      <w:lang w:val="en-US" w:eastAsia="zh-CN"/>
                    </w:rPr>
                  </w:pPr>
                  <w:r>
                    <w:rPr>
                      <w:rFonts w:hint="eastAsia"/>
                      <w:color w:val="auto"/>
                      <w:sz w:val="20"/>
                      <w:szCs w:val="20"/>
                      <w:lang w:val="en-US" w:eastAsia="zh-CN"/>
                    </w:rPr>
                    <w:t>1</w:t>
                  </w:r>
                </w:p>
              </w:tc>
            </w:tr>
            <w:tr w14:paraId="234207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tcBorders>
                    <w:tl2br w:val="nil"/>
                    <w:tr2bl w:val="nil"/>
                  </w:tcBorders>
                  <w:shd w:val="clear" w:color="auto" w:fill="auto"/>
                  <w:tcMar>
                    <w:top w:w="0" w:type="dxa"/>
                    <w:left w:w="0" w:type="dxa"/>
                    <w:bottom w:w="0" w:type="dxa"/>
                    <w:right w:w="0" w:type="dxa"/>
                  </w:tcMar>
                  <w:vAlign w:val="center"/>
                </w:tcPr>
                <w:p w14:paraId="78FBE16D">
                  <w:pPr>
                    <w:adjustRightInd w:val="0"/>
                    <w:snapToGrid w:val="0"/>
                    <w:jc w:val="center"/>
                    <w:rPr>
                      <w:rFonts w:hint="default" w:eastAsia="宋体"/>
                      <w:color w:val="auto"/>
                      <w:sz w:val="20"/>
                      <w:szCs w:val="20"/>
                      <w:lang w:val="en-US" w:eastAsia="zh-CN"/>
                    </w:rPr>
                  </w:pPr>
                  <w:r>
                    <w:rPr>
                      <w:rFonts w:hint="eastAsia"/>
                      <w:color w:val="auto"/>
                      <w:sz w:val="20"/>
                      <w:szCs w:val="20"/>
                      <w:lang w:val="en-US" w:eastAsia="zh-CN"/>
                    </w:rPr>
                    <w:t>22</w:t>
                  </w:r>
                </w:p>
              </w:tc>
              <w:tc>
                <w:tcPr>
                  <w:tcW w:w="189" w:type="pct"/>
                  <w:vMerge w:val="continue"/>
                  <w:tcBorders>
                    <w:tl2br w:val="nil"/>
                    <w:tr2bl w:val="nil"/>
                  </w:tcBorders>
                  <w:shd w:val="clear" w:color="auto" w:fill="auto"/>
                  <w:tcMar>
                    <w:top w:w="0" w:type="dxa"/>
                    <w:left w:w="0" w:type="dxa"/>
                    <w:bottom w:w="0" w:type="dxa"/>
                    <w:right w:w="0" w:type="dxa"/>
                  </w:tcMar>
                  <w:vAlign w:val="center"/>
                </w:tcPr>
                <w:p w14:paraId="4B32A833">
                  <w:pPr>
                    <w:adjustRightInd w:val="0"/>
                    <w:snapToGrid w:val="0"/>
                    <w:jc w:val="center"/>
                    <w:rPr>
                      <w:color w:val="auto"/>
                      <w:sz w:val="20"/>
                      <w:szCs w:val="20"/>
                    </w:rPr>
                  </w:pPr>
                </w:p>
              </w:tc>
              <w:tc>
                <w:tcPr>
                  <w:tcW w:w="502" w:type="pct"/>
                  <w:tcBorders>
                    <w:tl2br w:val="nil"/>
                    <w:tr2bl w:val="nil"/>
                  </w:tcBorders>
                  <w:shd w:val="clear" w:color="auto" w:fill="auto"/>
                  <w:tcMar>
                    <w:top w:w="0" w:type="dxa"/>
                    <w:left w:w="0" w:type="dxa"/>
                    <w:bottom w:w="0" w:type="dxa"/>
                    <w:right w:w="0" w:type="dxa"/>
                  </w:tcMar>
                  <w:vAlign w:val="center"/>
                </w:tcPr>
                <w:p w14:paraId="2995EAD1">
                  <w:pPr>
                    <w:keepNext w:val="0"/>
                    <w:keepLines w:val="0"/>
                    <w:widowControl/>
                    <w:suppressLineNumbers w:val="0"/>
                    <w:jc w:val="center"/>
                    <w:textAlignment w:val="center"/>
                    <w:rPr>
                      <w:rFonts w:hint="eastAsia"/>
                      <w:color w:val="auto"/>
                      <w:sz w:val="20"/>
                      <w:szCs w:val="20"/>
                      <w:lang w:eastAsia="zh-CN"/>
                    </w:rPr>
                  </w:pPr>
                  <w:r>
                    <w:rPr>
                      <w:rFonts w:hint="eastAsia" w:ascii="宋体" w:hAnsi="宋体" w:eastAsia="宋体" w:cs="宋体"/>
                      <w:i w:val="0"/>
                      <w:iCs w:val="0"/>
                      <w:color w:val="auto"/>
                      <w:kern w:val="0"/>
                      <w:sz w:val="20"/>
                      <w:szCs w:val="20"/>
                      <w:u w:val="none"/>
                      <w:lang w:val="en-US" w:eastAsia="zh-CN" w:bidi="ar"/>
                    </w:rPr>
                    <w:t>喷枪</w:t>
                  </w:r>
                </w:p>
              </w:tc>
              <w:tc>
                <w:tcPr>
                  <w:tcW w:w="165" w:type="pct"/>
                  <w:tcBorders>
                    <w:tl2br w:val="nil"/>
                    <w:tr2bl w:val="nil"/>
                  </w:tcBorders>
                  <w:shd w:val="clear" w:color="auto" w:fill="auto"/>
                  <w:tcMar>
                    <w:top w:w="0" w:type="dxa"/>
                    <w:left w:w="0" w:type="dxa"/>
                    <w:bottom w:w="0" w:type="dxa"/>
                    <w:right w:w="0" w:type="dxa"/>
                  </w:tcMar>
                  <w:vAlign w:val="center"/>
                </w:tcPr>
                <w:p w14:paraId="50B8775E">
                  <w:pPr>
                    <w:keepNext w:val="0"/>
                    <w:keepLines w:val="0"/>
                    <w:widowControl/>
                    <w:suppressLineNumbers w:val="0"/>
                    <w:jc w:val="center"/>
                    <w:textAlignment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223" w:type="pct"/>
                  <w:tcBorders>
                    <w:tl2br w:val="nil"/>
                    <w:tr2bl w:val="nil"/>
                  </w:tcBorders>
                  <w:shd w:val="clear" w:color="auto" w:fill="auto"/>
                  <w:tcMar>
                    <w:top w:w="0" w:type="dxa"/>
                    <w:left w:w="0" w:type="dxa"/>
                    <w:bottom w:w="0" w:type="dxa"/>
                    <w:right w:w="0" w:type="dxa"/>
                  </w:tcMar>
                  <w:vAlign w:val="center"/>
                </w:tcPr>
                <w:p w14:paraId="022F490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80</w:t>
                  </w:r>
                </w:p>
              </w:tc>
              <w:tc>
                <w:tcPr>
                  <w:tcW w:w="181" w:type="pct"/>
                  <w:vMerge w:val="continue"/>
                  <w:tcBorders>
                    <w:tl2br w:val="nil"/>
                    <w:tr2bl w:val="nil"/>
                  </w:tcBorders>
                  <w:shd w:val="clear" w:color="auto" w:fill="auto"/>
                  <w:tcMar>
                    <w:top w:w="0" w:type="dxa"/>
                    <w:left w:w="0" w:type="dxa"/>
                    <w:bottom w:w="0" w:type="dxa"/>
                    <w:right w:w="0" w:type="dxa"/>
                  </w:tcMar>
                  <w:vAlign w:val="center"/>
                </w:tcPr>
                <w:p w14:paraId="17D6F2B9">
                  <w:pPr>
                    <w:adjustRightInd w:val="0"/>
                    <w:snapToGrid w:val="0"/>
                    <w:jc w:val="center"/>
                    <w:rPr>
                      <w:color w:val="auto"/>
                      <w:sz w:val="20"/>
                      <w:szCs w:val="20"/>
                    </w:rPr>
                  </w:pPr>
                </w:p>
              </w:tc>
              <w:tc>
                <w:tcPr>
                  <w:tcW w:w="204" w:type="pct"/>
                  <w:tcBorders>
                    <w:tl2br w:val="nil"/>
                    <w:tr2bl w:val="nil"/>
                  </w:tcBorders>
                  <w:shd w:val="clear" w:color="auto" w:fill="auto"/>
                  <w:tcMar>
                    <w:top w:w="0" w:type="dxa"/>
                    <w:left w:w="0" w:type="dxa"/>
                    <w:bottom w:w="0" w:type="dxa"/>
                    <w:right w:w="0" w:type="dxa"/>
                  </w:tcMar>
                  <w:vAlign w:val="center"/>
                </w:tcPr>
                <w:p w14:paraId="50B5C149">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-3</w:t>
                  </w:r>
                  <w:r>
                    <w:rPr>
                      <w:rFonts w:hint="eastAsia" w:ascii="Times New Roman" w:hAnsi="Times New Roman" w:eastAsia="宋体" w:cs="Times New Roman"/>
                      <w:color w:val="auto"/>
                      <w:sz w:val="18"/>
                      <w:szCs w:val="18"/>
                      <w:lang w:val="en-US" w:eastAsia="zh-CN"/>
                    </w:rPr>
                    <w:t>3</w:t>
                  </w:r>
                </w:p>
              </w:tc>
              <w:tc>
                <w:tcPr>
                  <w:tcW w:w="181" w:type="pct"/>
                  <w:tcBorders>
                    <w:tl2br w:val="nil"/>
                    <w:tr2bl w:val="nil"/>
                  </w:tcBorders>
                  <w:shd w:val="clear" w:color="auto" w:fill="auto"/>
                  <w:tcMar>
                    <w:top w:w="0" w:type="dxa"/>
                    <w:left w:w="0" w:type="dxa"/>
                    <w:bottom w:w="0" w:type="dxa"/>
                    <w:right w:w="0" w:type="dxa"/>
                  </w:tcMar>
                  <w:vAlign w:val="center"/>
                </w:tcPr>
                <w:p w14:paraId="564622D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eastAsia" w:ascii="Times New Roman" w:hAnsi="Times New Roman" w:eastAsia="宋体" w:cs="Times New Roman"/>
                      <w:color w:val="auto"/>
                      <w:sz w:val="18"/>
                      <w:szCs w:val="18"/>
                      <w:lang w:val="en-US" w:eastAsia="zh-CN"/>
                    </w:rPr>
                    <w:t>2</w:t>
                  </w:r>
                  <w:r>
                    <w:rPr>
                      <w:rFonts w:hint="default" w:ascii="Times New Roman" w:hAnsi="Times New Roman" w:eastAsia="宋体" w:cs="Times New Roman"/>
                      <w:color w:val="auto"/>
                      <w:sz w:val="18"/>
                      <w:szCs w:val="18"/>
                    </w:rPr>
                    <w:t>7.2</w:t>
                  </w:r>
                </w:p>
              </w:tc>
              <w:tc>
                <w:tcPr>
                  <w:tcW w:w="143" w:type="pct"/>
                  <w:tcBorders>
                    <w:tl2br w:val="nil"/>
                    <w:tr2bl w:val="nil"/>
                  </w:tcBorders>
                  <w:shd w:val="clear" w:color="auto" w:fill="auto"/>
                  <w:tcMar>
                    <w:top w:w="0" w:type="dxa"/>
                    <w:left w:w="0" w:type="dxa"/>
                    <w:bottom w:w="0" w:type="dxa"/>
                    <w:right w:w="0" w:type="dxa"/>
                  </w:tcMar>
                  <w:vAlign w:val="center"/>
                </w:tcPr>
                <w:p w14:paraId="26E2ADA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i w:val="0"/>
                      <w:iCs w:val="0"/>
                      <w:color w:val="auto"/>
                      <w:kern w:val="2"/>
                      <w:sz w:val="15"/>
                      <w:szCs w:val="15"/>
                      <w:highlight w:val="none"/>
                      <w:u w:val="none"/>
                      <w:lang w:val="en-US" w:eastAsia="zh-CN" w:bidi="ar-SA"/>
                    </w:rPr>
                  </w:pPr>
                  <w:r>
                    <w:rPr>
                      <w:rFonts w:hint="default" w:ascii="Times New Roman" w:hAnsi="Times New Roman" w:eastAsia="宋体" w:cs="Times New Roman"/>
                      <w:color w:val="auto"/>
                      <w:sz w:val="18"/>
                      <w:szCs w:val="18"/>
                    </w:rPr>
                    <w:t>1.2</w:t>
                  </w:r>
                </w:p>
              </w:tc>
              <w:tc>
                <w:tcPr>
                  <w:tcW w:w="171" w:type="pct"/>
                  <w:tcBorders>
                    <w:tl2br w:val="nil"/>
                    <w:tr2bl w:val="nil"/>
                  </w:tcBorders>
                  <w:shd w:val="clear" w:color="auto" w:fill="auto"/>
                  <w:tcMar>
                    <w:top w:w="0" w:type="dxa"/>
                    <w:left w:w="0" w:type="dxa"/>
                    <w:bottom w:w="0" w:type="dxa"/>
                    <w:right w:w="0" w:type="dxa"/>
                  </w:tcMar>
                  <w:vAlign w:val="center"/>
                </w:tcPr>
                <w:p w14:paraId="3E6A6CA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89" w:type="pct"/>
                  <w:tcBorders>
                    <w:tl2br w:val="nil"/>
                    <w:tr2bl w:val="nil"/>
                  </w:tcBorders>
                  <w:shd w:val="clear" w:color="auto" w:fill="auto"/>
                  <w:tcMar>
                    <w:top w:w="0" w:type="dxa"/>
                    <w:left w:w="0" w:type="dxa"/>
                    <w:bottom w:w="0" w:type="dxa"/>
                    <w:right w:w="0" w:type="dxa"/>
                  </w:tcMar>
                  <w:vAlign w:val="center"/>
                </w:tcPr>
                <w:p w14:paraId="2A10551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59" w:type="pct"/>
                  <w:tcBorders>
                    <w:tl2br w:val="nil"/>
                    <w:tr2bl w:val="nil"/>
                  </w:tcBorders>
                  <w:shd w:val="clear" w:color="auto" w:fill="auto"/>
                  <w:tcMar>
                    <w:top w:w="0" w:type="dxa"/>
                    <w:left w:w="0" w:type="dxa"/>
                    <w:bottom w:w="0" w:type="dxa"/>
                    <w:right w:w="0" w:type="dxa"/>
                  </w:tcMar>
                  <w:vAlign w:val="center"/>
                </w:tcPr>
                <w:p w14:paraId="2A96842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2.0</w:t>
                  </w:r>
                </w:p>
              </w:tc>
              <w:tc>
                <w:tcPr>
                  <w:tcW w:w="174" w:type="pct"/>
                  <w:tcBorders>
                    <w:tl2br w:val="nil"/>
                    <w:tr2bl w:val="nil"/>
                  </w:tcBorders>
                  <w:shd w:val="clear" w:color="auto" w:fill="auto"/>
                  <w:tcMar>
                    <w:top w:w="0" w:type="dxa"/>
                    <w:left w:w="0" w:type="dxa"/>
                    <w:bottom w:w="0" w:type="dxa"/>
                    <w:right w:w="0" w:type="dxa"/>
                  </w:tcMar>
                  <w:vAlign w:val="center"/>
                </w:tcPr>
                <w:p w14:paraId="5791B9B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5"/>
                      <w:szCs w:val="15"/>
                    </w:rPr>
                  </w:pPr>
                  <w:r>
                    <w:rPr>
                      <w:rFonts w:hint="eastAsia" w:ascii="Times New Roman" w:hAnsi="Times New Roman" w:eastAsia="宋体" w:cs="Times New Roman"/>
                      <w:color w:val="auto"/>
                      <w:kern w:val="2"/>
                      <w:sz w:val="18"/>
                      <w:szCs w:val="18"/>
                      <w:lang w:val="en-US" w:eastAsia="zh-CN" w:bidi="ar-SA"/>
                    </w:rPr>
                    <w:t>1.0</w:t>
                  </w:r>
                </w:p>
              </w:tc>
              <w:tc>
                <w:tcPr>
                  <w:tcW w:w="167" w:type="pct"/>
                  <w:tcBorders>
                    <w:tl2br w:val="nil"/>
                    <w:tr2bl w:val="nil"/>
                  </w:tcBorders>
                  <w:shd w:val="clear" w:color="auto" w:fill="auto"/>
                  <w:tcMar>
                    <w:top w:w="0" w:type="dxa"/>
                    <w:left w:w="0" w:type="dxa"/>
                    <w:bottom w:w="0" w:type="dxa"/>
                    <w:right w:w="0" w:type="dxa"/>
                  </w:tcMar>
                  <w:vAlign w:val="center"/>
                </w:tcPr>
                <w:p w14:paraId="1C81568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53.98</w:t>
                  </w:r>
                </w:p>
              </w:tc>
              <w:tc>
                <w:tcPr>
                  <w:tcW w:w="167" w:type="pct"/>
                  <w:tcBorders>
                    <w:tl2br w:val="nil"/>
                    <w:tr2bl w:val="nil"/>
                  </w:tcBorders>
                  <w:shd w:val="clear" w:color="auto" w:fill="auto"/>
                  <w:tcMar>
                    <w:top w:w="0" w:type="dxa"/>
                    <w:left w:w="0" w:type="dxa"/>
                    <w:bottom w:w="0" w:type="dxa"/>
                    <w:right w:w="0" w:type="dxa"/>
                  </w:tcMar>
                  <w:vAlign w:val="center"/>
                </w:tcPr>
                <w:p w14:paraId="5A73F1E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60</w:t>
                  </w:r>
                </w:p>
              </w:tc>
              <w:tc>
                <w:tcPr>
                  <w:tcW w:w="167" w:type="pct"/>
                  <w:tcBorders>
                    <w:tl2br w:val="nil"/>
                    <w:tr2bl w:val="nil"/>
                  </w:tcBorders>
                  <w:shd w:val="clear" w:color="auto" w:fill="auto"/>
                  <w:tcMar>
                    <w:top w:w="0" w:type="dxa"/>
                    <w:left w:w="0" w:type="dxa"/>
                    <w:bottom w:w="0" w:type="dxa"/>
                    <w:right w:w="0" w:type="dxa"/>
                  </w:tcMar>
                  <w:vAlign w:val="center"/>
                </w:tcPr>
                <w:p w14:paraId="34740E3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53.98</w:t>
                  </w:r>
                </w:p>
              </w:tc>
              <w:tc>
                <w:tcPr>
                  <w:tcW w:w="175" w:type="pct"/>
                  <w:tcBorders>
                    <w:tl2br w:val="nil"/>
                    <w:tr2bl w:val="nil"/>
                  </w:tcBorders>
                  <w:shd w:val="clear" w:color="auto" w:fill="auto"/>
                  <w:tcMar>
                    <w:top w:w="0" w:type="dxa"/>
                    <w:left w:w="0" w:type="dxa"/>
                    <w:bottom w:w="0" w:type="dxa"/>
                    <w:right w:w="0" w:type="dxa"/>
                  </w:tcMar>
                  <w:vAlign w:val="center"/>
                </w:tcPr>
                <w:p w14:paraId="5F3A508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sz w:val="18"/>
                      <w:szCs w:val="18"/>
                    </w:rPr>
                  </w:pPr>
                  <w:r>
                    <w:rPr>
                      <w:rFonts w:hint="eastAsia" w:cs="Times New Roman"/>
                      <w:color w:val="auto"/>
                      <w:kern w:val="2"/>
                      <w:sz w:val="18"/>
                      <w:szCs w:val="18"/>
                      <w:lang w:val="en-US" w:eastAsia="zh-CN" w:bidi="ar-SA"/>
                    </w:rPr>
                    <w:t>60</w:t>
                  </w:r>
                </w:p>
              </w:tc>
              <w:tc>
                <w:tcPr>
                  <w:tcW w:w="165" w:type="pct"/>
                  <w:vMerge w:val="continue"/>
                  <w:tcBorders>
                    <w:tl2br w:val="nil"/>
                    <w:tr2bl w:val="nil"/>
                  </w:tcBorders>
                  <w:shd w:val="clear" w:color="auto" w:fill="auto"/>
                  <w:tcMar>
                    <w:top w:w="0" w:type="dxa"/>
                    <w:left w:w="0" w:type="dxa"/>
                    <w:bottom w:w="0" w:type="dxa"/>
                    <w:right w:w="0" w:type="dxa"/>
                  </w:tcMar>
                  <w:vAlign w:val="center"/>
                </w:tcPr>
                <w:p w14:paraId="0B8B899B">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4D576C79">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71C12FD1">
                  <w:pPr>
                    <w:jc w:val="center"/>
                    <w:rPr>
                      <w:rFonts w:hint="eastAsia"/>
                      <w:color w:val="auto"/>
                      <w:sz w:val="18"/>
                      <w:szCs w:val="18"/>
                    </w:rPr>
                  </w:pPr>
                  <w:r>
                    <w:rPr>
                      <w:rFonts w:hint="eastAsia"/>
                      <w:color w:val="auto"/>
                      <w:sz w:val="20"/>
                      <w:szCs w:val="20"/>
                      <w:lang w:val="en-US" w:eastAsia="zh-CN"/>
                    </w:rPr>
                    <w:t>20</w:t>
                  </w:r>
                </w:p>
              </w:tc>
              <w:tc>
                <w:tcPr>
                  <w:tcW w:w="160" w:type="pct"/>
                  <w:tcBorders>
                    <w:tl2br w:val="nil"/>
                    <w:tr2bl w:val="nil"/>
                  </w:tcBorders>
                  <w:shd w:val="clear" w:color="auto" w:fill="auto"/>
                  <w:tcMar>
                    <w:top w:w="0" w:type="dxa"/>
                    <w:left w:w="0" w:type="dxa"/>
                    <w:bottom w:w="0" w:type="dxa"/>
                    <w:right w:w="0" w:type="dxa"/>
                  </w:tcMar>
                  <w:vAlign w:val="center"/>
                </w:tcPr>
                <w:p w14:paraId="6BD1EC81">
                  <w:pPr>
                    <w:jc w:val="center"/>
                    <w:rPr>
                      <w:rFonts w:hint="eastAsia"/>
                      <w:color w:val="auto"/>
                      <w:sz w:val="18"/>
                      <w:szCs w:val="18"/>
                    </w:rPr>
                  </w:pPr>
                  <w:r>
                    <w:rPr>
                      <w:rFonts w:hint="eastAsia"/>
                      <w:color w:val="auto"/>
                      <w:sz w:val="20"/>
                      <w:szCs w:val="20"/>
                      <w:lang w:val="en-US" w:eastAsia="zh-CN"/>
                    </w:rPr>
                    <w:t>20</w:t>
                  </w:r>
                </w:p>
              </w:tc>
              <w:tc>
                <w:tcPr>
                  <w:tcW w:w="167" w:type="pct"/>
                  <w:tcBorders>
                    <w:tl2br w:val="nil"/>
                    <w:tr2bl w:val="nil"/>
                  </w:tcBorders>
                  <w:shd w:val="clear" w:color="auto" w:fill="auto"/>
                  <w:tcMar>
                    <w:top w:w="0" w:type="dxa"/>
                    <w:left w:w="0" w:type="dxa"/>
                    <w:bottom w:w="0" w:type="dxa"/>
                    <w:right w:w="0" w:type="dxa"/>
                  </w:tcMar>
                  <w:vAlign w:val="center"/>
                </w:tcPr>
                <w:p w14:paraId="6767512B">
                  <w:pPr>
                    <w:jc w:val="center"/>
                    <w:rPr>
                      <w:rFonts w:hint="eastAsia"/>
                      <w:color w:val="auto"/>
                      <w:sz w:val="18"/>
                      <w:szCs w:val="18"/>
                    </w:rPr>
                  </w:pPr>
                  <w:r>
                    <w:rPr>
                      <w:rFonts w:hint="eastAsia"/>
                      <w:color w:val="auto"/>
                      <w:sz w:val="20"/>
                      <w:szCs w:val="20"/>
                      <w:lang w:val="en-US" w:eastAsia="zh-CN"/>
                    </w:rPr>
                    <w:t>20</w:t>
                  </w:r>
                </w:p>
              </w:tc>
              <w:tc>
                <w:tcPr>
                  <w:tcW w:w="171" w:type="pct"/>
                  <w:tcBorders>
                    <w:tl2br w:val="nil"/>
                    <w:tr2bl w:val="nil"/>
                  </w:tcBorders>
                  <w:shd w:val="clear" w:color="auto" w:fill="auto"/>
                  <w:tcMar>
                    <w:top w:w="0" w:type="dxa"/>
                    <w:left w:w="0" w:type="dxa"/>
                    <w:bottom w:w="0" w:type="dxa"/>
                    <w:right w:w="0" w:type="dxa"/>
                  </w:tcMar>
                  <w:vAlign w:val="center"/>
                </w:tcPr>
                <w:p w14:paraId="5D9A2C0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33.98</w:t>
                  </w:r>
                </w:p>
              </w:tc>
              <w:tc>
                <w:tcPr>
                  <w:tcW w:w="171" w:type="pct"/>
                  <w:tcBorders>
                    <w:tl2br w:val="nil"/>
                    <w:tr2bl w:val="nil"/>
                  </w:tcBorders>
                  <w:shd w:val="clear" w:color="auto" w:fill="auto"/>
                  <w:tcMar>
                    <w:top w:w="0" w:type="dxa"/>
                    <w:left w:w="0" w:type="dxa"/>
                    <w:bottom w:w="0" w:type="dxa"/>
                    <w:right w:w="0" w:type="dxa"/>
                  </w:tcMar>
                  <w:vAlign w:val="center"/>
                </w:tcPr>
                <w:p w14:paraId="7AD8E78F">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40.00</w:t>
                  </w:r>
                </w:p>
              </w:tc>
              <w:tc>
                <w:tcPr>
                  <w:tcW w:w="172" w:type="pct"/>
                  <w:tcBorders>
                    <w:tl2br w:val="nil"/>
                    <w:tr2bl w:val="nil"/>
                  </w:tcBorders>
                  <w:shd w:val="clear" w:color="auto" w:fill="auto"/>
                  <w:tcMar>
                    <w:top w:w="0" w:type="dxa"/>
                    <w:left w:w="0" w:type="dxa"/>
                    <w:bottom w:w="0" w:type="dxa"/>
                    <w:right w:w="0" w:type="dxa"/>
                  </w:tcMar>
                  <w:vAlign w:val="center"/>
                </w:tcPr>
                <w:p w14:paraId="316D06B5">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33.98</w:t>
                  </w:r>
                </w:p>
              </w:tc>
              <w:tc>
                <w:tcPr>
                  <w:tcW w:w="172" w:type="pct"/>
                  <w:tcBorders>
                    <w:tl2br w:val="nil"/>
                    <w:tr2bl w:val="nil"/>
                  </w:tcBorders>
                  <w:shd w:val="clear" w:color="auto" w:fill="auto"/>
                  <w:tcMar>
                    <w:top w:w="0" w:type="dxa"/>
                    <w:left w:w="0" w:type="dxa"/>
                    <w:bottom w:w="0" w:type="dxa"/>
                    <w:right w:w="0" w:type="dxa"/>
                  </w:tcMar>
                  <w:vAlign w:val="center"/>
                </w:tcPr>
                <w:p w14:paraId="718559BF">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eastAsia"/>
                      <w:color w:val="auto"/>
                      <w:sz w:val="15"/>
                      <w:szCs w:val="15"/>
                    </w:rPr>
                  </w:pPr>
                  <w:r>
                    <w:rPr>
                      <w:rFonts w:hint="eastAsia"/>
                      <w:color w:val="auto"/>
                      <w:sz w:val="18"/>
                      <w:szCs w:val="18"/>
                      <w:lang w:val="en-US" w:eastAsia="zh-CN"/>
                    </w:rPr>
                    <w:t>40.00</w:t>
                  </w:r>
                </w:p>
              </w:tc>
              <w:tc>
                <w:tcPr>
                  <w:tcW w:w="165" w:type="pct"/>
                  <w:tcBorders>
                    <w:tl2br w:val="nil"/>
                    <w:tr2bl w:val="nil"/>
                  </w:tcBorders>
                  <w:shd w:val="clear" w:color="auto" w:fill="auto"/>
                  <w:tcMar>
                    <w:top w:w="0" w:type="dxa"/>
                    <w:left w:w="0" w:type="dxa"/>
                    <w:bottom w:w="0" w:type="dxa"/>
                    <w:right w:w="0" w:type="dxa"/>
                  </w:tcMar>
                  <w:vAlign w:val="center"/>
                </w:tcPr>
                <w:p w14:paraId="7E0D2014">
                  <w:pPr>
                    <w:adjustRightInd w:val="0"/>
                    <w:snapToGrid w:val="0"/>
                    <w:jc w:val="center"/>
                    <w:rPr>
                      <w:rFonts w:hint="eastAsia" w:eastAsia="宋体"/>
                      <w:color w:val="auto"/>
                      <w:sz w:val="20"/>
                      <w:szCs w:val="20"/>
                      <w:lang w:val="en-US" w:eastAsia="zh-CN"/>
                    </w:rPr>
                  </w:pPr>
                  <w:r>
                    <w:rPr>
                      <w:rFonts w:hint="eastAsia"/>
                      <w:color w:val="auto"/>
                      <w:sz w:val="20"/>
                      <w:szCs w:val="20"/>
                      <w:lang w:val="en-US" w:eastAsia="zh-CN"/>
                    </w:rPr>
                    <w:t>1</w:t>
                  </w:r>
                </w:p>
              </w:tc>
            </w:tr>
            <w:tr w14:paraId="548D4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51" w:type="pct"/>
                  <w:gridSpan w:val="13"/>
                  <w:tcBorders>
                    <w:tl2br w:val="nil"/>
                    <w:tr2bl w:val="nil"/>
                  </w:tcBorders>
                  <w:shd w:val="clear" w:color="auto" w:fill="auto"/>
                  <w:tcMar>
                    <w:top w:w="0" w:type="dxa"/>
                    <w:left w:w="0" w:type="dxa"/>
                    <w:bottom w:w="0" w:type="dxa"/>
                    <w:right w:w="0" w:type="dxa"/>
                  </w:tcMar>
                  <w:vAlign w:val="center"/>
                </w:tcPr>
                <w:p w14:paraId="09A586E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color w:val="auto"/>
                      <w:kern w:val="2"/>
                      <w:sz w:val="18"/>
                      <w:szCs w:val="18"/>
                      <w:lang w:val="en-US" w:eastAsia="zh-CN" w:bidi="ar-SA"/>
                    </w:rPr>
                  </w:pPr>
                  <w:r>
                    <w:rPr>
                      <w:rFonts w:hint="eastAsia"/>
                      <w:color w:val="auto"/>
                      <w:sz w:val="21"/>
                      <w:szCs w:val="21"/>
                      <w:lang w:val="en-US" w:eastAsia="zh-CN"/>
                    </w:rPr>
                    <w:t>合计</w:t>
                  </w:r>
                </w:p>
              </w:tc>
              <w:tc>
                <w:tcPr>
                  <w:tcW w:w="167" w:type="pct"/>
                  <w:tcBorders>
                    <w:tl2br w:val="nil"/>
                    <w:tr2bl w:val="nil"/>
                  </w:tcBorders>
                  <w:shd w:val="clear" w:color="auto" w:fill="auto"/>
                  <w:tcMar>
                    <w:top w:w="0" w:type="dxa"/>
                    <w:left w:w="0" w:type="dxa"/>
                    <w:bottom w:w="0" w:type="dxa"/>
                    <w:right w:w="0" w:type="dxa"/>
                  </w:tcMar>
                  <w:vAlign w:val="center"/>
                </w:tcPr>
                <w:p w14:paraId="313E2EF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kern w:val="2"/>
                      <w:sz w:val="18"/>
                      <w:szCs w:val="18"/>
                      <w:lang w:val="en-US" w:eastAsia="zh-CN" w:bidi="ar-SA"/>
                    </w:rPr>
                  </w:pPr>
                  <w:r>
                    <w:rPr>
                      <w:rFonts w:hint="eastAsia" w:cs="Times New Roman"/>
                      <w:color w:val="auto"/>
                      <w:kern w:val="2"/>
                      <w:sz w:val="18"/>
                      <w:szCs w:val="18"/>
                      <w:lang w:val="en-US" w:eastAsia="zh-CN" w:bidi="ar-SA"/>
                    </w:rPr>
                    <w:t>73.89</w:t>
                  </w:r>
                </w:p>
              </w:tc>
              <w:tc>
                <w:tcPr>
                  <w:tcW w:w="167" w:type="pct"/>
                  <w:tcBorders>
                    <w:tl2br w:val="nil"/>
                    <w:tr2bl w:val="nil"/>
                  </w:tcBorders>
                  <w:shd w:val="clear" w:color="auto" w:fill="auto"/>
                  <w:tcMar>
                    <w:top w:w="0" w:type="dxa"/>
                    <w:left w:w="0" w:type="dxa"/>
                    <w:bottom w:w="0" w:type="dxa"/>
                    <w:right w:w="0" w:type="dxa"/>
                  </w:tcMar>
                  <w:vAlign w:val="center"/>
                </w:tcPr>
                <w:p w14:paraId="3B19565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kern w:val="2"/>
                      <w:sz w:val="18"/>
                      <w:szCs w:val="18"/>
                      <w:lang w:val="en-US" w:eastAsia="zh-CN" w:bidi="ar-SA"/>
                    </w:rPr>
                  </w:pPr>
                  <w:r>
                    <w:rPr>
                      <w:rFonts w:hint="eastAsia" w:cs="Times New Roman"/>
                      <w:color w:val="auto"/>
                      <w:kern w:val="2"/>
                      <w:sz w:val="18"/>
                      <w:szCs w:val="18"/>
                      <w:lang w:val="en-US" w:eastAsia="zh-CN" w:bidi="ar-SA"/>
                    </w:rPr>
                    <w:t>72.68</w:t>
                  </w:r>
                </w:p>
              </w:tc>
              <w:tc>
                <w:tcPr>
                  <w:tcW w:w="167" w:type="pct"/>
                  <w:tcBorders>
                    <w:tl2br w:val="nil"/>
                    <w:tr2bl w:val="nil"/>
                  </w:tcBorders>
                  <w:shd w:val="clear" w:color="auto" w:fill="auto"/>
                  <w:tcMar>
                    <w:top w:w="0" w:type="dxa"/>
                    <w:left w:w="0" w:type="dxa"/>
                    <w:bottom w:w="0" w:type="dxa"/>
                    <w:right w:w="0" w:type="dxa"/>
                  </w:tcMar>
                  <w:vAlign w:val="center"/>
                </w:tcPr>
                <w:p w14:paraId="40EE335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kern w:val="2"/>
                      <w:sz w:val="18"/>
                      <w:szCs w:val="18"/>
                      <w:lang w:val="en-US" w:eastAsia="zh-CN" w:bidi="ar-SA"/>
                    </w:rPr>
                  </w:pPr>
                  <w:r>
                    <w:rPr>
                      <w:rFonts w:hint="eastAsia" w:cs="Times New Roman"/>
                      <w:color w:val="auto"/>
                      <w:kern w:val="2"/>
                      <w:sz w:val="18"/>
                      <w:szCs w:val="18"/>
                      <w:lang w:val="en-US" w:eastAsia="zh-CN" w:bidi="ar-SA"/>
                    </w:rPr>
                    <w:t>73.0</w:t>
                  </w:r>
                </w:p>
              </w:tc>
              <w:tc>
                <w:tcPr>
                  <w:tcW w:w="175" w:type="pct"/>
                  <w:tcBorders>
                    <w:tl2br w:val="nil"/>
                    <w:tr2bl w:val="nil"/>
                  </w:tcBorders>
                  <w:shd w:val="clear" w:color="auto" w:fill="auto"/>
                  <w:tcMar>
                    <w:top w:w="0" w:type="dxa"/>
                    <w:left w:w="0" w:type="dxa"/>
                    <w:bottom w:w="0" w:type="dxa"/>
                    <w:right w:w="0" w:type="dxa"/>
                  </w:tcMar>
                  <w:vAlign w:val="center"/>
                </w:tcPr>
                <w:p w14:paraId="36E391C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kern w:val="2"/>
                      <w:sz w:val="18"/>
                      <w:szCs w:val="18"/>
                      <w:lang w:val="en-US" w:eastAsia="zh-CN" w:bidi="ar-SA"/>
                    </w:rPr>
                  </w:pPr>
                  <w:r>
                    <w:rPr>
                      <w:rFonts w:hint="eastAsia" w:cs="Times New Roman"/>
                      <w:color w:val="auto"/>
                      <w:kern w:val="2"/>
                      <w:sz w:val="18"/>
                      <w:szCs w:val="18"/>
                      <w:lang w:val="en-US" w:eastAsia="zh-CN" w:bidi="ar-SA"/>
                    </w:rPr>
                    <w:t>71.99</w:t>
                  </w:r>
                </w:p>
              </w:tc>
              <w:tc>
                <w:tcPr>
                  <w:tcW w:w="165" w:type="pct"/>
                  <w:tcBorders>
                    <w:tl2br w:val="nil"/>
                    <w:tr2bl w:val="nil"/>
                  </w:tcBorders>
                  <w:shd w:val="clear" w:color="auto" w:fill="auto"/>
                  <w:tcMar>
                    <w:top w:w="0" w:type="dxa"/>
                    <w:left w:w="0" w:type="dxa"/>
                    <w:bottom w:w="0" w:type="dxa"/>
                    <w:right w:w="0" w:type="dxa"/>
                  </w:tcMar>
                  <w:vAlign w:val="center"/>
                </w:tcPr>
                <w:p w14:paraId="2B41C301">
                  <w:pPr>
                    <w:adjustRightInd w:val="0"/>
                    <w:snapToGrid w:val="0"/>
                    <w:jc w:val="center"/>
                    <w:rPr>
                      <w:color w:val="auto"/>
                      <w:sz w:val="20"/>
                      <w:szCs w:val="20"/>
                    </w:rPr>
                  </w:pPr>
                </w:p>
              </w:tc>
              <w:tc>
                <w:tcPr>
                  <w:tcW w:w="160" w:type="pct"/>
                  <w:tcBorders>
                    <w:tl2br w:val="nil"/>
                    <w:tr2bl w:val="nil"/>
                  </w:tcBorders>
                  <w:shd w:val="clear" w:color="auto" w:fill="auto"/>
                  <w:tcMar>
                    <w:top w:w="0" w:type="dxa"/>
                    <w:left w:w="0" w:type="dxa"/>
                    <w:bottom w:w="0" w:type="dxa"/>
                    <w:right w:w="0" w:type="dxa"/>
                  </w:tcMar>
                  <w:vAlign w:val="center"/>
                </w:tcPr>
                <w:p w14:paraId="0295751C">
                  <w:pPr>
                    <w:jc w:val="center"/>
                    <w:rPr>
                      <w:rFonts w:hint="eastAsia"/>
                      <w:color w:val="auto"/>
                      <w:sz w:val="20"/>
                      <w:szCs w:val="20"/>
                      <w:lang w:val="en-US" w:eastAsia="zh-CN"/>
                    </w:rPr>
                  </w:pPr>
                </w:p>
              </w:tc>
              <w:tc>
                <w:tcPr>
                  <w:tcW w:w="160" w:type="pct"/>
                  <w:tcBorders>
                    <w:tl2br w:val="nil"/>
                    <w:tr2bl w:val="nil"/>
                  </w:tcBorders>
                  <w:shd w:val="clear" w:color="auto" w:fill="auto"/>
                  <w:tcMar>
                    <w:top w:w="0" w:type="dxa"/>
                    <w:left w:w="0" w:type="dxa"/>
                    <w:bottom w:w="0" w:type="dxa"/>
                    <w:right w:w="0" w:type="dxa"/>
                  </w:tcMar>
                  <w:vAlign w:val="center"/>
                </w:tcPr>
                <w:p w14:paraId="4DAE2587">
                  <w:pPr>
                    <w:jc w:val="center"/>
                    <w:rPr>
                      <w:rFonts w:hint="eastAsia"/>
                      <w:color w:val="auto"/>
                      <w:sz w:val="20"/>
                      <w:szCs w:val="20"/>
                      <w:lang w:val="en-US" w:eastAsia="zh-CN"/>
                    </w:rPr>
                  </w:pPr>
                </w:p>
              </w:tc>
              <w:tc>
                <w:tcPr>
                  <w:tcW w:w="160" w:type="pct"/>
                  <w:tcBorders>
                    <w:tl2br w:val="nil"/>
                    <w:tr2bl w:val="nil"/>
                  </w:tcBorders>
                  <w:shd w:val="clear" w:color="auto" w:fill="auto"/>
                  <w:tcMar>
                    <w:top w:w="0" w:type="dxa"/>
                    <w:left w:w="0" w:type="dxa"/>
                    <w:bottom w:w="0" w:type="dxa"/>
                    <w:right w:w="0" w:type="dxa"/>
                  </w:tcMar>
                  <w:vAlign w:val="center"/>
                </w:tcPr>
                <w:p w14:paraId="6AD5CDFC">
                  <w:pPr>
                    <w:jc w:val="center"/>
                    <w:rPr>
                      <w:rFonts w:hint="eastAsia"/>
                      <w:color w:val="auto"/>
                      <w:sz w:val="20"/>
                      <w:szCs w:val="20"/>
                      <w:lang w:val="en-US" w:eastAsia="zh-CN"/>
                    </w:rPr>
                  </w:pPr>
                </w:p>
              </w:tc>
              <w:tc>
                <w:tcPr>
                  <w:tcW w:w="167" w:type="pct"/>
                  <w:tcBorders>
                    <w:tl2br w:val="nil"/>
                    <w:tr2bl w:val="nil"/>
                  </w:tcBorders>
                  <w:shd w:val="clear" w:color="auto" w:fill="auto"/>
                  <w:tcMar>
                    <w:top w:w="0" w:type="dxa"/>
                    <w:left w:w="0" w:type="dxa"/>
                    <w:bottom w:w="0" w:type="dxa"/>
                    <w:right w:w="0" w:type="dxa"/>
                  </w:tcMar>
                  <w:vAlign w:val="center"/>
                </w:tcPr>
                <w:p w14:paraId="514D0851">
                  <w:pPr>
                    <w:jc w:val="center"/>
                    <w:rPr>
                      <w:rFonts w:hint="eastAsia"/>
                      <w:color w:val="auto"/>
                      <w:sz w:val="20"/>
                      <w:szCs w:val="20"/>
                      <w:lang w:val="en-US" w:eastAsia="zh-CN"/>
                    </w:rPr>
                  </w:pPr>
                </w:p>
              </w:tc>
              <w:tc>
                <w:tcPr>
                  <w:tcW w:w="171" w:type="pct"/>
                  <w:tcBorders>
                    <w:tl2br w:val="nil"/>
                    <w:tr2bl w:val="nil"/>
                  </w:tcBorders>
                  <w:shd w:val="clear" w:color="auto" w:fill="auto"/>
                  <w:tcMar>
                    <w:top w:w="0" w:type="dxa"/>
                    <w:left w:w="0" w:type="dxa"/>
                    <w:bottom w:w="0" w:type="dxa"/>
                    <w:right w:w="0" w:type="dxa"/>
                  </w:tcMar>
                  <w:vAlign w:val="center"/>
                </w:tcPr>
                <w:p w14:paraId="3C427E2B">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default"/>
                      <w:color w:val="auto"/>
                      <w:sz w:val="18"/>
                      <w:szCs w:val="18"/>
                      <w:lang w:val="en-US" w:eastAsia="zh-CN"/>
                    </w:rPr>
                  </w:pPr>
                  <w:r>
                    <w:rPr>
                      <w:rFonts w:hint="eastAsia"/>
                      <w:color w:val="auto"/>
                      <w:sz w:val="18"/>
                      <w:szCs w:val="18"/>
                      <w:lang w:val="en-US" w:eastAsia="zh-CN"/>
                    </w:rPr>
                    <w:t>53.98</w:t>
                  </w:r>
                </w:p>
              </w:tc>
              <w:tc>
                <w:tcPr>
                  <w:tcW w:w="171" w:type="pct"/>
                  <w:tcBorders>
                    <w:tl2br w:val="nil"/>
                    <w:tr2bl w:val="nil"/>
                  </w:tcBorders>
                  <w:shd w:val="clear" w:color="auto" w:fill="auto"/>
                  <w:tcMar>
                    <w:top w:w="0" w:type="dxa"/>
                    <w:left w:w="0" w:type="dxa"/>
                    <w:bottom w:w="0" w:type="dxa"/>
                    <w:right w:w="0" w:type="dxa"/>
                  </w:tcMar>
                  <w:vAlign w:val="center"/>
                </w:tcPr>
                <w:p w14:paraId="77CB4A3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default"/>
                      <w:color w:val="auto"/>
                      <w:sz w:val="18"/>
                      <w:szCs w:val="18"/>
                      <w:lang w:val="en-US" w:eastAsia="zh-CN"/>
                    </w:rPr>
                  </w:pPr>
                  <w:r>
                    <w:rPr>
                      <w:rFonts w:hint="eastAsia"/>
                      <w:color w:val="auto"/>
                      <w:sz w:val="18"/>
                      <w:szCs w:val="18"/>
                      <w:lang w:val="en-US" w:eastAsia="zh-CN"/>
                    </w:rPr>
                    <w:t>52.68</w:t>
                  </w:r>
                </w:p>
              </w:tc>
              <w:tc>
                <w:tcPr>
                  <w:tcW w:w="172" w:type="pct"/>
                  <w:tcBorders>
                    <w:tl2br w:val="nil"/>
                    <w:tr2bl w:val="nil"/>
                  </w:tcBorders>
                  <w:shd w:val="clear" w:color="auto" w:fill="auto"/>
                  <w:tcMar>
                    <w:top w:w="0" w:type="dxa"/>
                    <w:left w:w="0" w:type="dxa"/>
                    <w:bottom w:w="0" w:type="dxa"/>
                    <w:right w:w="0" w:type="dxa"/>
                  </w:tcMar>
                  <w:vAlign w:val="center"/>
                </w:tcPr>
                <w:p w14:paraId="50FCE094">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default"/>
                      <w:color w:val="auto"/>
                      <w:sz w:val="18"/>
                      <w:szCs w:val="18"/>
                      <w:lang w:val="en-US" w:eastAsia="zh-CN"/>
                    </w:rPr>
                  </w:pPr>
                  <w:r>
                    <w:rPr>
                      <w:rFonts w:hint="eastAsia"/>
                      <w:color w:val="auto"/>
                      <w:sz w:val="18"/>
                      <w:szCs w:val="18"/>
                      <w:lang w:val="en-US" w:eastAsia="zh-CN"/>
                    </w:rPr>
                    <w:t>53</w:t>
                  </w:r>
                </w:p>
              </w:tc>
              <w:tc>
                <w:tcPr>
                  <w:tcW w:w="172" w:type="pct"/>
                  <w:tcBorders>
                    <w:tl2br w:val="nil"/>
                    <w:tr2bl w:val="nil"/>
                  </w:tcBorders>
                  <w:shd w:val="clear" w:color="auto" w:fill="auto"/>
                  <w:tcMar>
                    <w:top w:w="0" w:type="dxa"/>
                    <w:left w:w="0" w:type="dxa"/>
                    <w:bottom w:w="0" w:type="dxa"/>
                    <w:right w:w="0" w:type="dxa"/>
                  </w:tcMar>
                  <w:vAlign w:val="center"/>
                </w:tcPr>
                <w:p w14:paraId="6E8289E3">
                  <w:pPr>
                    <w:keepNext w:val="0"/>
                    <w:keepLines w:val="0"/>
                    <w:suppressLineNumbers w:val="0"/>
                    <w:autoSpaceDE w:val="0"/>
                    <w:autoSpaceDN w:val="0"/>
                    <w:adjustRightInd w:val="0"/>
                    <w:snapToGrid w:val="0"/>
                    <w:spacing w:before="0" w:beforeAutospacing="0" w:after="0" w:afterAutospacing="0" w:line="340" w:lineRule="exact"/>
                    <w:ind w:left="0" w:leftChars="0" w:right="0" w:rightChars="0"/>
                    <w:jc w:val="center"/>
                    <w:rPr>
                      <w:rFonts w:hint="default"/>
                      <w:color w:val="auto"/>
                      <w:sz w:val="18"/>
                      <w:szCs w:val="18"/>
                      <w:lang w:val="en-US" w:eastAsia="zh-CN"/>
                    </w:rPr>
                  </w:pPr>
                  <w:r>
                    <w:rPr>
                      <w:rFonts w:hint="eastAsia"/>
                      <w:color w:val="auto"/>
                      <w:sz w:val="18"/>
                      <w:szCs w:val="18"/>
                      <w:lang w:val="en-US" w:eastAsia="zh-CN"/>
                    </w:rPr>
                    <w:t>51.99</w:t>
                  </w:r>
                </w:p>
              </w:tc>
              <w:tc>
                <w:tcPr>
                  <w:tcW w:w="165" w:type="pct"/>
                  <w:tcBorders>
                    <w:tl2br w:val="nil"/>
                    <w:tr2bl w:val="nil"/>
                  </w:tcBorders>
                  <w:shd w:val="clear" w:color="auto" w:fill="auto"/>
                  <w:tcMar>
                    <w:top w:w="0" w:type="dxa"/>
                    <w:left w:w="0" w:type="dxa"/>
                    <w:bottom w:w="0" w:type="dxa"/>
                    <w:right w:w="0" w:type="dxa"/>
                  </w:tcMar>
                  <w:vAlign w:val="center"/>
                </w:tcPr>
                <w:p w14:paraId="6427383E">
                  <w:pPr>
                    <w:adjustRightInd w:val="0"/>
                    <w:snapToGrid w:val="0"/>
                    <w:jc w:val="center"/>
                    <w:rPr>
                      <w:rFonts w:hint="eastAsia"/>
                      <w:color w:val="auto"/>
                      <w:sz w:val="20"/>
                      <w:szCs w:val="20"/>
                      <w:lang w:val="en-US" w:eastAsia="zh-CN"/>
                    </w:rPr>
                  </w:pPr>
                </w:p>
              </w:tc>
            </w:tr>
            <w:tr w14:paraId="15F43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27"/>
                  <w:vAlign w:val="center"/>
                </w:tcPr>
                <w:p w14:paraId="15EEF22C">
                  <w:pPr>
                    <w:adjustRightInd w:val="0"/>
                    <w:snapToGrid w:val="0"/>
                    <w:jc w:val="left"/>
                    <w:rPr>
                      <w:color w:val="auto"/>
                      <w:sz w:val="20"/>
                      <w:szCs w:val="20"/>
                    </w:rPr>
                  </w:pPr>
                  <w:r>
                    <w:rPr>
                      <w:rFonts w:hint="eastAsia"/>
                      <w:color w:val="auto"/>
                      <w:sz w:val="21"/>
                      <w:szCs w:val="21"/>
                    </w:rPr>
                    <w:t>以厂房中心为坐标原点。</w:t>
                  </w:r>
                </w:p>
              </w:tc>
            </w:tr>
          </w:tbl>
          <w:p w14:paraId="4B7FD272">
            <w:pPr>
              <w:pStyle w:val="5"/>
              <w:keepNext/>
              <w:keepLines/>
              <w:pageBreakBefore w:val="0"/>
              <w:widowControl w:val="0"/>
              <w:numPr>
                <w:ilvl w:val="0"/>
                <w:numId w:val="0"/>
              </w:numPr>
              <w:kinsoku/>
              <w:wordWrap/>
              <w:overflowPunct/>
              <w:topLinePunct w:val="0"/>
              <w:autoSpaceDE/>
              <w:autoSpaceDN/>
              <w:bidi w:val="0"/>
              <w:adjustRightInd w:val="0"/>
              <w:snapToGrid w:val="0"/>
              <w:spacing w:before="157" w:beforeLines="50" w:line="360" w:lineRule="auto"/>
              <w:ind w:leftChars="200"/>
              <w:textAlignment w:val="baseline"/>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lang w:val="en-US" w:eastAsia="zh-CN"/>
              </w:rPr>
              <w:t>2、</w:t>
            </w:r>
            <w:r>
              <w:rPr>
                <w:rFonts w:hint="default" w:ascii="Times New Roman" w:hAnsi="Times New Roman" w:eastAsia="宋体" w:cs="Times New Roman"/>
                <w:b/>
                <w:bCs w:val="0"/>
                <w:color w:val="auto"/>
                <w:sz w:val="24"/>
                <w:szCs w:val="24"/>
                <w:highlight w:val="none"/>
              </w:rPr>
              <w:t>预测模式选择</w:t>
            </w:r>
          </w:p>
          <w:p w14:paraId="3AA0B419">
            <w:pPr>
              <w:pStyle w:val="100"/>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本次噪声影响评价按《环境影响评价技术导则</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声环境》(HJ2.4-2021)要求概化为点声源衰减预测模式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选用EIAN2.0噪声预测软件进行预测。具体</w:t>
            </w:r>
            <w:r>
              <w:rPr>
                <w:rFonts w:hint="default" w:ascii="Times New Roman" w:hAnsi="Times New Roman" w:eastAsia="宋体" w:cs="Times New Roman"/>
                <w:color w:val="auto"/>
                <w:highlight w:val="none"/>
              </w:rPr>
              <w:t>如下：</w:t>
            </w:r>
          </w:p>
          <w:p w14:paraId="480958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snapToGrid/>
                <w:color w:val="auto"/>
                <w:kern w:val="2"/>
                <w:sz w:val="24"/>
                <w:szCs w:val="24"/>
                <w:highlight w:val="none"/>
                <w:lang w:val="zh-CN" w:eastAsia="zh-CN" w:bidi="ar-SA"/>
              </w:rPr>
            </w:pPr>
            <w:r>
              <w:rPr>
                <w:rFonts w:hint="default" w:ascii="Times New Roman" w:hAnsi="Times New Roman" w:eastAsia="宋体" w:cs="Times New Roman"/>
                <w:b w:val="0"/>
                <w:bCs/>
                <w:snapToGrid/>
                <w:color w:val="auto"/>
                <w:kern w:val="2"/>
                <w:sz w:val="24"/>
                <w:szCs w:val="24"/>
                <w:highlight w:val="none"/>
                <w:lang w:val="en-US" w:eastAsia="zh-CN" w:bidi="ar-SA"/>
              </w:rPr>
              <w:t>A、</w:t>
            </w:r>
            <w:r>
              <w:rPr>
                <w:rFonts w:hint="default" w:ascii="Times New Roman" w:hAnsi="Times New Roman" w:eastAsia="宋体" w:cs="Times New Roman"/>
                <w:b w:val="0"/>
                <w:bCs/>
                <w:snapToGrid/>
                <w:color w:val="auto"/>
                <w:kern w:val="2"/>
                <w:sz w:val="24"/>
                <w:szCs w:val="24"/>
                <w:highlight w:val="none"/>
                <w:lang w:val="zh-CN" w:eastAsia="zh-CN" w:bidi="ar-SA"/>
              </w:rPr>
              <w:t>室内声源等效室外声源声功率</w:t>
            </w:r>
            <w:r>
              <w:rPr>
                <w:rFonts w:hint="default" w:ascii="Times New Roman" w:hAnsi="Times New Roman" w:eastAsia="宋体" w:cs="Times New Roman"/>
                <w:b w:val="0"/>
                <w:bCs/>
                <w:snapToGrid/>
                <w:color w:val="auto"/>
                <w:kern w:val="2"/>
                <w:sz w:val="24"/>
                <w:szCs w:val="24"/>
                <w:highlight w:val="none"/>
                <w:lang w:val="en-US" w:eastAsia="zh-CN" w:bidi="ar-SA"/>
              </w:rPr>
              <w:t>等</w:t>
            </w:r>
            <w:r>
              <w:rPr>
                <w:rFonts w:hint="default" w:ascii="Times New Roman" w:hAnsi="Times New Roman" w:eastAsia="宋体" w:cs="Times New Roman"/>
                <w:b w:val="0"/>
                <w:bCs/>
                <w:snapToGrid/>
                <w:color w:val="auto"/>
                <w:kern w:val="2"/>
                <w:sz w:val="24"/>
                <w:szCs w:val="24"/>
                <w:highlight w:val="none"/>
                <w:lang w:val="zh-CN" w:eastAsia="zh-CN" w:bidi="ar-SA"/>
              </w:rPr>
              <w:t>级计算</w:t>
            </w:r>
          </w:p>
          <w:p w14:paraId="6BF830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21" w:name="_Toc421261672"/>
            <w:bookmarkStart w:id="22" w:name="_Toc421261103"/>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-(TL+6)</w:t>
            </w:r>
            <w:bookmarkEnd w:id="21"/>
            <w:bookmarkEnd w:id="22"/>
          </w:p>
          <w:p w14:paraId="479CA47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式中：TL隔墙的隔声量，dB。</w:t>
            </w:r>
          </w:p>
          <w:p w14:paraId="02D53F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position w:val="-28"/>
                <w:sz w:val="24"/>
                <w:szCs w:val="24"/>
                <w:highlight w:val="none"/>
              </w:rPr>
              <w:object>
                <v:shape id="_x0000_i1030" o:spt="75" type="#_x0000_t75" style="height:34.65pt;width:141.7pt;" o:ole="t" filled="f" o:preferrelative="t" stroked="f" coordsize="21600,21600">
                  <v:path/>
                  <v:fill on="f" focussize="0,0"/>
                  <v:stroke on="f"/>
                  <v:imagedata r:id="rId23" o:title=""/>
                  <o:lock v:ext="edit" aspectratio="t"/>
                  <w10:wrap type="none"/>
                  <w10:anchorlock/>
                </v:shape>
                <o:OLEObject Type="Embed" ProgID="Equations" ShapeID="_x0000_i1030" DrawAspect="Content" ObjectID="_1468075730" r:id="rId22">
                  <o:LockedField>false</o:LockedField>
                </o:OLEObject>
              </w:object>
            </w:r>
          </w:p>
          <w:p w14:paraId="3ED27E7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级，dB；</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离声源的距离，m；</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房间常数，室内平均吸声系数；</w:t>
            </w:r>
            <w:r>
              <w:rPr>
                <w:rFonts w:hint="default" w:ascii="Times New Roman" w:hAnsi="Times New Roman" w:eastAsia="宋体" w:cs="Times New Roman"/>
                <w:i/>
                <w:color w:val="auto"/>
                <w:sz w:val="24"/>
                <w:szCs w:val="24"/>
                <w:highlight w:val="none"/>
              </w:rPr>
              <w:t>S</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室内总表面积，m；</w:t>
            </w:r>
            <w:r>
              <w:rPr>
                <w:rFonts w:hint="default" w:ascii="Times New Roman" w:hAnsi="Times New Roman" w:eastAsia="宋体" w:cs="Times New Roman"/>
                <w:i/>
                <w:color w:val="auto"/>
                <w:sz w:val="24"/>
                <w:szCs w:val="24"/>
                <w:highlight w:val="none"/>
              </w:rPr>
              <w:t>Q</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指向性因数，取值为1、2、4、8。</w:t>
            </w:r>
          </w:p>
          <w:p w14:paraId="60B937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用下式计算出中心位置位于透声面积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处的等效室外声源的声功率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w:t>
            </w:r>
          </w:p>
          <w:p w14:paraId="31DAB22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31" o:spt="75" type="#_x0000_t75" style="height:18.1pt;width:111.65pt;" o:ole="t" filled="f" o:preferrelative="t" stroked="f" coordsize="21600,21600">
                  <v:path/>
                  <v:fill on="f" focussize="0,0"/>
                  <v:stroke on="f"/>
                  <v:imagedata r:id="rId25" o:title=""/>
                  <o:lock v:ext="edit" aspectratio="t"/>
                  <w10:wrap type="none"/>
                  <w10:anchorlock/>
                </v:shape>
                <o:OLEObject Type="Embed" ProgID="Equations" ShapeID="_x0000_i1031" DrawAspect="Content" ObjectID="_1468075731" r:id="rId24">
                  <o:LockedField>false</o:LockedField>
                </o:OLEObject>
              </w:object>
            </w:r>
          </w:p>
          <w:p w14:paraId="3A5F8B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B、</w:t>
            </w:r>
            <w:r>
              <w:rPr>
                <w:rFonts w:hint="default" w:ascii="Times New Roman" w:hAnsi="Times New Roman" w:eastAsia="宋体" w:cs="Times New Roman"/>
                <w:bCs/>
                <w:color w:val="auto"/>
                <w:sz w:val="24"/>
                <w:szCs w:val="24"/>
                <w:highlight w:val="none"/>
                <w:lang w:val="zh-CN"/>
              </w:rPr>
              <w:t>单个室外的点声源在预测点产生的声压级的预测（只考虑距离的衰减）</w:t>
            </w:r>
          </w:p>
          <w:p w14:paraId="2ED1B6F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23" w:name="_Toc421261104"/>
            <w:bookmarkStart w:id="24" w:name="_Toc421261673"/>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bookmarkEnd w:id="23"/>
            <w:bookmarkEnd w:id="24"/>
          </w:p>
          <w:p w14:paraId="2A553A95">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指向性指数，dB(A)；</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几何发散引起的衰减，dB(A)</w:t>
            </w:r>
            <w:r>
              <w:rPr>
                <w:rFonts w:hint="default" w:ascii="Times New Roman" w:hAnsi="Times New Roman" w:eastAsia="宋体" w:cs="Times New Roman"/>
                <w:color w:val="auto"/>
                <w:sz w:val="24"/>
                <w:szCs w:val="24"/>
                <w:highlight w:val="none"/>
                <w:lang w:eastAsia="zh-CN"/>
              </w:rPr>
              <w:t>。</w:t>
            </w:r>
          </w:p>
        </w:tc>
      </w:tr>
    </w:tbl>
    <w:p w14:paraId="13EC3402">
      <w:pPr>
        <w:adjustRightInd w:val="0"/>
        <w:snapToGrid w:val="0"/>
        <w:jc w:val="center"/>
        <w:rPr>
          <w:rFonts w:hint="default" w:ascii="Times New Roman" w:hAnsi="Times New Roman" w:eastAsia="宋体" w:cs="Times New Roman"/>
          <w:bCs/>
          <w:color w:val="auto"/>
          <w:sz w:val="24"/>
          <w:szCs w:val="24"/>
          <w:highlight w:val="none"/>
        </w:rPr>
        <w:sectPr>
          <w:pgSz w:w="16840" w:h="11907"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90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302"/>
      </w:tblGrid>
      <w:tr w14:paraId="339E23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85" w:hRule="atLeast"/>
          <w:jc w:val="center"/>
        </w:trPr>
        <w:tc>
          <w:tcPr>
            <w:tcW w:w="754" w:type="dxa"/>
            <w:noWrap w:val="0"/>
            <w:tcMar>
              <w:left w:w="28" w:type="dxa"/>
              <w:right w:w="28" w:type="dxa"/>
            </w:tcMar>
            <w:vAlign w:val="center"/>
          </w:tcPr>
          <w:p w14:paraId="295250E0">
            <w:pPr>
              <w:adjustRightInd w:val="0"/>
              <w:snapToGrid w:val="0"/>
              <w:jc w:val="center"/>
              <w:rPr>
                <w:rFonts w:hint="default" w:ascii="Times New Roman" w:hAnsi="Times New Roman" w:eastAsia="宋体" w:cs="Times New Roman"/>
                <w:bCs/>
                <w:color w:val="auto"/>
                <w:sz w:val="24"/>
                <w:szCs w:val="24"/>
                <w:highlight w:val="none"/>
              </w:rPr>
            </w:pPr>
          </w:p>
        </w:tc>
        <w:tc>
          <w:tcPr>
            <w:tcW w:w="8302" w:type="dxa"/>
            <w:noWrap w:val="0"/>
            <w:vAlign w:val="center"/>
          </w:tcPr>
          <w:p w14:paraId="3CB96C4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C、</w:t>
            </w:r>
            <w:r>
              <w:rPr>
                <w:rFonts w:hint="default" w:ascii="Times New Roman" w:hAnsi="Times New Roman" w:eastAsia="宋体" w:cs="Times New Roman"/>
                <w:bCs/>
                <w:color w:val="auto"/>
                <w:sz w:val="24"/>
                <w:szCs w:val="24"/>
                <w:highlight w:val="none"/>
                <w:lang w:val="zh-CN"/>
              </w:rPr>
              <w:t>声级的计算</w:t>
            </w:r>
          </w:p>
          <w:p w14:paraId="162D461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25" w:name="_Toc421261674"/>
            <w:bookmarkStart w:id="26" w:name="_Toc421261105"/>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建设项目声源在预测点产生的等效声级贡献值：</w:t>
            </w:r>
            <w:bookmarkEnd w:id="25"/>
            <w:bookmarkEnd w:id="26"/>
          </w:p>
          <w:p w14:paraId="3BEE6C1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32" o:spt="75" type="#_x0000_t75" style="height:39.65pt;width:134.35pt;" o:ole="t" filled="f" o:preferrelative="t" stroked="f" coordsize="21600,21600">
                  <v:path/>
                  <v:fill on="f" focussize="0,0"/>
                  <v:stroke on="f"/>
                  <v:imagedata r:id="rId27" o:title=""/>
                  <o:lock v:ext="edit" aspectratio="t"/>
                  <w10:wrap type="none"/>
                  <w10:anchorlock/>
                </v:shape>
                <o:OLEObject Type="Embed" ProgID="Equations" ShapeID="_x0000_i1032" DrawAspect="Content" ObjectID="_1468075732" r:id="rId26">
                  <o:LockedField>false</o:LockedField>
                </o:OLEObject>
              </w:object>
            </w:r>
          </w:p>
          <w:p w14:paraId="47A6A0F5">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p>
          <w:p w14:paraId="01DB8F70">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Ai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声源在预测点产生的A声级，dB(A)；</w:t>
            </w:r>
          </w:p>
          <w:p w14:paraId="53A2DAB1">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预测计算的时间段，S；</w:t>
            </w:r>
          </w:p>
          <w:p w14:paraId="32BA8DA9">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i/>
                <w:color w:val="auto"/>
                <w:sz w:val="24"/>
                <w:szCs w:val="24"/>
                <w:highlight w:val="none"/>
                <w:vertAlign w:val="subscript"/>
              </w:rPr>
              <w:t>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rPr>
              <w:t>时段内的运行时间。</w:t>
            </w:r>
          </w:p>
          <w:p w14:paraId="322380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27" w:name="_Toc421261675"/>
            <w:bookmarkStart w:id="28" w:name="_Toc421261106"/>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预测点的预测等效声级计算</w:t>
            </w:r>
            <w:bookmarkEnd w:id="27"/>
            <w:bookmarkEnd w:id="28"/>
          </w:p>
          <w:p w14:paraId="0C52B60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33" o:spt="75" type="#_x0000_t75" style="height:21.95pt;width:140.9pt;" o:ole="t" filled="f" o:preferrelative="t" stroked="f" coordsize="21600,21600">
                  <v:path/>
                  <v:fill on="f" focussize="0,0"/>
                  <v:stroke on="f"/>
                  <v:imagedata r:id="rId29" o:title=""/>
                  <o:lock v:ext="edit" aspectratio="t"/>
                  <w10:wrap type="none"/>
                  <w10:anchorlock/>
                </v:shape>
                <o:OLEObject Type="Embed" ProgID="Equations" ShapeID="_x0000_i1033" DrawAspect="Content" ObjectID="_1468075733" r:id="rId28">
                  <o:LockedField>false</o:LockedField>
                </o:OLEObject>
              </w:object>
            </w:r>
          </w:p>
          <w:p w14:paraId="2807AA2C">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p>
          <w:p w14:paraId="368FAC7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预测点的背景值，dB(A)。</w:t>
            </w:r>
          </w:p>
          <w:p w14:paraId="16D86800">
            <w:pPr>
              <w:pStyle w:val="5"/>
              <w:pageBreakBefore w:val="0"/>
              <w:kinsoku/>
              <w:wordWrap/>
              <w:overflowPunct/>
              <w:topLinePunct w:val="0"/>
              <w:autoSpaceDE/>
              <w:autoSpaceDN/>
              <w:bidi w:val="0"/>
              <w:spacing w:line="360" w:lineRule="auto"/>
              <w:ind w:left="0"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预测结果及达标分析</w:t>
            </w:r>
          </w:p>
          <w:p w14:paraId="5A3C8A66">
            <w:pPr>
              <w:pStyle w:val="98"/>
              <w:spacing w:line="360" w:lineRule="auto"/>
              <w:ind w:firstLine="480" w:firstLineChars="200"/>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color w:val="auto"/>
                <w:sz w:val="24"/>
                <w:highlight w:val="none"/>
              </w:rPr>
              <w:t>各厂界噪声预测结果见表</w:t>
            </w:r>
            <w:r>
              <w:rPr>
                <w:rFonts w:hint="eastAsia" w:cs="Times New Roman"/>
                <w:color w:val="auto"/>
                <w:sz w:val="24"/>
                <w:highlight w:val="none"/>
                <w:lang w:val="en-US" w:eastAsia="zh-CN"/>
              </w:rPr>
              <w:t>4-18</w:t>
            </w:r>
            <w:r>
              <w:rPr>
                <w:rFonts w:hint="default" w:ascii="Times New Roman" w:hAnsi="Times New Roman" w:eastAsia="宋体" w:cs="Times New Roman"/>
                <w:color w:val="auto"/>
                <w:highlight w:val="none"/>
              </w:rPr>
              <w:t>。</w:t>
            </w:r>
          </w:p>
          <w:p w14:paraId="22ECC4D6">
            <w:pPr>
              <w:spacing w:line="240" w:lineRule="auto"/>
              <w:ind w:firstLine="422" w:firstLineChars="200"/>
              <w:jc w:val="center"/>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8</w:t>
            </w:r>
            <w:r>
              <w:rPr>
                <w:rFonts w:hint="default" w:ascii="Times New Roman" w:hAnsi="Times New Roman" w:eastAsia="宋体" w:cs="Times New Roman"/>
                <w:b/>
                <w:bCs/>
                <w:color w:val="auto"/>
                <w:sz w:val="21"/>
                <w:szCs w:val="21"/>
                <w:highlight w:val="none"/>
                <w:lang w:val="en-US" w:eastAsia="zh-CN"/>
              </w:rPr>
              <w:t xml:space="preserve">  项目区域厂界</w:t>
            </w:r>
            <w:r>
              <w:rPr>
                <w:rFonts w:hint="default" w:ascii="Times New Roman" w:hAnsi="Times New Roman" w:eastAsia="宋体" w:cs="Times New Roman"/>
                <w:b/>
                <w:bCs/>
                <w:color w:val="auto"/>
                <w:sz w:val="21"/>
                <w:szCs w:val="21"/>
                <w:highlight w:val="none"/>
                <w:lang w:eastAsia="zh-CN"/>
              </w:rPr>
              <w:t>噪声预测结果一览表</w:t>
            </w:r>
            <w:r>
              <w:rPr>
                <w:rFonts w:hint="eastAsia" w:cs="Times New Roman"/>
                <w:b/>
                <w:bCs/>
                <w:color w:val="auto"/>
                <w:sz w:val="21"/>
                <w:szCs w:val="21"/>
                <w:highlight w:val="none"/>
                <w:lang w:val="en-US" w:eastAsia="zh-CN"/>
              </w:rPr>
              <w:t xml:space="preserve">  </w:t>
            </w:r>
            <w:r>
              <w:rPr>
                <w:rFonts w:hint="eastAsia"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单位：dB（A）</w:t>
            </w:r>
            <w:r>
              <w:rPr>
                <w:rFonts w:hint="eastAsia" w:cs="Times New Roman"/>
                <w:b w:val="0"/>
                <w:bCs w:val="0"/>
                <w:color w:val="auto"/>
                <w:sz w:val="21"/>
                <w:szCs w:val="21"/>
                <w:highlight w:val="none"/>
                <w:lang w:val="en-US" w:eastAsia="zh-CN"/>
              </w:rPr>
              <w:t>]</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072"/>
              <w:gridCol w:w="725"/>
              <w:gridCol w:w="725"/>
              <w:gridCol w:w="725"/>
              <w:gridCol w:w="725"/>
              <w:gridCol w:w="519"/>
              <w:gridCol w:w="522"/>
              <w:gridCol w:w="796"/>
              <w:gridCol w:w="797"/>
            </w:tblGrid>
            <w:tr w14:paraId="0B094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restart"/>
                  <w:tcBorders>
                    <w:tl2br w:val="nil"/>
                    <w:tr2bl w:val="nil"/>
                  </w:tcBorders>
                  <w:noWrap/>
                  <w:vAlign w:val="center"/>
                </w:tcPr>
                <w:p w14:paraId="6F487AC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预测点</w:t>
                  </w:r>
                </w:p>
              </w:tc>
              <w:tc>
                <w:tcPr>
                  <w:tcW w:w="662" w:type="pct"/>
                  <w:vMerge w:val="restart"/>
                  <w:tcBorders>
                    <w:tl2br w:val="nil"/>
                    <w:tr2bl w:val="nil"/>
                  </w:tcBorders>
                  <w:noWrap/>
                  <w:vAlign w:val="center"/>
                </w:tcPr>
                <w:p w14:paraId="3AC0ED5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贡献值</w:t>
                  </w:r>
                </w:p>
              </w:tc>
              <w:tc>
                <w:tcPr>
                  <w:tcW w:w="896" w:type="pct"/>
                  <w:gridSpan w:val="2"/>
                  <w:tcBorders>
                    <w:tl2br w:val="nil"/>
                    <w:tr2bl w:val="nil"/>
                  </w:tcBorders>
                  <w:noWrap/>
                  <w:vAlign w:val="center"/>
                </w:tcPr>
                <w:p w14:paraId="500DCD8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背景值</w:t>
                  </w:r>
                </w:p>
              </w:tc>
              <w:tc>
                <w:tcPr>
                  <w:tcW w:w="896" w:type="pct"/>
                  <w:gridSpan w:val="2"/>
                  <w:tcBorders>
                    <w:tl2br w:val="nil"/>
                    <w:tr2bl w:val="nil"/>
                  </w:tcBorders>
                  <w:noWrap/>
                  <w:vAlign w:val="center"/>
                </w:tcPr>
                <w:p w14:paraId="3E4C587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预测值</w:t>
                  </w:r>
                </w:p>
              </w:tc>
              <w:tc>
                <w:tcPr>
                  <w:tcW w:w="643" w:type="pct"/>
                  <w:gridSpan w:val="2"/>
                  <w:tcBorders>
                    <w:tl2br w:val="nil"/>
                    <w:tr2bl w:val="nil"/>
                  </w:tcBorders>
                  <w:noWrap/>
                  <w:vAlign w:val="center"/>
                </w:tcPr>
                <w:p w14:paraId="37BAF70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标准</w:t>
                  </w:r>
                </w:p>
              </w:tc>
              <w:tc>
                <w:tcPr>
                  <w:tcW w:w="985" w:type="pct"/>
                  <w:gridSpan w:val="2"/>
                  <w:tcBorders>
                    <w:tl2br w:val="nil"/>
                    <w:tr2bl w:val="nil"/>
                  </w:tcBorders>
                  <w:noWrap/>
                  <w:vAlign w:val="center"/>
                </w:tcPr>
                <w:p w14:paraId="1E3C05A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超标情况</w:t>
                  </w:r>
                </w:p>
              </w:tc>
            </w:tr>
            <w:tr w14:paraId="3106EF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continue"/>
                  <w:tcBorders>
                    <w:tl2br w:val="nil"/>
                    <w:tr2bl w:val="nil"/>
                  </w:tcBorders>
                  <w:noWrap/>
                  <w:vAlign w:val="center"/>
                </w:tcPr>
                <w:p w14:paraId="7D7F212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662" w:type="pct"/>
                  <w:vMerge w:val="continue"/>
                  <w:tcBorders>
                    <w:tl2br w:val="nil"/>
                    <w:tr2bl w:val="nil"/>
                  </w:tcBorders>
                  <w:noWrap/>
                  <w:vAlign w:val="center"/>
                </w:tcPr>
                <w:p w14:paraId="554DCD6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448" w:type="pct"/>
                  <w:tcBorders>
                    <w:tl2br w:val="nil"/>
                    <w:tr2bl w:val="nil"/>
                  </w:tcBorders>
                  <w:noWrap/>
                  <w:vAlign w:val="center"/>
                </w:tcPr>
                <w:p w14:paraId="0DEE044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334F94E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48" w:type="pct"/>
                  <w:tcBorders>
                    <w:tl2br w:val="nil"/>
                    <w:tr2bl w:val="nil"/>
                  </w:tcBorders>
                  <w:noWrap/>
                  <w:vAlign w:val="center"/>
                </w:tcPr>
                <w:p w14:paraId="1F3A386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65EF110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320" w:type="pct"/>
                  <w:tcBorders>
                    <w:tl2br w:val="nil"/>
                    <w:tr2bl w:val="nil"/>
                  </w:tcBorders>
                  <w:noWrap/>
                  <w:vAlign w:val="center"/>
                </w:tcPr>
                <w:p w14:paraId="3F330F7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322" w:type="pct"/>
                  <w:tcBorders>
                    <w:tl2br w:val="nil"/>
                    <w:tr2bl w:val="nil"/>
                  </w:tcBorders>
                  <w:noWrap/>
                  <w:vAlign w:val="center"/>
                </w:tcPr>
                <w:p w14:paraId="01C0D96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92" w:type="pct"/>
                  <w:tcBorders>
                    <w:tl2br w:val="nil"/>
                    <w:tr2bl w:val="nil"/>
                  </w:tcBorders>
                  <w:noWrap/>
                  <w:vAlign w:val="center"/>
                </w:tcPr>
                <w:p w14:paraId="4C06C51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92" w:type="pct"/>
                  <w:tcBorders>
                    <w:tl2br w:val="nil"/>
                    <w:tr2bl w:val="nil"/>
                  </w:tcBorders>
                  <w:noWrap/>
                  <w:vAlign w:val="center"/>
                </w:tcPr>
                <w:p w14:paraId="5058DCB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r>
            <w:tr w14:paraId="746F2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3445AC03">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厂界东面</w:t>
                  </w:r>
                </w:p>
              </w:tc>
              <w:tc>
                <w:tcPr>
                  <w:tcW w:w="662" w:type="pct"/>
                  <w:tcBorders>
                    <w:tl2br w:val="nil"/>
                    <w:tr2bl w:val="nil"/>
                  </w:tcBorders>
                  <w:noWrap/>
                  <w:vAlign w:val="center"/>
                </w:tcPr>
                <w:p w14:paraId="32F4252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33</w:t>
                  </w:r>
                </w:p>
              </w:tc>
              <w:tc>
                <w:tcPr>
                  <w:tcW w:w="448" w:type="pct"/>
                  <w:tcBorders>
                    <w:tl2br w:val="nil"/>
                    <w:tr2bl w:val="nil"/>
                  </w:tcBorders>
                  <w:shd w:val="clear" w:color="auto" w:fill="auto"/>
                  <w:noWrap/>
                  <w:vAlign w:val="center"/>
                </w:tcPr>
                <w:p w14:paraId="2A51BAD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53.98</w:t>
                  </w:r>
                </w:p>
              </w:tc>
              <w:tc>
                <w:tcPr>
                  <w:tcW w:w="448" w:type="pct"/>
                  <w:tcBorders>
                    <w:tl2br w:val="nil"/>
                    <w:tr2bl w:val="nil"/>
                  </w:tcBorders>
                  <w:noWrap/>
                  <w:vAlign w:val="center"/>
                </w:tcPr>
                <w:p w14:paraId="19D80DFE">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w:t>
                  </w:r>
                </w:p>
              </w:tc>
              <w:tc>
                <w:tcPr>
                  <w:tcW w:w="725" w:type="dxa"/>
                  <w:tcBorders>
                    <w:tl2br w:val="nil"/>
                    <w:tr2bl w:val="nil"/>
                  </w:tcBorders>
                  <w:noWrap/>
                  <w:vAlign w:val="center"/>
                </w:tcPr>
                <w:p w14:paraId="3B175AB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53.98</w:t>
                  </w:r>
                </w:p>
              </w:tc>
              <w:tc>
                <w:tcPr>
                  <w:tcW w:w="448" w:type="pct"/>
                  <w:tcBorders>
                    <w:tl2br w:val="nil"/>
                    <w:tr2bl w:val="nil"/>
                  </w:tcBorders>
                  <w:noWrap/>
                  <w:vAlign w:val="center"/>
                </w:tcPr>
                <w:p w14:paraId="7A56B53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320" w:type="pct"/>
                  <w:tcBorders>
                    <w:tl2br w:val="nil"/>
                    <w:tr2bl w:val="nil"/>
                  </w:tcBorders>
                  <w:noWrap/>
                  <w:vAlign w:val="center"/>
                </w:tcPr>
                <w:p w14:paraId="723FC47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65</w:t>
                  </w:r>
                </w:p>
              </w:tc>
              <w:tc>
                <w:tcPr>
                  <w:tcW w:w="322" w:type="pct"/>
                  <w:tcBorders>
                    <w:tl2br w:val="nil"/>
                    <w:tr2bl w:val="nil"/>
                  </w:tcBorders>
                  <w:noWrap/>
                  <w:vAlign w:val="center"/>
                </w:tcPr>
                <w:p w14:paraId="3D85059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2" w:type="pct"/>
                  <w:tcBorders>
                    <w:tl2br w:val="nil"/>
                    <w:tr2bl w:val="nil"/>
                  </w:tcBorders>
                  <w:noWrap/>
                  <w:vAlign w:val="center"/>
                </w:tcPr>
                <w:p w14:paraId="64C6096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2" w:type="pct"/>
                  <w:tcBorders>
                    <w:tl2br w:val="nil"/>
                    <w:tr2bl w:val="nil"/>
                  </w:tcBorders>
                  <w:noWrap/>
                  <w:vAlign w:val="center"/>
                </w:tcPr>
                <w:p w14:paraId="06AF430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58381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124D1E65">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厂界南面</w:t>
                  </w:r>
                </w:p>
              </w:tc>
              <w:tc>
                <w:tcPr>
                  <w:tcW w:w="662" w:type="pct"/>
                  <w:tcBorders>
                    <w:tl2br w:val="nil"/>
                    <w:tr2bl w:val="nil"/>
                  </w:tcBorders>
                  <w:noWrap/>
                  <w:vAlign w:val="center"/>
                </w:tcPr>
                <w:p w14:paraId="3D3578E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32</w:t>
                  </w:r>
                </w:p>
              </w:tc>
              <w:tc>
                <w:tcPr>
                  <w:tcW w:w="448" w:type="pct"/>
                  <w:tcBorders>
                    <w:tl2br w:val="nil"/>
                    <w:tr2bl w:val="nil"/>
                  </w:tcBorders>
                  <w:shd w:val="clear" w:color="auto" w:fill="auto"/>
                  <w:noWrap/>
                  <w:vAlign w:val="center"/>
                </w:tcPr>
                <w:p w14:paraId="16117DB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52.68</w:t>
                  </w:r>
                </w:p>
              </w:tc>
              <w:tc>
                <w:tcPr>
                  <w:tcW w:w="448" w:type="pct"/>
                  <w:tcBorders>
                    <w:tl2br w:val="nil"/>
                    <w:tr2bl w:val="nil"/>
                  </w:tcBorders>
                  <w:noWrap/>
                  <w:vAlign w:val="center"/>
                </w:tcPr>
                <w:p w14:paraId="49FEC13D">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w:t>
                  </w:r>
                </w:p>
              </w:tc>
              <w:tc>
                <w:tcPr>
                  <w:tcW w:w="725" w:type="dxa"/>
                  <w:tcBorders>
                    <w:tl2br w:val="nil"/>
                    <w:tr2bl w:val="nil"/>
                  </w:tcBorders>
                  <w:noWrap/>
                  <w:vAlign w:val="center"/>
                </w:tcPr>
                <w:p w14:paraId="47B4471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52.68</w:t>
                  </w:r>
                </w:p>
              </w:tc>
              <w:tc>
                <w:tcPr>
                  <w:tcW w:w="448" w:type="pct"/>
                  <w:tcBorders>
                    <w:tl2br w:val="nil"/>
                    <w:tr2bl w:val="nil"/>
                  </w:tcBorders>
                  <w:noWrap/>
                  <w:vAlign w:val="center"/>
                </w:tcPr>
                <w:p w14:paraId="19D1569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320" w:type="pct"/>
                  <w:tcBorders>
                    <w:tl2br w:val="nil"/>
                    <w:tr2bl w:val="nil"/>
                  </w:tcBorders>
                  <w:noWrap/>
                  <w:vAlign w:val="center"/>
                </w:tcPr>
                <w:p w14:paraId="4D61B32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65</w:t>
                  </w:r>
                </w:p>
              </w:tc>
              <w:tc>
                <w:tcPr>
                  <w:tcW w:w="322" w:type="pct"/>
                  <w:tcBorders>
                    <w:tl2br w:val="nil"/>
                    <w:tr2bl w:val="nil"/>
                  </w:tcBorders>
                  <w:noWrap/>
                  <w:vAlign w:val="center"/>
                </w:tcPr>
                <w:p w14:paraId="67ABFD5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2" w:type="pct"/>
                  <w:tcBorders>
                    <w:tl2br w:val="nil"/>
                    <w:tr2bl w:val="nil"/>
                  </w:tcBorders>
                  <w:noWrap/>
                  <w:vAlign w:val="center"/>
                </w:tcPr>
                <w:p w14:paraId="240C86D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2" w:type="pct"/>
                  <w:tcBorders>
                    <w:tl2br w:val="nil"/>
                    <w:tr2bl w:val="nil"/>
                  </w:tcBorders>
                  <w:noWrap/>
                  <w:vAlign w:val="center"/>
                </w:tcPr>
                <w:p w14:paraId="12B7107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61951D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054AEDC4">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厂界西面</w:t>
                  </w:r>
                </w:p>
              </w:tc>
              <w:tc>
                <w:tcPr>
                  <w:tcW w:w="662" w:type="pct"/>
                  <w:tcBorders>
                    <w:tl2br w:val="nil"/>
                    <w:tr2bl w:val="nil"/>
                  </w:tcBorders>
                  <w:noWrap/>
                  <w:vAlign w:val="center"/>
                </w:tcPr>
                <w:p w14:paraId="3C1D7D5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35</w:t>
                  </w:r>
                </w:p>
              </w:tc>
              <w:tc>
                <w:tcPr>
                  <w:tcW w:w="448" w:type="pct"/>
                  <w:tcBorders>
                    <w:tl2br w:val="nil"/>
                    <w:tr2bl w:val="nil"/>
                  </w:tcBorders>
                  <w:noWrap/>
                  <w:vAlign w:val="center"/>
                </w:tcPr>
                <w:p w14:paraId="3ECA82CD">
                  <w:pPr>
                    <w:autoSpaceDE w:val="0"/>
                    <w:autoSpaceDN w:val="0"/>
                    <w:adjustRightIn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3</w:t>
                  </w:r>
                </w:p>
              </w:tc>
              <w:tc>
                <w:tcPr>
                  <w:tcW w:w="448" w:type="pct"/>
                  <w:tcBorders>
                    <w:tl2br w:val="nil"/>
                    <w:tr2bl w:val="nil"/>
                  </w:tcBorders>
                  <w:noWrap/>
                  <w:vAlign w:val="center"/>
                </w:tcPr>
                <w:p w14:paraId="693B80B0">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w:t>
                  </w:r>
                </w:p>
              </w:tc>
              <w:tc>
                <w:tcPr>
                  <w:tcW w:w="725" w:type="dxa"/>
                  <w:tcBorders>
                    <w:tl2br w:val="nil"/>
                    <w:tr2bl w:val="nil"/>
                  </w:tcBorders>
                  <w:noWrap/>
                  <w:vAlign w:val="center"/>
                </w:tcPr>
                <w:p w14:paraId="37C98D69">
                  <w:pPr>
                    <w:autoSpaceDE w:val="0"/>
                    <w:autoSpaceDN w:val="0"/>
                    <w:adjustRightIn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3</w:t>
                  </w:r>
                </w:p>
              </w:tc>
              <w:tc>
                <w:tcPr>
                  <w:tcW w:w="448" w:type="pct"/>
                  <w:tcBorders>
                    <w:tl2br w:val="nil"/>
                    <w:tr2bl w:val="nil"/>
                  </w:tcBorders>
                  <w:noWrap/>
                  <w:vAlign w:val="center"/>
                </w:tcPr>
                <w:p w14:paraId="2405DD1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320" w:type="pct"/>
                  <w:tcBorders>
                    <w:tl2br w:val="nil"/>
                    <w:tr2bl w:val="nil"/>
                  </w:tcBorders>
                  <w:noWrap/>
                  <w:vAlign w:val="center"/>
                </w:tcPr>
                <w:p w14:paraId="02A8242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65</w:t>
                  </w:r>
                </w:p>
              </w:tc>
              <w:tc>
                <w:tcPr>
                  <w:tcW w:w="322" w:type="pct"/>
                  <w:tcBorders>
                    <w:tl2br w:val="nil"/>
                    <w:tr2bl w:val="nil"/>
                  </w:tcBorders>
                  <w:noWrap/>
                  <w:vAlign w:val="center"/>
                </w:tcPr>
                <w:p w14:paraId="30AF60F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2" w:type="pct"/>
                  <w:tcBorders>
                    <w:tl2br w:val="nil"/>
                    <w:tr2bl w:val="nil"/>
                  </w:tcBorders>
                  <w:noWrap/>
                  <w:vAlign w:val="center"/>
                </w:tcPr>
                <w:p w14:paraId="3C36210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2" w:type="pct"/>
                  <w:tcBorders>
                    <w:tl2br w:val="nil"/>
                    <w:tr2bl w:val="nil"/>
                  </w:tcBorders>
                  <w:noWrap/>
                  <w:vAlign w:val="center"/>
                </w:tcPr>
                <w:p w14:paraId="22802E4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520C96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6B0F2923">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厂界北面</w:t>
                  </w:r>
                </w:p>
              </w:tc>
              <w:tc>
                <w:tcPr>
                  <w:tcW w:w="662" w:type="pct"/>
                  <w:tcBorders>
                    <w:tl2br w:val="nil"/>
                    <w:tr2bl w:val="nil"/>
                  </w:tcBorders>
                  <w:noWrap/>
                  <w:vAlign w:val="center"/>
                </w:tcPr>
                <w:p w14:paraId="2331337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31</w:t>
                  </w:r>
                </w:p>
              </w:tc>
              <w:tc>
                <w:tcPr>
                  <w:tcW w:w="448" w:type="pct"/>
                  <w:tcBorders>
                    <w:tl2br w:val="nil"/>
                    <w:tr2bl w:val="nil"/>
                  </w:tcBorders>
                  <w:shd w:val="clear" w:color="auto" w:fill="auto"/>
                  <w:noWrap/>
                  <w:vAlign w:val="center"/>
                </w:tcPr>
                <w:p w14:paraId="1B63313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51.99</w:t>
                  </w:r>
                </w:p>
              </w:tc>
              <w:tc>
                <w:tcPr>
                  <w:tcW w:w="448" w:type="pct"/>
                  <w:tcBorders>
                    <w:tl2br w:val="nil"/>
                    <w:tr2bl w:val="nil"/>
                  </w:tcBorders>
                  <w:noWrap/>
                  <w:vAlign w:val="center"/>
                </w:tcPr>
                <w:p w14:paraId="7204C2B0">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w:t>
                  </w:r>
                </w:p>
              </w:tc>
              <w:tc>
                <w:tcPr>
                  <w:tcW w:w="725" w:type="dxa"/>
                  <w:tcBorders>
                    <w:tl2br w:val="nil"/>
                    <w:tr2bl w:val="nil"/>
                  </w:tcBorders>
                  <w:noWrap/>
                  <w:vAlign w:val="center"/>
                </w:tcPr>
                <w:p w14:paraId="4B59E4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51.99</w:t>
                  </w:r>
                </w:p>
              </w:tc>
              <w:tc>
                <w:tcPr>
                  <w:tcW w:w="448" w:type="pct"/>
                  <w:tcBorders>
                    <w:tl2br w:val="nil"/>
                    <w:tr2bl w:val="nil"/>
                  </w:tcBorders>
                  <w:noWrap/>
                  <w:vAlign w:val="center"/>
                </w:tcPr>
                <w:p w14:paraId="0694A4D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320" w:type="pct"/>
                  <w:tcBorders>
                    <w:tl2br w:val="nil"/>
                    <w:tr2bl w:val="nil"/>
                  </w:tcBorders>
                  <w:noWrap/>
                  <w:vAlign w:val="center"/>
                </w:tcPr>
                <w:p w14:paraId="33D070E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65</w:t>
                  </w:r>
                </w:p>
              </w:tc>
              <w:tc>
                <w:tcPr>
                  <w:tcW w:w="322" w:type="pct"/>
                  <w:tcBorders>
                    <w:tl2br w:val="nil"/>
                    <w:tr2bl w:val="nil"/>
                  </w:tcBorders>
                  <w:noWrap/>
                  <w:vAlign w:val="center"/>
                </w:tcPr>
                <w:p w14:paraId="1DA1BC1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2" w:type="pct"/>
                  <w:tcBorders>
                    <w:tl2br w:val="nil"/>
                    <w:tr2bl w:val="nil"/>
                  </w:tcBorders>
                  <w:noWrap/>
                  <w:vAlign w:val="center"/>
                </w:tcPr>
                <w:p w14:paraId="4753D2A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2" w:type="pct"/>
                  <w:tcBorders>
                    <w:tl2br w:val="nil"/>
                    <w:tr2bl w:val="nil"/>
                  </w:tcBorders>
                  <w:noWrap/>
                  <w:vAlign w:val="center"/>
                </w:tcPr>
                <w:p w14:paraId="7B7F5BA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bl>
          <w:p w14:paraId="72930596">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根据噪声预测结果可知，本项目噪声通过厂房墙体隔声以及设备减震，项目</w:t>
            </w:r>
            <w:r>
              <w:rPr>
                <w:rFonts w:hint="eastAsia" w:ascii="Times New Roman" w:hAnsi="Times New Roman" w:eastAsia="宋体" w:cs="Times New Roman"/>
                <w:color w:val="auto"/>
                <w:sz w:val="24"/>
                <w:szCs w:val="24"/>
                <w:highlight w:val="none"/>
                <w:lang w:val="en-US" w:eastAsia="zh-CN"/>
              </w:rPr>
              <w:t>厂界四周</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类标准</w:t>
            </w:r>
            <w:r>
              <w:rPr>
                <w:rFonts w:hint="eastAsia"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对周边环境影响较小</w:t>
            </w:r>
            <w:r>
              <w:rPr>
                <w:rFonts w:hint="default" w:ascii="Times New Roman" w:hAnsi="Times New Roman" w:eastAsia="宋体" w:cs="Times New Roman"/>
                <w:color w:val="auto"/>
                <w:sz w:val="24"/>
                <w:szCs w:val="24"/>
                <w:highlight w:val="none"/>
              </w:rPr>
              <w:t>。</w:t>
            </w:r>
          </w:p>
          <w:p w14:paraId="4CB0971D">
            <w:pPr>
              <w:pStyle w:val="145"/>
              <w:pageBreakBefore w:val="0"/>
              <w:kinsoku/>
              <w:wordWrap/>
              <w:overflowPunct/>
              <w:bidi w:val="0"/>
              <w:snapToGrid/>
              <w:spacing w:before="0" w:beforeLines="0" w:line="360" w:lineRule="auto"/>
              <w:ind w:firstLine="482" w:firstLineChars="200"/>
              <w:jc w:val="both"/>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降噪措施</w:t>
            </w:r>
          </w:p>
          <w:p w14:paraId="13CB19E5">
            <w:pPr>
              <w:pStyle w:val="145"/>
              <w:pageBreakBefore w:val="0"/>
              <w:kinsoku/>
              <w:wordWrap/>
              <w:overflowPunct/>
              <w:bidi w:val="0"/>
              <w:snapToGrid/>
              <w:spacing w:before="0" w:beforeLines="0" w:line="360" w:lineRule="auto"/>
              <w:ind w:firstLine="480" w:firstLineChars="200"/>
              <w:jc w:val="both"/>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这些复合噪声源经相应的降噪措施处理后，通过建筑物门窗、墙壁以及绿化带的吸收、屏蔽及阻挡作用，将会大幅度</w:t>
            </w:r>
            <w:r>
              <w:rPr>
                <w:rFonts w:hint="default" w:ascii="Times New Roman" w:hAnsi="Times New Roman" w:eastAsia="宋体" w:cs="Times New Roman"/>
                <w:bCs/>
                <w:color w:val="auto"/>
                <w:sz w:val="24"/>
                <w:szCs w:val="24"/>
                <w:highlight w:val="none"/>
                <w:lang w:eastAsia="zh-CN"/>
              </w:rPr>
              <w:t>地</w:t>
            </w:r>
            <w:r>
              <w:rPr>
                <w:rFonts w:hint="default" w:ascii="Times New Roman" w:hAnsi="Times New Roman" w:eastAsia="宋体" w:cs="Times New Roman"/>
                <w:bCs/>
                <w:color w:val="auto"/>
                <w:sz w:val="24"/>
                <w:szCs w:val="24"/>
                <w:highlight w:val="none"/>
              </w:rPr>
              <w:t>衰减。具体的降噪措施有：</w:t>
            </w:r>
          </w:p>
          <w:p w14:paraId="274AF352">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①从声源上控制，选择低噪声和符合国家噪声标准的设备。</w:t>
            </w:r>
          </w:p>
          <w:p w14:paraId="51010375">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②采用隔声降噪、局部吸声技术。对各生产加工环节中噪声较为突出的，且又难以对声源进行降噪的设备装置，应安装适宜的隔声罩、</w:t>
            </w:r>
            <w:r>
              <w:rPr>
                <w:rFonts w:hint="default" w:ascii="Times New Roman" w:hAnsi="Times New Roman" w:eastAsia="宋体" w:cs="Times New Roman"/>
                <w:color w:val="auto"/>
                <w:sz w:val="24"/>
                <w:szCs w:val="24"/>
                <w:highlight w:val="none"/>
                <w:lang w:eastAsia="zh-CN"/>
              </w:rPr>
              <w:t>消声器</w:t>
            </w:r>
            <w:r>
              <w:rPr>
                <w:rFonts w:hint="default" w:ascii="Times New Roman" w:hAnsi="Times New Roman" w:eastAsia="宋体" w:cs="Times New Roman"/>
                <w:color w:val="auto"/>
                <w:sz w:val="24"/>
                <w:szCs w:val="24"/>
                <w:highlight w:val="none"/>
              </w:rPr>
              <w:t>等设施。对于产</w:t>
            </w:r>
            <w:r>
              <w:rPr>
                <w:rFonts w:hint="default" w:ascii="Times New Roman" w:hAnsi="Times New Roman" w:eastAsia="宋体" w:cs="Times New Roman"/>
                <w:color w:val="auto"/>
                <w:sz w:val="24"/>
                <w:szCs w:val="24"/>
                <w:highlight w:val="none"/>
                <w:lang w:eastAsia="zh-CN"/>
              </w:rPr>
              <w:t>噪声</w:t>
            </w:r>
            <w:r>
              <w:rPr>
                <w:rFonts w:hint="default" w:ascii="Times New Roman" w:hAnsi="Times New Roman" w:eastAsia="宋体" w:cs="Times New Roman"/>
                <w:color w:val="auto"/>
                <w:sz w:val="24"/>
                <w:szCs w:val="24"/>
                <w:highlight w:val="none"/>
              </w:rPr>
              <w:t>较大的独立设备，可采用固定或密封式隔声罩以及局部隔声罩，将噪声影响控制在较小的范围内。隔声罩的壳壁用薄钢板制成，在罩内涂刷沥青阻尼层，为了降低罩的声能密度和提高隔声效果，可在罩内附吸声层。</w:t>
            </w:r>
          </w:p>
          <w:p w14:paraId="480F439A">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③降低振动噪声。采用弹性支承或弹性连接以减少振动。采用动力消振装置或设置隔振屏。</w:t>
            </w:r>
          </w:p>
          <w:p w14:paraId="64EC2279">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color w:val="auto"/>
                <w:sz w:val="24"/>
                <w:szCs w:val="24"/>
                <w:highlight w:val="none"/>
                <w:lang w:val="en-US" w:eastAsia="zh-CN"/>
              </w:rPr>
              <w:t>通过</w:t>
            </w:r>
            <w:r>
              <w:rPr>
                <w:rFonts w:hint="default" w:ascii="Times New Roman" w:hAnsi="Times New Roman" w:eastAsia="宋体" w:cs="Times New Roman"/>
                <w:color w:val="auto"/>
                <w:sz w:val="24"/>
                <w:szCs w:val="24"/>
                <w:highlight w:val="none"/>
                <w:lang w:eastAsia="zh-CN"/>
              </w:rPr>
              <w:t>选用低噪声设备并采取隔声、减振、消声等措施，</w:t>
            </w:r>
            <w:r>
              <w:rPr>
                <w:rFonts w:hint="default" w:ascii="Times New Roman" w:hAnsi="Times New Roman" w:eastAsia="宋体" w:cs="Times New Roman"/>
                <w:color w:val="auto"/>
                <w:sz w:val="24"/>
                <w:szCs w:val="24"/>
                <w:highlight w:val="none"/>
                <w:lang w:val="en-US" w:eastAsia="zh-CN"/>
              </w:rPr>
              <w:t>并且</w:t>
            </w:r>
            <w:r>
              <w:rPr>
                <w:rFonts w:hint="default" w:ascii="Times New Roman" w:hAnsi="Times New Roman" w:eastAsia="宋体" w:cs="Times New Roman"/>
                <w:color w:val="auto"/>
                <w:sz w:val="24"/>
                <w:szCs w:val="24"/>
                <w:highlight w:val="none"/>
                <w:lang w:eastAsia="zh-CN"/>
              </w:rPr>
              <w:t>通过建筑物门窗、墙壁以及绿化带的吸收、屏蔽及阻挡作用，</w:t>
            </w:r>
            <w:r>
              <w:rPr>
                <w:rFonts w:hint="default" w:ascii="Times New Roman" w:hAnsi="Times New Roman" w:eastAsia="宋体" w:cs="Times New Roman"/>
                <w:color w:val="auto"/>
                <w:sz w:val="24"/>
                <w:szCs w:val="24"/>
                <w:highlight w:val="none"/>
                <w:lang w:val="en-US" w:eastAsia="zh-CN"/>
              </w:rPr>
              <w:t>使得噪声环境影响</w:t>
            </w:r>
            <w:r>
              <w:rPr>
                <w:rFonts w:hint="default" w:ascii="Times New Roman" w:hAnsi="Times New Roman" w:eastAsia="宋体" w:cs="Times New Roman"/>
                <w:color w:val="auto"/>
                <w:sz w:val="24"/>
                <w:szCs w:val="24"/>
                <w:highlight w:val="none"/>
                <w:lang w:eastAsia="zh-CN"/>
              </w:rPr>
              <w:t>大幅度</w:t>
            </w:r>
            <w:r>
              <w:rPr>
                <w:rFonts w:hint="default" w:ascii="Times New Roman" w:hAnsi="Times New Roman" w:eastAsia="宋体" w:cs="Times New Roman"/>
                <w:color w:val="auto"/>
                <w:sz w:val="24"/>
                <w:szCs w:val="24"/>
                <w:highlight w:val="none"/>
                <w:lang w:val="en-US" w:eastAsia="zh-CN"/>
              </w:rPr>
              <w:t>降低</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确保</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厂界</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lang w:eastAsia="zh-CN"/>
              </w:rPr>
              <w:t>。</w:t>
            </w:r>
          </w:p>
          <w:p w14:paraId="6812831D">
            <w:pPr>
              <w:keepNext w:val="0"/>
              <w:keepLines w:val="0"/>
              <w:pageBreakBefore w:val="0"/>
              <w:widowControl w:val="0"/>
              <w:kinsoku/>
              <w:wordWrap/>
              <w:overflowPunct/>
              <w:topLinePunct w:val="0"/>
              <w:autoSpaceDE/>
              <w:autoSpaceDN/>
              <w:bidi w:val="0"/>
              <w:spacing w:line="360" w:lineRule="auto"/>
              <w:ind w:right="0" w:rightChars="0" w:firstLine="482" w:firstLineChars="200"/>
              <w:jc w:val="both"/>
              <w:textAlignment w:val="auto"/>
              <w:rPr>
                <w:rFonts w:hint="default" w:ascii="Times New Roman" w:hAnsi="Times New Roman" w:eastAsia="宋体" w:cs="Times New Roman"/>
                <w:b/>
                <w:bCs/>
                <w:color w:val="0000FF"/>
                <w:kern w:val="0"/>
                <w:sz w:val="24"/>
                <w:szCs w:val="24"/>
                <w:highlight w:val="none"/>
                <w:lang w:val="en-US" w:eastAsia="zh-CN" w:bidi="ar-SA"/>
              </w:rPr>
            </w:pPr>
            <w:r>
              <w:rPr>
                <w:rFonts w:hint="default" w:ascii="Times New Roman" w:hAnsi="Times New Roman" w:eastAsia="宋体" w:cs="Times New Roman"/>
                <w:b/>
                <w:bCs/>
                <w:color w:val="0000FF"/>
                <w:kern w:val="0"/>
                <w:sz w:val="24"/>
                <w:szCs w:val="24"/>
                <w:highlight w:val="none"/>
                <w:lang w:val="en-US" w:eastAsia="zh-CN" w:bidi="ar-SA"/>
              </w:rPr>
              <w:t>5、噪声监测计划</w:t>
            </w:r>
          </w:p>
          <w:p w14:paraId="2958B69D">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b w:val="0"/>
                <w:bCs w:val="0"/>
                <w:color w:val="0000FF"/>
                <w:sz w:val="24"/>
                <w:szCs w:val="24"/>
                <w:highlight w:val="none"/>
                <w:lang w:eastAsia="zh-CN"/>
              </w:rPr>
            </w:pPr>
            <w:r>
              <w:rPr>
                <w:rFonts w:hint="default" w:ascii="Times New Roman" w:hAnsi="Times New Roman" w:eastAsia="宋体" w:cs="Times New Roman"/>
                <w:color w:val="0000FF"/>
                <w:sz w:val="24"/>
                <w:szCs w:val="32"/>
                <w:highlight w:val="none"/>
                <w:lang w:eastAsia="zh-CN"/>
              </w:rPr>
              <w:t>根据《排污单位自行监测技术指南</w:t>
            </w:r>
            <w:r>
              <w:rPr>
                <w:rFonts w:hint="default" w:ascii="Times New Roman" w:hAnsi="Times New Roman" w:eastAsia="宋体" w:cs="Times New Roman"/>
                <w:color w:val="0000FF"/>
                <w:sz w:val="24"/>
                <w:szCs w:val="32"/>
                <w:highlight w:val="none"/>
                <w:lang w:val="en-US" w:eastAsia="zh-CN"/>
              </w:rPr>
              <w:t xml:space="preserve">  </w:t>
            </w:r>
            <w:r>
              <w:rPr>
                <w:rFonts w:hint="default" w:ascii="Times New Roman" w:hAnsi="Times New Roman" w:eastAsia="宋体" w:cs="Times New Roman"/>
                <w:color w:val="0000FF"/>
                <w:sz w:val="24"/>
                <w:szCs w:val="32"/>
                <w:highlight w:val="none"/>
                <w:lang w:eastAsia="zh-CN"/>
              </w:rPr>
              <w:t>总则》（HJ819-2017），厂界噪声最低监测频次为季度，厂界噪声监测频次为一季度开展一次，并在噪声监测点附近醒目处设置环境保护图形标志牌</w:t>
            </w:r>
            <w:r>
              <w:rPr>
                <w:rFonts w:hint="default" w:ascii="Times New Roman" w:hAnsi="Times New Roman" w:eastAsia="宋体" w:cs="Times New Roman"/>
                <w:b w:val="0"/>
                <w:bCs w:val="0"/>
                <w:color w:val="0000FF"/>
                <w:sz w:val="24"/>
                <w:szCs w:val="24"/>
                <w:highlight w:val="none"/>
                <w:lang w:eastAsia="zh-CN"/>
              </w:rPr>
              <w:t>。</w:t>
            </w:r>
          </w:p>
          <w:p w14:paraId="25A1FE75">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color w:val="0000FF"/>
                <w:sz w:val="21"/>
                <w:szCs w:val="21"/>
                <w:highlight w:val="none"/>
              </w:rPr>
              <w:t>表</w:t>
            </w:r>
            <w:r>
              <w:rPr>
                <w:rFonts w:hint="default" w:ascii="Times New Roman" w:hAnsi="Times New Roman" w:eastAsia="宋体" w:cs="Times New Roman"/>
                <w:b/>
                <w:color w:val="0000FF"/>
                <w:sz w:val="21"/>
                <w:szCs w:val="21"/>
                <w:highlight w:val="none"/>
                <w:lang w:val="en-US" w:eastAsia="zh-CN"/>
              </w:rPr>
              <w:t>4-1</w:t>
            </w:r>
            <w:r>
              <w:rPr>
                <w:rFonts w:hint="eastAsia" w:cs="Times New Roman"/>
                <w:b/>
                <w:color w:val="0000FF"/>
                <w:sz w:val="21"/>
                <w:szCs w:val="21"/>
                <w:highlight w:val="none"/>
                <w:lang w:val="en-US" w:eastAsia="zh-CN"/>
              </w:rPr>
              <w:t>9</w:t>
            </w:r>
            <w:r>
              <w:rPr>
                <w:rFonts w:hint="default" w:ascii="Times New Roman" w:hAnsi="Times New Roman" w:eastAsia="宋体" w:cs="Times New Roman"/>
                <w:b/>
                <w:color w:val="0000FF"/>
                <w:sz w:val="21"/>
                <w:szCs w:val="21"/>
                <w:highlight w:val="none"/>
                <w:lang w:val="en-US" w:eastAsia="zh-CN"/>
              </w:rPr>
              <w:t xml:space="preserve"> </w:t>
            </w:r>
            <w:r>
              <w:rPr>
                <w:rFonts w:hint="default" w:ascii="Times New Roman" w:hAnsi="Times New Roman" w:eastAsia="宋体" w:cs="Times New Roman"/>
                <w:b/>
                <w:color w:val="0000FF"/>
                <w:sz w:val="21"/>
                <w:szCs w:val="21"/>
                <w:highlight w:val="none"/>
              </w:rPr>
              <w:t>项目</w:t>
            </w:r>
            <w:r>
              <w:rPr>
                <w:rFonts w:hint="default" w:ascii="Times New Roman" w:hAnsi="Times New Roman" w:eastAsia="宋体" w:cs="Times New Roman"/>
                <w:b/>
                <w:color w:val="0000FF"/>
                <w:sz w:val="21"/>
                <w:szCs w:val="21"/>
                <w:highlight w:val="none"/>
                <w:lang w:val="en-US" w:eastAsia="zh-CN"/>
              </w:rPr>
              <w:t>区域</w:t>
            </w:r>
            <w:r>
              <w:rPr>
                <w:rFonts w:hint="default" w:ascii="Times New Roman" w:hAnsi="Times New Roman" w:eastAsia="宋体" w:cs="Times New Roman"/>
                <w:b/>
                <w:color w:val="0000FF"/>
                <w:sz w:val="21"/>
                <w:szCs w:val="21"/>
                <w:highlight w:val="none"/>
                <w:lang w:eastAsia="zh-CN"/>
              </w:rPr>
              <w:t>噪声</w:t>
            </w:r>
            <w:r>
              <w:rPr>
                <w:rFonts w:hint="default" w:ascii="Times New Roman" w:hAnsi="Times New Roman" w:eastAsia="宋体" w:cs="Times New Roman"/>
                <w:b/>
                <w:color w:val="0000FF"/>
                <w:sz w:val="21"/>
                <w:szCs w:val="21"/>
                <w:highlight w:val="none"/>
              </w:rPr>
              <w:t>监测计划一览表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9"/>
              <w:gridCol w:w="2940"/>
              <w:gridCol w:w="2619"/>
              <w:gridCol w:w="1666"/>
            </w:tblGrid>
            <w:tr w14:paraId="69117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531" w:type="pct"/>
                  <w:tcBorders>
                    <w:tl2br w:val="nil"/>
                    <w:tr2bl w:val="nil"/>
                  </w:tcBorders>
                  <w:noWrap w:val="0"/>
                  <w:vAlign w:val="center"/>
                </w:tcPr>
                <w:p w14:paraId="360C9F6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0000FF"/>
                      <w:sz w:val="21"/>
                      <w:szCs w:val="21"/>
                      <w:highlight w:val="none"/>
                    </w:rPr>
                  </w:pPr>
                  <w:r>
                    <w:rPr>
                      <w:rFonts w:hint="default" w:ascii="Times New Roman" w:hAnsi="Times New Roman" w:eastAsia="宋体" w:cs="Times New Roman"/>
                      <w:b/>
                      <w:bCs w:val="0"/>
                      <w:color w:val="0000FF"/>
                      <w:sz w:val="21"/>
                      <w:szCs w:val="21"/>
                      <w:highlight w:val="none"/>
                    </w:rPr>
                    <w:t>类别</w:t>
                  </w:r>
                </w:p>
              </w:tc>
              <w:tc>
                <w:tcPr>
                  <w:tcW w:w="1818" w:type="pct"/>
                  <w:tcBorders>
                    <w:tl2br w:val="nil"/>
                    <w:tr2bl w:val="nil"/>
                  </w:tcBorders>
                  <w:noWrap w:val="0"/>
                  <w:vAlign w:val="center"/>
                </w:tcPr>
                <w:p w14:paraId="46E0D91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0000FF"/>
                      <w:sz w:val="21"/>
                      <w:szCs w:val="21"/>
                      <w:highlight w:val="none"/>
                    </w:rPr>
                  </w:pPr>
                  <w:r>
                    <w:rPr>
                      <w:rFonts w:hint="default" w:ascii="Times New Roman" w:hAnsi="Times New Roman" w:eastAsia="宋体" w:cs="Times New Roman"/>
                      <w:b/>
                      <w:bCs w:val="0"/>
                      <w:color w:val="0000FF"/>
                      <w:sz w:val="21"/>
                      <w:szCs w:val="21"/>
                      <w:highlight w:val="none"/>
                    </w:rPr>
                    <w:t>监测位点</w:t>
                  </w:r>
                </w:p>
              </w:tc>
              <w:tc>
                <w:tcPr>
                  <w:tcW w:w="1619" w:type="pct"/>
                  <w:tcBorders>
                    <w:tl2br w:val="nil"/>
                    <w:tr2bl w:val="nil"/>
                  </w:tcBorders>
                  <w:noWrap w:val="0"/>
                  <w:vAlign w:val="center"/>
                </w:tcPr>
                <w:p w14:paraId="0FEEBE3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0000FF"/>
                      <w:sz w:val="21"/>
                      <w:szCs w:val="21"/>
                      <w:highlight w:val="none"/>
                    </w:rPr>
                  </w:pPr>
                  <w:r>
                    <w:rPr>
                      <w:rFonts w:hint="default" w:ascii="Times New Roman" w:hAnsi="Times New Roman" w:eastAsia="宋体" w:cs="Times New Roman"/>
                      <w:b/>
                      <w:bCs w:val="0"/>
                      <w:color w:val="0000FF"/>
                      <w:sz w:val="21"/>
                      <w:szCs w:val="21"/>
                      <w:highlight w:val="none"/>
                    </w:rPr>
                    <w:t>监测项目</w:t>
                  </w:r>
                </w:p>
              </w:tc>
              <w:tc>
                <w:tcPr>
                  <w:tcW w:w="1030" w:type="pct"/>
                  <w:tcBorders>
                    <w:tl2br w:val="nil"/>
                    <w:tr2bl w:val="nil"/>
                  </w:tcBorders>
                  <w:noWrap w:val="0"/>
                  <w:vAlign w:val="center"/>
                </w:tcPr>
                <w:p w14:paraId="05A3A3D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0000FF"/>
                      <w:sz w:val="21"/>
                      <w:szCs w:val="21"/>
                      <w:highlight w:val="none"/>
                    </w:rPr>
                  </w:pPr>
                  <w:r>
                    <w:rPr>
                      <w:rFonts w:hint="default" w:ascii="Times New Roman" w:hAnsi="Times New Roman" w:eastAsia="宋体" w:cs="Times New Roman"/>
                      <w:b/>
                      <w:bCs w:val="0"/>
                      <w:color w:val="0000FF"/>
                      <w:sz w:val="21"/>
                      <w:szCs w:val="21"/>
                      <w:highlight w:val="none"/>
                    </w:rPr>
                    <w:t>监测频率</w:t>
                  </w:r>
                </w:p>
              </w:tc>
            </w:tr>
            <w:tr w14:paraId="140884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tcBorders>
                    <w:tl2br w:val="nil"/>
                    <w:tr2bl w:val="nil"/>
                  </w:tcBorders>
                  <w:noWrap w:val="0"/>
                  <w:vAlign w:val="center"/>
                </w:tcPr>
                <w:p w14:paraId="148696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eastAsia="zh-CN"/>
                    </w:rPr>
                    <w:t>噪声</w:t>
                  </w:r>
                </w:p>
              </w:tc>
              <w:tc>
                <w:tcPr>
                  <w:tcW w:w="1818" w:type="pct"/>
                  <w:tcBorders>
                    <w:tl2br w:val="nil"/>
                    <w:tr2bl w:val="nil"/>
                  </w:tcBorders>
                  <w:noWrap w:val="0"/>
                  <w:vAlign w:val="center"/>
                </w:tcPr>
                <w:p w14:paraId="7B8E8A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东南西北四</w:t>
                  </w:r>
                  <w:r>
                    <w:rPr>
                      <w:rFonts w:hint="default" w:ascii="Times New Roman" w:hAnsi="Times New Roman" w:eastAsia="宋体" w:cs="Times New Roman"/>
                      <w:color w:val="0000FF"/>
                      <w:sz w:val="21"/>
                      <w:szCs w:val="21"/>
                      <w:highlight w:val="none"/>
                      <w:lang w:eastAsia="zh-CN"/>
                    </w:rPr>
                    <w:t>厂界外</w:t>
                  </w:r>
                  <w:r>
                    <w:rPr>
                      <w:rFonts w:hint="default" w:ascii="Times New Roman" w:hAnsi="Times New Roman" w:eastAsia="宋体" w:cs="Times New Roman"/>
                      <w:color w:val="0000FF"/>
                      <w:sz w:val="21"/>
                      <w:szCs w:val="21"/>
                      <w:highlight w:val="none"/>
                      <w:lang w:val="en-US" w:eastAsia="zh-CN"/>
                    </w:rPr>
                    <w:t>1m处</w:t>
                  </w:r>
                </w:p>
              </w:tc>
              <w:tc>
                <w:tcPr>
                  <w:tcW w:w="1619" w:type="pct"/>
                  <w:tcBorders>
                    <w:tl2br w:val="nil"/>
                    <w:tr2bl w:val="nil"/>
                  </w:tcBorders>
                  <w:noWrap w:val="0"/>
                  <w:vAlign w:val="center"/>
                </w:tcPr>
                <w:p w14:paraId="464E372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连续等效A声级</w:t>
                  </w:r>
                </w:p>
              </w:tc>
              <w:tc>
                <w:tcPr>
                  <w:tcW w:w="1030" w:type="pct"/>
                  <w:tcBorders>
                    <w:tl2br w:val="nil"/>
                    <w:tr2bl w:val="nil"/>
                  </w:tcBorders>
                  <w:noWrap w:val="0"/>
                  <w:vAlign w:val="center"/>
                </w:tcPr>
                <w:p w14:paraId="168D03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1次/季度</w:t>
                  </w:r>
                </w:p>
              </w:tc>
            </w:tr>
          </w:tbl>
          <w:p w14:paraId="60957D27">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四、固体废物影响分析</w:t>
            </w:r>
          </w:p>
          <w:p w14:paraId="66C23C91">
            <w:pPr>
              <w:widowControl w:val="0"/>
              <w:numPr>
                <w:ilvl w:val="0"/>
                <w:numId w:val="0"/>
              </w:numPr>
              <w:spacing w:line="360" w:lineRule="auto"/>
              <w:ind w:firstLine="482" w:firstLineChars="20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1、固体废物产排源强分析</w:t>
            </w:r>
          </w:p>
          <w:p w14:paraId="4C777D8D">
            <w:pPr>
              <w:tabs>
                <w:tab w:val="left" w:pos="465"/>
              </w:tabs>
              <w:spacing w:line="360" w:lineRule="auto"/>
              <w:ind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项目运营期产生的副产物主要为沉降金属粉尘、废边角料、油泥、废切削液、废机油</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rPr>
              <w:t>废机油桶、其它废包装桶、漆渣、废活性炭、</w:t>
            </w:r>
            <w:r>
              <w:rPr>
                <w:rFonts w:hint="default" w:ascii="Times New Roman" w:hAnsi="Times New Roman" w:eastAsia="宋体" w:cs="Times New Roman"/>
                <w:color w:val="auto"/>
                <w:sz w:val="24"/>
                <w:szCs w:val="24"/>
                <w:highlight w:val="none"/>
                <w:lang w:val="en-US" w:eastAsia="zh-CN"/>
              </w:rPr>
              <w:t>污水处理站污泥</w:t>
            </w:r>
            <w:r>
              <w:rPr>
                <w:rFonts w:hint="default" w:ascii="Times New Roman" w:hAnsi="Times New Roman" w:eastAsia="宋体" w:cs="Times New Roman"/>
                <w:color w:val="auto"/>
                <w:sz w:val="24"/>
                <w:szCs w:val="24"/>
                <w:highlight w:val="none"/>
              </w:rPr>
              <w:t>和职工生活垃圾。</w:t>
            </w:r>
          </w:p>
          <w:p w14:paraId="5A452DC4">
            <w:pPr>
              <w:keepNext w:val="0"/>
              <w:keepLines w:val="0"/>
              <w:suppressLineNumbers w:val="0"/>
              <w:spacing w:before="0" w:beforeAutospacing="0" w:after="0" w:afterAutospacing="0" w:line="360" w:lineRule="auto"/>
              <w:ind w:left="0" w:right="0" w:firstLine="570"/>
              <w:rPr>
                <w:rFonts w:hint="eastAsia" w:ascii="Times New Roman" w:hAnsi="Times New Roman" w:eastAsia="宋体" w:cs="Times New Roman"/>
                <w:color w:val="auto"/>
                <w:sz w:val="24"/>
                <w:szCs w:val="24"/>
              </w:rPr>
            </w:pPr>
            <w:r>
              <w:rPr>
                <w:rFonts w:hint="eastAsia" w:ascii="Times New Roman" w:hAnsi="Times New Roman"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一般工业</w:t>
            </w:r>
            <w:r>
              <w:rPr>
                <w:rFonts w:hint="eastAsia" w:ascii="Times New Roman" w:hAnsi="Times New Roman" w:eastAsia="宋体" w:cs="Times New Roman"/>
                <w:color w:val="auto"/>
                <w:sz w:val="24"/>
                <w:szCs w:val="24"/>
              </w:rPr>
              <w:t>固体废物</w:t>
            </w:r>
          </w:p>
          <w:p w14:paraId="72D89886">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eastAsia="zh-CN"/>
              </w:rPr>
              <w:t>沉降金属粉尘</w:t>
            </w:r>
          </w:p>
          <w:p w14:paraId="52AD5D74">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本项目机加工过程会产生粉尘，由于比重较大，粉尘基本沉降于加工设备周围，根据建设单位提供资料，本项目沉降金属粉尘产生量约为0.</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val="0"/>
                <w:bCs w:val="0"/>
                <w:color w:val="auto"/>
                <w:sz w:val="24"/>
                <w:szCs w:val="24"/>
                <w:u w:val="none"/>
                <w:lang w:val="en-US" w:eastAsia="zh-CN"/>
              </w:rPr>
              <w:t>固废代码为900-00</w:t>
            </w:r>
            <w:r>
              <w:rPr>
                <w:rFonts w:hint="eastAsia" w:ascii="Times New Roman" w:hAnsi="Times New Roman" w:eastAsia="宋体" w:cs="Times New Roman"/>
                <w:b w:val="0"/>
                <w:bCs w:val="0"/>
                <w:color w:val="auto"/>
                <w:sz w:val="24"/>
                <w:szCs w:val="24"/>
                <w:u w:val="none"/>
                <w:lang w:val="en-US" w:eastAsia="zh-CN"/>
              </w:rPr>
              <w:t>1</w:t>
            </w:r>
            <w:r>
              <w:rPr>
                <w:rFonts w:hint="default" w:ascii="Times New Roman" w:hAnsi="Times New Roman" w:eastAsia="宋体" w:cs="Times New Roman"/>
                <w:b w:val="0"/>
                <w:bCs w:val="0"/>
                <w:color w:val="auto"/>
                <w:sz w:val="24"/>
                <w:szCs w:val="24"/>
                <w:u w:val="none"/>
                <w:lang w:val="en-US" w:eastAsia="zh-CN"/>
              </w:rPr>
              <w:t>-S17</w:t>
            </w:r>
            <w:r>
              <w:rPr>
                <w:rFonts w:hint="default" w:ascii="Times New Roman" w:hAnsi="Times New Roman" w:eastAsia="宋体" w:cs="Times New Roman"/>
                <w:color w:val="auto"/>
                <w:sz w:val="24"/>
                <w:szCs w:val="24"/>
                <w:highlight w:val="none"/>
                <w:lang w:eastAsia="zh-CN"/>
              </w:rPr>
              <w:t>。收集后暂存于一般固废暂存处，定期外</w:t>
            </w:r>
            <w:r>
              <w:rPr>
                <w:rFonts w:hint="eastAsia" w:ascii="Times New Roman" w:hAnsi="Times New Roman" w:eastAsia="宋体" w:cs="Times New Roman"/>
                <w:color w:val="auto"/>
                <w:sz w:val="24"/>
                <w:szCs w:val="24"/>
                <w:highlight w:val="none"/>
                <w:lang w:val="en-US" w:eastAsia="zh-CN"/>
              </w:rPr>
              <w:t>售</w:t>
            </w:r>
            <w:r>
              <w:rPr>
                <w:rFonts w:hint="default" w:ascii="Times New Roman" w:hAnsi="Times New Roman" w:eastAsia="宋体" w:cs="Times New Roman"/>
                <w:color w:val="auto"/>
                <w:sz w:val="24"/>
                <w:szCs w:val="24"/>
                <w:highlight w:val="none"/>
                <w:lang w:eastAsia="zh-CN"/>
              </w:rPr>
              <w:t>。</w:t>
            </w:r>
          </w:p>
          <w:p w14:paraId="6DCEC3BF">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②</w:t>
            </w:r>
            <w:r>
              <w:rPr>
                <w:rFonts w:hint="default" w:ascii="Times New Roman" w:hAnsi="Times New Roman" w:eastAsia="宋体" w:cs="Times New Roman"/>
                <w:color w:val="auto"/>
                <w:sz w:val="24"/>
                <w:szCs w:val="24"/>
                <w:highlight w:val="none"/>
                <w:lang w:eastAsia="zh-CN"/>
              </w:rPr>
              <w:t>废边角料</w:t>
            </w:r>
          </w:p>
          <w:p w14:paraId="2B527722">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本项目机加工过程中产生废边角料</w:t>
            </w:r>
            <w:r>
              <w:rPr>
                <w:rFonts w:hint="eastAsia" w:cs="Times New Roman"/>
                <w:color w:val="auto"/>
                <w:sz w:val="24"/>
                <w:szCs w:val="24"/>
                <w:highlight w:val="none"/>
                <w:lang w:val="en-US" w:eastAsia="zh-CN"/>
              </w:rPr>
              <w:t>以及检查出的不合格品</w:t>
            </w:r>
            <w:r>
              <w:rPr>
                <w:rFonts w:hint="default" w:ascii="Times New Roman" w:hAnsi="Times New Roman" w:eastAsia="宋体" w:cs="Times New Roman"/>
                <w:color w:val="auto"/>
                <w:sz w:val="24"/>
                <w:szCs w:val="24"/>
                <w:highlight w:val="none"/>
                <w:lang w:eastAsia="zh-CN"/>
              </w:rPr>
              <w:t>，约占原材料的</w:t>
            </w:r>
            <w:r>
              <w:rPr>
                <w:rFonts w:hint="eastAsia" w:ascii="Times New Roman" w:hAnsi="Times New Roman" w:eastAsia="宋体" w:cs="Times New Roman"/>
                <w:color w:val="auto"/>
                <w:sz w:val="24"/>
                <w:szCs w:val="24"/>
                <w:highlight w:val="none"/>
                <w:lang w:val="en-US" w:eastAsia="zh-CN"/>
              </w:rPr>
              <w:t>0.5</w:t>
            </w:r>
            <w:r>
              <w:rPr>
                <w:rFonts w:hint="default" w:ascii="Times New Roman" w:hAnsi="Times New Roman" w:eastAsia="宋体" w:cs="Times New Roman"/>
                <w:color w:val="auto"/>
                <w:sz w:val="24"/>
                <w:szCs w:val="24"/>
                <w:highlight w:val="none"/>
                <w:lang w:eastAsia="zh-CN"/>
              </w:rPr>
              <w:t>%，则本项目废边角料产生量约</w:t>
            </w:r>
            <w:r>
              <w:rPr>
                <w:rFonts w:hint="eastAsia" w:ascii="Times New Roman" w:hAnsi="Times New Roman" w:eastAsia="宋体" w:cs="Times New Roman"/>
                <w:color w:val="auto"/>
                <w:sz w:val="24"/>
                <w:szCs w:val="24"/>
                <w:highlight w:val="none"/>
                <w:lang w:val="en-US" w:eastAsia="zh-CN"/>
              </w:rPr>
              <w:t>13</w:t>
            </w:r>
            <w:r>
              <w:rPr>
                <w:rFonts w:hint="default" w:ascii="Times New Roman" w:hAnsi="Times New Roman" w:eastAsia="宋体" w:cs="Times New Roman"/>
                <w:color w:val="auto"/>
                <w:sz w:val="24"/>
                <w:szCs w:val="24"/>
                <w:highlight w:val="none"/>
                <w:lang w:eastAsia="zh-CN"/>
              </w:rPr>
              <w:t>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val="0"/>
                <w:bCs w:val="0"/>
                <w:color w:val="auto"/>
                <w:sz w:val="24"/>
                <w:szCs w:val="24"/>
                <w:u w:val="none"/>
                <w:lang w:val="en-US" w:eastAsia="zh-CN"/>
              </w:rPr>
              <w:t>固废代码为900-00</w:t>
            </w:r>
            <w:r>
              <w:rPr>
                <w:rFonts w:hint="eastAsia" w:ascii="Times New Roman" w:hAnsi="Times New Roman" w:cs="Times New Roman"/>
                <w:b w:val="0"/>
                <w:bCs w:val="0"/>
                <w:color w:val="auto"/>
                <w:sz w:val="24"/>
                <w:szCs w:val="24"/>
                <w:u w:val="none"/>
                <w:lang w:val="en-US" w:eastAsia="zh-CN"/>
              </w:rPr>
              <w:t>1</w:t>
            </w:r>
            <w:r>
              <w:rPr>
                <w:rFonts w:hint="default" w:ascii="Times New Roman" w:hAnsi="Times New Roman" w:eastAsia="宋体" w:cs="Times New Roman"/>
                <w:b w:val="0"/>
                <w:bCs w:val="0"/>
                <w:color w:val="auto"/>
                <w:sz w:val="24"/>
                <w:szCs w:val="24"/>
                <w:u w:val="none"/>
                <w:lang w:val="en-US" w:eastAsia="zh-CN"/>
              </w:rPr>
              <w:t>-S17</w:t>
            </w:r>
            <w:r>
              <w:rPr>
                <w:rFonts w:hint="default" w:ascii="Times New Roman" w:hAnsi="Times New Roman" w:eastAsia="宋体" w:cs="Times New Roman"/>
                <w:color w:val="auto"/>
                <w:sz w:val="24"/>
                <w:szCs w:val="24"/>
                <w:u w:val="none"/>
                <w:lang w:val="en-US" w:eastAsia="zh-CN"/>
              </w:rPr>
              <w:t>。</w:t>
            </w:r>
            <w:r>
              <w:rPr>
                <w:rFonts w:hint="default" w:ascii="Times New Roman" w:hAnsi="Times New Roman" w:eastAsia="宋体" w:cs="Times New Roman"/>
                <w:color w:val="auto"/>
                <w:sz w:val="24"/>
                <w:szCs w:val="24"/>
                <w:highlight w:val="none"/>
                <w:lang w:eastAsia="zh-CN"/>
              </w:rPr>
              <w:t>收集后暂存于一般固废暂存</w:t>
            </w:r>
            <w:r>
              <w:rPr>
                <w:rFonts w:hint="eastAsia"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lang w:eastAsia="zh-CN"/>
              </w:rPr>
              <w:t>，定期外</w:t>
            </w:r>
            <w:r>
              <w:rPr>
                <w:rFonts w:hint="eastAsia" w:ascii="Times New Roman" w:hAnsi="Times New Roman" w:eastAsia="宋体" w:cs="Times New Roman"/>
                <w:color w:val="auto"/>
                <w:sz w:val="24"/>
                <w:szCs w:val="24"/>
                <w:highlight w:val="none"/>
                <w:lang w:val="en-US" w:eastAsia="zh-CN"/>
              </w:rPr>
              <w:t>售</w:t>
            </w:r>
            <w:r>
              <w:rPr>
                <w:rFonts w:hint="default" w:ascii="Times New Roman" w:hAnsi="Times New Roman" w:eastAsia="宋体" w:cs="Times New Roman"/>
                <w:color w:val="auto"/>
                <w:sz w:val="24"/>
                <w:szCs w:val="24"/>
                <w:highlight w:val="none"/>
                <w:lang w:eastAsia="zh-CN"/>
              </w:rPr>
              <w:t>。</w:t>
            </w:r>
          </w:p>
          <w:p w14:paraId="04E08D0A">
            <w:pPr>
              <w:tabs>
                <w:tab w:val="left" w:pos="465"/>
              </w:tabs>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rPr>
              <w:t>③</w:t>
            </w:r>
            <w:r>
              <w:rPr>
                <w:rFonts w:hint="eastAsia" w:ascii="Times New Roman" w:hAnsi="Times New Roman" w:eastAsia="宋体" w:cs="Times New Roman"/>
                <w:color w:val="auto"/>
                <w:sz w:val="24"/>
                <w:szCs w:val="24"/>
                <w:highlight w:val="none"/>
                <w:lang w:val="en-US" w:eastAsia="zh-CN"/>
              </w:rPr>
              <w:t>污水处理污泥</w:t>
            </w:r>
          </w:p>
          <w:p w14:paraId="55BDEF3F">
            <w:pPr>
              <w:tabs>
                <w:tab w:val="left" w:pos="465"/>
              </w:tabs>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超声波废水采用一体化污水处理设施进行处理，絮凝反应沉淀的污泥采用板框压滤机进行压滤</w:t>
            </w:r>
            <w:r>
              <w:rPr>
                <w:rFonts w:hint="eastAsia" w:ascii="Times New Roman" w:hAnsi="Times New Roman" w:cs="Times New Roman"/>
                <w:color w:val="auto"/>
                <w:sz w:val="24"/>
                <w:szCs w:val="24"/>
                <w:highlight w:val="none"/>
                <w:lang w:val="en-US" w:eastAsia="zh-CN"/>
              </w:rPr>
              <w:t>干化，干化后</w:t>
            </w:r>
            <w:r>
              <w:rPr>
                <w:rFonts w:hint="eastAsia" w:ascii="Times New Roman" w:hAnsi="Times New Roman" w:cs="Times New Roman"/>
                <w:color w:val="auto"/>
                <w:sz w:val="24"/>
                <w:szCs w:val="24"/>
                <w:lang w:val="en-US" w:eastAsia="zh-CN"/>
              </w:rPr>
              <w:t>的泥饼产生量约为0.5t/a，属于一般工业固体废物，</w:t>
            </w:r>
            <w:r>
              <w:rPr>
                <w:rFonts w:hint="default" w:ascii="Times New Roman" w:hAnsi="Times New Roman" w:eastAsia="宋体" w:cs="Times New Roman"/>
                <w:b w:val="0"/>
                <w:bCs w:val="0"/>
                <w:color w:val="auto"/>
                <w:sz w:val="24"/>
                <w:szCs w:val="24"/>
                <w:u w:val="none"/>
                <w:lang w:val="en-US" w:eastAsia="zh-CN"/>
              </w:rPr>
              <w:t>固废代码为</w:t>
            </w:r>
            <w:r>
              <w:rPr>
                <w:rFonts w:hint="eastAsia"/>
                <w:color w:val="auto"/>
                <w:sz w:val="24"/>
              </w:rPr>
              <w:t>900-099-S07</w:t>
            </w:r>
            <w:r>
              <w:rPr>
                <w:rFonts w:hint="default" w:ascii="Times New Roman" w:hAnsi="Times New Roman" w:eastAsia="宋体" w:cs="Times New Roman"/>
                <w:color w:val="auto"/>
                <w:sz w:val="24"/>
                <w:szCs w:val="24"/>
                <w:u w:val="none"/>
                <w:lang w:val="en-US" w:eastAsia="zh-CN"/>
              </w:rPr>
              <w:t>。</w:t>
            </w:r>
            <w:r>
              <w:rPr>
                <w:rFonts w:hint="default" w:ascii="Times New Roman" w:hAnsi="Times New Roman" w:eastAsia="宋体" w:cs="Times New Roman"/>
                <w:color w:val="auto"/>
                <w:sz w:val="24"/>
                <w:szCs w:val="24"/>
                <w:highlight w:val="none"/>
                <w:lang w:eastAsia="zh-CN"/>
              </w:rPr>
              <w:t>收集后暂存于一般固废暂存</w:t>
            </w:r>
            <w:r>
              <w:rPr>
                <w:rFonts w:hint="eastAsia"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lang w:eastAsia="zh-CN"/>
              </w:rPr>
              <w:t>，</w:t>
            </w:r>
            <w:r>
              <w:rPr>
                <w:rFonts w:hint="eastAsia"/>
                <w:color w:val="auto"/>
                <w:sz w:val="24"/>
                <w:lang w:eastAsia="zh-CN"/>
              </w:rPr>
              <w:t>外售至砖瓦厂综合利用</w:t>
            </w:r>
            <w:r>
              <w:rPr>
                <w:rFonts w:hint="eastAsia"/>
                <w:color w:val="auto"/>
                <w:sz w:val="24"/>
              </w:rPr>
              <w:t>。</w:t>
            </w:r>
          </w:p>
          <w:p w14:paraId="481EB6A0">
            <w:pPr>
              <w:tabs>
                <w:tab w:val="left" w:pos="465"/>
              </w:tabs>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危险</w:t>
            </w:r>
            <w:r>
              <w:rPr>
                <w:rFonts w:hint="eastAsia" w:ascii="Times New Roman" w:hAnsi="Times New Roman" w:eastAsia="宋体" w:cs="Times New Roman"/>
                <w:color w:val="auto"/>
                <w:sz w:val="24"/>
                <w:szCs w:val="24"/>
              </w:rPr>
              <w:t>废物</w:t>
            </w:r>
          </w:p>
          <w:p w14:paraId="5553C820">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color w:val="auto"/>
                <w:sz w:val="24"/>
                <w:szCs w:val="24"/>
                <w:highlight w:val="none"/>
                <w:lang w:eastAsia="zh-CN"/>
              </w:rPr>
              <w:t>油泥</w:t>
            </w:r>
          </w:p>
          <w:p w14:paraId="04FDA98A">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本项目机加工过程会产生会产生油泥，根据建设单位提供资料，油泥产生量为</w:t>
            </w:r>
            <w:r>
              <w:rPr>
                <w:rFonts w:hint="eastAsia" w:ascii="Times New Roman" w:hAnsi="Times New Roman" w:eastAsia="宋体"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lang w:eastAsia="zh-CN"/>
              </w:rPr>
              <w:t>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年版），属于危险废物，废物类别HW08，废物代码为900-2</w:t>
            </w:r>
            <w:r>
              <w:rPr>
                <w:rFonts w:hint="eastAsia"/>
                <w:color w:val="auto"/>
                <w:sz w:val="24"/>
                <w:lang w:val="en-US" w:eastAsia="zh-CN"/>
              </w:rPr>
              <w:t>00</w:t>
            </w:r>
            <w:r>
              <w:rPr>
                <w:rFonts w:hint="eastAsia"/>
                <w:color w:val="auto"/>
                <w:sz w:val="24"/>
              </w:rPr>
              <w:t>-08</w:t>
            </w:r>
            <w:r>
              <w:rPr>
                <w:rFonts w:hint="eastAsia" w:ascii="Times New Roman" w:hAnsi="Times New Roman" w:eastAsia="宋体" w:cs="Times New Roman"/>
                <w:color w:val="auto"/>
                <w:sz w:val="24"/>
                <w:szCs w:val="24"/>
                <w:lang w:val="en-US" w:eastAsia="zh-CN"/>
              </w:rPr>
              <w:t>。</w:t>
            </w:r>
            <w:r>
              <w:rPr>
                <w:rFonts w:hint="eastAsia"/>
                <w:color w:val="auto"/>
                <w:sz w:val="24"/>
              </w:rPr>
              <w:t>暂存于危险废物暂存间内，定期委托有相关资质的单位定期清运处置。</w:t>
            </w:r>
          </w:p>
          <w:p w14:paraId="32EBCB03">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⑤</w:t>
            </w:r>
            <w:r>
              <w:rPr>
                <w:rFonts w:hint="default" w:ascii="Times New Roman" w:hAnsi="Times New Roman" w:eastAsia="宋体" w:cs="Times New Roman"/>
                <w:color w:val="auto"/>
                <w:sz w:val="24"/>
                <w:szCs w:val="24"/>
                <w:highlight w:val="none"/>
                <w:lang w:eastAsia="zh-CN"/>
              </w:rPr>
              <w:t>废切削液</w:t>
            </w:r>
          </w:p>
          <w:p w14:paraId="589E17CB">
            <w:pPr>
              <w:tabs>
                <w:tab w:val="left" w:pos="465"/>
              </w:tabs>
              <w:spacing w:line="360" w:lineRule="auto"/>
              <w:ind w:firstLine="480" w:firstLineChars="200"/>
              <w:rPr>
                <w:rFonts w:hint="eastAsia"/>
                <w:color w:val="auto"/>
                <w:sz w:val="24"/>
              </w:rPr>
            </w:pPr>
            <w:r>
              <w:rPr>
                <w:rFonts w:hint="default" w:ascii="Times New Roman" w:hAnsi="Times New Roman" w:eastAsia="宋体" w:cs="Times New Roman"/>
                <w:color w:val="auto"/>
                <w:sz w:val="24"/>
                <w:szCs w:val="24"/>
                <w:highlight w:val="none"/>
                <w:lang w:eastAsia="zh-CN"/>
              </w:rPr>
              <w:t>本项目工件机加工时需要用切削液起润滑和冷却，切削液循环使用，一般情况下不排放，只有在机械设备检修及因长时间循环使用后致使循环罐中切削液变质而被清理。本项目切削液的使用量为</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t/a，直接使用，根据同类企业的产生经验，废切削液的产生量约占使用量的50%，其余50%工件损耗带走，则本项目废切削液的产生量约</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年版），属于危险废物，废物类别HW0</w:t>
            </w:r>
            <w:r>
              <w:rPr>
                <w:rFonts w:hint="eastAsia"/>
                <w:color w:val="auto"/>
                <w:sz w:val="24"/>
                <w:lang w:val="en-US" w:eastAsia="zh-CN"/>
              </w:rPr>
              <w:t>9</w:t>
            </w:r>
            <w:r>
              <w:rPr>
                <w:rFonts w:hint="eastAsia"/>
                <w:color w:val="auto"/>
                <w:sz w:val="24"/>
              </w:rPr>
              <w:t>，废物代码为900-006-09</w:t>
            </w:r>
            <w:r>
              <w:rPr>
                <w:rFonts w:hint="eastAsia" w:ascii="Times New Roman" w:hAnsi="Times New Roman" w:eastAsia="宋体" w:cs="Times New Roman"/>
                <w:color w:val="auto"/>
                <w:sz w:val="24"/>
                <w:szCs w:val="24"/>
                <w:highlight w:val="none"/>
                <w:lang w:eastAsia="zh-CN"/>
              </w:rPr>
              <w:t>。</w:t>
            </w:r>
            <w:r>
              <w:rPr>
                <w:rFonts w:hint="eastAsia"/>
                <w:color w:val="auto"/>
                <w:sz w:val="24"/>
              </w:rPr>
              <w:t>暂存于危险废物暂存间内，定期委托有相关资质的单位定期清运处置。</w:t>
            </w:r>
          </w:p>
          <w:p w14:paraId="21EBDE7D">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⑥</w:t>
            </w:r>
            <w:r>
              <w:rPr>
                <w:rFonts w:hint="default" w:ascii="Times New Roman" w:hAnsi="Times New Roman" w:eastAsia="宋体" w:cs="Times New Roman"/>
                <w:color w:val="auto"/>
                <w:sz w:val="24"/>
                <w:szCs w:val="24"/>
                <w:highlight w:val="none"/>
                <w:lang w:eastAsia="zh-CN"/>
              </w:rPr>
              <w:t>废机油</w:t>
            </w:r>
            <w:r>
              <w:rPr>
                <w:rFonts w:hint="eastAsia" w:ascii="Times New Roman" w:hAnsi="Times New Roman" w:eastAsia="宋体" w:cs="Times New Roman"/>
                <w:color w:val="auto"/>
                <w:sz w:val="24"/>
                <w:szCs w:val="24"/>
                <w:highlight w:val="none"/>
                <w:lang w:val="en-US" w:eastAsia="zh-CN"/>
              </w:rPr>
              <w:t>及废机油桶</w:t>
            </w:r>
          </w:p>
          <w:p w14:paraId="04D2A319">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本项目在设备维护、保养过程中会产生废机油，根据物料平衡，本项目机油使用量为</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.5t/a，则废机油产生量约</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.5t/a。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年版），属于危险废物，废物类别HW08，废物代码为900-214-08。暂存于危险废物暂存间内，定期委托有相关资质的单位定期清运处置。</w:t>
            </w:r>
          </w:p>
          <w:p w14:paraId="0CD9638F">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本项目本项目在机油的使用过程中会产生废</w:t>
            </w:r>
            <w:r>
              <w:rPr>
                <w:rFonts w:hint="eastAsia" w:ascii="Times New Roman" w:hAnsi="Times New Roman" w:eastAsia="宋体" w:cs="Times New Roman"/>
                <w:color w:val="auto"/>
                <w:sz w:val="24"/>
                <w:szCs w:val="24"/>
                <w:highlight w:val="none"/>
                <w:lang w:val="en-US" w:eastAsia="zh-CN"/>
              </w:rPr>
              <w:t>机油</w:t>
            </w:r>
            <w:r>
              <w:rPr>
                <w:rFonts w:hint="default" w:ascii="Times New Roman" w:hAnsi="Times New Roman" w:eastAsia="宋体" w:cs="Times New Roman"/>
                <w:color w:val="auto"/>
                <w:sz w:val="24"/>
                <w:szCs w:val="24"/>
                <w:highlight w:val="none"/>
                <w:lang w:eastAsia="zh-CN"/>
              </w:rPr>
              <w:t>桶，废机油桶产生量为</w:t>
            </w:r>
            <w:r>
              <w:rPr>
                <w:rFonts w:hint="eastAsia" w:ascii="Times New Roman" w:hAnsi="Times New Roman" w:eastAsia="宋体" w:cs="Times New Roman"/>
                <w:color w:val="auto"/>
                <w:sz w:val="24"/>
                <w:szCs w:val="24"/>
                <w:highlight w:val="none"/>
                <w:lang w:val="en-US" w:eastAsia="zh-CN"/>
              </w:rPr>
              <w:t>60</w:t>
            </w:r>
            <w:r>
              <w:rPr>
                <w:rFonts w:hint="default" w:ascii="Times New Roman" w:hAnsi="Times New Roman" w:eastAsia="宋体" w:cs="Times New Roman"/>
                <w:color w:val="auto"/>
                <w:sz w:val="24"/>
                <w:szCs w:val="24"/>
                <w:highlight w:val="none"/>
                <w:lang w:eastAsia="zh-CN"/>
              </w:rPr>
              <w:t>个/a，重量为0.8kg/个，则废机油桶产生量为0.</w:t>
            </w:r>
            <w:r>
              <w:rPr>
                <w:rFonts w:hint="eastAsia" w:ascii="Times New Roman" w:hAnsi="Times New Roman" w:eastAsia="宋体" w:cs="Times New Roman"/>
                <w:color w:val="auto"/>
                <w:sz w:val="24"/>
                <w:szCs w:val="24"/>
                <w:highlight w:val="none"/>
                <w:lang w:val="en-US" w:eastAsia="zh-CN"/>
              </w:rPr>
              <w:t>04</w:t>
            </w:r>
            <w:r>
              <w:rPr>
                <w:rFonts w:hint="default" w:ascii="Times New Roman" w:hAnsi="Times New Roman" w:eastAsia="宋体" w:cs="Times New Roman"/>
                <w:color w:val="auto"/>
                <w:sz w:val="24"/>
                <w:szCs w:val="24"/>
                <w:highlight w:val="none"/>
                <w:lang w:eastAsia="zh-CN"/>
              </w:rPr>
              <w:t>8t/a。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年版），属于危险废物，废物类别HW08，废物代码为900-24</w:t>
            </w:r>
            <w:r>
              <w:rPr>
                <w:rFonts w:hint="eastAsia"/>
                <w:color w:val="auto"/>
                <w:sz w:val="24"/>
                <w:lang w:val="en-US" w:eastAsia="zh-CN"/>
              </w:rPr>
              <w:t>9</w:t>
            </w:r>
            <w:r>
              <w:rPr>
                <w:rFonts w:hint="eastAsia"/>
                <w:color w:val="auto"/>
                <w:sz w:val="24"/>
              </w:rPr>
              <w:t>-08</w:t>
            </w:r>
            <w:r>
              <w:rPr>
                <w:rFonts w:hint="eastAsia" w:ascii="Times New Roman" w:hAnsi="Times New Roman" w:eastAsia="宋体" w:cs="Times New Roman"/>
                <w:color w:val="auto"/>
                <w:sz w:val="24"/>
                <w:szCs w:val="24"/>
                <w:highlight w:val="none"/>
                <w:lang w:eastAsia="zh-CN"/>
              </w:rPr>
              <w:t>。</w:t>
            </w:r>
            <w:r>
              <w:rPr>
                <w:rFonts w:hint="eastAsia"/>
                <w:color w:val="auto"/>
                <w:sz w:val="24"/>
              </w:rPr>
              <w:t>暂存于危险废物暂存间内，定期委托有相关资质的单位定期清运处置。</w:t>
            </w:r>
          </w:p>
          <w:p w14:paraId="07AF58DA">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⑦</w:t>
            </w:r>
            <w:r>
              <w:rPr>
                <w:rFonts w:hint="default" w:ascii="Times New Roman" w:hAnsi="Times New Roman" w:eastAsia="宋体" w:cs="Times New Roman"/>
                <w:color w:val="auto"/>
                <w:sz w:val="24"/>
                <w:szCs w:val="24"/>
                <w:highlight w:val="none"/>
                <w:lang w:eastAsia="zh-CN"/>
              </w:rPr>
              <w:t>其它废包装桶</w:t>
            </w:r>
          </w:p>
          <w:p w14:paraId="7B1D40DB">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本项目在其它原料的使用过程中会产生废包装桶，产生情况见表4-</w:t>
            </w:r>
            <w:r>
              <w:rPr>
                <w:rFonts w:hint="eastAsia" w:ascii="Times New Roman" w:hAnsi="Times New Roman" w:eastAsia="宋体"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lang w:eastAsia="zh-CN"/>
              </w:rPr>
              <w:t>，其它废包装桶产生量为0.</w:t>
            </w:r>
            <w:r>
              <w:rPr>
                <w:rFonts w:hint="eastAsia" w:ascii="Times New Roman" w:hAnsi="Times New Roman" w:eastAsia="宋体" w:cs="Times New Roman"/>
                <w:color w:val="auto"/>
                <w:sz w:val="24"/>
                <w:szCs w:val="24"/>
                <w:highlight w:val="none"/>
                <w:lang w:val="en-US" w:eastAsia="zh-CN"/>
              </w:rPr>
              <w:t>128</w:t>
            </w:r>
            <w:r>
              <w:rPr>
                <w:rFonts w:hint="default" w:ascii="Times New Roman" w:hAnsi="Times New Roman" w:eastAsia="宋体" w:cs="Times New Roman"/>
                <w:color w:val="auto"/>
                <w:sz w:val="24"/>
                <w:szCs w:val="24"/>
                <w:highlight w:val="none"/>
                <w:lang w:eastAsia="zh-CN"/>
              </w:rPr>
              <w:t>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年版），属于危险废物，废物类别HW08，废物代码为900-24</w:t>
            </w:r>
            <w:r>
              <w:rPr>
                <w:rFonts w:hint="eastAsia"/>
                <w:color w:val="auto"/>
                <w:sz w:val="24"/>
                <w:lang w:val="en-US" w:eastAsia="zh-CN"/>
              </w:rPr>
              <w:t>9</w:t>
            </w:r>
            <w:r>
              <w:rPr>
                <w:rFonts w:hint="eastAsia"/>
                <w:color w:val="auto"/>
                <w:sz w:val="24"/>
              </w:rPr>
              <w:t>-08</w:t>
            </w:r>
            <w:r>
              <w:rPr>
                <w:rFonts w:hint="eastAsia" w:ascii="Times New Roman" w:hAnsi="Times New Roman" w:eastAsia="宋体" w:cs="Times New Roman"/>
                <w:color w:val="auto"/>
                <w:sz w:val="24"/>
                <w:szCs w:val="24"/>
                <w:highlight w:val="none"/>
                <w:lang w:eastAsia="zh-CN"/>
              </w:rPr>
              <w:t>。</w:t>
            </w:r>
            <w:r>
              <w:rPr>
                <w:rFonts w:hint="eastAsia"/>
                <w:color w:val="auto"/>
                <w:sz w:val="24"/>
              </w:rPr>
              <w:t>暂存于危险废物暂存间内，定期委托有相关资质的单位定期清运处置。</w:t>
            </w:r>
          </w:p>
          <w:p w14:paraId="28509F3F">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表4-</w:t>
            </w:r>
            <w:r>
              <w:rPr>
                <w:rFonts w:hint="eastAsia" w:cs="Times New Roman"/>
                <w:b/>
                <w:bCs/>
                <w:color w:val="auto"/>
                <w:sz w:val="21"/>
                <w:szCs w:val="21"/>
                <w:highlight w:val="none"/>
                <w:lang w:val="en-US" w:eastAsia="zh-CN"/>
              </w:rPr>
              <w:t>20</w:t>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eastAsia="zh-CN"/>
              </w:rPr>
              <w:t>废包装桶产生情况表</w:t>
            </w:r>
          </w:p>
          <w:tbl>
            <w:tblPr>
              <w:tblStyle w:val="34"/>
              <w:tblW w:w="8000"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20"/>
              <w:gridCol w:w="910"/>
              <w:gridCol w:w="1165"/>
              <w:gridCol w:w="982"/>
              <w:gridCol w:w="1348"/>
              <w:gridCol w:w="1166"/>
            </w:tblGrid>
            <w:tr w14:paraId="01511B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09" w:type="dxa"/>
                  <w:tcBorders>
                    <w:tl2br w:val="nil"/>
                    <w:tr2bl w:val="nil"/>
                  </w:tcBorders>
                  <w:vAlign w:val="center"/>
                </w:tcPr>
                <w:p w14:paraId="1086D72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序号</w:t>
                  </w:r>
                </w:p>
              </w:tc>
              <w:tc>
                <w:tcPr>
                  <w:tcW w:w="1620" w:type="dxa"/>
                  <w:tcBorders>
                    <w:tl2br w:val="nil"/>
                    <w:tr2bl w:val="nil"/>
                  </w:tcBorders>
                  <w:vAlign w:val="center"/>
                </w:tcPr>
                <w:p w14:paraId="6024B4F3">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原料名称</w:t>
                  </w:r>
                </w:p>
              </w:tc>
              <w:tc>
                <w:tcPr>
                  <w:tcW w:w="910" w:type="dxa"/>
                  <w:tcBorders>
                    <w:tl2br w:val="nil"/>
                    <w:tr2bl w:val="nil"/>
                  </w:tcBorders>
                  <w:vAlign w:val="center"/>
                </w:tcPr>
                <w:p w14:paraId="00C164AC">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用量（t/a）</w:t>
                  </w:r>
                </w:p>
              </w:tc>
              <w:tc>
                <w:tcPr>
                  <w:tcW w:w="1165" w:type="dxa"/>
                  <w:tcBorders>
                    <w:tl2br w:val="nil"/>
                    <w:tr2bl w:val="nil"/>
                  </w:tcBorders>
                  <w:vAlign w:val="center"/>
                </w:tcPr>
                <w:p w14:paraId="059B83C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包装规格</w:t>
                  </w:r>
                </w:p>
              </w:tc>
              <w:tc>
                <w:tcPr>
                  <w:tcW w:w="982" w:type="dxa"/>
                  <w:tcBorders>
                    <w:tl2br w:val="nil"/>
                    <w:tr2bl w:val="nil"/>
                  </w:tcBorders>
                  <w:vAlign w:val="center"/>
                </w:tcPr>
                <w:p w14:paraId="3DE714B5">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数量（个）</w:t>
                  </w:r>
                </w:p>
              </w:tc>
              <w:tc>
                <w:tcPr>
                  <w:tcW w:w="1348" w:type="dxa"/>
                  <w:tcBorders>
                    <w:tl2br w:val="nil"/>
                    <w:tr2bl w:val="nil"/>
                  </w:tcBorders>
                  <w:vAlign w:val="center"/>
                </w:tcPr>
                <w:p w14:paraId="37A3B84B">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包装桶重量</w:t>
                  </w:r>
                </w:p>
              </w:tc>
              <w:tc>
                <w:tcPr>
                  <w:tcW w:w="1166" w:type="dxa"/>
                  <w:tcBorders>
                    <w:tl2br w:val="nil"/>
                    <w:tr2bl w:val="nil"/>
                  </w:tcBorders>
                  <w:vAlign w:val="center"/>
                </w:tcPr>
                <w:p w14:paraId="38ADA093">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产生量（t/a）</w:t>
                  </w:r>
                </w:p>
              </w:tc>
            </w:tr>
            <w:tr w14:paraId="22375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09" w:type="dxa"/>
                  <w:tcBorders>
                    <w:tl2br w:val="nil"/>
                    <w:tr2bl w:val="nil"/>
                  </w:tcBorders>
                  <w:vAlign w:val="center"/>
                </w:tcPr>
                <w:p w14:paraId="748A01DE">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w:t>
                  </w:r>
                </w:p>
              </w:tc>
              <w:tc>
                <w:tcPr>
                  <w:tcW w:w="1620" w:type="dxa"/>
                  <w:tcBorders>
                    <w:tl2br w:val="nil"/>
                    <w:tr2bl w:val="nil"/>
                  </w:tcBorders>
                  <w:vAlign w:val="center"/>
                </w:tcPr>
                <w:p w14:paraId="302BD4E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eastAsia" w:ascii="宋体" w:hAnsi="宋体" w:eastAsia="宋体" w:cs="宋体"/>
                      <w:i w:val="0"/>
                      <w:iCs w:val="0"/>
                      <w:color w:val="auto"/>
                      <w:kern w:val="0"/>
                      <w:sz w:val="21"/>
                      <w:szCs w:val="21"/>
                      <w:u w:val="none"/>
                      <w:lang w:val="en-US" w:eastAsia="zh-CN" w:bidi="ar"/>
                    </w:rPr>
                    <w:t>切削液</w:t>
                  </w:r>
                  <w:r>
                    <w:rPr>
                      <w:rFonts w:hint="default" w:ascii="Times New Roman" w:hAnsi="Times New Roman" w:eastAsia="宋体" w:cs="Times New Roman"/>
                      <w:i w:val="0"/>
                      <w:iCs w:val="0"/>
                      <w:color w:val="auto"/>
                      <w:kern w:val="0"/>
                      <w:sz w:val="21"/>
                      <w:szCs w:val="21"/>
                      <w:u w:val="none"/>
                      <w:lang w:val="en-US" w:eastAsia="zh-CN" w:bidi="ar"/>
                    </w:rPr>
                    <w:t>EP333</w:t>
                  </w:r>
                </w:p>
              </w:tc>
              <w:tc>
                <w:tcPr>
                  <w:tcW w:w="910" w:type="dxa"/>
                  <w:tcBorders>
                    <w:tl2br w:val="nil"/>
                    <w:tr2bl w:val="nil"/>
                  </w:tcBorders>
                  <w:vAlign w:val="center"/>
                </w:tcPr>
                <w:p w14:paraId="5C76726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5" w:type="dxa"/>
                  <w:tcBorders>
                    <w:tl2br w:val="nil"/>
                    <w:tr2bl w:val="nil"/>
                  </w:tcBorders>
                  <w:vAlign w:val="center"/>
                </w:tcPr>
                <w:p w14:paraId="167CA65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200L/铁桶</w:t>
                  </w:r>
                </w:p>
              </w:tc>
              <w:tc>
                <w:tcPr>
                  <w:tcW w:w="982" w:type="dxa"/>
                  <w:tcBorders>
                    <w:tl2br w:val="nil"/>
                    <w:tr2bl w:val="nil"/>
                  </w:tcBorders>
                  <w:vAlign w:val="center"/>
                </w:tcPr>
                <w:p w14:paraId="6A47CCE2">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10</w:t>
                  </w:r>
                </w:p>
              </w:tc>
              <w:tc>
                <w:tcPr>
                  <w:tcW w:w="1348" w:type="dxa"/>
                  <w:tcBorders>
                    <w:tl2br w:val="nil"/>
                    <w:tr2bl w:val="nil"/>
                  </w:tcBorders>
                  <w:vAlign w:val="center"/>
                </w:tcPr>
                <w:p w14:paraId="5B91DD05">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6kg/个</w:t>
                  </w:r>
                </w:p>
              </w:tc>
              <w:tc>
                <w:tcPr>
                  <w:tcW w:w="1166" w:type="dxa"/>
                  <w:tcBorders>
                    <w:tl2br w:val="nil"/>
                    <w:tr2bl w:val="nil"/>
                  </w:tcBorders>
                  <w:vAlign w:val="center"/>
                </w:tcPr>
                <w:p w14:paraId="105C5F4E">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0.06</w:t>
                  </w:r>
                </w:p>
              </w:tc>
            </w:tr>
            <w:tr w14:paraId="4DC721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09" w:type="dxa"/>
                  <w:tcBorders>
                    <w:tl2br w:val="nil"/>
                    <w:tr2bl w:val="nil"/>
                  </w:tcBorders>
                  <w:vAlign w:val="center"/>
                </w:tcPr>
                <w:p w14:paraId="55B54159">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w:t>
                  </w:r>
                </w:p>
              </w:tc>
              <w:tc>
                <w:tcPr>
                  <w:tcW w:w="1620" w:type="dxa"/>
                  <w:tcBorders>
                    <w:tl2br w:val="nil"/>
                    <w:tr2bl w:val="nil"/>
                  </w:tcBorders>
                  <w:vAlign w:val="center"/>
                </w:tcPr>
                <w:p w14:paraId="6E52B37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eastAsia" w:ascii="宋体" w:hAnsi="宋体" w:cs="宋体"/>
                      <w:i w:val="0"/>
                      <w:iCs w:val="0"/>
                      <w:color w:val="auto"/>
                      <w:kern w:val="0"/>
                      <w:sz w:val="21"/>
                      <w:szCs w:val="21"/>
                      <w:u w:val="none"/>
                      <w:lang w:val="en-US" w:eastAsia="zh-CN" w:bidi="ar"/>
                    </w:rPr>
                    <w:t>超声波</w:t>
                  </w:r>
                  <w:r>
                    <w:rPr>
                      <w:rFonts w:hint="eastAsia" w:ascii="宋体" w:hAnsi="宋体" w:eastAsia="宋体" w:cs="宋体"/>
                      <w:i w:val="0"/>
                      <w:iCs w:val="0"/>
                      <w:color w:val="auto"/>
                      <w:kern w:val="0"/>
                      <w:sz w:val="21"/>
                      <w:szCs w:val="21"/>
                      <w:u w:val="none"/>
                      <w:lang w:val="en-US" w:eastAsia="zh-CN" w:bidi="ar"/>
                    </w:rPr>
                    <w:t>清洗剂</w:t>
                  </w:r>
                </w:p>
              </w:tc>
              <w:tc>
                <w:tcPr>
                  <w:tcW w:w="910" w:type="dxa"/>
                  <w:tcBorders>
                    <w:tl2br w:val="nil"/>
                    <w:tr2bl w:val="nil"/>
                  </w:tcBorders>
                  <w:vAlign w:val="center"/>
                </w:tcPr>
                <w:p w14:paraId="41D93EB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165" w:type="dxa"/>
                  <w:tcBorders>
                    <w:tl2br w:val="nil"/>
                    <w:tr2bl w:val="nil"/>
                  </w:tcBorders>
                  <w:vAlign w:val="center"/>
                </w:tcPr>
                <w:p w14:paraId="328E58B2">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25kg/铁桶</w:t>
                  </w:r>
                </w:p>
              </w:tc>
              <w:tc>
                <w:tcPr>
                  <w:tcW w:w="982" w:type="dxa"/>
                  <w:tcBorders>
                    <w:tl2br w:val="nil"/>
                    <w:tr2bl w:val="nil"/>
                  </w:tcBorders>
                  <w:vAlign w:val="center"/>
                </w:tcPr>
                <w:p w14:paraId="6B62EF20">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w:t>
                  </w:r>
                </w:p>
              </w:tc>
              <w:tc>
                <w:tcPr>
                  <w:tcW w:w="1348" w:type="dxa"/>
                  <w:tcBorders>
                    <w:tl2br w:val="nil"/>
                    <w:tr2bl w:val="nil"/>
                  </w:tcBorders>
                  <w:vAlign w:val="center"/>
                </w:tcPr>
                <w:p w14:paraId="63B7FC42">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1kg/个</w:t>
                  </w:r>
                </w:p>
              </w:tc>
              <w:tc>
                <w:tcPr>
                  <w:tcW w:w="1166" w:type="dxa"/>
                  <w:tcBorders>
                    <w:tl2br w:val="nil"/>
                    <w:tr2bl w:val="nil"/>
                  </w:tcBorders>
                  <w:vAlign w:val="center"/>
                </w:tcPr>
                <w:p w14:paraId="20DC049D">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0.02</w:t>
                  </w:r>
                </w:p>
              </w:tc>
            </w:tr>
            <w:tr w14:paraId="4EECC6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09" w:type="dxa"/>
                  <w:tcBorders>
                    <w:tl2br w:val="nil"/>
                    <w:tr2bl w:val="nil"/>
                  </w:tcBorders>
                  <w:vAlign w:val="center"/>
                </w:tcPr>
                <w:p w14:paraId="22BA98B0">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3</w:t>
                  </w:r>
                </w:p>
              </w:tc>
              <w:tc>
                <w:tcPr>
                  <w:tcW w:w="1620" w:type="dxa"/>
                  <w:tcBorders>
                    <w:tl2br w:val="nil"/>
                    <w:tr2bl w:val="nil"/>
                  </w:tcBorders>
                  <w:vAlign w:val="center"/>
                </w:tcPr>
                <w:p w14:paraId="33BE437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eastAsia" w:ascii="宋体" w:hAnsi="宋体" w:eastAsia="宋体" w:cs="宋体"/>
                      <w:i w:val="0"/>
                      <w:iCs w:val="0"/>
                      <w:color w:val="auto"/>
                      <w:kern w:val="0"/>
                      <w:sz w:val="21"/>
                      <w:szCs w:val="21"/>
                      <w:u w:val="none"/>
                      <w:lang w:val="en-US" w:eastAsia="zh-CN" w:bidi="ar"/>
                    </w:rPr>
                    <w:t>油漆</w:t>
                  </w:r>
                </w:p>
              </w:tc>
              <w:tc>
                <w:tcPr>
                  <w:tcW w:w="910" w:type="dxa"/>
                  <w:tcBorders>
                    <w:tl2br w:val="nil"/>
                    <w:tr2bl w:val="nil"/>
                  </w:tcBorders>
                  <w:vAlign w:val="center"/>
                </w:tcPr>
                <w:p w14:paraId="3B221C4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1165" w:type="dxa"/>
                  <w:tcBorders>
                    <w:tl2br w:val="nil"/>
                    <w:tr2bl w:val="nil"/>
                  </w:tcBorders>
                  <w:vAlign w:val="center"/>
                </w:tcPr>
                <w:p w14:paraId="6E6AFF6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25kg/铁桶</w:t>
                  </w:r>
                </w:p>
              </w:tc>
              <w:tc>
                <w:tcPr>
                  <w:tcW w:w="982" w:type="dxa"/>
                  <w:tcBorders>
                    <w:tl2br w:val="nil"/>
                    <w:tr2bl w:val="nil"/>
                  </w:tcBorders>
                  <w:vAlign w:val="center"/>
                </w:tcPr>
                <w:p w14:paraId="436B7D35">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40</w:t>
                  </w:r>
                </w:p>
              </w:tc>
              <w:tc>
                <w:tcPr>
                  <w:tcW w:w="1348" w:type="dxa"/>
                  <w:tcBorders>
                    <w:tl2br w:val="nil"/>
                    <w:tr2bl w:val="nil"/>
                  </w:tcBorders>
                  <w:vAlign w:val="center"/>
                </w:tcPr>
                <w:p w14:paraId="4A7194AD">
                  <w:pPr>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1kg/个</w:t>
                  </w:r>
                </w:p>
              </w:tc>
              <w:tc>
                <w:tcPr>
                  <w:tcW w:w="1166" w:type="dxa"/>
                  <w:tcBorders>
                    <w:tl2br w:val="nil"/>
                    <w:tr2bl w:val="nil"/>
                  </w:tcBorders>
                  <w:vAlign w:val="center"/>
                </w:tcPr>
                <w:p w14:paraId="44D1773F">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0.04</w:t>
                  </w:r>
                </w:p>
              </w:tc>
            </w:tr>
            <w:tr w14:paraId="2D101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09" w:type="dxa"/>
                  <w:tcBorders>
                    <w:tl2br w:val="nil"/>
                    <w:tr2bl w:val="nil"/>
                  </w:tcBorders>
                  <w:vAlign w:val="center"/>
                </w:tcPr>
                <w:p w14:paraId="5752502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w:t>
                  </w:r>
                </w:p>
              </w:tc>
              <w:tc>
                <w:tcPr>
                  <w:tcW w:w="1620" w:type="dxa"/>
                  <w:tcBorders>
                    <w:tl2br w:val="nil"/>
                    <w:tr2bl w:val="nil"/>
                  </w:tcBorders>
                  <w:vAlign w:val="center"/>
                </w:tcPr>
                <w:p w14:paraId="6405892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eastAsia" w:ascii="宋体" w:hAnsi="宋体" w:eastAsia="宋体" w:cs="宋体"/>
                      <w:i w:val="0"/>
                      <w:iCs w:val="0"/>
                      <w:color w:val="auto"/>
                      <w:kern w:val="0"/>
                      <w:sz w:val="21"/>
                      <w:szCs w:val="21"/>
                      <w:u w:val="none"/>
                      <w:lang w:val="en-US" w:eastAsia="zh-CN" w:bidi="ar"/>
                    </w:rPr>
                    <w:t>稀释剂</w:t>
                  </w:r>
                </w:p>
              </w:tc>
              <w:tc>
                <w:tcPr>
                  <w:tcW w:w="910" w:type="dxa"/>
                  <w:tcBorders>
                    <w:tl2br w:val="nil"/>
                    <w:tr2bl w:val="nil"/>
                  </w:tcBorders>
                  <w:vAlign w:val="center"/>
                </w:tcPr>
                <w:p w14:paraId="00AEDF3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65" w:type="dxa"/>
                  <w:tcBorders>
                    <w:tl2br w:val="nil"/>
                    <w:tr2bl w:val="nil"/>
                  </w:tcBorders>
                  <w:vAlign w:val="center"/>
                </w:tcPr>
                <w:p w14:paraId="0862529A">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25kg/铁桶</w:t>
                  </w:r>
                </w:p>
              </w:tc>
              <w:tc>
                <w:tcPr>
                  <w:tcW w:w="982" w:type="dxa"/>
                  <w:tcBorders>
                    <w:tl2br w:val="nil"/>
                    <w:tr2bl w:val="nil"/>
                  </w:tcBorders>
                  <w:vAlign w:val="center"/>
                </w:tcPr>
                <w:p w14:paraId="47BCC698">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8</w:t>
                  </w:r>
                </w:p>
              </w:tc>
              <w:tc>
                <w:tcPr>
                  <w:tcW w:w="1348" w:type="dxa"/>
                  <w:tcBorders>
                    <w:tl2br w:val="nil"/>
                    <w:tr2bl w:val="nil"/>
                  </w:tcBorders>
                  <w:vAlign w:val="center"/>
                </w:tcPr>
                <w:p w14:paraId="3DF15350">
                  <w:pPr>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1kg/个</w:t>
                  </w:r>
                </w:p>
              </w:tc>
              <w:tc>
                <w:tcPr>
                  <w:tcW w:w="1166" w:type="dxa"/>
                  <w:tcBorders>
                    <w:tl2br w:val="nil"/>
                    <w:tr2bl w:val="nil"/>
                  </w:tcBorders>
                  <w:vAlign w:val="center"/>
                </w:tcPr>
                <w:p w14:paraId="1F44C0D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0.008</w:t>
                  </w:r>
                </w:p>
              </w:tc>
            </w:tr>
            <w:tr w14:paraId="02AE7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09" w:type="dxa"/>
                  <w:tcBorders>
                    <w:tl2br w:val="nil"/>
                    <w:tr2bl w:val="nil"/>
                  </w:tcBorders>
                  <w:vAlign w:val="center"/>
                </w:tcPr>
                <w:p w14:paraId="18F907B6">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合计</w:t>
                  </w:r>
                </w:p>
              </w:tc>
              <w:tc>
                <w:tcPr>
                  <w:tcW w:w="1620" w:type="dxa"/>
                  <w:tcBorders>
                    <w:tl2br w:val="nil"/>
                    <w:tr2bl w:val="nil"/>
                  </w:tcBorders>
                  <w:vAlign w:val="center"/>
                </w:tcPr>
                <w:p w14:paraId="4F9BAB3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10" w:type="dxa"/>
                  <w:tcBorders>
                    <w:tl2br w:val="nil"/>
                    <w:tr2bl w:val="nil"/>
                  </w:tcBorders>
                  <w:vAlign w:val="center"/>
                </w:tcPr>
                <w:p w14:paraId="5B7ADC2B">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p>
              </w:tc>
              <w:tc>
                <w:tcPr>
                  <w:tcW w:w="1165" w:type="dxa"/>
                  <w:tcBorders>
                    <w:tl2br w:val="nil"/>
                    <w:tr2bl w:val="nil"/>
                  </w:tcBorders>
                  <w:vAlign w:val="center"/>
                </w:tcPr>
                <w:p w14:paraId="5C6726CE">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p>
              </w:tc>
              <w:tc>
                <w:tcPr>
                  <w:tcW w:w="982" w:type="dxa"/>
                  <w:tcBorders>
                    <w:tl2br w:val="nil"/>
                    <w:tr2bl w:val="nil"/>
                  </w:tcBorders>
                  <w:vAlign w:val="center"/>
                </w:tcPr>
                <w:p w14:paraId="41D6B07D">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p>
              </w:tc>
              <w:tc>
                <w:tcPr>
                  <w:tcW w:w="1348" w:type="dxa"/>
                  <w:tcBorders>
                    <w:tl2br w:val="nil"/>
                    <w:tr2bl w:val="nil"/>
                  </w:tcBorders>
                  <w:vAlign w:val="center"/>
                </w:tcPr>
                <w:p w14:paraId="6AC7DFFE">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eastAsia="zh-CN"/>
                    </w:rPr>
                  </w:pPr>
                </w:p>
              </w:tc>
              <w:tc>
                <w:tcPr>
                  <w:tcW w:w="1166" w:type="dxa"/>
                  <w:tcBorders>
                    <w:tl2br w:val="nil"/>
                    <w:tr2bl w:val="nil"/>
                  </w:tcBorders>
                  <w:vAlign w:val="center"/>
                </w:tcPr>
                <w:p w14:paraId="649BBD05">
                  <w:pPr>
                    <w:tabs>
                      <w:tab w:val="left" w:pos="465"/>
                    </w:tabs>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0.128</w:t>
                  </w:r>
                </w:p>
              </w:tc>
            </w:tr>
          </w:tbl>
          <w:p w14:paraId="5F9A4621">
            <w:pPr>
              <w:keepNext w:val="0"/>
              <w:keepLines w:val="0"/>
              <w:pageBreakBefore w:val="0"/>
              <w:widowControl w:val="0"/>
              <w:tabs>
                <w:tab w:val="left" w:pos="465"/>
              </w:tabs>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⑧</w:t>
            </w:r>
            <w:r>
              <w:rPr>
                <w:rFonts w:hint="default" w:ascii="Times New Roman" w:hAnsi="Times New Roman" w:eastAsia="宋体" w:cs="Times New Roman"/>
                <w:color w:val="auto"/>
                <w:sz w:val="24"/>
                <w:szCs w:val="24"/>
                <w:highlight w:val="none"/>
                <w:lang w:eastAsia="zh-CN"/>
              </w:rPr>
              <w:t>漆渣</w:t>
            </w:r>
          </w:p>
          <w:p w14:paraId="6C9CAC8A">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漆雾</w:t>
            </w:r>
            <w:r>
              <w:rPr>
                <w:rFonts w:hint="eastAsia" w:ascii="Times New Roman" w:hAnsi="Times New Roman" w:eastAsia="宋体" w:cs="Times New Roman"/>
                <w:color w:val="auto"/>
                <w:sz w:val="24"/>
                <w:szCs w:val="24"/>
                <w:highlight w:val="none"/>
                <w:lang w:val="en-US" w:eastAsia="zh-CN"/>
              </w:rPr>
              <w:t>会被过滤棉吸附，</w:t>
            </w:r>
            <w:r>
              <w:rPr>
                <w:rFonts w:hint="default" w:ascii="Times New Roman" w:hAnsi="Times New Roman" w:eastAsia="宋体" w:cs="Times New Roman"/>
                <w:color w:val="auto"/>
                <w:sz w:val="24"/>
                <w:szCs w:val="24"/>
                <w:highlight w:val="none"/>
                <w:lang w:eastAsia="zh-CN"/>
              </w:rPr>
              <w:t>积聚会形成漆渣，需定期清</w:t>
            </w:r>
            <w:r>
              <w:rPr>
                <w:rFonts w:hint="eastAsia" w:ascii="Times New Roman" w:hAnsi="Times New Roman" w:eastAsia="宋体" w:cs="Times New Roman"/>
                <w:color w:val="auto"/>
                <w:sz w:val="24"/>
                <w:szCs w:val="24"/>
                <w:highlight w:val="none"/>
                <w:lang w:val="en-US" w:eastAsia="zh-CN"/>
              </w:rPr>
              <w:t>理</w:t>
            </w:r>
            <w:r>
              <w:rPr>
                <w:rFonts w:hint="default" w:ascii="Times New Roman" w:hAnsi="Times New Roman" w:eastAsia="宋体" w:cs="Times New Roman"/>
                <w:color w:val="auto"/>
                <w:sz w:val="24"/>
                <w:szCs w:val="24"/>
                <w:highlight w:val="none"/>
                <w:lang w:eastAsia="zh-CN"/>
              </w:rPr>
              <w:t>。根据前述分析，被吸收掉的漆雾量约0.</w:t>
            </w:r>
            <w:r>
              <w:rPr>
                <w:rFonts w:hint="eastAsia" w:ascii="Times New Roman" w:hAnsi="Times New Roman" w:eastAsia="宋体"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eastAsia="zh-CN"/>
              </w:rPr>
              <w:t>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全部进入</w:t>
            </w:r>
            <w:r>
              <w:rPr>
                <w:rFonts w:hint="eastAsia" w:ascii="Times New Roman" w:hAnsi="Times New Roman" w:eastAsia="宋体" w:cs="Times New Roman"/>
                <w:color w:val="auto"/>
                <w:sz w:val="24"/>
                <w:szCs w:val="24"/>
                <w:highlight w:val="none"/>
                <w:lang w:val="en-US" w:eastAsia="zh-CN"/>
              </w:rPr>
              <w:t>过滤棉中</w:t>
            </w:r>
            <w:r>
              <w:rPr>
                <w:rFonts w:hint="default" w:ascii="Times New Roman" w:hAnsi="Times New Roman" w:eastAsia="宋体" w:cs="Times New Roman"/>
                <w:color w:val="auto"/>
                <w:sz w:val="24"/>
                <w:szCs w:val="24"/>
                <w:highlight w:val="none"/>
                <w:lang w:eastAsia="zh-CN"/>
              </w:rPr>
              <w:t>形成漆渣，则漆渣</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含过滤棉</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产生量约为0.</w:t>
            </w:r>
            <w:r>
              <w:rPr>
                <w:rFonts w:hint="eastAsia" w:ascii="Times New Roman" w:hAnsi="Times New Roman" w:eastAsia="宋体"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eastAsia="zh-CN"/>
              </w:rPr>
              <w:t>t/a。</w:t>
            </w:r>
            <w:r>
              <w:rPr>
                <w:rFonts w:hint="eastAsia"/>
                <w:color w:val="auto"/>
                <w:sz w:val="24"/>
              </w:rPr>
              <w:t>根据《国家危险废物名录》（202</w:t>
            </w:r>
            <w:r>
              <w:rPr>
                <w:rFonts w:hint="eastAsia"/>
                <w:color w:val="auto"/>
                <w:sz w:val="24"/>
                <w:lang w:val="en-US" w:eastAsia="zh-CN"/>
              </w:rPr>
              <w:t>5</w:t>
            </w:r>
            <w:r>
              <w:rPr>
                <w:rFonts w:hint="eastAsia"/>
                <w:color w:val="auto"/>
                <w:sz w:val="24"/>
              </w:rPr>
              <w:t>年版），属于危险废物，废物类别HW</w:t>
            </w:r>
            <w:r>
              <w:rPr>
                <w:rFonts w:hint="eastAsia"/>
                <w:color w:val="auto"/>
                <w:sz w:val="24"/>
                <w:lang w:val="en-US" w:eastAsia="zh-CN"/>
              </w:rPr>
              <w:t>12</w:t>
            </w:r>
            <w:r>
              <w:rPr>
                <w:rFonts w:hint="eastAsia"/>
                <w:color w:val="auto"/>
                <w:sz w:val="24"/>
              </w:rPr>
              <w:t>，废物代码为900-252-12</w:t>
            </w:r>
            <w:r>
              <w:rPr>
                <w:rFonts w:hint="eastAsia" w:ascii="Times New Roman" w:hAnsi="Times New Roman" w:eastAsia="宋体" w:cs="Times New Roman"/>
                <w:color w:val="auto"/>
                <w:sz w:val="24"/>
                <w:szCs w:val="24"/>
                <w:highlight w:val="none"/>
                <w:lang w:eastAsia="zh-CN"/>
              </w:rPr>
              <w:t>。</w:t>
            </w:r>
            <w:r>
              <w:rPr>
                <w:rFonts w:hint="eastAsia"/>
                <w:color w:val="auto"/>
                <w:sz w:val="24"/>
              </w:rPr>
              <w:t>暂存于危险废物暂存间内，定期委托有相关资质的单位定期清运处置。</w:t>
            </w:r>
          </w:p>
          <w:p w14:paraId="3DD8949C">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⑨</w:t>
            </w:r>
            <w:r>
              <w:rPr>
                <w:rFonts w:hint="default" w:ascii="Times New Roman" w:hAnsi="Times New Roman" w:eastAsia="宋体" w:cs="Times New Roman"/>
                <w:color w:val="auto"/>
                <w:sz w:val="24"/>
                <w:szCs w:val="24"/>
                <w:highlight w:val="none"/>
                <w:lang w:eastAsia="zh-CN"/>
              </w:rPr>
              <w:t>废活性炭</w:t>
            </w:r>
          </w:p>
          <w:p w14:paraId="4B40E6B2">
            <w:pPr>
              <w:adjustRightInd w:val="0"/>
              <w:snapToGrid w:val="0"/>
              <w:spacing w:line="360" w:lineRule="auto"/>
              <w:ind w:firstLine="480" w:firstLineChars="200"/>
              <w:jc w:val="both"/>
              <w:rPr>
                <w:rFonts w:hint="eastAsia" w:ascii="Times New Roman" w:hAnsi="Times New Roman" w:eastAsia="宋体" w:cs="Times New Roman"/>
                <w:b w:val="0"/>
                <w:bCs w:val="0"/>
                <w:color w:val="auto"/>
                <w:sz w:val="24"/>
                <w:lang w:eastAsia="zh-CN"/>
              </w:rPr>
            </w:pPr>
            <w:r>
              <w:rPr>
                <w:rFonts w:hint="eastAsia" w:ascii="Times New Roman" w:hAnsi="Times New Roman" w:eastAsia="宋体" w:cs="Times New Roman"/>
                <w:b w:val="0"/>
                <w:bCs w:val="0"/>
                <w:color w:val="auto"/>
                <w:sz w:val="24"/>
                <w:lang w:eastAsia="zh-CN"/>
              </w:rPr>
              <w:t>本项目</w:t>
            </w:r>
            <w:r>
              <w:rPr>
                <w:rFonts w:hint="eastAsia" w:ascii="Times New Roman" w:hAnsi="Times New Roman" w:eastAsia="宋体" w:cs="Times New Roman"/>
                <w:b w:val="0"/>
                <w:bCs w:val="0"/>
                <w:color w:val="auto"/>
                <w:sz w:val="24"/>
                <w:lang w:val="en-US" w:eastAsia="zh-CN"/>
              </w:rPr>
              <w:t>油漆</w:t>
            </w:r>
            <w:r>
              <w:rPr>
                <w:rFonts w:hint="eastAsia" w:ascii="Times New Roman" w:hAnsi="Times New Roman" w:eastAsia="宋体" w:cs="Times New Roman"/>
                <w:b w:val="0"/>
                <w:bCs w:val="0"/>
                <w:color w:val="auto"/>
                <w:sz w:val="24"/>
                <w:lang w:eastAsia="zh-CN"/>
              </w:rPr>
              <w:t>废气经“</w:t>
            </w:r>
            <w:r>
              <w:rPr>
                <w:rFonts w:hint="eastAsia" w:ascii="Times New Roman" w:hAnsi="Times New Roman" w:eastAsia="宋体" w:cs="Times New Roman"/>
                <w:b w:val="0"/>
                <w:bCs w:val="0"/>
                <w:color w:val="auto"/>
                <w:sz w:val="24"/>
                <w:lang w:val="en-US" w:eastAsia="zh-CN"/>
              </w:rPr>
              <w:t>负压收集+多级过滤+</w:t>
            </w:r>
            <w:r>
              <w:rPr>
                <w:rFonts w:hint="eastAsia" w:cs="Times New Roman"/>
                <w:b w:val="0"/>
                <w:bCs w:val="0"/>
                <w:color w:val="auto"/>
                <w:sz w:val="24"/>
                <w:lang w:val="en-US" w:eastAsia="zh-CN"/>
              </w:rPr>
              <w:t>两</w:t>
            </w:r>
            <w:r>
              <w:rPr>
                <w:rFonts w:hint="eastAsia" w:ascii="Times New Roman" w:hAnsi="Times New Roman" w:eastAsia="宋体" w:cs="Times New Roman"/>
                <w:b w:val="0"/>
                <w:bCs w:val="0"/>
                <w:color w:val="auto"/>
                <w:sz w:val="24"/>
                <w:lang w:val="en-US" w:eastAsia="zh-CN"/>
              </w:rPr>
              <w:t>级活性炭吸附</w:t>
            </w:r>
            <w:r>
              <w:rPr>
                <w:rFonts w:hint="eastAsia" w:ascii="Times New Roman" w:hAnsi="Times New Roman" w:eastAsia="宋体" w:cs="Times New Roman"/>
                <w:b w:val="0"/>
                <w:bCs w:val="0"/>
                <w:color w:val="auto"/>
                <w:sz w:val="24"/>
                <w:lang w:eastAsia="zh-CN"/>
              </w:rPr>
              <w:t>”</w:t>
            </w:r>
            <w:r>
              <w:rPr>
                <w:rFonts w:hint="eastAsia" w:ascii="Times New Roman" w:hAnsi="Times New Roman" w:eastAsia="宋体" w:cs="Times New Roman"/>
                <w:b w:val="0"/>
                <w:bCs w:val="0"/>
                <w:color w:val="auto"/>
                <w:sz w:val="24"/>
                <w:lang w:val="en-US" w:eastAsia="zh-CN"/>
              </w:rPr>
              <w:t>处理后通过</w:t>
            </w:r>
            <w:r>
              <w:rPr>
                <w:rFonts w:hint="eastAsia" w:ascii="Times New Roman" w:hAnsi="Times New Roman" w:eastAsia="宋体" w:cs="Times New Roman"/>
                <w:b w:val="0"/>
                <w:bCs w:val="0"/>
                <w:color w:val="auto"/>
                <w:sz w:val="24"/>
                <w:lang w:eastAsia="zh-CN"/>
              </w:rPr>
              <w:t>1</w:t>
            </w:r>
            <w:r>
              <w:rPr>
                <w:rFonts w:hint="eastAsia" w:ascii="Times New Roman" w:hAnsi="Times New Roman" w:eastAsia="宋体" w:cs="Times New Roman"/>
                <w:b w:val="0"/>
                <w:bCs w:val="0"/>
                <w:color w:val="auto"/>
                <w:sz w:val="24"/>
                <w:lang w:val="en-US" w:eastAsia="zh-CN"/>
              </w:rPr>
              <w:t>5</w:t>
            </w:r>
            <w:r>
              <w:rPr>
                <w:rFonts w:hint="eastAsia" w:ascii="Times New Roman" w:hAnsi="Times New Roman" w:eastAsia="宋体" w:cs="Times New Roman"/>
                <w:b w:val="0"/>
                <w:bCs w:val="0"/>
                <w:color w:val="auto"/>
                <w:sz w:val="24"/>
                <w:lang w:eastAsia="zh-CN"/>
              </w:rPr>
              <w:t>米高排气筒排放。</w:t>
            </w:r>
          </w:p>
          <w:p w14:paraId="1215593D">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val="0"/>
                <w:bCs w:val="0"/>
                <w:color w:val="auto"/>
                <w:sz w:val="24"/>
                <w:lang w:eastAsia="zh-CN"/>
              </w:rPr>
              <w:t>建设项目工艺废气治理设施中，拟</w:t>
            </w:r>
            <w:r>
              <w:rPr>
                <w:rFonts w:hint="eastAsia" w:ascii="Times New Roman" w:hAnsi="Times New Roman" w:eastAsia="宋体" w:cs="Times New Roman"/>
                <w:b w:val="0"/>
                <w:bCs w:val="0"/>
                <w:color w:val="auto"/>
                <w:sz w:val="24"/>
                <w:lang w:val="en-US" w:eastAsia="zh-CN"/>
              </w:rPr>
              <w:t>设两</w:t>
            </w:r>
            <w:r>
              <w:rPr>
                <w:rFonts w:hint="eastAsia" w:ascii="Times New Roman" w:hAnsi="Times New Roman" w:eastAsia="宋体" w:cs="Times New Roman"/>
                <w:b w:val="0"/>
                <w:bCs w:val="0"/>
                <w:color w:val="auto"/>
                <w:sz w:val="24"/>
                <w:lang w:eastAsia="zh-CN"/>
              </w:rPr>
              <w:t>个活性炭吸附箱，</w:t>
            </w:r>
            <w:r>
              <w:rPr>
                <w:rFonts w:hint="eastAsia" w:eastAsia="宋体" w:cs="Times New Roman"/>
                <w:color w:val="auto"/>
                <w:sz w:val="24"/>
                <w:szCs w:val="24"/>
                <w:highlight w:val="none"/>
                <w:lang w:val="en-US" w:eastAsia="zh-CN"/>
              </w:rPr>
              <w:t>其</w:t>
            </w:r>
            <w:r>
              <w:rPr>
                <w:rFonts w:hint="eastAsia" w:ascii="Times New Roman" w:hAnsi="Times New Roman" w:eastAsia="宋体" w:cs="Times New Roman"/>
                <w:color w:val="auto"/>
                <w:sz w:val="24"/>
                <w:szCs w:val="24"/>
                <w:highlight w:val="none"/>
                <w:lang w:val="en-US" w:eastAsia="zh-CN"/>
              </w:rPr>
              <w:t>活性炭填装量为</w:t>
            </w:r>
            <w:r>
              <w:rPr>
                <w:rFonts w:hint="eastAsia" w:eastAsia="宋体" w:cs="Times New Roman"/>
                <w:color w:val="auto"/>
                <w:sz w:val="24"/>
                <w:szCs w:val="24"/>
                <w:highlight w:val="none"/>
                <w:lang w:val="en-US" w:eastAsia="zh-CN"/>
              </w:rPr>
              <w:t>16</w:t>
            </w:r>
            <w:r>
              <w:rPr>
                <w:rFonts w:hint="eastAsia" w:ascii="Times New Roman" w:hAnsi="Times New Roman" w:eastAsia="宋体" w:cs="Times New Roman"/>
                <w:color w:val="auto"/>
                <w:sz w:val="24"/>
                <w:szCs w:val="24"/>
                <w:highlight w:val="none"/>
                <w:lang w:val="en-US" w:eastAsia="zh-CN"/>
              </w:rPr>
              <w:t>00kg，活性炭动态吸附量取10%，活性炭吸附的有机废气量为</w:t>
            </w:r>
            <w:r>
              <w:rPr>
                <w:rFonts w:hint="eastAsia" w:eastAsia="宋体" w:cs="Times New Roman"/>
                <w:color w:val="auto"/>
                <w:sz w:val="24"/>
                <w:szCs w:val="24"/>
                <w:highlight w:val="none"/>
                <w:lang w:val="en-US" w:eastAsia="zh-CN"/>
              </w:rPr>
              <w:t>27.13</w:t>
            </w:r>
            <w:r>
              <w:rPr>
                <w:rFonts w:hint="eastAsia" w:ascii="Times New Roman" w:hAnsi="Times New Roman" w:eastAsia="宋体" w:cs="Times New Roman"/>
                <w:color w:val="auto"/>
                <w:sz w:val="24"/>
                <w:szCs w:val="24"/>
                <w:highlight w:val="none"/>
                <w:lang w:val="en-US" w:eastAsia="zh-CN"/>
              </w:rPr>
              <w:t>mg/m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，风量为2000m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/h，运行时间为8h/d。则活性炭箱更换周期约为</w:t>
            </w:r>
            <w:r>
              <w:rPr>
                <w:rFonts w:hint="eastAsia" w:eastAsia="宋体" w:cs="Times New Roman"/>
                <w:color w:val="auto"/>
                <w:sz w:val="24"/>
                <w:szCs w:val="24"/>
                <w:highlight w:val="none"/>
                <w:lang w:val="en-US" w:eastAsia="zh-CN"/>
              </w:rPr>
              <w:t>368</w:t>
            </w:r>
            <w:r>
              <w:rPr>
                <w:rFonts w:hint="eastAsia" w:ascii="Times New Roman" w:hAnsi="Times New Roman" w:eastAsia="宋体" w:cs="Times New Roman"/>
                <w:color w:val="auto"/>
                <w:sz w:val="24"/>
                <w:szCs w:val="24"/>
                <w:highlight w:val="none"/>
                <w:lang w:val="en-US" w:eastAsia="zh-CN"/>
              </w:rPr>
              <w:t>天，企业年工作时间为300天，故建议企业活性炭更换频率为一年</w:t>
            </w:r>
            <w:r>
              <w:rPr>
                <w:rFonts w:hint="eastAsia"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次。本项目活性炭吸附有机废气约0.1</w:t>
            </w:r>
            <w:r>
              <w:rPr>
                <w:rFonts w:hint="eastAsia" w:eastAsia="宋体" w:cs="Times New Roman"/>
                <w:color w:val="auto"/>
                <w:sz w:val="24"/>
                <w:szCs w:val="24"/>
                <w:highlight w:val="none"/>
                <w:lang w:val="en-US" w:eastAsia="zh-CN"/>
              </w:rPr>
              <w:t>31</w:t>
            </w:r>
            <w:r>
              <w:rPr>
                <w:rFonts w:hint="eastAsia" w:ascii="Times New Roman" w:hAnsi="Times New Roman" w:eastAsia="宋体" w:cs="Times New Roman"/>
                <w:color w:val="auto"/>
                <w:sz w:val="24"/>
                <w:szCs w:val="24"/>
                <w:highlight w:val="none"/>
                <w:lang w:val="en-US" w:eastAsia="zh-CN"/>
              </w:rPr>
              <w:t>t/a，根据涉活性炭吸附排污单位的排污许可证填报要求，本项目活性炭设施最大填充量为</w:t>
            </w:r>
            <w:r>
              <w:rPr>
                <w:rFonts w:hint="eastAsia" w:eastAsia="宋体" w:cs="Times New Roman"/>
                <w:color w:val="auto"/>
                <w:sz w:val="24"/>
                <w:szCs w:val="24"/>
                <w:highlight w:val="none"/>
                <w:lang w:val="en-US" w:eastAsia="zh-CN"/>
              </w:rPr>
              <w:t>16</w:t>
            </w:r>
            <w:r>
              <w:rPr>
                <w:rFonts w:hint="eastAsia" w:ascii="Times New Roman" w:hAnsi="Times New Roman" w:eastAsia="宋体" w:cs="Times New Roman"/>
                <w:color w:val="auto"/>
                <w:sz w:val="24"/>
                <w:szCs w:val="24"/>
                <w:highlight w:val="none"/>
                <w:lang w:val="en-US" w:eastAsia="zh-CN"/>
              </w:rPr>
              <w:t>00kg，企业活性炭更换频率为一年换</w:t>
            </w:r>
            <w:r>
              <w:rPr>
                <w:rFonts w:hint="eastAsia"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次，产生废活性炭（活性炭+</w:t>
            </w:r>
            <w:r>
              <w:rPr>
                <w:rFonts w:hint="eastAsia" w:eastAsia="宋体" w:cs="Times New Roman"/>
                <w:color w:val="auto"/>
                <w:sz w:val="24"/>
                <w:szCs w:val="24"/>
                <w:highlight w:val="none"/>
                <w:lang w:val="en-US" w:eastAsia="zh-CN"/>
              </w:rPr>
              <w:t>有机废气吸附</w:t>
            </w:r>
            <w:r>
              <w:rPr>
                <w:rFonts w:hint="eastAsia" w:ascii="Times New Roman" w:hAnsi="Times New Roman" w:eastAsia="宋体" w:cs="Times New Roman"/>
                <w:color w:val="auto"/>
                <w:sz w:val="24"/>
                <w:szCs w:val="24"/>
                <w:highlight w:val="none"/>
                <w:lang w:val="en-US" w:eastAsia="zh-CN"/>
              </w:rPr>
              <w:t>量）约为1.73</w:t>
            </w:r>
            <w:r>
              <w:rPr>
                <w:rFonts w:hint="eastAsia"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t/a，更换后对废活性炭进行收集，设置独立的危险废物暂存间，严格按照《危险废物收集、贮存、运输技术规范》的要求存放，粘贴危险废物标识，建立储存记录，定期交给有危险废物处理资质的单位处理。</w:t>
            </w:r>
          </w:p>
          <w:p w14:paraId="0C57257E">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生活垃圾：改</w:t>
            </w:r>
            <w:r>
              <w:rPr>
                <w:rFonts w:hint="eastAsia" w:cs="Times New Roman"/>
                <w:color w:val="auto"/>
                <w:sz w:val="24"/>
                <w:szCs w:val="24"/>
                <w:highlight w:val="none"/>
                <w:lang w:val="en-US" w:eastAsia="zh-CN"/>
              </w:rPr>
              <w:t>扩建</w:t>
            </w:r>
            <w:r>
              <w:rPr>
                <w:rFonts w:hint="default" w:ascii="Times New Roman" w:hAnsi="Times New Roman" w:eastAsia="宋体" w:cs="Times New Roman"/>
                <w:color w:val="auto"/>
                <w:sz w:val="24"/>
                <w:szCs w:val="24"/>
                <w:highlight w:val="none"/>
              </w:rPr>
              <w:t>项目劳动定员</w:t>
            </w:r>
            <w:r>
              <w:rPr>
                <w:rFonts w:hint="eastAsia" w:cs="Times New Roman"/>
                <w:color w:val="auto"/>
                <w:sz w:val="24"/>
                <w:szCs w:val="24"/>
                <w:highlight w:val="none"/>
                <w:lang w:val="en-US" w:eastAsia="zh-CN"/>
              </w:rPr>
              <w:t>100人</w:t>
            </w:r>
            <w:r>
              <w:rPr>
                <w:rFonts w:hint="default" w:ascii="Times New Roman" w:hAnsi="Times New Roman" w:eastAsia="宋体" w:cs="Times New Roman"/>
                <w:color w:val="auto"/>
                <w:sz w:val="24"/>
                <w:szCs w:val="24"/>
                <w:highlight w:val="none"/>
              </w:rPr>
              <w:t>，按生活垃圾产生量0.5kg/人·d计，</w:t>
            </w:r>
            <w:r>
              <w:rPr>
                <w:rFonts w:hint="default" w:ascii="Times New Roman" w:hAnsi="Times New Roman" w:eastAsia="宋体" w:cs="Times New Roman"/>
                <w:color w:val="auto"/>
                <w:sz w:val="24"/>
                <w:szCs w:val="24"/>
                <w:highlight w:val="none"/>
                <w:lang w:val="en-US" w:eastAsia="zh-CN"/>
              </w:rPr>
              <w:t>则</w:t>
            </w:r>
            <w:r>
              <w:rPr>
                <w:rFonts w:hint="default" w:ascii="Times New Roman" w:hAnsi="Times New Roman" w:eastAsia="宋体" w:cs="Times New Roman"/>
                <w:color w:val="auto"/>
                <w:sz w:val="24"/>
                <w:szCs w:val="24"/>
                <w:highlight w:val="none"/>
              </w:rPr>
              <w:t>生活垃圾产生量为</w:t>
            </w:r>
            <w:r>
              <w:rPr>
                <w:rFonts w:hint="default"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t/a，</w:t>
            </w:r>
            <w:r>
              <w:rPr>
                <w:rFonts w:hint="default" w:ascii="Times New Roman" w:hAnsi="Times New Roman" w:eastAsia="宋体" w:cs="Times New Roman"/>
                <w:color w:val="auto"/>
                <w:sz w:val="24"/>
                <w:szCs w:val="24"/>
                <w:highlight w:val="none"/>
                <w:lang w:val="en-US" w:eastAsia="zh-CN"/>
              </w:rPr>
              <w:t>收集后定期</w:t>
            </w:r>
            <w:r>
              <w:rPr>
                <w:rFonts w:hint="default" w:ascii="Times New Roman" w:hAnsi="Times New Roman" w:eastAsia="宋体" w:cs="Times New Roman"/>
                <w:color w:val="auto"/>
                <w:sz w:val="24"/>
                <w:szCs w:val="24"/>
                <w:highlight w:val="none"/>
              </w:rPr>
              <w:t>交由环卫部门统一</w:t>
            </w:r>
            <w:r>
              <w:rPr>
                <w:rFonts w:hint="default" w:ascii="Times New Roman" w:hAnsi="Times New Roman" w:eastAsia="宋体" w:cs="Times New Roman"/>
                <w:color w:val="auto"/>
                <w:sz w:val="24"/>
                <w:szCs w:val="24"/>
                <w:highlight w:val="none"/>
                <w:lang w:val="en-US" w:eastAsia="zh-CN"/>
              </w:rPr>
              <w:t>处理</w:t>
            </w:r>
            <w:r>
              <w:rPr>
                <w:rFonts w:hint="default" w:ascii="Times New Roman" w:hAnsi="Times New Roman" w:eastAsia="宋体" w:cs="Times New Roman"/>
                <w:color w:val="auto"/>
                <w:sz w:val="24"/>
                <w:szCs w:val="24"/>
                <w:highlight w:val="none"/>
              </w:rPr>
              <w:t>。</w:t>
            </w:r>
          </w:p>
          <w:p w14:paraId="114ABCFC">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val="en-US" w:eastAsia="zh-CN"/>
              </w:rPr>
              <w:t>改</w:t>
            </w:r>
            <w:r>
              <w:rPr>
                <w:rFonts w:hint="eastAsia" w:cs="Times New Roman"/>
                <w:color w:val="auto"/>
                <w:sz w:val="24"/>
                <w:szCs w:val="24"/>
                <w:highlight w:val="none"/>
                <w:lang w:val="en-US" w:eastAsia="zh-CN"/>
              </w:rPr>
              <w:t>扩建</w:t>
            </w:r>
            <w:r>
              <w:rPr>
                <w:rFonts w:hint="default" w:ascii="Times New Roman" w:hAnsi="Times New Roman" w:eastAsia="宋体" w:cs="Times New Roman"/>
                <w:color w:val="auto"/>
                <w:sz w:val="24"/>
                <w:szCs w:val="24"/>
                <w:highlight w:val="none"/>
              </w:rPr>
              <w:t>项目固废产生情况见表</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w:t>
            </w:r>
          </w:p>
          <w:p w14:paraId="6BDC3857">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w:t>
            </w:r>
            <w:r>
              <w:rPr>
                <w:rFonts w:hint="eastAsia" w:cs="Times New Roman"/>
                <w:b/>
                <w:bCs/>
                <w:color w:val="auto"/>
                <w:highlight w:val="none"/>
                <w:lang w:val="en-US" w:eastAsia="zh-CN"/>
              </w:rPr>
              <w:t>21</w:t>
            </w:r>
            <w:r>
              <w:rPr>
                <w:rFonts w:hint="default" w:ascii="Times New Roman" w:hAnsi="Times New Roman" w:eastAsia="宋体" w:cs="Times New Roman"/>
                <w:b/>
                <w:bCs/>
                <w:color w:val="auto"/>
                <w:highlight w:val="none"/>
              </w:rPr>
              <w:t xml:space="preserve"> </w:t>
            </w:r>
            <w:r>
              <w:rPr>
                <w:rFonts w:hint="default" w:ascii="Times New Roman" w:hAnsi="Times New Roman" w:eastAsia="宋体" w:cs="Times New Roman"/>
                <w:b/>
                <w:bCs/>
                <w:color w:val="auto"/>
                <w:highlight w:val="none"/>
                <w:lang w:val="en-US" w:eastAsia="zh-CN"/>
              </w:rPr>
              <w:t>改</w:t>
            </w:r>
            <w:r>
              <w:rPr>
                <w:rFonts w:hint="eastAsia" w:cs="Times New Roman"/>
                <w:b/>
                <w:bCs/>
                <w:color w:val="auto"/>
                <w:highlight w:val="none"/>
                <w:lang w:val="en-US" w:eastAsia="zh-CN"/>
              </w:rPr>
              <w:t>扩建</w:t>
            </w:r>
            <w:r>
              <w:rPr>
                <w:rFonts w:hint="default" w:ascii="Times New Roman" w:hAnsi="Times New Roman" w:eastAsia="宋体" w:cs="Times New Roman"/>
                <w:b/>
                <w:bCs/>
                <w:color w:val="auto"/>
                <w:highlight w:val="none"/>
              </w:rPr>
              <w:t>项目固体废物产生及处置情况一览表</w:t>
            </w:r>
          </w:p>
          <w:tbl>
            <w:tblPr>
              <w:tblStyle w:val="34"/>
              <w:tblW w:w="818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085"/>
              <w:gridCol w:w="1116"/>
              <w:gridCol w:w="915"/>
              <w:gridCol w:w="1315"/>
              <w:gridCol w:w="910"/>
              <w:gridCol w:w="2300"/>
            </w:tblGrid>
            <w:tr w14:paraId="5D6FA7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0EB94C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序号</w:t>
                  </w:r>
                </w:p>
              </w:tc>
              <w:tc>
                <w:tcPr>
                  <w:tcW w:w="662" w:type="pct"/>
                  <w:tcBorders>
                    <w:tl2br w:val="nil"/>
                    <w:tr2bl w:val="nil"/>
                  </w:tcBorders>
                  <w:noWrap w:val="0"/>
                  <w:vAlign w:val="center"/>
                </w:tcPr>
                <w:p w14:paraId="1D19F5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名称</w:t>
                  </w:r>
                </w:p>
              </w:tc>
              <w:tc>
                <w:tcPr>
                  <w:tcW w:w="681" w:type="pct"/>
                  <w:tcBorders>
                    <w:tl2br w:val="nil"/>
                    <w:tr2bl w:val="nil"/>
                  </w:tcBorders>
                  <w:noWrap w:val="0"/>
                  <w:vAlign w:val="center"/>
                </w:tcPr>
                <w:p w14:paraId="061643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属性</w:t>
                  </w:r>
                </w:p>
              </w:tc>
              <w:tc>
                <w:tcPr>
                  <w:tcW w:w="558" w:type="pct"/>
                  <w:tcBorders>
                    <w:tl2br w:val="nil"/>
                    <w:tr2bl w:val="nil"/>
                  </w:tcBorders>
                  <w:noWrap w:val="0"/>
                  <w:vAlign w:val="center"/>
                </w:tcPr>
                <w:p w14:paraId="33B5BF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802" w:type="pct"/>
                  <w:tcBorders>
                    <w:tl2br w:val="nil"/>
                    <w:tr2bl w:val="nil"/>
                  </w:tcBorders>
                  <w:noWrap w:val="0"/>
                  <w:vAlign w:val="center"/>
                </w:tcPr>
                <w:p w14:paraId="67C698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固废代码</w:t>
                  </w:r>
                </w:p>
              </w:tc>
              <w:tc>
                <w:tcPr>
                  <w:tcW w:w="555" w:type="pct"/>
                  <w:tcBorders>
                    <w:tl2br w:val="nil"/>
                    <w:tr2bl w:val="nil"/>
                  </w:tcBorders>
                  <w:noWrap w:val="0"/>
                  <w:vAlign w:val="center"/>
                </w:tcPr>
                <w:p w14:paraId="6F7E92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产生量</w:t>
                  </w:r>
                  <w:r>
                    <w:rPr>
                      <w:rFonts w:hint="eastAsia" w:ascii="Times New Roman" w:hAnsi="Times New Roman" w:eastAsia="宋体"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lang w:val="en-US" w:eastAsia="zh-CN"/>
                    </w:rPr>
                    <w:t>t/a</w:t>
                  </w:r>
                  <w:r>
                    <w:rPr>
                      <w:rFonts w:hint="eastAsia" w:ascii="Times New Roman" w:hAnsi="Times New Roman" w:eastAsia="宋体" w:cs="Times New Roman"/>
                      <w:b/>
                      <w:bCs/>
                      <w:color w:val="auto"/>
                      <w:sz w:val="21"/>
                      <w:szCs w:val="21"/>
                      <w:highlight w:val="none"/>
                      <w:lang w:eastAsia="zh-CN"/>
                    </w:rPr>
                    <w:t>）</w:t>
                  </w:r>
                </w:p>
              </w:tc>
              <w:tc>
                <w:tcPr>
                  <w:tcW w:w="1404" w:type="pct"/>
                  <w:tcBorders>
                    <w:tl2br w:val="nil"/>
                    <w:tr2bl w:val="nil"/>
                  </w:tcBorders>
                  <w:noWrap w:val="0"/>
                  <w:vAlign w:val="center"/>
                </w:tcPr>
                <w:p w14:paraId="629029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处理处置方式</w:t>
                  </w:r>
                </w:p>
              </w:tc>
            </w:tr>
            <w:tr w14:paraId="7104B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09E0F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1</w:t>
                  </w:r>
                </w:p>
              </w:tc>
              <w:tc>
                <w:tcPr>
                  <w:tcW w:w="662" w:type="pct"/>
                  <w:tcBorders>
                    <w:tl2br w:val="nil"/>
                    <w:tr2bl w:val="nil"/>
                  </w:tcBorders>
                  <w:noWrap w:val="0"/>
                  <w:vAlign w:val="center"/>
                </w:tcPr>
                <w:p w14:paraId="022846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沉降金属粉尘</w:t>
                  </w:r>
                </w:p>
              </w:tc>
              <w:tc>
                <w:tcPr>
                  <w:tcW w:w="681" w:type="pct"/>
                  <w:tcBorders>
                    <w:tl2br w:val="nil"/>
                    <w:tr2bl w:val="nil"/>
                  </w:tcBorders>
                  <w:noWrap w:val="0"/>
                  <w:vAlign w:val="center"/>
                </w:tcPr>
                <w:p w14:paraId="24A09D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58" w:type="pct"/>
                  <w:tcBorders>
                    <w:tl2br w:val="nil"/>
                    <w:tr2bl w:val="nil"/>
                  </w:tcBorders>
                  <w:noWrap w:val="0"/>
                  <w:vAlign w:val="center"/>
                </w:tcPr>
                <w:p w14:paraId="6650C7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02" w:type="pct"/>
                  <w:tcBorders>
                    <w:tl2br w:val="nil"/>
                    <w:tr2bl w:val="nil"/>
                  </w:tcBorders>
                  <w:noWrap w:val="0"/>
                  <w:vAlign w:val="center"/>
                </w:tcPr>
                <w:p w14:paraId="66A12A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u w:val="none"/>
                      <w:lang w:val="en-US" w:eastAsia="zh-CN"/>
                    </w:rPr>
                    <w:t>900-00</w:t>
                  </w:r>
                  <w:r>
                    <w:rPr>
                      <w:rFonts w:hint="eastAsia" w:ascii="Times New Roman" w:hAnsi="Times New Roman" w:eastAsia="宋体" w:cs="Times New Roman"/>
                      <w:b w:val="0"/>
                      <w:bCs w:val="0"/>
                      <w:color w:val="auto"/>
                      <w:sz w:val="21"/>
                      <w:szCs w:val="21"/>
                      <w:u w:val="none"/>
                      <w:lang w:val="en-US" w:eastAsia="zh-CN"/>
                    </w:rPr>
                    <w:t>1</w:t>
                  </w:r>
                  <w:r>
                    <w:rPr>
                      <w:rFonts w:hint="default" w:ascii="Times New Roman" w:hAnsi="Times New Roman" w:eastAsia="宋体" w:cs="Times New Roman"/>
                      <w:b w:val="0"/>
                      <w:bCs w:val="0"/>
                      <w:color w:val="auto"/>
                      <w:sz w:val="21"/>
                      <w:szCs w:val="21"/>
                      <w:u w:val="none"/>
                      <w:lang w:val="en-US" w:eastAsia="zh-CN"/>
                    </w:rPr>
                    <w:t>-S17</w:t>
                  </w:r>
                </w:p>
              </w:tc>
              <w:tc>
                <w:tcPr>
                  <w:tcW w:w="555" w:type="pct"/>
                  <w:tcBorders>
                    <w:tl2br w:val="nil"/>
                    <w:tr2bl w:val="nil"/>
                  </w:tcBorders>
                  <w:noWrap w:val="0"/>
                  <w:vAlign w:val="center"/>
                </w:tcPr>
                <w:p w14:paraId="4CEF4A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0.</w:t>
                  </w:r>
                  <w:r>
                    <w:rPr>
                      <w:rFonts w:hint="eastAsia" w:ascii="Times New Roman" w:hAnsi="Times New Roman" w:eastAsia="宋体" w:cs="Times New Roman"/>
                      <w:b w:val="0"/>
                      <w:bCs w:val="0"/>
                      <w:color w:val="auto"/>
                      <w:sz w:val="21"/>
                      <w:szCs w:val="21"/>
                      <w:highlight w:val="none"/>
                      <w:lang w:val="en-US" w:eastAsia="zh-CN"/>
                    </w:rPr>
                    <w:t>2</w:t>
                  </w:r>
                </w:p>
              </w:tc>
              <w:tc>
                <w:tcPr>
                  <w:tcW w:w="1404" w:type="pct"/>
                  <w:tcBorders>
                    <w:tl2br w:val="nil"/>
                    <w:tr2bl w:val="nil"/>
                  </w:tcBorders>
                  <w:noWrap w:val="0"/>
                  <w:vAlign w:val="center"/>
                </w:tcPr>
                <w:p w14:paraId="12F4AEA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收集后暂存于一般固废暂存间，由厂家回收处理</w:t>
                  </w:r>
                </w:p>
              </w:tc>
            </w:tr>
            <w:tr w14:paraId="6774C1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03A66B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2</w:t>
                  </w:r>
                </w:p>
              </w:tc>
              <w:tc>
                <w:tcPr>
                  <w:tcW w:w="662" w:type="pct"/>
                  <w:tcBorders>
                    <w:tl2br w:val="nil"/>
                    <w:tr2bl w:val="nil"/>
                  </w:tcBorders>
                  <w:noWrap w:val="0"/>
                  <w:vAlign w:val="center"/>
                </w:tcPr>
                <w:p w14:paraId="0FD2A7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废边角料</w:t>
                  </w:r>
                </w:p>
              </w:tc>
              <w:tc>
                <w:tcPr>
                  <w:tcW w:w="681" w:type="pct"/>
                  <w:tcBorders>
                    <w:tl2br w:val="nil"/>
                    <w:tr2bl w:val="nil"/>
                  </w:tcBorders>
                  <w:noWrap w:val="0"/>
                  <w:vAlign w:val="center"/>
                </w:tcPr>
                <w:p w14:paraId="5CBB5A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58" w:type="pct"/>
                  <w:tcBorders>
                    <w:tl2br w:val="nil"/>
                    <w:tr2bl w:val="nil"/>
                  </w:tcBorders>
                  <w:noWrap w:val="0"/>
                  <w:vAlign w:val="center"/>
                </w:tcPr>
                <w:p w14:paraId="27A17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802" w:type="pct"/>
                  <w:tcBorders>
                    <w:tl2br w:val="nil"/>
                    <w:tr2bl w:val="nil"/>
                  </w:tcBorders>
                  <w:noWrap w:val="0"/>
                  <w:vAlign w:val="center"/>
                </w:tcPr>
                <w:p w14:paraId="13CD77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u w:val="none"/>
                      <w:lang w:val="en-US" w:eastAsia="zh-CN"/>
                    </w:rPr>
                    <w:t>900-00</w:t>
                  </w:r>
                  <w:r>
                    <w:rPr>
                      <w:rFonts w:hint="eastAsia" w:ascii="Times New Roman" w:hAnsi="Times New Roman" w:eastAsia="宋体" w:cs="Times New Roman"/>
                      <w:b w:val="0"/>
                      <w:bCs w:val="0"/>
                      <w:color w:val="auto"/>
                      <w:sz w:val="21"/>
                      <w:szCs w:val="21"/>
                      <w:u w:val="none"/>
                      <w:lang w:val="en-US" w:eastAsia="zh-CN"/>
                    </w:rPr>
                    <w:t>1</w:t>
                  </w:r>
                  <w:r>
                    <w:rPr>
                      <w:rFonts w:hint="default" w:ascii="Times New Roman" w:hAnsi="Times New Roman" w:eastAsia="宋体" w:cs="Times New Roman"/>
                      <w:b w:val="0"/>
                      <w:bCs w:val="0"/>
                      <w:color w:val="auto"/>
                      <w:sz w:val="21"/>
                      <w:szCs w:val="21"/>
                      <w:u w:val="none"/>
                      <w:lang w:val="en-US" w:eastAsia="zh-CN"/>
                    </w:rPr>
                    <w:t>-S17</w:t>
                  </w:r>
                </w:p>
              </w:tc>
              <w:tc>
                <w:tcPr>
                  <w:tcW w:w="555" w:type="pct"/>
                  <w:tcBorders>
                    <w:tl2br w:val="nil"/>
                    <w:tr2bl w:val="nil"/>
                  </w:tcBorders>
                  <w:noWrap w:val="0"/>
                  <w:vAlign w:val="center"/>
                </w:tcPr>
                <w:p w14:paraId="75BD02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13</w:t>
                  </w:r>
                </w:p>
              </w:tc>
              <w:tc>
                <w:tcPr>
                  <w:tcW w:w="1404" w:type="pct"/>
                  <w:tcBorders>
                    <w:tl2br w:val="nil"/>
                    <w:tr2bl w:val="nil"/>
                  </w:tcBorders>
                  <w:noWrap w:val="0"/>
                  <w:vAlign w:val="center"/>
                </w:tcPr>
                <w:p w14:paraId="693783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收集后暂存于一般固废暂存间，外售处理</w:t>
                  </w:r>
                </w:p>
              </w:tc>
            </w:tr>
            <w:tr w14:paraId="75C58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5DA09C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w:t>
                  </w:r>
                </w:p>
              </w:tc>
              <w:tc>
                <w:tcPr>
                  <w:tcW w:w="662" w:type="pct"/>
                  <w:tcBorders>
                    <w:tl2br w:val="nil"/>
                    <w:tr2bl w:val="nil"/>
                  </w:tcBorders>
                  <w:noWrap w:val="0"/>
                  <w:vAlign w:val="center"/>
                </w:tcPr>
                <w:p w14:paraId="23D8B5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污水处理站污泥</w:t>
                  </w:r>
                </w:p>
              </w:tc>
              <w:tc>
                <w:tcPr>
                  <w:tcW w:w="681" w:type="pct"/>
                  <w:tcBorders>
                    <w:tl2br w:val="nil"/>
                    <w:tr2bl w:val="nil"/>
                  </w:tcBorders>
                  <w:noWrap w:val="0"/>
                  <w:vAlign w:val="center"/>
                </w:tcPr>
                <w:p w14:paraId="16F8C8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58" w:type="pct"/>
                  <w:tcBorders>
                    <w:tl2br w:val="nil"/>
                    <w:tr2bl w:val="nil"/>
                  </w:tcBorders>
                  <w:noWrap w:val="0"/>
                  <w:vAlign w:val="center"/>
                </w:tcPr>
                <w:p w14:paraId="5E9497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02" w:type="pct"/>
                  <w:tcBorders>
                    <w:tl2br w:val="nil"/>
                    <w:tr2bl w:val="nil"/>
                  </w:tcBorders>
                  <w:noWrap w:val="0"/>
                  <w:vAlign w:val="center"/>
                </w:tcPr>
                <w:p w14:paraId="272D1C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color w:val="auto"/>
                      <w:sz w:val="21"/>
                      <w:szCs w:val="21"/>
                    </w:rPr>
                    <w:t>900-099-S07</w:t>
                  </w:r>
                </w:p>
              </w:tc>
              <w:tc>
                <w:tcPr>
                  <w:tcW w:w="555" w:type="pct"/>
                  <w:tcBorders>
                    <w:tl2br w:val="nil"/>
                    <w:tr2bl w:val="nil"/>
                  </w:tcBorders>
                  <w:noWrap w:val="0"/>
                  <w:vAlign w:val="center"/>
                </w:tcPr>
                <w:p w14:paraId="7B6ACE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0</w:t>
                  </w:r>
                  <w:r>
                    <w:rPr>
                      <w:rFonts w:hint="default" w:ascii="Times New Roman" w:hAnsi="Times New Roman" w:eastAsia="宋体" w:cs="Times New Roman"/>
                      <w:b w:val="0"/>
                      <w:bCs w:val="0"/>
                      <w:color w:val="auto"/>
                      <w:sz w:val="21"/>
                      <w:szCs w:val="21"/>
                      <w:highlight w:val="none"/>
                      <w:vertAlign w:val="baseline"/>
                      <w:lang w:val="en-US" w:eastAsia="zh-CN"/>
                    </w:rPr>
                    <w:t>.5</w:t>
                  </w:r>
                </w:p>
              </w:tc>
              <w:tc>
                <w:tcPr>
                  <w:tcW w:w="1404" w:type="pct"/>
                  <w:tcBorders>
                    <w:tl2br w:val="nil"/>
                    <w:tr2bl w:val="nil"/>
                  </w:tcBorders>
                  <w:noWrap w:val="0"/>
                  <w:vAlign w:val="center"/>
                </w:tcPr>
                <w:p w14:paraId="07D4A32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w:t>
                  </w:r>
                  <w:r>
                    <w:rPr>
                      <w:rFonts w:hint="eastAsia" w:cs="Times New Roman"/>
                      <w:b w:val="0"/>
                      <w:bCs w:val="0"/>
                      <w:color w:val="auto"/>
                      <w:kern w:val="0"/>
                      <w:sz w:val="21"/>
                      <w:szCs w:val="21"/>
                      <w:highlight w:val="none"/>
                      <w:vertAlign w:val="baseline"/>
                      <w:lang w:val="zh-CN" w:eastAsia="zh-CN" w:bidi="ar-SA"/>
                    </w:rPr>
                    <w:t>外售至砖瓦厂综合利用</w:t>
                  </w:r>
                </w:p>
              </w:tc>
            </w:tr>
            <w:tr w14:paraId="4F7850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shd w:val="clear" w:color="auto" w:fill="auto"/>
                  <w:noWrap w:val="0"/>
                  <w:vAlign w:val="center"/>
                </w:tcPr>
                <w:p w14:paraId="54EF22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4</w:t>
                  </w:r>
                </w:p>
              </w:tc>
              <w:tc>
                <w:tcPr>
                  <w:tcW w:w="662" w:type="pct"/>
                  <w:tcBorders>
                    <w:tl2br w:val="nil"/>
                    <w:tr2bl w:val="nil"/>
                  </w:tcBorders>
                  <w:noWrap w:val="0"/>
                  <w:vAlign w:val="center"/>
                </w:tcPr>
                <w:p w14:paraId="6F1CBE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油泥</w:t>
                  </w:r>
                </w:p>
              </w:tc>
              <w:tc>
                <w:tcPr>
                  <w:tcW w:w="681" w:type="pct"/>
                  <w:tcBorders>
                    <w:tl2br w:val="nil"/>
                    <w:tr2bl w:val="nil"/>
                  </w:tcBorders>
                  <w:noWrap w:val="0"/>
                  <w:vAlign w:val="center"/>
                </w:tcPr>
                <w:p w14:paraId="5AC500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noWrap w:val="0"/>
                  <w:vAlign w:val="center"/>
                </w:tcPr>
                <w:p w14:paraId="60BD6E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HW08</w:t>
                  </w:r>
                </w:p>
              </w:tc>
              <w:tc>
                <w:tcPr>
                  <w:tcW w:w="802" w:type="pct"/>
                  <w:tcBorders>
                    <w:tl2br w:val="nil"/>
                    <w:tr2bl w:val="nil"/>
                  </w:tcBorders>
                  <w:noWrap w:val="0"/>
                  <w:vAlign w:val="center"/>
                </w:tcPr>
                <w:p w14:paraId="2CD8F0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sz w:val="21"/>
                      <w:szCs w:val="21"/>
                    </w:rPr>
                  </w:pPr>
                  <w:r>
                    <w:rPr>
                      <w:rFonts w:hint="eastAsia"/>
                      <w:color w:val="auto"/>
                      <w:sz w:val="21"/>
                      <w:szCs w:val="21"/>
                    </w:rPr>
                    <w:t>900-2</w:t>
                  </w:r>
                  <w:r>
                    <w:rPr>
                      <w:rFonts w:hint="eastAsia"/>
                      <w:color w:val="auto"/>
                      <w:sz w:val="21"/>
                      <w:szCs w:val="21"/>
                      <w:lang w:val="en-US" w:eastAsia="zh-CN"/>
                    </w:rPr>
                    <w:t>00</w:t>
                  </w:r>
                  <w:r>
                    <w:rPr>
                      <w:rFonts w:hint="eastAsia"/>
                      <w:color w:val="auto"/>
                      <w:sz w:val="21"/>
                      <w:szCs w:val="21"/>
                    </w:rPr>
                    <w:t>-08</w:t>
                  </w:r>
                </w:p>
              </w:tc>
              <w:tc>
                <w:tcPr>
                  <w:tcW w:w="555" w:type="pct"/>
                  <w:tcBorders>
                    <w:tl2br w:val="nil"/>
                    <w:tr2bl w:val="nil"/>
                  </w:tcBorders>
                  <w:noWrap w:val="0"/>
                  <w:vAlign w:val="center"/>
                </w:tcPr>
                <w:p w14:paraId="4EF6AE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0.1</w:t>
                  </w:r>
                </w:p>
              </w:tc>
              <w:tc>
                <w:tcPr>
                  <w:tcW w:w="1404" w:type="pct"/>
                  <w:vMerge w:val="restart"/>
                  <w:tcBorders>
                    <w:tl2br w:val="nil"/>
                    <w:tr2bl w:val="nil"/>
                  </w:tcBorders>
                  <w:noWrap w:val="0"/>
                  <w:vAlign w:val="center"/>
                </w:tcPr>
                <w:p w14:paraId="556B08DB">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eastAsia="宋体" w:cs="Times New Roman"/>
                      <w:b w:val="0"/>
                      <w:bCs w:val="0"/>
                      <w:color w:val="auto"/>
                      <w:kern w:val="0"/>
                      <w:sz w:val="21"/>
                      <w:szCs w:val="21"/>
                      <w:highlight w:val="none"/>
                      <w:vertAlign w:val="baseline"/>
                      <w:lang w:val="en-US" w:eastAsia="zh-CN" w:bidi="ar-SA"/>
                    </w:rPr>
                    <w:t>分类收集</w:t>
                  </w:r>
                  <w:r>
                    <w:rPr>
                      <w:rFonts w:hint="default" w:ascii="Times New Roman" w:hAnsi="Times New Roman" w:eastAsia="宋体" w:cs="Times New Roman"/>
                      <w:b w:val="0"/>
                      <w:bCs w:val="0"/>
                      <w:color w:val="auto"/>
                      <w:kern w:val="0"/>
                      <w:sz w:val="21"/>
                      <w:szCs w:val="21"/>
                      <w:highlight w:val="none"/>
                      <w:vertAlign w:val="baseline"/>
                      <w:lang w:val="en-US" w:eastAsia="zh-CN" w:bidi="ar-SA"/>
                    </w:rPr>
                    <w:t>，</w:t>
                  </w:r>
                  <w:r>
                    <w:rPr>
                      <w:rFonts w:hint="default" w:ascii="Times New Roman" w:hAnsi="Times New Roman" w:eastAsia="宋体" w:cs="Times New Roman"/>
                      <w:b w:val="0"/>
                      <w:bCs w:val="0"/>
                      <w:color w:val="auto"/>
                      <w:kern w:val="0"/>
                      <w:sz w:val="21"/>
                      <w:szCs w:val="21"/>
                      <w:highlight w:val="none"/>
                      <w:vertAlign w:val="baseline"/>
                      <w:lang w:val="zh-CN" w:eastAsia="zh-CN" w:bidi="ar-SA"/>
                    </w:rPr>
                    <w:t>暂存于危废暂存间</w:t>
                  </w:r>
                </w:p>
              </w:tc>
            </w:tr>
            <w:tr w14:paraId="325C8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shd w:val="clear" w:color="auto" w:fill="auto"/>
                  <w:noWrap w:val="0"/>
                  <w:vAlign w:val="center"/>
                </w:tcPr>
                <w:p w14:paraId="2595AA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5</w:t>
                  </w:r>
                </w:p>
              </w:tc>
              <w:tc>
                <w:tcPr>
                  <w:tcW w:w="662" w:type="pct"/>
                  <w:tcBorders>
                    <w:tl2br w:val="nil"/>
                    <w:tr2bl w:val="nil"/>
                  </w:tcBorders>
                  <w:noWrap w:val="0"/>
                  <w:vAlign w:val="center"/>
                </w:tcPr>
                <w:p w14:paraId="534492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废切削液</w:t>
                  </w:r>
                </w:p>
              </w:tc>
              <w:tc>
                <w:tcPr>
                  <w:tcW w:w="681" w:type="pct"/>
                  <w:tcBorders>
                    <w:tl2br w:val="nil"/>
                    <w:tr2bl w:val="nil"/>
                  </w:tcBorders>
                  <w:shd w:val="clear" w:color="auto" w:fill="auto"/>
                  <w:noWrap w:val="0"/>
                  <w:vAlign w:val="center"/>
                </w:tcPr>
                <w:p w14:paraId="5C1E4A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shd w:val="clear" w:color="auto" w:fill="auto"/>
                  <w:noWrap w:val="0"/>
                  <w:vAlign w:val="center"/>
                </w:tcPr>
                <w:p w14:paraId="636438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HW09</w:t>
                  </w:r>
                </w:p>
              </w:tc>
              <w:tc>
                <w:tcPr>
                  <w:tcW w:w="802" w:type="pct"/>
                  <w:tcBorders>
                    <w:tl2br w:val="nil"/>
                    <w:tr2bl w:val="nil"/>
                  </w:tcBorders>
                  <w:noWrap w:val="0"/>
                  <w:vAlign w:val="center"/>
                </w:tcPr>
                <w:p w14:paraId="381E1C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sz w:val="21"/>
                      <w:szCs w:val="21"/>
                    </w:rPr>
                  </w:pPr>
                  <w:r>
                    <w:rPr>
                      <w:rFonts w:hint="eastAsia"/>
                      <w:color w:val="auto"/>
                      <w:sz w:val="21"/>
                      <w:szCs w:val="21"/>
                    </w:rPr>
                    <w:t>900-006-09</w:t>
                  </w:r>
                </w:p>
              </w:tc>
              <w:tc>
                <w:tcPr>
                  <w:tcW w:w="555" w:type="pct"/>
                  <w:tcBorders>
                    <w:tl2br w:val="nil"/>
                    <w:tr2bl w:val="nil"/>
                  </w:tcBorders>
                  <w:noWrap w:val="0"/>
                  <w:vAlign w:val="center"/>
                </w:tcPr>
                <w:p w14:paraId="3EECF4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1.0</w:t>
                  </w:r>
                </w:p>
              </w:tc>
              <w:tc>
                <w:tcPr>
                  <w:tcW w:w="1404" w:type="pct"/>
                  <w:vMerge w:val="continue"/>
                  <w:tcBorders>
                    <w:tl2br w:val="nil"/>
                    <w:tr2bl w:val="nil"/>
                  </w:tcBorders>
                  <w:noWrap w:val="0"/>
                  <w:vAlign w:val="center"/>
                </w:tcPr>
                <w:p w14:paraId="675C16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58D61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shd w:val="clear" w:color="auto" w:fill="auto"/>
                  <w:noWrap w:val="0"/>
                  <w:vAlign w:val="center"/>
                </w:tcPr>
                <w:p w14:paraId="25F36F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6</w:t>
                  </w:r>
                </w:p>
              </w:tc>
              <w:tc>
                <w:tcPr>
                  <w:tcW w:w="662" w:type="pct"/>
                  <w:tcBorders>
                    <w:tl2br w:val="nil"/>
                    <w:tr2bl w:val="nil"/>
                  </w:tcBorders>
                  <w:noWrap w:val="0"/>
                  <w:vAlign w:val="center"/>
                </w:tcPr>
                <w:p w14:paraId="420CC6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废机油</w:t>
                  </w:r>
                </w:p>
              </w:tc>
              <w:tc>
                <w:tcPr>
                  <w:tcW w:w="681" w:type="pct"/>
                  <w:tcBorders>
                    <w:tl2br w:val="nil"/>
                    <w:tr2bl w:val="nil"/>
                  </w:tcBorders>
                  <w:noWrap w:val="0"/>
                  <w:vAlign w:val="center"/>
                </w:tcPr>
                <w:p w14:paraId="08441E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noWrap w:val="0"/>
                  <w:vAlign w:val="center"/>
                </w:tcPr>
                <w:p w14:paraId="5E0889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HW08</w:t>
                  </w:r>
                </w:p>
              </w:tc>
              <w:tc>
                <w:tcPr>
                  <w:tcW w:w="802" w:type="pct"/>
                  <w:tcBorders>
                    <w:tl2br w:val="nil"/>
                    <w:tr2bl w:val="nil"/>
                  </w:tcBorders>
                  <w:noWrap w:val="0"/>
                  <w:vAlign w:val="center"/>
                </w:tcPr>
                <w:p w14:paraId="638C26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sz w:val="21"/>
                      <w:szCs w:val="21"/>
                    </w:rPr>
                  </w:pPr>
                  <w:r>
                    <w:rPr>
                      <w:rFonts w:hint="eastAsia"/>
                      <w:color w:val="auto"/>
                      <w:sz w:val="21"/>
                      <w:szCs w:val="21"/>
                    </w:rPr>
                    <w:t>900-214-08</w:t>
                  </w:r>
                </w:p>
              </w:tc>
              <w:tc>
                <w:tcPr>
                  <w:tcW w:w="555" w:type="pct"/>
                  <w:tcBorders>
                    <w:tl2br w:val="nil"/>
                    <w:tr2bl w:val="nil"/>
                  </w:tcBorders>
                  <w:noWrap w:val="0"/>
                  <w:vAlign w:val="center"/>
                </w:tcPr>
                <w:p w14:paraId="7A7AE5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1.5</w:t>
                  </w:r>
                </w:p>
              </w:tc>
              <w:tc>
                <w:tcPr>
                  <w:tcW w:w="1404" w:type="pct"/>
                  <w:vMerge w:val="continue"/>
                  <w:tcBorders>
                    <w:tl2br w:val="nil"/>
                    <w:tr2bl w:val="nil"/>
                  </w:tcBorders>
                  <w:noWrap w:val="0"/>
                  <w:vAlign w:val="center"/>
                </w:tcPr>
                <w:p w14:paraId="695989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49274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338E87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7</w:t>
                  </w:r>
                </w:p>
              </w:tc>
              <w:tc>
                <w:tcPr>
                  <w:tcW w:w="662" w:type="pct"/>
                  <w:tcBorders>
                    <w:tl2br w:val="nil"/>
                    <w:tr2bl w:val="nil"/>
                  </w:tcBorders>
                  <w:noWrap w:val="0"/>
                  <w:vAlign w:val="center"/>
                </w:tcPr>
                <w:p w14:paraId="762DA4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废机油桶</w:t>
                  </w:r>
                </w:p>
              </w:tc>
              <w:tc>
                <w:tcPr>
                  <w:tcW w:w="681" w:type="pct"/>
                  <w:tcBorders>
                    <w:tl2br w:val="nil"/>
                    <w:tr2bl w:val="nil"/>
                  </w:tcBorders>
                  <w:noWrap w:val="0"/>
                  <w:vAlign w:val="center"/>
                </w:tcPr>
                <w:p w14:paraId="69ED29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shd w:val="clear" w:color="auto" w:fill="auto"/>
                  <w:noWrap w:val="0"/>
                  <w:vAlign w:val="center"/>
                </w:tcPr>
                <w:p w14:paraId="5F5C99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HW08</w:t>
                  </w:r>
                </w:p>
              </w:tc>
              <w:tc>
                <w:tcPr>
                  <w:tcW w:w="802" w:type="pct"/>
                  <w:tcBorders>
                    <w:tl2br w:val="nil"/>
                    <w:tr2bl w:val="nil"/>
                  </w:tcBorders>
                  <w:shd w:val="clear" w:color="auto" w:fill="auto"/>
                  <w:noWrap w:val="0"/>
                  <w:vAlign w:val="center"/>
                </w:tcPr>
                <w:p w14:paraId="4187AD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900-24</w:t>
                  </w:r>
                  <w:r>
                    <w:rPr>
                      <w:rFonts w:hint="eastAsia"/>
                      <w:color w:val="auto"/>
                      <w:sz w:val="21"/>
                      <w:szCs w:val="21"/>
                      <w:lang w:val="en-US" w:eastAsia="zh-CN"/>
                    </w:rPr>
                    <w:t>9</w:t>
                  </w:r>
                  <w:r>
                    <w:rPr>
                      <w:rFonts w:hint="eastAsia"/>
                      <w:color w:val="auto"/>
                      <w:sz w:val="21"/>
                      <w:szCs w:val="21"/>
                    </w:rPr>
                    <w:t>-08</w:t>
                  </w:r>
                </w:p>
              </w:tc>
              <w:tc>
                <w:tcPr>
                  <w:tcW w:w="555" w:type="pct"/>
                  <w:tcBorders>
                    <w:tl2br w:val="nil"/>
                    <w:tr2bl w:val="nil"/>
                  </w:tcBorders>
                  <w:noWrap w:val="0"/>
                  <w:vAlign w:val="center"/>
                </w:tcPr>
                <w:p w14:paraId="265E52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0.048</w:t>
                  </w:r>
                </w:p>
              </w:tc>
              <w:tc>
                <w:tcPr>
                  <w:tcW w:w="1404" w:type="pct"/>
                  <w:vMerge w:val="continue"/>
                  <w:tcBorders>
                    <w:tl2br w:val="nil"/>
                    <w:tr2bl w:val="nil"/>
                  </w:tcBorders>
                  <w:noWrap w:val="0"/>
                  <w:vAlign w:val="center"/>
                </w:tcPr>
                <w:p w14:paraId="37E1D0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1ADD40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16DE1F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8</w:t>
                  </w:r>
                </w:p>
              </w:tc>
              <w:tc>
                <w:tcPr>
                  <w:tcW w:w="662" w:type="pct"/>
                  <w:tcBorders>
                    <w:tl2br w:val="nil"/>
                    <w:tr2bl w:val="nil"/>
                  </w:tcBorders>
                  <w:noWrap w:val="0"/>
                  <w:vAlign w:val="center"/>
                </w:tcPr>
                <w:p w14:paraId="7C266E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其它废包装桶</w:t>
                  </w:r>
                </w:p>
              </w:tc>
              <w:tc>
                <w:tcPr>
                  <w:tcW w:w="681" w:type="pct"/>
                  <w:tcBorders>
                    <w:tl2br w:val="nil"/>
                    <w:tr2bl w:val="nil"/>
                  </w:tcBorders>
                  <w:noWrap w:val="0"/>
                  <w:vAlign w:val="center"/>
                </w:tcPr>
                <w:p w14:paraId="4B255C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noWrap w:val="0"/>
                  <w:vAlign w:val="center"/>
                </w:tcPr>
                <w:p w14:paraId="704C62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HW08</w:t>
                  </w:r>
                </w:p>
              </w:tc>
              <w:tc>
                <w:tcPr>
                  <w:tcW w:w="802" w:type="pct"/>
                  <w:tcBorders>
                    <w:tl2br w:val="nil"/>
                    <w:tr2bl w:val="nil"/>
                  </w:tcBorders>
                  <w:noWrap w:val="0"/>
                  <w:vAlign w:val="center"/>
                </w:tcPr>
                <w:p w14:paraId="6DC033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sz w:val="21"/>
                      <w:szCs w:val="21"/>
                    </w:rPr>
                  </w:pPr>
                  <w:r>
                    <w:rPr>
                      <w:rFonts w:hint="eastAsia"/>
                      <w:color w:val="auto"/>
                      <w:sz w:val="21"/>
                      <w:szCs w:val="21"/>
                    </w:rPr>
                    <w:t>900-24</w:t>
                  </w:r>
                  <w:r>
                    <w:rPr>
                      <w:rFonts w:hint="eastAsia"/>
                      <w:color w:val="auto"/>
                      <w:sz w:val="21"/>
                      <w:szCs w:val="21"/>
                      <w:lang w:val="en-US" w:eastAsia="zh-CN"/>
                    </w:rPr>
                    <w:t>9</w:t>
                  </w:r>
                  <w:r>
                    <w:rPr>
                      <w:rFonts w:hint="eastAsia"/>
                      <w:color w:val="auto"/>
                      <w:sz w:val="21"/>
                      <w:szCs w:val="21"/>
                    </w:rPr>
                    <w:t>-08</w:t>
                  </w:r>
                </w:p>
              </w:tc>
              <w:tc>
                <w:tcPr>
                  <w:tcW w:w="555" w:type="pct"/>
                  <w:tcBorders>
                    <w:tl2br w:val="nil"/>
                    <w:tr2bl w:val="nil"/>
                  </w:tcBorders>
                  <w:noWrap w:val="0"/>
                  <w:vAlign w:val="center"/>
                </w:tcPr>
                <w:p w14:paraId="57E773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0.128</w:t>
                  </w:r>
                </w:p>
              </w:tc>
              <w:tc>
                <w:tcPr>
                  <w:tcW w:w="1404" w:type="pct"/>
                  <w:vMerge w:val="continue"/>
                  <w:tcBorders>
                    <w:tl2br w:val="nil"/>
                    <w:tr2bl w:val="nil"/>
                  </w:tcBorders>
                  <w:noWrap w:val="0"/>
                  <w:vAlign w:val="center"/>
                </w:tcPr>
                <w:p w14:paraId="38E43B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36C11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1C526D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9</w:t>
                  </w:r>
                </w:p>
              </w:tc>
              <w:tc>
                <w:tcPr>
                  <w:tcW w:w="662" w:type="pct"/>
                  <w:tcBorders>
                    <w:tl2br w:val="nil"/>
                    <w:tr2bl w:val="nil"/>
                  </w:tcBorders>
                  <w:noWrap w:val="0"/>
                  <w:vAlign w:val="center"/>
                </w:tcPr>
                <w:p w14:paraId="241893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漆渣</w:t>
                  </w:r>
                </w:p>
              </w:tc>
              <w:tc>
                <w:tcPr>
                  <w:tcW w:w="681" w:type="pct"/>
                  <w:tcBorders>
                    <w:tl2br w:val="nil"/>
                    <w:tr2bl w:val="nil"/>
                  </w:tcBorders>
                  <w:noWrap w:val="0"/>
                  <w:vAlign w:val="center"/>
                </w:tcPr>
                <w:p w14:paraId="1CF5EF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noWrap w:val="0"/>
                  <w:vAlign w:val="center"/>
                </w:tcPr>
                <w:p w14:paraId="173195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HW12</w:t>
                  </w:r>
                </w:p>
              </w:tc>
              <w:tc>
                <w:tcPr>
                  <w:tcW w:w="802" w:type="pct"/>
                  <w:tcBorders>
                    <w:tl2br w:val="nil"/>
                    <w:tr2bl w:val="nil"/>
                  </w:tcBorders>
                  <w:noWrap w:val="0"/>
                  <w:vAlign w:val="center"/>
                </w:tcPr>
                <w:p w14:paraId="0D9B91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sz w:val="21"/>
                      <w:szCs w:val="21"/>
                    </w:rPr>
                  </w:pPr>
                  <w:r>
                    <w:rPr>
                      <w:rFonts w:hint="eastAsia"/>
                      <w:color w:val="auto"/>
                      <w:sz w:val="21"/>
                      <w:szCs w:val="21"/>
                    </w:rPr>
                    <w:t>900-252-12</w:t>
                  </w:r>
                </w:p>
              </w:tc>
              <w:tc>
                <w:tcPr>
                  <w:tcW w:w="555" w:type="pct"/>
                  <w:tcBorders>
                    <w:tl2br w:val="nil"/>
                    <w:tr2bl w:val="nil"/>
                  </w:tcBorders>
                  <w:noWrap w:val="0"/>
                  <w:vAlign w:val="center"/>
                </w:tcPr>
                <w:p w14:paraId="21B7EC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0.11</w:t>
                  </w:r>
                </w:p>
              </w:tc>
              <w:tc>
                <w:tcPr>
                  <w:tcW w:w="1404" w:type="pct"/>
                  <w:vMerge w:val="continue"/>
                  <w:tcBorders>
                    <w:tl2br w:val="nil"/>
                    <w:tr2bl w:val="nil"/>
                  </w:tcBorders>
                  <w:noWrap w:val="0"/>
                  <w:vAlign w:val="center"/>
                </w:tcPr>
                <w:p w14:paraId="1E8C1A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00B06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7B3AB2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w:t>
                  </w:r>
                </w:p>
              </w:tc>
              <w:tc>
                <w:tcPr>
                  <w:tcW w:w="662" w:type="pct"/>
                  <w:tcBorders>
                    <w:tl2br w:val="nil"/>
                    <w:tr2bl w:val="nil"/>
                  </w:tcBorders>
                  <w:shd w:val="clear" w:color="auto" w:fill="auto"/>
                  <w:noWrap w:val="0"/>
                  <w:vAlign w:val="center"/>
                </w:tcPr>
                <w:p w14:paraId="35747D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lang w:val="en-US" w:eastAsia="zh-CN"/>
                    </w:rPr>
                    <w:t>废活性炭</w:t>
                  </w:r>
                </w:p>
              </w:tc>
              <w:tc>
                <w:tcPr>
                  <w:tcW w:w="681" w:type="pct"/>
                  <w:tcBorders>
                    <w:tl2br w:val="nil"/>
                    <w:tr2bl w:val="nil"/>
                  </w:tcBorders>
                  <w:shd w:val="clear" w:color="auto" w:fill="auto"/>
                  <w:noWrap w:val="0"/>
                  <w:vAlign w:val="center"/>
                </w:tcPr>
                <w:p w14:paraId="652384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危险废物</w:t>
                  </w:r>
                </w:p>
              </w:tc>
              <w:tc>
                <w:tcPr>
                  <w:tcW w:w="558" w:type="pct"/>
                  <w:tcBorders>
                    <w:tl2br w:val="nil"/>
                    <w:tr2bl w:val="nil"/>
                  </w:tcBorders>
                  <w:shd w:val="clear" w:color="auto" w:fill="auto"/>
                  <w:noWrap w:val="0"/>
                  <w:vAlign w:val="center"/>
                </w:tcPr>
                <w:p w14:paraId="313E76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HW49</w:t>
                  </w:r>
                </w:p>
              </w:tc>
              <w:tc>
                <w:tcPr>
                  <w:tcW w:w="802" w:type="pct"/>
                  <w:tcBorders>
                    <w:tl2br w:val="nil"/>
                    <w:tr2bl w:val="nil"/>
                  </w:tcBorders>
                  <w:shd w:val="clear" w:color="auto" w:fill="auto"/>
                  <w:noWrap w:val="0"/>
                  <w:vAlign w:val="center"/>
                </w:tcPr>
                <w:p w14:paraId="4B27E5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900-039-49</w:t>
                  </w:r>
                </w:p>
              </w:tc>
              <w:tc>
                <w:tcPr>
                  <w:tcW w:w="555" w:type="pct"/>
                  <w:tcBorders>
                    <w:tl2br w:val="nil"/>
                    <w:tr2bl w:val="nil"/>
                  </w:tcBorders>
                  <w:shd w:val="clear" w:color="auto" w:fill="auto"/>
                  <w:noWrap w:val="0"/>
                  <w:vAlign w:val="center"/>
                </w:tcPr>
                <w:p w14:paraId="17E0B06D">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lang w:val="en-US" w:eastAsia="zh-CN"/>
                    </w:rPr>
                    <w:t>1.731</w:t>
                  </w:r>
                </w:p>
              </w:tc>
              <w:tc>
                <w:tcPr>
                  <w:tcW w:w="1404" w:type="pct"/>
                  <w:vMerge w:val="continue"/>
                  <w:tcBorders>
                    <w:tl2br w:val="nil"/>
                    <w:tr2bl w:val="nil"/>
                  </w:tcBorders>
                  <w:shd w:val="clear" w:color="auto" w:fill="auto"/>
                  <w:noWrap w:val="0"/>
                  <w:vAlign w:val="center"/>
                </w:tcPr>
                <w:p w14:paraId="2BAC7EE4">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r>
            <w:tr w14:paraId="0776C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4" w:type="pct"/>
                  <w:tcBorders>
                    <w:tl2br w:val="nil"/>
                    <w:tr2bl w:val="nil"/>
                  </w:tcBorders>
                  <w:noWrap w:val="0"/>
                  <w:vAlign w:val="center"/>
                </w:tcPr>
                <w:p w14:paraId="6C06D1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11</w:t>
                  </w:r>
                </w:p>
              </w:tc>
              <w:tc>
                <w:tcPr>
                  <w:tcW w:w="662" w:type="pct"/>
                  <w:tcBorders>
                    <w:tl2br w:val="nil"/>
                    <w:tr2bl w:val="nil"/>
                  </w:tcBorders>
                  <w:noWrap w:val="0"/>
                  <w:vAlign w:val="center"/>
                </w:tcPr>
                <w:p w14:paraId="5DAA5B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681" w:type="pct"/>
                  <w:tcBorders>
                    <w:tl2br w:val="nil"/>
                    <w:tr2bl w:val="nil"/>
                  </w:tcBorders>
                  <w:noWrap w:val="0"/>
                  <w:vAlign w:val="center"/>
                </w:tcPr>
                <w:p w14:paraId="759C3E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558" w:type="pct"/>
                  <w:tcBorders>
                    <w:tl2br w:val="nil"/>
                    <w:tr2bl w:val="nil"/>
                  </w:tcBorders>
                  <w:noWrap w:val="0"/>
                  <w:vAlign w:val="center"/>
                </w:tcPr>
                <w:p w14:paraId="58D6A1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02" w:type="pct"/>
                  <w:tcBorders>
                    <w:tl2br w:val="nil"/>
                    <w:tr2bl w:val="nil"/>
                  </w:tcBorders>
                  <w:noWrap w:val="0"/>
                  <w:vAlign w:val="center"/>
                </w:tcPr>
                <w:p w14:paraId="157C56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555" w:type="pct"/>
                  <w:tcBorders>
                    <w:tl2br w:val="nil"/>
                    <w:tr2bl w:val="nil"/>
                  </w:tcBorders>
                  <w:noWrap w:val="0"/>
                  <w:vAlign w:val="center"/>
                </w:tcPr>
                <w:p w14:paraId="5AC21F4E">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15</w:t>
                  </w:r>
                </w:p>
              </w:tc>
              <w:tc>
                <w:tcPr>
                  <w:tcW w:w="1404" w:type="pct"/>
                  <w:tcBorders>
                    <w:tl2br w:val="nil"/>
                    <w:tr2bl w:val="nil"/>
                  </w:tcBorders>
                  <w:noWrap w:val="0"/>
                  <w:vAlign w:val="center"/>
                </w:tcPr>
                <w:p w14:paraId="49EA6A16">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由环卫部门清运处理</w:t>
                  </w:r>
                </w:p>
              </w:tc>
            </w:tr>
          </w:tbl>
          <w:p w14:paraId="254B5A6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2"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2、固体废物环境影响分析</w:t>
            </w:r>
          </w:p>
          <w:p w14:paraId="6ACBD2DC">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（1）一般工业固体废物</w:t>
            </w:r>
          </w:p>
          <w:p w14:paraId="0BAB30F9">
            <w:pPr>
              <w:pStyle w:val="7"/>
              <w:widowControl w:val="0"/>
              <w:tabs>
                <w:tab w:val="left" w:pos="1068"/>
              </w:tabs>
              <w:spacing w:line="360" w:lineRule="auto"/>
              <w:ind w:firstLine="480"/>
              <w:jc w:val="both"/>
              <w:rPr>
                <w:rFonts w:hAnsi="Times New Roman" w:cs="Times New Roman"/>
                <w:sz w:val="24"/>
                <w:szCs w:val="24"/>
              </w:rPr>
            </w:pPr>
            <w:r>
              <w:rPr>
                <w:rFonts w:hint="default" w:ascii="Times New Roman" w:hAnsi="Times New Roman" w:eastAsia="宋体" w:cs="Times New Roman"/>
                <w:color w:val="auto"/>
                <w:sz w:val="24"/>
                <w:highlight w:val="none"/>
                <w:lang w:val="en-US" w:eastAsia="zh-CN"/>
              </w:rPr>
              <w:t>根据上述分析可知，本项目运营期产生的一般工业固体废物为</w:t>
            </w:r>
            <w:r>
              <w:rPr>
                <w:rFonts w:hint="eastAsia" w:ascii="Times New Roman" w:hAnsi="Times New Roman" w:eastAsia="宋体" w:cs="Times New Roman"/>
                <w:color w:val="auto"/>
                <w:sz w:val="24"/>
                <w:szCs w:val="24"/>
                <w:highlight w:val="none"/>
                <w:lang w:val="en-US" w:eastAsia="zh-CN"/>
              </w:rPr>
              <w:t>沉降金属粉尘</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废边角料</w:t>
            </w:r>
            <w:r>
              <w:rPr>
                <w:rFonts w:hint="default" w:ascii="Times New Roman" w:hAnsi="Times New Roman" w:eastAsia="宋体" w:cs="Times New Roman"/>
                <w:color w:val="auto"/>
                <w:sz w:val="24"/>
                <w:szCs w:val="24"/>
                <w:highlight w:val="none"/>
                <w:lang w:val="en-US" w:eastAsia="zh-CN"/>
              </w:rPr>
              <w:t>、污水处理站污泥</w:t>
            </w:r>
            <w:r>
              <w:rPr>
                <w:rFonts w:hint="default" w:ascii="Times New Roman" w:hAnsi="Times New Roman" w:eastAsia="宋体" w:cs="Times New Roman"/>
                <w:color w:val="auto"/>
                <w:sz w:val="24"/>
                <w:highlight w:val="none"/>
                <w:lang w:val="en-US" w:eastAsia="zh-CN"/>
              </w:rPr>
              <w:t>。</w:t>
            </w:r>
            <w:r>
              <w:rPr>
                <w:rFonts w:hAnsi="Times New Roman" w:cs="Times New Roman"/>
                <w:color w:val="0000FF"/>
                <w:sz w:val="24"/>
                <w:szCs w:val="24"/>
              </w:rPr>
              <w:t>本项目产生的一般工业固体废物在厂内一般固废暂存区贮存，一般工业固体废物贮存过程中应采取防扬尘、防雨淋、防渗漏等相应环保措施。</w:t>
            </w:r>
          </w:p>
          <w:p w14:paraId="15D6C14E">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color w:val="auto"/>
                <w:sz w:val="24"/>
                <w:highlight w:val="none"/>
                <w:lang w:val="en-US" w:eastAsia="zh-CN"/>
              </w:rPr>
              <w:t>其中，</w:t>
            </w:r>
            <w:r>
              <w:rPr>
                <w:rFonts w:hint="eastAsia" w:ascii="Times New Roman" w:hAnsi="Times New Roman" w:eastAsia="宋体" w:cs="Times New Roman"/>
                <w:color w:val="auto"/>
                <w:sz w:val="24"/>
                <w:szCs w:val="24"/>
                <w:highlight w:val="none"/>
                <w:lang w:val="en-US" w:eastAsia="zh-CN"/>
              </w:rPr>
              <w:t>沉降金属粉尘、废边角料</w:t>
            </w:r>
            <w:r>
              <w:rPr>
                <w:rFonts w:hint="default" w:ascii="Times New Roman" w:hAnsi="Times New Roman" w:eastAsia="宋体" w:cs="Times New Roman"/>
                <w:color w:val="auto"/>
                <w:sz w:val="24"/>
                <w:highlight w:val="none"/>
                <w:lang w:val="en-US" w:eastAsia="zh-CN"/>
              </w:rPr>
              <w:t>收集后暂存于一般固废暂存间，</w:t>
            </w:r>
            <w:r>
              <w:rPr>
                <w:rFonts w:hint="eastAsia" w:ascii="Times New Roman" w:hAnsi="Times New Roman" w:eastAsia="宋体" w:cs="Times New Roman"/>
                <w:color w:val="auto"/>
                <w:sz w:val="24"/>
                <w:highlight w:val="none"/>
                <w:lang w:val="en-US" w:eastAsia="zh-CN"/>
              </w:rPr>
              <w:t>外售处理</w:t>
            </w:r>
            <w:r>
              <w:rPr>
                <w:rFonts w:hint="default" w:ascii="Times New Roman" w:hAnsi="Times New Roman" w:eastAsia="宋体" w:cs="Times New Roman"/>
                <w:color w:val="auto"/>
                <w:sz w:val="24"/>
                <w:highlight w:val="none"/>
                <w:lang w:val="en-US" w:eastAsia="zh-CN"/>
              </w:rPr>
              <w:t>；污水处理站污泥在</w:t>
            </w:r>
            <w:r>
              <w:rPr>
                <w:rFonts w:hint="eastAsia" w:ascii="Times New Roman" w:hAnsi="Times New Roman" w:eastAsia="宋体" w:cs="Times New Roman"/>
                <w:color w:val="auto"/>
                <w:sz w:val="24"/>
                <w:highlight w:val="none"/>
                <w:lang w:val="en-US" w:eastAsia="zh-CN"/>
              </w:rPr>
              <w:t>一般固废暂存间</w:t>
            </w:r>
            <w:r>
              <w:rPr>
                <w:rFonts w:hint="default" w:ascii="Times New Roman" w:hAnsi="Times New Roman" w:eastAsia="宋体" w:cs="Times New Roman"/>
                <w:color w:val="auto"/>
                <w:sz w:val="24"/>
                <w:highlight w:val="none"/>
                <w:lang w:val="en-US" w:eastAsia="zh-CN"/>
              </w:rPr>
              <w:t>暂存，</w:t>
            </w:r>
            <w:r>
              <w:rPr>
                <w:rFonts w:hint="eastAsia"/>
                <w:color w:val="auto"/>
                <w:sz w:val="24"/>
                <w:lang w:eastAsia="zh-CN"/>
              </w:rPr>
              <w:t>外售至砖瓦厂综合利用</w:t>
            </w:r>
            <w:r>
              <w:rPr>
                <w:rFonts w:hint="default" w:ascii="Times New Roman" w:hAnsi="Times New Roman" w:eastAsia="宋体" w:cs="Times New Roman"/>
                <w:color w:val="auto"/>
                <w:sz w:val="24"/>
                <w:highlight w:val="none"/>
                <w:lang w:val="en-US" w:eastAsia="zh-CN"/>
              </w:rPr>
              <w:t>；生活垃圾由环卫部门清运处理。项目依托现有一般</w:t>
            </w:r>
            <w:r>
              <w:rPr>
                <w:rFonts w:hint="default" w:ascii="Times New Roman" w:hAnsi="Times New Roman" w:eastAsia="宋体" w:cs="Times New Roman"/>
                <w:b w:val="0"/>
                <w:bCs w:val="0"/>
                <w:color w:val="auto"/>
                <w:sz w:val="24"/>
                <w:highlight w:val="none"/>
                <w:lang w:val="en-US" w:eastAsia="zh-CN"/>
              </w:rPr>
              <w:t>固废暂存间（</w:t>
            </w:r>
            <w:r>
              <w:rPr>
                <w:rFonts w:hint="eastAsia" w:ascii="Times New Roman" w:hAnsi="Times New Roman" w:eastAsia="宋体" w:cs="Times New Roman"/>
                <w:b w:val="0"/>
                <w:bCs w:val="0"/>
                <w:color w:val="auto"/>
                <w:sz w:val="24"/>
                <w:highlight w:val="none"/>
                <w:lang w:val="en-US" w:eastAsia="zh-CN"/>
              </w:rPr>
              <w:t>5</w:t>
            </w:r>
            <w:r>
              <w:rPr>
                <w:rFonts w:hint="default" w:ascii="Times New Roman" w:hAnsi="Times New Roman" w:eastAsia="宋体" w:cs="Times New Roman"/>
                <w:b w:val="0"/>
                <w:bCs w:val="0"/>
                <w:color w:val="auto"/>
                <w:sz w:val="24"/>
                <w:highlight w:val="none"/>
                <w:lang w:val="en-US" w:eastAsia="zh-CN"/>
              </w:rPr>
              <w:t>0</w:t>
            </w:r>
            <w:r>
              <w:rPr>
                <w:rFonts w:hint="default" w:ascii="Times New Roman" w:hAnsi="Times New Roman" w:eastAsia="宋体" w:cs="Times New Roman"/>
                <w:b w:val="0"/>
                <w:bCs w:val="0"/>
                <w:color w:val="auto"/>
                <w:highlight w:val="none"/>
                <w:lang w:val="en-US" w:eastAsia="zh-CN"/>
              </w:rPr>
              <w:t>m</w:t>
            </w:r>
            <w:r>
              <w:rPr>
                <w:rFonts w:hint="default" w:ascii="Times New Roman" w:hAnsi="Times New Roman" w:eastAsia="宋体" w:cs="Times New Roman"/>
                <w:b w:val="0"/>
                <w:bCs w:val="0"/>
                <w:color w:val="auto"/>
                <w:highlight w:val="none"/>
                <w:vertAlign w:val="superscript"/>
                <w:lang w:val="en-US" w:eastAsia="zh-CN"/>
              </w:rPr>
              <w:t>2</w:t>
            </w:r>
            <w:r>
              <w:rPr>
                <w:rFonts w:hint="default" w:ascii="Times New Roman" w:hAnsi="Times New Roman" w:eastAsia="宋体" w:cs="Times New Roman"/>
                <w:b w:val="0"/>
                <w:bCs w:val="0"/>
                <w:color w:val="auto"/>
                <w:sz w:val="24"/>
                <w:highlight w:val="none"/>
                <w:lang w:val="en-US" w:eastAsia="zh-CN"/>
              </w:rPr>
              <w:t>），产生的固体废物均可得到合理处置，对外环境影响较小。</w:t>
            </w:r>
          </w:p>
          <w:p w14:paraId="6C017EFA">
            <w:pPr>
              <w:pStyle w:val="7"/>
              <w:pageBreakBefore w:val="0"/>
              <w:numPr>
                <w:ilvl w:val="0"/>
                <w:numId w:val="10"/>
              </w:numPr>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危险废物</w:t>
            </w:r>
          </w:p>
          <w:p w14:paraId="7EA539A1">
            <w:pPr>
              <w:pStyle w:val="6"/>
              <w:pageBreakBefore w:val="0"/>
              <w:numPr>
                <w:ilvl w:val="0"/>
                <w:numId w:val="0"/>
              </w:numPr>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本次改</w:t>
            </w:r>
            <w:r>
              <w:rPr>
                <w:rFonts w:hint="eastAsia" w:hAnsi="Times New Roman" w:cs="Times New Roman"/>
                <w:b w:val="0"/>
                <w:bCs w:val="0"/>
                <w:color w:val="auto"/>
                <w:sz w:val="24"/>
                <w:szCs w:val="24"/>
                <w:lang w:val="en-US" w:eastAsia="zh-CN"/>
              </w:rPr>
              <w:t>扩建</w:t>
            </w:r>
            <w:r>
              <w:rPr>
                <w:rFonts w:hint="default" w:ascii="Times New Roman" w:hAnsi="Times New Roman" w:eastAsia="宋体" w:cs="Times New Roman"/>
                <w:b w:val="0"/>
                <w:bCs w:val="0"/>
                <w:color w:val="auto"/>
                <w:sz w:val="24"/>
                <w:szCs w:val="24"/>
                <w:lang w:val="en-US" w:eastAsia="zh-CN"/>
              </w:rPr>
              <w:t>项目产生</w:t>
            </w:r>
            <w:r>
              <w:rPr>
                <w:rFonts w:hint="default" w:ascii="Times New Roman" w:hAnsi="Times New Roman" w:eastAsia="宋体" w:cs="Times New Roman"/>
                <w:b w:val="0"/>
                <w:bCs w:val="0"/>
                <w:color w:val="auto"/>
                <w:sz w:val="24"/>
                <w:szCs w:val="24"/>
                <w:highlight w:val="none"/>
              </w:rPr>
              <w:t>油泥、废切削液、废机油</w:t>
            </w:r>
            <w:r>
              <w:rPr>
                <w:rFonts w:hint="eastAsia" w:ascii="Times New Roman" w:hAnsi="Times New Roman" w:eastAsia="宋体" w:cs="Times New Roman"/>
                <w:b w:val="0"/>
                <w:bCs w:val="0"/>
                <w:color w:val="auto"/>
                <w:sz w:val="24"/>
                <w:szCs w:val="24"/>
                <w:highlight w:val="none"/>
                <w:lang w:val="en-US" w:eastAsia="zh-CN"/>
              </w:rPr>
              <w:t>及</w:t>
            </w:r>
            <w:r>
              <w:rPr>
                <w:rFonts w:hint="default" w:ascii="Times New Roman" w:hAnsi="Times New Roman" w:eastAsia="宋体" w:cs="Times New Roman"/>
                <w:b w:val="0"/>
                <w:bCs w:val="0"/>
                <w:color w:val="auto"/>
                <w:sz w:val="24"/>
                <w:szCs w:val="24"/>
                <w:highlight w:val="none"/>
              </w:rPr>
              <w:t>废机油桶、其它废包装桶、漆渣</w:t>
            </w:r>
            <w:r>
              <w:rPr>
                <w:rFonts w:hint="eastAsia" w:ascii="Times New Roman" w:hAnsi="Times New Roman" w:eastAsia="宋体" w:cs="Times New Roman"/>
                <w:b w:val="0"/>
                <w:bCs w:val="0"/>
                <w:color w:val="auto"/>
                <w:sz w:val="24"/>
                <w:szCs w:val="24"/>
                <w:highlight w:val="none"/>
                <w:lang w:val="en-US" w:eastAsia="zh-CN"/>
              </w:rPr>
              <w:t>和</w:t>
            </w:r>
            <w:r>
              <w:rPr>
                <w:rFonts w:hint="default" w:ascii="Times New Roman" w:hAnsi="Times New Roman" w:eastAsia="宋体" w:cs="Times New Roman"/>
                <w:b w:val="0"/>
                <w:bCs w:val="0"/>
                <w:color w:val="auto"/>
                <w:sz w:val="24"/>
                <w:szCs w:val="24"/>
                <w:highlight w:val="none"/>
              </w:rPr>
              <w:t>废活性炭</w:t>
            </w:r>
            <w:r>
              <w:rPr>
                <w:rFonts w:hint="default" w:ascii="Times New Roman" w:hAnsi="Times New Roman" w:eastAsia="宋体" w:cs="Times New Roman"/>
                <w:b w:val="0"/>
                <w:bCs w:val="0"/>
                <w:color w:val="auto"/>
                <w:sz w:val="24"/>
                <w:szCs w:val="24"/>
                <w:lang w:val="en-US" w:eastAsia="zh-CN"/>
              </w:rPr>
              <w:t>，属于危险废物，</w:t>
            </w:r>
            <w:r>
              <w:rPr>
                <w:rFonts w:hint="default" w:ascii="Times New Roman" w:hAnsi="Times New Roman" w:eastAsia="宋体" w:cs="Times New Roman"/>
                <w:b w:val="0"/>
                <w:bCs w:val="0"/>
                <w:color w:val="auto"/>
                <w:sz w:val="24"/>
                <w:szCs w:val="24"/>
                <w:highlight w:val="none"/>
                <w:lang w:val="en-US" w:eastAsia="zh-CN"/>
              </w:rPr>
              <w:t>依托现有危废暂存间（</w:t>
            </w:r>
            <w:r>
              <w:rPr>
                <w:rFonts w:hint="eastAsia" w:ascii="Times New Roman" w:hAnsi="Times New Roman" w:eastAsia="宋体" w:cs="Times New Roman"/>
                <w:b w:val="0"/>
                <w:bCs w:val="0"/>
                <w:color w:val="auto"/>
                <w:sz w:val="24"/>
                <w:szCs w:val="24"/>
                <w:highlight w:val="none"/>
                <w:lang w:val="en-US" w:eastAsia="zh-CN"/>
              </w:rPr>
              <w:t>5</w:t>
            </w:r>
            <w:r>
              <w:rPr>
                <w:rFonts w:hint="default" w:ascii="Times New Roman" w:hAnsi="Times New Roman" w:eastAsia="宋体" w:cs="Times New Roman"/>
                <w:b w:val="0"/>
                <w:bCs w:val="0"/>
                <w:color w:val="auto"/>
                <w:sz w:val="24"/>
                <w:szCs w:val="24"/>
                <w:highlight w:val="none"/>
                <w:lang w:val="en-US" w:eastAsia="zh-CN"/>
              </w:rPr>
              <w:t>0m</w:t>
            </w:r>
            <w:r>
              <w:rPr>
                <w:rFonts w:hint="default" w:ascii="Times New Roman" w:hAnsi="Times New Roman" w:eastAsia="宋体" w:cs="Times New Roman"/>
                <w:b w:val="0"/>
                <w:bCs w:val="0"/>
                <w:color w:val="auto"/>
                <w:sz w:val="24"/>
                <w:szCs w:val="24"/>
                <w:highlight w:val="none"/>
                <w:vertAlign w:val="superscript"/>
                <w:lang w:val="en-US" w:eastAsia="zh-CN"/>
              </w:rPr>
              <w:t>2</w:t>
            </w:r>
            <w:r>
              <w:rPr>
                <w:rFonts w:hint="default" w:ascii="Times New Roman" w:hAnsi="Times New Roman" w:eastAsia="宋体" w:cs="Times New Roman"/>
                <w:b w:val="0"/>
                <w:bCs w:val="0"/>
                <w:color w:val="auto"/>
                <w:sz w:val="24"/>
                <w:szCs w:val="24"/>
                <w:highlight w:val="none"/>
                <w:lang w:val="en-US" w:eastAsia="zh-CN"/>
              </w:rPr>
              <w:t>）进行</w:t>
            </w:r>
            <w:r>
              <w:rPr>
                <w:rFonts w:hint="eastAsia" w:ascii="Times New Roman" w:hAnsi="Times New Roman" w:eastAsia="宋体" w:cs="Times New Roman"/>
                <w:b w:val="0"/>
                <w:bCs w:val="0"/>
                <w:color w:val="auto"/>
                <w:sz w:val="24"/>
                <w:szCs w:val="24"/>
                <w:highlight w:val="none"/>
                <w:lang w:val="en-US" w:eastAsia="zh-CN"/>
              </w:rPr>
              <w:t>分类收集，暂存</w:t>
            </w:r>
            <w:r>
              <w:rPr>
                <w:rFonts w:hint="default" w:ascii="Times New Roman" w:hAnsi="Times New Roman"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按1m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可暂存1t固废考虑，</w:t>
            </w:r>
            <w:r>
              <w:rPr>
                <w:rFonts w:hint="default" w:ascii="Times New Roman" w:hAnsi="Times New Roman" w:cs="Times New Roman"/>
                <w:b w:val="0"/>
                <w:bCs w:val="0"/>
                <w:color w:val="auto"/>
                <w:sz w:val="24"/>
                <w:szCs w:val="24"/>
                <w:highlight w:val="none"/>
                <w:lang w:val="en-US" w:eastAsia="zh-CN"/>
              </w:rPr>
              <w:t>则</w:t>
            </w:r>
            <w:r>
              <w:rPr>
                <w:rFonts w:hint="default" w:ascii="Times New Roman" w:hAnsi="Times New Roman" w:eastAsia="宋体" w:cs="Times New Roman"/>
                <w:b w:val="0"/>
                <w:bCs w:val="0"/>
                <w:color w:val="auto"/>
                <w:sz w:val="24"/>
                <w:szCs w:val="24"/>
                <w:highlight w:val="none"/>
                <w:lang w:val="en-US" w:eastAsia="zh-CN"/>
              </w:rPr>
              <w:t>现有危废暂存间容纳量</w:t>
            </w:r>
            <w:r>
              <w:rPr>
                <w:rFonts w:hint="default" w:ascii="Times New Roman" w:hAnsi="Times New Roman" w:cs="Times New Roman"/>
                <w:b w:val="0"/>
                <w:bCs w:val="0"/>
                <w:color w:val="auto"/>
                <w:sz w:val="24"/>
                <w:szCs w:val="24"/>
                <w:highlight w:val="none"/>
                <w:lang w:val="en-US" w:eastAsia="zh-CN"/>
              </w:rPr>
              <w:t>为</w:t>
            </w:r>
            <w:r>
              <w:rPr>
                <w:rFonts w:hint="eastAsia" w:ascii="Times New Roman" w:hAnsi="Times New Roman" w:cs="Times New Roman"/>
                <w:b w:val="0"/>
                <w:bCs w:val="0"/>
                <w:color w:val="auto"/>
                <w:sz w:val="24"/>
                <w:szCs w:val="24"/>
                <w:highlight w:val="none"/>
                <w:lang w:val="en-US" w:eastAsia="zh-CN"/>
              </w:rPr>
              <w:t>5</w:t>
            </w:r>
            <w:r>
              <w:rPr>
                <w:rFonts w:hint="default" w:ascii="Times New Roman" w:hAnsi="Times New Roman" w:cs="Times New Roman"/>
                <w:b w:val="0"/>
                <w:bCs w:val="0"/>
                <w:color w:val="auto"/>
                <w:sz w:val="24"/>
                <w:szCs w:val="24"/>
                <w:highlight w:val="none"/>
                <w:lang w:val="en-US" w:eastAsia="zh-CN"/>
              </w:rPr>
              <w:t>0</w:t>
            </w:r>
            <w:r>
              <w:rPr>
                <w:rFonts w:hint="default" w:ascii="Times New Roman" w:hAnsi="Times New Roman" w:eastAsia="宋体" w:cs="Times New Roman"/>
                <w:b w:val="0"/>
                <w:bCs w:val="0"/>
                <w:color w:val="auto"/>
                <w:sz w:val="24"/>
                <w:szCs w:val="24"/>
                <w:highlight w:val="none"/>
                <w:lang w:val="en-US" w:eastAsia="zh-CN"/>
              </w:rPr>
              <w:t>t。现有项目共产生危险废物</w:t>
            </w:r>
            <w:r>
              <w:rPr>
                <w:rFonts w:hint="eastAsia" w:ascii="Times New Roman" w:hAnsi="Times New Roman" w:eastAsia="宋体" w:cs="Times New Roman"/>
                <w:b w:val="0"/>
                <w:bCs w:val="0"/>
                <w:color w:val="auto"/>
                <w:sz w:val="24"/>
                <w:szCs w:val="24"/>
                <w:highlight w:val="none"/>
                <w:lang w:val="en-US" w:eastAsia="zh-CN"/>
              </w:rPr>
              <w:t>4.617</w:t>
            </w:r>
            <w:r>
              <w:rPr>
                <w:rFonts w:hint="default" w:ascii="Times New Roman" w:hAnsi="Times New Roman" w:eastAsia="宋体" w:cs="Times New Roman"/>
                <w:b w:val="0"/>
                <w:bCs w:val="0"/>
                <w:color w:val="auto"/>
                <w:sz w:val="24"/>
                <w:szCs w:val="24"/>
                <w:highlight w:val="none"/>
                <w:lang w:val="en-US" w:eastAsia="zh-CN"/>
              </w:rPr>
              <w:t>t/a，按每半年清运一次，则现有危废暂存间剩余可容纳危废量</w:t>
            </w:r>
            <w:r>
              <w:rPr>
                <w:rFonts w:hint="eastAsia" w:ascii="Times New Roman" w:hAnsi="Times New Roman" w:cs="Times New Roman"/>
                <w:b w:val="0"/>
                <w:bCs w:val="0"/>
                <w:color w:val="auto"/>
                <w:sz w:val="24"/>
                <w:szCs w:val="24"/>
                <w:highlight w:val="none"/>
                <w:lang w:val="en-US" w:eastAsia="zh-CN"/>
              </w:rPr>
              <w:t>100</w:t>
            </w:r>
            <w:r>
              <w:rPr>
                <w:rFonts w:hint="default" w:ascii="Times New Roman" w:hAnsi="Times New Roman" w:eastAsia="宋体" w:cs="Times New Roman"/>
                <w:b w:val="0"/>
                <w:bCs w:val="0"/>
                <w:color w:val="auto"/>
                <w:sz w:val="24"/>
                <w:szCs w:val="24"/>
                <w:highlight w:val="none"/>
                <w:lang w:val="en-US" w:eastAsia="zh-CN"/>
              </w:rPr>
              <w:t>t，本次改</w:t>
            </w:r>
            <w:r>
              <w:rPr>
                <w:rFonts w:hint="eastAsia" w:hAnsi="Times New Roman" w:cs="Times New Roman"/>
                <w:b w:val="0"/>
                <w:bCs w:val="0"/>
                <w:color w:val="auto"/>
                <w:sz w:val="24"/>
                <w:szCs w:val="24"/>
                <w:highlight w:val="none"/>
                <w:lang w:val="en-US" w:eastAsia="zh-CN"/>
              </w:rPr>
              <w:t>扩建</w:t>
            </w:r>
            <w:r>
              <w:rPr>
                <w:rFonts w:hint="default" w:ascii="Times New Roman" w:hAnsi="Times New Roman" w:eastAsia="宋体" w:cs="Times New Roman"/>
                <w:b w:val="0"/>
                <w:bCs w:val="0"/>
                <w:color w:val="auto"/>
                <w:sz w:val="24"/>
                <w:szCs w:val="24"/>
                <w:highlight w:val="none"/>
                <w:lang w:val="en-US" w:eastAsia="zh-CN"/>
              </w:rPr>
              <w:t>项目依托现有危废暂存间暂存可行。</w:t>
            </w:r>
          </w:p>
          <w:p w14:paraId="398B254E">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hint="eastAsia" w:ascii="Times New Roman" w:hAnsi="Times New Roman" w:cs="Times New Roman"/>
                <w:color w:val="0000FF"/>
                <w:sz w:val="24"/>
              </w:rPr>
              <w:t>①</w:t>
            </w:r>
            <w:r>
              <w:rPr>
                <w:rFonts w:ascii="Times New Roman" w:hAnsi="Times New Roman" w:cs="Times New Roman"/>
                <w:color w:val="0000FF"/>
                <w:sz w:val="24"/>
              </w:rPr>
              <w:t>危险废物收集要求</w:t>
            </w:r>
          </w:p>
          <w:p w14:paraId="32BC4660">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收集由指定人员操作，单独收集和贮运，严格执行《危险废物收集、贮存、运输技术规范》（HJ2025-2012</w:t>
            </w:r>
            <w:r>
              <w:rPr>
                <w:rFonts w:hint="eastAsia" w:ascii="Times New Roman" w:hAnsi="Times New Roman" w:cs="Times New Roman"/>
                <w:color w:val="0000FF"/>
                <w:sz w:val="24"/>
              </w:rPr>
              <w:t>）</w:t>
            </w:r>
            <w:r>
              <w:rPr>
                <w:rFonts w:ascii="Times New Roman" w:hAnsi="Times New Roman" w:cs="Times New Roman"/>
                <w:color w:val="0000FF"/>
                <w:sz w:val="24"/>
              </w:rPr>
              <w:t>和《危险废物转移管理办法》，所有危险废</w:t>
            </w:r>
            <w:r>
              <w:rPr>
                <w:rFonts w:hint="eastAsia" w:ascii="Times New Roman" w:hAnsi="Times New Roman" w:cs="Times New Roman"/>
                <w:color w:val="0000FF"/>
                <w:sz w:val="24"/>
              </w:rPr>
              <w:t>物</w:t>
            </w:r>
            <w:r>
              <w:rPr>
                <w:rFonts w:ascii="Times New Roman" w:hAnsi="Times New Roman" w:cs="Times New Roman"/>
                <w:color w:val="0000FF"/>
                <w:sz w:val="24"/>
              </w:rPr>
              <w:t>应避免包装、运输过程中洒落、泄漏情况的发生。一旦发现盛装危废的包装破损，应及时采取措施清理更换。产生的危险废物用桶装封盖密封；上述废物做好标签标识后及时由专人运至厂区危废仓库内储存，及时处理，不得在生产区域长时间堆放，定期交由有资质单位上门托运处置。</w:t>
            </w:r>
          </w:p>
          <w:p w14:paraId="116F3AED">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因此，在危险废物产生后立即进行有效收集处置的基础上，危险废物的产生、收集环节对环境基本无影响。</w:t>
            </w:r>
          </w:p>
          <w:p w14:paraId="25B39150">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hint="eastAsia" w:ascii="Times New Roman" w:hAnsi="Times New Roman" w:cs="Times New Roman"/>
                <w:color w:val="0000FF"/>
                <w:sz w:val="24"/>
              </w:rPr>
              <w:t>②</w:t>
            </w:r>
            <w:r>
              <w:rPr>
                <w:rFonts w:ascii="Times New Roman" w:hAnsi="Times New Roman" w:cs="Times New Roman"/>
                <w:color w:val="0000FF"/>
                <w:sz w:val="24"/>
              </w:rPr>
              <w:t>危废暂存要求</w:t>
            </w:r>
          </w:p>
          <w:p w14:paraId="43DF9689">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根据国家对固废处置减量化、资源化和无害化的技术政策，厂内危险废物暂存场所应按照《危险废物贮存污染控制标准》（GB18597-2023）要求的规定设置，总体要求如下：</w:t>
            </w:r>
          </w:p>
          <w:p w14:paraId="3D6D7E55">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A、产生、收集、贮存、利用、处置危险废物的单位应建造危险废物贮存设施或设置贮存场所，并根据需要选择贮存设施类型；</w:t>
            </w:r>
          </w:p>
          <w:p w14:paraId="712FB84C">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B、贮存危险废物应根据危险废物的类别、数量、形态、物理化学性质和环境风险等因素，确定贮存设施或场所类型和规模；</w:t>
            </w:r>
          </w:p>
          <w:p w14:paraId="580E59AE">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C、贮存危险废物应根据危险废物的类别、形态、物理化学性质和污染防治要求进行分类贮存，且应避免危险废物与不相容的物质或材料接触；</w:t>
            </w:r>
          </w:p>
          <w:p w14:paraId="545D58B8">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D、贮存危险废物应根据危险废物的形态、物理化学性质、包装形式和污染物迁移途径，采取措施减少粉尘等污染物的产生，防止其污染环境；</w:t>
            </w:r>
          </w:p>
          <w:p w14:paraId="3E850A5C">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E、危险废物贮存过程产生的液态废物和固态废物应分类收集，按环境管理要求妥善处理；</w:t>
            </w:r>
          </w:p>
          <w:p w14:paraId="63FE9A46">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F、贮存设施或场所、容器和包装物应按HJ1276要求设置危险废物贮存设施或场所标志、危险废物贮存分区标志和危险废物标签等危险废物识别标志</w:t>
            </w:r>
            <w:r>
              <w:rPr>
                <w:rFonts w:hint="eastAsia" w:ascii="Times New Roman" w:hAnsi="Times New Roman" w:cs="Times New Roman"/>
                <w:color w:val="0000FF"/>
                <w:sz w:val="24"/>
              </w:rPr>
              <w:t>；</w:t>
            </w:r>
          </w:p>
          <w:p w14:paraId="1DF29DF9">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G、危险废物贮存除应满足环境保护相关要求外，还应执行国家安全生产、职业健康、交通运输、消防等法律法规和标准的相关要求。</w:t>
            </w:r>
          </w:p>
          <w:p w14:paraId="2F01996E">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hint="eastAsia" w:ascii="Times New Roman" w:hAnsi="Times New Roman" w:cs="Times New Roman"/>
                <w:color w:val="0000FF"/>
                <w:sz w:val="24"/>
              </w:rPr>
              <w:t>③</w:t>
            </w:r>
            <w:r>
              <w:rPr>
                <w:rFonts w:ascii="Times New Roman" w:hAnsi="Times New Roman" w:cs="Times New Roman"/>
                <w:color w:val="0000FF"/>
                <w:sz w:val="24"/>
              </w:rPr>
              <w:t>危废转运管理要求</w:t>
            </w:r>
          </w:p>
          <w:p w14:paraId="23B7001B">
            <w:pPr>
              <w:widowControl w:val="0"/>
              <w:adjustRightInd w:val="0"/>
              <w:snapToGrid w:val="0"/>
              <w:spacing w:line="360" w:lineRule="auto"/>
              <w:ind w:firstLine="480" w:firstLineChars="200"/>
              <w:jc w:val="both"/>
              <w:rPr>
                <w:rFonts w:ascii="Times New Roman" w:hAnsi="Times New Roman" w:cs="Times New Roman"/>
                <w:color w:val="0000FF"/>
                <w:sz w:val="24"/>
              </w:rPr>
            </w:pPr>
            <w:r>
              <w:rPr>
                <w:rFonts w:ascii="Times New Roman" w:hAnsi="Times New Roman" w:cs="Times New Roman"/>
                <w:color w:val="0000FF"/>
                <w:sz w:val="24"/>
              </w:rPr>
              <w:t>企业必须对在生产运行过程中产生的危险固废进行申报登记，制定定期外运制度，并对危险废物的流向和最终处置进行跟踪，确保固废得到有效处置，禁止在转移过程中将危险废物排放至环境中，防止运输过程中危险废物的污染损害是防止危险废物污染损害的主要环节之一。</w:t>
            </w:r>
          </w:p>
          <w:p w14:paraId="242BB276">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 w:val="0"/>
                <w:bCs w:val="0"/>
                <w:color w:val="0000FF"/>
                <w:sz w:val="24"/>
                <w:szCs w:val="24"/>
                <w:highlight w:val="none"/>
                <w:lang w:val="en-US" w:eastAsia="zh-CN"/>
              </w:rPr>
            </w:pPr>
            <w:r>
              <w:rPr>
                <w:rFonts w:ascii="Times New Roman" w:hAnsi="Times New Roman" w:cs="Times New Roman"/>
                <w:color w:val="0000FF"/>
                <w:sz w:val="24"/>
              </w:rPr>
              <w:t>运输危险废物，必须同时符合两个要求，一是必须采取防止污染环境的措施，符合环境保护的要求，做到无害化的运输；二是必须将所运输的危险废物作为危险货物对待，遵守国家有关危险货物运输管理的规定，符合危险货物运输的安全防护要求，做到安全运输。</w:t>
            </w:r>
          </w:p>
          <w:p w14:paraId="34C7A48A">
            <w:pPr>
              <w:widowControl/>
              <w:adjustRightInd/>
              <w:snapToGrid/>
              <w:spacing w:line="360" w:lineRule="auto"/>
              <w:ind w:firstLine="482" w:firstLineChars="200"/>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地下水、土壤影响分析</w:t>
            </w:r>
          </w:p>
          <w:p w14:paraId="65A2DA1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highlight w:val="none"/>
              </w:rPr>
              <w:t>根据《建设项目环境影响报告表编制技术指南（试行）》，地下水、土壤环境原则上不开展环境质量现状调查。建设项目存在土壤、地下水环境污染途径的，应结合污染源、保护目标分布情况开展现状调查以留作背景值。土壤、地下水原则上不开展专项评价</w:t>
            </w:r>
            <w:r>
              <w:rPr>
                <w:rFonts w:hint="default" w:ascii="Times New Roman" w:hAnsi="Times New Roman" w:eastAsia="宋体" w:cs="Times New Roman"/>
                <w:color w:val="auto"/>
                <w:sz w:val="24"/>
                <w:szCs w:val="24"/>
                <w:highlight w:val="none"/>
              </w:rPr>
              <w:t>。</w:t>
            </w:r>
          </w:p>
          <w:p w14:paraId="5DCD0479">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1、土壤、地下水污染途径</w:t>
            </w:r>
          </w:p>
          <w:p w14:paraId="451744CD">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lang w:val="en-US" w:eastAsia="zh-CN"/>
              </w:rPr>
              <w:t>本项目潜在的地下水污染源主要包括生产车间、污水管道、化粪池、隔油池、一般固废暂存间、危废暂存间等。正常生产情况下，项目厂区实行雨污分流制，雨水通过雨水管网收集后排入市政雨水管网。</w:t>
            </w:r>
            <w:r>
              <w:rPr>
                <w:rFonts w:hint="default" w:ascii="Times New Roman" w:hAnsi="Times New Roman" w:cs="Times New Roman"/>
                <w:color w:val="auto"/>
                <w:sz w:val="24"/>
                <w:szCs w:val="32"/>
                <w:highlight w:val="none"/>
                <w:lang w:eastAsia="zh-CN"/>
              </w:rPr>
              <w:t>项目</w:t>
            </w:r>
            <w:r>
              <w:rPr>
                <w:rFonts w:hint="default" w:ascii="Times New Roman" w:hAnsi="Times New Roman" w:cs="Times New Roman"/>
                <w:color w:val="auto"/>
                <w:sz w:val="24"/>
                <w:szCs w:val="32"/>
                <w:highlight w:val="none"/>
                <w:lang w:val="en-US" w:eastAsia="zh-CN"/>
              </w:rPr>
              <w:t>外排</w:t>
            </w:r>
            <w:r>
              <w:rPr>
                <w:rFonts w:hint="default" w:ascii="Times New Roman" w:hAnsi="Times New Roman" w:cs="Times New Roman"/>
                <w:color w:val="auto"/>
                <w:sz w:val="24"/>
                <w:szCs w:val="32"/>
                <w:highlight w:val="none"/>
                <w:lang w:eastAsia="zh-CN"/>
              </w:rPr>
              <w:t>废水主要为生活污水</w:t>
            </w:r>
            <w:r>
              <w:rPr>
                <w:rFonts w:hint="default" w:ascii="Times New Roman" w:hAnsi="Times New Roman" w:cs="Times New Roman"/>
                <w:color w:val="auto"/>
                <w:sz w:val="24"/>
                <w:szCs w:val="32"/>
                <w:highlight w:val="none"/>
                <w:lang w:val="en-US" w:eastAsia="zh-CN"/>
              </w:rPr>
              <w:t>和</w:t>
            </w:r>
            <w:r>
              <w:rPr>
                <w:rFonts w:hint="eastAsia" w:ascii="Times New Roman" w:hAnsi="Times New Roman" w:cs="Times New Roman"/>
                <w:color w:val="auto"/>
                <w:sz w:val="24"/>
                <w:szCs w:val="32"/>
                <w:highlight w:val="none"/>
                <w:lang w:val="en-US" w:eastAsia="zh-CN"/>
              </w:rPr>
              <w:t>超声波清洗</w:t>
            </w:r>
            <w:r>
              <w:rPr>
                <w:rFonts w:hint="default" w:ascii="Times New Roman" w:hAnsi="Times New Roman" w:cs="Times New Roman"/>
                <w:color w:val="auto"/>
                <w:sz w:val="24"/>
                <w:szCs w:val="32"/>
                <w:highlight w:val="none"/>
                <w:lang w:val="en-US" w:eastAsia="zh-CN"/>
              </w:rPr>
              <w:t>废水</w:t>
            </w:r>
            <w:r>
              <w:rPr>
                <w:rFonts w:hint="default" w:ascii="Times New Roman" w:hAnsi="Times New Roman" w:cs="Times New Roman"/>
                <w:color w:val="auto"/>
                <w:sz w:val="24"/>
                <w:szCs w:val="32"/>
                <w:highlight w:val="none"/>
                <w:lang w:eastAsia="zh-CN"/>
              </w:rPr>
              <w:t>，</w:t>
            </w:r>
            <w:r>
              <w:rPr>
                <w:rFonts w:hint="eastAsia" w:ascii="Times New Roman" w:hAnsi="Times New Roman" w:eastAsia="宋体" w:cs="Times New Roman"/>
                <w:color w:val="auto"/>
                <w:sz w:val="24"/>
                <w:szCs w:val="24"/>
                <w:highlight w:val="none"/>
                <w:lang w:val="en-US" w:eastAsia="zh-CN"/>
              </w:rPr>
              <w:t>生活污水</w:t>
            </w:r>
            <w:r>
              <w:rPr>
                <w:rFonts w:hint="default" w:ascii="Times New Roman" w:hAnsi="Times New Roman" w:eastAsia="宋体" w:cs="Times New Roman"/>
                <w:color w:val="auto"/>
                <w:sz w:val="24"/>
                <w:szCs w:val="24"/>
                <w:highlight w:val="none"/>
              </w:rPr>
              <w:t>经</w:t>
            </w:r>
            <w:r>
              <w:rPr>
                <w:rFonts w:hint="eastAsia" w:cs="Times New Roman"/>
                <w:color w:val="auto"/>
                <w:sz w:val="24"/>
                <w:szCs w:val="24"/>
                <w:highlight w:val="none"/>
                <w:lang w:val="en-US" w:eastAsia="zh-CN"/>
              </w:rPr>
              <w:t>隔油池+化粪池预处理</w:t>
            </w:r>
            <w:r>
              <w:rPr>
                <w:rFonts w:hint="default" w:ascii="Times New Roman" w:hAnsi="Times New Roman" w:eastAsia="宋体" w:cs="Times New Roman"/>
                <w:color w:val="auto"/>
                <w:sz w:val="24"/>
                <w:szCs w:val="24"/>
                <w:highlight w:val="none"/>
              </w:rPr>
              <w:t>，再与</w:t>
            </w:r>
            <w:r>
              <w:rPr>
                <w:rFonts w:hint="eastAsia" w:ascii="Times New Roman" w:hAnsi="Times New Roman" w:eastAsia="宋体" w:cs="Times New Roman"/>
                <w:color w:val="auto"/>
                <w:sz w:val="24"/>
                <w:szCs w:val="24"/>
                <w:highlight w:val="none"/>
                <w:lang w:val="en-US" w:eastAsia="zh-CN"/>
              </w:rPr>
              <w:t>经一体化污水处理设施处理的超声波清洗</w:t>
            </w:r>
            <w:r>
              <w:rPr>
                <w:rFonts w:hint="default" w:ascii="Times New Roman" w:hAnsi="Times New Roman" w:eastAsia="宋体" w:cs="Times New Roman"/>
                <w:b w:val="0"/>
                <w:bCs/>
                <w:color w:val="auto"/>
                <w:kern w:val="2"/>
                <w:sz w:val="24"/>
                <w:szCs w:val="24"/>
                <w:lang w:val="en-US" w:eastAsia="zh-CN" w:bidi="ar-SA"/>
              </w:rPr>
              <w:t>废水</w:t>
            </w:r>
            <w:r>
              <w:rPr>
                <w:rFonts w:hint="eastAsia" w:ascii="Times New Roman" w:hAnsi="Times New Roman" w:eastAsia="宋体" w:cs="Times New Roman"/>
                <w:color w:val="auto"/>
                <w:sz w:val="24"/>
                <w:szCs w:val="24"/>
                <w:highlight w:val="none"/>
                <w:lang w:val="en-US" w:eastAsia="zh-CN"/>
              </w:rPr>
              <w:t>汇合，</w:t>
            </w:r>
            <w:r>
              <w:rPr>
                <w:rFonts w:hint="default" w:ascii="Times New Roman" w:hAnsi="Times New Roman" w:eastAsia="宋体" w:cs="Times New Roman"/>
                <w:color w:val="auto"/>
                <w:sz w:val="24"/>
                <w:szCs w:val="24"/>
                <w:highlight w:val="none"/>
              </w:rPr>
              <w:t>通过园区污水管网排入高安市工业园污水处理厂处理</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尾水</w:t>
            </w:r>
            <w:r>
              <w:rPr>
                <w:rFonts w:hint="default" w:ascii="Times New Roman" w:hAnsi="Times New Roman" w:cs="Times New Roman"/>
                <w:color w:val="auto"/>
                <w:sz w:val="24"/>
                <w:szCs w:val="32"/>
                <w:highlight w:val="none"/>
                <w:lang w:eastAsia="zh-CN"/>
              </w:rPr>
              <w:t>外排</w:t>
            </w:r>
            <w:r>
              <w:rPr>
                <w:rFonts w:hint="default" w:ascii="Times New Roman" w:hAnsi="Times New Roman" w:cs="Times New Roman"/>
                <w:color w:val="auto"/>
                <w:sz w:val="24"/>
                <w:szCs w:val="32"/>
                <w:highlight w:val="none"/>
                <w:lang w:val="en-US" w:eastAsia="zh-CN"/>
              </w:rPr>
              <w:t>至锦江</w:t>
            </w:r>
            <w:r>
              <w:rPr>
                <w:rFonts w:hint="default" w:ascii="Times New Roman" w:hAnsi="Times New Roman" w:cs="Times New Roman"/>
                <w:color w:val="auto"/>
                <w:sz w:val="24"/>
                <w:szCs w:val="32"/>
                <w:highlight w:val="none"/>
              </w:rPr>
              <w:t>。</w:t>
            </w:r>
          </w:p>
          <w:p w14:paraId="4D17E249">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本项目对地下水及土壤产生污染的途径主要是渗透污染、大气沉降。渗透污染、大气沉降是导致地下水及土壤污染的普遍和主要方式，产生可能性来自：</w:t>
            </w:r>
          </w:p>
          <w:p w14:paraId="6463D7F7">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①项目产生的污水、废液在事故情况下直接渗入土壤，进而污染土壤及地下水。</w:t>
            </w:r>
          </w:p>
          <w:p w14:paraId="2DB8084E">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②厂区内污水处理设施在未采取防渗防漏措施的情况下，废水将从构筑物下渗入含水层而污染土壤及地下水。</w:t>
            </w:r>
          </w:p>
          <w:p w14:paraId="7E764ACA">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③排放的大气污染物沉降地面导致污染土壤。</w:t>
            </w:r>
          </w:p>
          <w:p w14:paraId="0C82FACB">
            <w:pPr>
              <w:widowControl w:val="0"/>
              <w:spacing w:line="360" w:lineRule="auto"/>
              <w:ind w:firstLine="480" w:firstLineChars="200"/>
              <w:jc w:val="both"/>
              <w:rPr>
                <w:rFonts w:hint="default" w:ascii="Times New Roman" w:hAnsi="Times New Roman" w:eastAsia="宋体" w:cs="Times New Roman"/>
                <w:color w:val="0000FF"/>
                <w:sz w:val="24"/>
              </w:rPr>
            </w:pPr>
            <w:r>
              <w:rPr>
                <w:rFonts w:hint="eastAsia" w:ascii="Times New Roman" w:hAnsi="Times New Roman" w:eastAsia="宋体" w:cs="Times New Roman"/>
                <w:color w:val="0000FF"/>
                <w:sz w:val="24"/>
                <w:lang w:eastAsia="zh-CN"/>
              </w:rPr>
              <w:t>2、</w:t>
            </w:r>
            <w:r>
              <w:rPr>
                <w:rFonts w:hint="default" w:ascii="Times New Roman" w:hAnsi="Times New Roman" w:eastAsia="宋体" w:cs="Times New Roman"/>
                <w:color w:val="0000FF"/>
                <w:sz w:val="24"/>
              </w:rPr>
              <w:t>土壤、地下水影响分析</w:t>
            </w:r>
          </w:p>
          <w:p w14:paraId="4DA7E750">
            <w:pPr>
              <w:widowControl w:val="0"/>
              <w:adjustRightInd w:val="0"/>
              <w:snapToGrid w:val="0"/>
              <w:spacing w:line="360" w:lineRule="auto"/>
              <w:ind w:firstLine="480" w:firstLineChars="200"/>
              <w:jc w:val="both"/>
              <w:rPr>
                <w:rFonts w:hint="eastAsia" w:ascii="宋体" w:hAnsi="宋体" w:eastAsia="宋体" w:cs="宋体"/>
                <w:bCs/>
                <w:color w:val="0000FF"/>
                <w:sz w:val="24"/>
              </w:rPr>
            </w:pPr>
            <w:r>
              <w:rPr>
                <w:rFonts w:hint="eastAsia" w:ascii="宋体" w:hAnsi="宋体" w:eastAsia="宋体" w:cs="宋体"/>
                <w:bCs/>
                <w:color w:val="0000FF"/>
                <w:sz w:val="24"/>
              </w:rPr>
              <w:t>①正常情况下土壤、地下水环境影响分析</w:t>
            </w:r>
          </w:p>
          <w:p w14:paraId="4EBAF1F4">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bCs/>
                <w:color w:val="0000FF"/>
                <w:sz w:val="24"/>
              </w:rPr>
              <w:t>本项目</w:t>
            </w:r>
            <w:r>
              <w:rPr>
                <w:rFonts w:hint="eastAsia" w:ascii="宋体" w:hAnsi="宋体" w:eastAsia="宋体" w:cs="宋体"/>
                <w:color w:val="0000FF"/>
                <w:sz w:val="24"/>
              </w:rPr>
              <w:t>对喷漆房、危废间、污水处理设施、污水管线等进行严格的防腐防渗处理后，</w:t>
            </w:r>
            <w:r>
              <w:rPr>
                <w:rFonts w:hint="eastAsia" w:ascii="宋体" w:hAnsi="宋体" w:eastAsia="宋体" w:cs="宋体"/>
                <w:bCs/>
                <w:color w:val="0000FF"/>
                <w:sz w:val="24"/>
              </w:rPr>
              <w:t>通过</w:t>
            </w:r>
            <w:r>
              <w:rPr>
                <w:rFonts w:hint="eastAsia" w:ascii="宋体" w:hAnsi="宋体" w:eastAsia="宋体" w:cs="宋体"/>
                <w:color w:val="0000FF"/>
                <w:sz w:val="24"/>
              </w:rPr>
              <w:t>采取以上环保措施后，废水下渗量很小，在正常情况下对土壤和地下水的影响很小。</w:t>
            </w:r>
          </w:p>
          <w:p w14:paraId="218FC846">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②非正常情况下地下水环境影响分析</w:t>
            </w:r>
          </w:p>
          <w:p w14:paraId="6894E9B1">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如果喷漆房、污水处理设施、污水管线、危废间等防渗层发生破损，泄露的废液将入渗进入地下，污染土壤及地下水。非正常状况下，将不可避免的会对项目所在区域周围，特别是地下水下游部分区域的土壤及地下水产生一定程度的污染。因此，建设单位应积极采取有效的防渗措施，定期监控地下水水质，一旦发现废液渗漏后，马上采取有效的应急措施，避免泄漏持续发生。</w:t>
            </w:r>
          </w:p>
          <w:p w14:paraId="384A8096">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③在</w:t>
            </w:r>
            <w:r>
              <w:rPr>
                <w:rFonts w:hint="eastAsia" w:ascii="宋体" w:hAnsi="宋体" w:cs="宋体"/>
                <w:color w:val="0000FF"/>
                <w:sz w:val="24"/>
                <w:lang w:val="en-US" w:eastAsia="zh-CN"/>
              </w:rPr>
              <w:t>调漆、</w:t>
            </w:r>
            <w:r>
              <w:rPr>
                <w:rFonts w:hint="eastAsia" w:ascii="宋体" w:hAnsi="宋体" w:eastAsia="宋体" w:cs="宋体"/>
                <w:color w:val="0000FF"/>
                <w:sz w:val="24"/>
              </w:rPr>
              <w:t>喷漆工序产生挥发性有机物，包含少量的二甲苯，排放的大气污染物沉降地面会导致一定程度的土壤污染。周边土壤大部分已硬化，大大减少了对土壤的直接污染。因此，建设单位应积极采取有效的防渗措施，定期监控周边土壤，一旦发现周边土壤被污染后，马上采取有效的应急措施，避免加重土壤污染。</w:t>
            </w:r>
          </w:p>
          <w:p w14:paraId="616830E1">
            <w:pPr>
              <w:widowControl w:val="0"/>
              <w:spacing w:line="360" w:lineRule="auto"/>
              <w:ind w:firstLine="480" w:firstLineChars="200"/>
              <w:jc w:val="both"/>
              <w:rPr>
                <w:rFonts w:hint="eastAsia" w:ascii="Times New Roman" w:hAnsi="Times New Roman" w:eastAsia="宋体" w:cs="Times New Roman"/>
                <w:color w:val="0000FF"/>
                <w:sz w:val="24"/>
              </w:rPr>
            </w:pPr>
            <w:r>
              <w:rPr>
                <w:rFonts w:hint="eastAsia" w:ascii="Times New Roman" w:hAnsi="Times New Roman" w:eastAsia="宋体" w:cs="Times New Roman"/>
                <w:color w:val="0000FF"/>
                <w:sz w:val="24"/>
                <w:lang w:eastAsia="zh-CN"/>
              </w:rPr>
              <w:t>3、</w:t>
            </w:r>
            <w:r>
              <w:rPr>
                <w:rFonts w:hint="eastAsia" w:ascii="Times New Roman" w:hAnsi="Times New Roman" w:eastAsia="宋体" w:cs="Times New Roman"/>
                <w:color w:val="0000FF"/>
                <w:sz w:val="24"/>
              </w:rPr>
              <w:t>防范措施</w:t>
            </w:r>
          </w:p>
          <w:p w14:paraId="65591D1D">
            <w:pPr>
              <w:widowControl/>
              <w:adjustRightInd/>
              <w:snapToGrid/>
              <w:spacing w:line="360" w:lineRule="auto"/>
              <w:ind w:firstLine="480" w:firstLineChars="200"/>
              <w:jc w:val="left"/>
              <w:rPr>
                <w:rFonts w:hint="eastAsia" w:ascii="Times New Roman" w:hAnsi="Times New Roman" w:eastAsia="宋体" w:cs="Times New Roman"/>
                <w:color w:val="0000FF"/>
                <w:sz w:val="24"/>
              </w:rPr>
            </w:pPr>
            <w:r>
              <w:rPr>
                <w:rFonts w:hint="eastAsia" w:ascii="Times New Roman" w:hAnsi="Times New Roman" w:eastAsia="宋体" w:cs="Times New Roman"/>
                <w:color w:val="0000FF"/>
                <w:sz w:val="24"/>
              </w:rPr>
              <w:t>针对上述情况，企业采取以下措施，以减轻对地土壤和地下水的污染。</w:t>
            </w:r>
          </w:p>
          <w:p w14:paraId="1B303C58">
            <w:pPr>
              <w:widowControl/>
              <w:adjustRightInd/>
              <w:snapToGrid/>
              <w:spacing w:line="360" w:lineRule="auto"/>
              <w:ind w:firstLine="480" w:firstLineChars="200"/>
              <w:jc w:val="left"/>
              <w:rPr>
                <w:rFonts w:hint="eastAsia" w:ascii="Times New Roman" w:hAnsi="Times New Roman" w:eastAsia="宋体" w:cs="Times New Roman"/>
                <w:color w:val="0000FF"/>
                <w:sz w:val="24"/>
              </w:rPr>
            </w:pPr>
            <w:r>
              <w:rPr>
                <w:rFonts w:hint="eastAsia" w:ascii="Times New Roman" w:hAnsi="Times New Roman" w:eastAsia="宋体" w:cs="Times New Roman"/>
                <w:color w:val="0000FF"/>
                <w:sz w:val="24"/>
              </w:rPr>
              <w:t>（1）源头控制措施</w:t>
            </w:r>
          </w:p>
          <w:p w14:paraId="6FE74201">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项目各类废气均可达标排放，废水经收集、处理，达标后纳管排放，各类固态废物均能得以妥善处理处置，有效减少了污染物的排放量。</w:t>
            </w:r>
          </w:p>
          <w:p w14:paraId="0B3644CD">
            <w:pPr>
              <w:widowControl/>
              <w:adjustRightInd/>
              <w:snapToGrid/>
              <w:spacing w:line="360" w:lineRule="auto"/>
              <w:ind w:firstLine="480" w:firstLineChars="200"/>
              <w:jc w:val="left"/>
              <w:rPr>
                <w:rFonts w:hint="eastAsia" w:ascii="Times New Roman" w:hAnsi="Times New Roman" w:eastAsia="宋体" w:cs="Times New Roman"/>
                <w:color w:val="0000FF"/>
                <w:sz w:val="24"/>
              </w:rPr>
            </w:pPr>
            <w:r>
              <w:rPr>
                <w:rFonts w:hint="eastAsia" w:ascii="Times New Roman" w:hAnsi="Times New Roman" w:eastAsia="宋体" w:cs="Times New Roman"/>
                <w:color w:val="0000FF"/>
                <w:sz w:val="24"/>
              </w:rPr>
              <w:t>（2）分区防渗措施</w:t>
            </w:r>
          </w:p>
          <w:p w14:paraId="75F8A800">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生活污水收集处理构筑物在工程设计时采用混凝土构造，并按照相应的标准设置了防渗层，防止污水下渗污染土壤和地下水。在正常生产情况下，企业做好防渗处理的条件下，项目废水不会直接渗入土壤，基本不会对地下水造成影响。</w:t>
            </w:r>
          </w:p>
          <w:p w14:paraId="3CE0C8A0">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本项目自产危废贮存于危废间，自产一般工业固体废物贮存于</w:t>
            </w:r>
            <w:r>
              <w:rPr>
                <w:rFonts w:hint="eastAsia" w:ascii="宋体" w:hAnsi="宋体" w:cs="宋体"/>
                <w:color w:val="0000FF"/>
                <w:sz w:val="24"/>
                <w:lang w:val="en-US" w:eastAsia="zh-CN"/>
              </w:rPr>
              <w:t>一般固废暂存间</w:t>
            </w:r>
            <w:r>
              <w:rPr>
                <w:rFonts w:hint="eastAsia" w:ascii="宋体" w:hAnsi="宋体" w:eastAsia="宋体" w:cs="宋体"/>
                <w:color w:val="0000FF"/>
                <w:sz w:val="24"/>
              </w:rPr>
              <w:t>，厂区地面进行硬化处理并采取环氧地坪漆防渗措施。本次环评要求按照下表防渗标准分区设置防渗区，防止污染物的跑、冒、滴、漏，将污染物泄漏的环境风险事故对环境的影响降到最低。</w:t>
            </w:r>
          </w:p>
          <w:p w14:paraId="24053FF7">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①重点防渗区：危废间、喷漆房、污水处理设施、污水管道、事故池</w:t>
            </w:r>
          </w:p>
          <w:p w14:paraId="0C99E3F2">
            <w:pPr>
              <w:widowControl w:val="0"/>
              <w:adjustRightInd w:val="0"/>
              <w:snapToGrid w:val="0"/>
              <w:spacing w:line="360" w:lineRule="auto"/>
              <w:ind w:firstLine="480" w:firstLineChars="200"/>
              <w:jc w:val="both"/>
              <w:rPr>
                <w:rFonts w:hint="eastAsia" w:ascii="宋体" w:hAnsi="宋体" w:eastAsia="宋体" w:cs="宋体"/>
                <w:color w:val="0000FF"/>
                <w:sz w:val="24"/>
              </w:rPr>
            </w:pPr>
            <w:r>
              <w:rPr>
                <w:rFonts w:hint="eastAsia" w:ascii="宋体" w:hAnsi="宋体" w:eastAsia="宋体" w:cs="宋体"/>
                <w:color w:val="0000FF"/>
                <w:sz w:val="24"/>
              </w:rPr>
              <w:t>对喷漆房、</w:t>
            </w:r>
            <w:r>
              <w:rPr>
                <w:rFonts w:hint="default" w:ascii="Times New Roman" w:hAnsi="Times New Roman" w:eastAsia="宋体" w:cs="Times New Roman"/>
                <w:color w:val="0000FF"/>
                <w:sz w:val="24"/>
              </w:rPr>
              <w:t>危废间、污水处理设施、污水管道、事故池采取重点防渗、防腐措施，接触地面水泥硬化，涂布环氧地坪漆，等效黏土防渗层Mb≥6.0m，防渗系数小于10</w:t>
            </w:r>
            <w:r>
              <w:rPr>
                <w:rFonts w:hint="default" w:ascii="Times New Roman" w:hAnsi="Times New Roman" w:eastAsia="宋体" w:cs="Times New Roman"/>
                <w:color w:val="0000FF"/>
                <w:sz w:val="24"/>
                <w:vertAlign w:val="superscript"/>
              </w:rPr>
              <w:t>-7</w:t>
            </w:r>
            <w:r>
              <w:rPr>
                <w:rFonts w:hint="default" w:ascii="Times New Roman" w:hAnsi="Times New Roman" w:eastAsia="宋体" w:cs="Times New Roman"/>
                <w:color w:val="0000FF"/>
                <w:sz w:val="24"/>
              </w:rPr>
              <w:t>cm/s；危废间地面、裙角行防渗、防腐处理，接触地面水泥硬化，涂布环氧地坪漆，等效黏土防渗层Mb≥6.0m，防渗系数小于10</w:t>
            </w:r>
            <w:r>
              <w:rPr>
                <w:rFonts w:hint="default" w:ascii="Times New Roman" w:hAnsi="Times New Roman" w:eastAsia="宋体" w:cs="Times New Roman"/>
                <w:color w:val="0000FF"/>
                <w:sz w:val="24"/>
                <w:vertAlign w:val="superscript"/>
              </w:rPr>
              <w:t>-7</w:t>
            </w:r>
            <w:r>
              <w:rPr>
                <w:rFonts w:hint="default" w:ascii="Times New Roman" w:hAnsi="Times New Roman" w:eastAsia="宋体" w:cs="Times New Roman"/>
                <w:color w:val="0000FF"/>
                <w:sz w:val="24"/>
              </w:rPr>
              <w:t>cm/s，并执行《危险废物贮存污染控制标准》（GB18597-20</w:t>
            </w:r>
            <w:r>
              <w:rPr>
                <w:rFonts w:hint="eastAsia" w:ascii="Times New Roman" w:hAnsi="Times New Roman" w:cs="Times New Roman"/>
                <w:color w:val="0000FF"/>
                <w:sz w:val="24"/>
                <w:lang w:eastAsia="zh-CN"/>
              </w:rPr>
              <w:t>2</w:t>
            </w:r>
            <w:r>
              <w:rPr>
                <w:rFonts w:hint="eastAsia" w:ascii="Times New Roman" w:hAnsi="Times New Roman" w:cs="Times New Roman"/>
                <w:color w:val="0000FF"/>
                <w:sz w:val="24"/>
                <w:lang w:val="en-US" w:eastAsia="zh-CN"/>
              </w:rPr>
              <w:t>3</w:t>
            </w:r>
            <w:r>
              <w:rPr>
                <w:rFonts w:hint="default" w:ascii="Times New Roman" w:hAnsi="Times New Roman" w:eastAsia="宋体" w:cs="Times New Roman"/>
                <w:color w:val="0000FF"/>
                <w:sz w:val="24"/>
              </w:rPr>
              <w:t>）的有关规定。</w:t>
            </w:r>
          </w:p>
          <w:p w14:paraId="25C01CAC">
            <w:pPr>
              <w:widowControl w:val="0"/>
              <w:adjustRightInd w:val="0"/>
              <w:snapToGrid w:val="0"/>
              <w:spacing w:line="360" w:lineRule="auto"/>
              <w:ind w:firstLine="480" w:firstLineChars="200"/>
              <w:jc w:val="both"/>
              <w:rPr>
                <w:rFonts w:hint="eastAsia" w:ascii="Times New Roman" w:hAnsi="Times New Roman" w:eastAsia="宋体" w:cs="Times New Roman"/>
                <w:color w:val="0000FF"/>
                <w:sz w:val="24"/>
              </w:rPr>
            </w:pPr>
            <w:r>
              <w:rPr>
                <w:rFonts w:hint="default" w:ascii="Times New Roman" w:hAnsi="Times New Roman" w:eastAsia="宋体" w:cs="Times New Roman"/>
                <w:color w:val="0000FF"/>
                <w:sz w:val="24"/>
              </w:rPr>
              <w:t>②一般防渗区：</w:t>
            </w:r>
            <w:r>
              <w:rPr>
                <w:rFonts w:hint="eastAsia" w:ascii="Times New Roman" w:hAnsi="Times New Roman" w:cs="Times New Roman"/>
                <w:color w:val="0000FF"/>
                <w:sz w:val="24"/>
                <w:lang w:val="en-US" w:eastAsia="zh-CN"/>
              </w:rPr>
              <w:t>除喷漆房外</w:t>
            </w:r>
            <w:r>
              <w:rPr>
                <w:rFonts w:hint="default" w:ascii="Times New Roman" w:hAnsi="Times New Roman" w:eastAsia="宋体" w:cs="Times New Roman"/>
                <w:color w:val="0000FF"/>
                <w:sz w:val="24"/>
              </w:rPr>
              <w:t>生产</w:t>
            </w:r>
            <w:r>
              <w:rPr>
                <w:rFonts w:hint="eastAsia" w:ascii="Times New Roman" w:hAnsi="Times New Roman" w:cs="Times New Roman"/>
                <w:color w:val="0000FF"/>
                <w:sz w:val="24"/>
                <w:lang w:val="en-US" w:eastAsia="zh-CN"/>
              </w:rPr>
              <w:t>车间</w:t>
            </w:r>
          </w:p>
          <w:p w14:paraId="07090D96">
            <w:pPr>
              <w:widowControl w:val="0"/>
              <w:adjustRightInd w:val="0"/>
              <w:snapToGrid w:val="0"/>
              <w:spacing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生</w:t>
            </w:r>
            <w:r>
              <w:rPr>
                <w:rFonts w:hint="eastAsia" w:ascii="Times New Roman" w:hAnsi="Times New Roman" w:cs="Times New Roman"/>
                <w:color w:val="0000FF"/>
                <w:sz w:val="24"/>
                <w:lang w:val="en-US" w:eastAsia="zh-CN"/>
              </w:rPr>
              <w:t>产车间</w:t>
            </w:r>
            <w:r>
              <w:rPr>
                <w:rFonts w:hint="default" w:ascii="Times New Roman" w:hAnsi="Times New Roman" w:eastAsia="宋体" w:cs="Times New Roman"/>
                <w:color w:val="0000FF"/>
                <w:sz w:val="24"/>
              </w:rPr>
              <w:t>进行地面水泥硬化，涂布环氧地坪漆，使防渗层等效黏土防渗层Mb≥1.5m，渗透系数小于1×10</w:t>
            </w:r>
            <w:r>
              <w:rPr>
                <w:rFonts w:hint="default" w:ascii="Times New Roman" w:hAnsi="Times New Roman" w:eastAsia="宋体" w:cs="Times New Roman"/>
                <w:color w:val="0000FF"/>
                <w:sz w:val="24"/>
                <w:vertAlign w:val="superscript"/>
              </w:rPr>
              <w:t>-7</w:t>
            </w:r>
            <w:r>
              <w:rPr>
                <w:rFonts w:hint="default" w:ascii="Times New Roman" w:hAnsi="Times New Roman" w:eastAsia="宋体" w:cs="Times New Roman"/>
                <w:color w:val="0000FF"/>
                <w:sz w:val="24"/>
              </w:rPr>
              <w:t>cm/s。</w:t>
            </w:r>
          </w:p>
          <w:p w14:paraId="0722D48F">
            <w:pPr>
              <w:widowControl w:val="0"/>
              <w:adjustRightInd w:val="0"/>
              <w:snapToGrid w:val="0"/>
              <w:spacing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③简单防渗区：办公楼、宿舍楼及除其他以上区域。</w:t>
            </w:r>
          </w:p>
          <w:p w14:paraId="241CE11D">
            <w:pPr>
              <w:widowControl w:val="0"/>
              <w:adjustRightInd w:val="0"/>
              <w:snapToGrid w:val="0"/>
              <w:spacing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对办公室、</w:t>
            </w:r>
            <w:r>
              <w:rPr>
                <w:rFonts w:hint="eastAsia" w:ascii="Times New Roman" w:hAnsi="Times New Roman" w:cs="Times New Roman"/>
                <w:color w:val="0000FF"/>
                <w:sz w:val="24"/>
                <w:lang w:val="en-US" w:eastAsia="zh-CN"/>
              </w:rPr>
              <w:t>宿舍楼</w:t>
            </w:r>
            <w:r>
              <w:rPr>
                <w:rFonts w:hint="default" w:ascii="Times New Roman" w:hAnsi="Times New Roman" w:eastAsia="宋体" w:cs="Times New Roman"/>
                <w:color w:val="0000FF"/>
                <w:sz w:val="24"/>
              </w:rPr>
              <w:t>及除其他以上区域地面进行简单硬化。</w:t>
            </w:r>
          </w:p>
          <w:p w14:paraId="54E7F139">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各分区防渗见表4-</w:t>
            </w:r>
            <w:r>
              <w:rPr>
                <w:rFonts w:hint="eastAsia" w:cs="Times New Roman"/>
                <w:color w:val="auto"/>
                <w:sz w:val="24"/>
                <w:szCs w:val="32"/>
                <w:highlight w:val="none"/>
                <w:lang w:val="en-US" w:eastAsia="zh-CN"/>
              </w:rPr>
              <w:t>22</w:t>
            </w:r>
            <w:r>
              <w:rPr>
                <w:rFonts w:hint="default" w:ascii="Times New Roman" w:hAnsi="Times New Roman" w:cs="Times New Roman"/>
                <w:color w:val="auto"/>
                <w:sz w:val="24"/>
                <w:szCs w:val="32"/>
                <w:highlight w:val="none"/>
                <w:lang w:val="en-US" w:eastAsia="zh-CN"/>
              </w:rPr>
              <w:t>。</w:t>
            </w:r>
          </w:p>
          <w:p w14:paraId="6484DBFC">
            <w:pPr>
              <w:spacing w:line="240" w:lineRule="auto"/>
              <w:ind w:firstLine="0" w:firstLineChars="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4-</w:t>
            </w:r>
            <w:r>
              <w:rPr>
                <w:rFonts w:hint="eastAsia" w:cs="Times New Roman"/>
                <w:b/>
                <w:bCs/>
                <w:color w:val="auto"/>
                <w:highlight w:val="none"/>
                <w:lang w:val="en-US" w:eastAsia="zh-CN"/>
              </w:rPr>
              <w:t>22</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val="en-US" w:eastAsia="zh-CN"/>
              </w:rPr>
              <w:t>土壤、</w:t>
            </w:r>
            <w:r>
              <w:rPr>
                <w:rFonts w:hint="default" w:ascii="Times New Roman" w:hAnsi="Times New Roman" w:cs="Times New Roman"/>
                <w:b/>
                <w:bCs/>
                <w:color w:val="auto"/>
                <w:highlight w:val="none"/>
              </w:rPr>
              <w:t>地下水污染防治分区</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2978"/>
              <w:gridCol w:w="3613"/>
            </w:tblGrid>
            <w:tr w14:paraId="473AC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2" w:type="pct"/>
                  <w:noWrap w:val="0"/>
                  <w:vAlign w:val="center"/>
                </w:tcPr>
                <w:p w14:paraId="664BBD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防渗分区</w:t>
                  </w:r>
                </w:p>
              </w:tc>
              <w:tc>
                <w:tcPr>
                  <w:tcW w:w="1842" w:type="pct"/>
                  <w:noWrap w:val="0"/>
                  <w:vAlign w:val="center"/>
                </w:tcPr>
                <w:p w14:paraId="3C0F85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位置</w:t>
                  </w:r>
                </w:p>
              </w:tc>
              <w:tc>
                <w:tcPr>
                  <w:tcW w:w="2234" w:type="pct"/>
                  <w:noWrap w:val="0"/>
                  <w:vAlign w:val="center"/>
                </w:tcPr>
                <w:p w14:paraId="441903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要求</w:t>
                  </w:r>
                </w:p>
              </w:tc>
            </w:tr>
            <w:tr w14:paraId="54EBE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2" w:type="pct"/>
                  <w:noWrap w:val="0"/>
                  <w:vAlign w:val="center"/>
                </w:tcPr>
                <w:p w14:paraId="1BB1E5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重点防渗区</w:t>
                  </w:r>
                </w:p>
              </w:tc>
              <w:tc>
                <w:tcPr>
                  <w:tcW w:w="1842" w:type="pct"/>
                  <w:noWrap w:val="0"/>
                  <w:vAlign w:val="center"/>
                </w:tcPr>
                <w:p w14:paraId="29FF3D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危废暂存间</w:t>
                  </w:r>
                  <w:r>
                    <w:rPr>
                      <w:rFonts w:hint="eastAsia" w:ascii="Times New Roman" w:hAnsi="Times New Roman" w:cs="Times New Roman"/>
                      <w:color w:val="auto"/>
                      <w:highlight w:val="none"/>
                      <w:lang w:val="en-US" w:eastAsia="zh-CN"/>
                    </w:rPr>
                    <w:t>、喷漆房、污水处理设施、污水管道、事故池</w:t>
                  </w:r>
                  <w:r>
                    <w:rPr>
                      <w:rFonts w:hint="default" w:ascii="Times New Roman" w:hAnsi="Times New Roman" w:cs="Times New Roman"/>
                      <w:color w:val="auto"/>
                      <w:highlight w:val="none"/>
                      <w:lang w:eastAsia="zh-CN"/>
                    </w:rPr>
                    <w:t>等</w:t>
                  </w:r>
                </w:p>
              </w:tc>
              <w:tc>
                <w:tcPr>
                  <w:tcW w:w="2234" w:type="pct"/>
                  <w:noWrap w:val="0"/>
                  <w:vAlign w:val="center"/>
                </w:tcPr>
                <w:p w14:paraId="1AEB0C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等效黏土防渗层Mb≥6.0m，K≤1.0×10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5BD424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2" w:type="pct"/>
                  <w:noWrap w:val="0"/>
                  <w:vAlign w:val="center"/>
                </w:tcPr>
                <w:p w14:paraId="33E02C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一般防渗区</w:t>
                  </w:r>
                </w:p>
              </w:tc>
              <w:tc>
                <w:tcPr>
                  <w:tcW w:w="1842" w:type="pct"/>
                  <w:noWrap w:val="0"/>
                  <w:vAlign w:val="center"/>
                </w:tcPr>
                <w:p w14:paraId="377314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生产</w:t>
                  </w:r>
                  <w:r>
                    <w:rPr>
                      <w:rFonts w:hint="default" w:ascii="Times New Roman" w:hAnsi="Times New Roman" w:cs="Times New Roman"/>
                      <w:color w:val="auto"/>
                      <w:highlight w:val="none"/>
                      <w:lang w:eastAsia="zh-CN"/>
                    </w:rPr>
                    <w:t>车间等</w:t>
                  </w:r>
                </w:p>
              </w:tc>
              <w:tc>
                <w:tcPr>
                  <w:tcW w:w="2234" w:type="pct"/>
                  <w:noWrap w:val="0"/>
                  <w:vAlign w:val="center"/>
                </w:tcPr>
                <w:p w14:paraId="5E225E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等效黏土防渗层Mb≥1.5m，K≤1.0×10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7E2492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2" w:type="pct"/>
                  <w:noWrap w:val="0"/>
                  <w:vAlign w:val="center"/>
                </w:tcPr>
                <w:p w14:paraId="5F6000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简单防渗区</w:t>
                  </w:r>
                </w:p>
              </w:tc>
              <w:tc>
                <w:tcPr>
                  <w:tcW w:w="1842" w:type="pct"/>
                  <w:noWrap w:val="0"/>
                  <w:vAlign w:val="center"/>
                </w:tcPr>
                <w:p w14:paraId="096FDB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办公楼、</w:t>
                  </w:r>
                  <w:r>
                    <w:rPr>
                      <w:rFonts w:hint="eastAsia" w:ascii="Times New Roman" w:hAnsi="Times New Roman" w:cs="Times New Roman"/>
                      <w:color w:val="auto"/>
                      <w:highlight w:val="none"/>
                      <w:lang w:val="en-US" w:eastAsia="zh-CN"/>
                    </w:rPr>
                    <w:t>宿舍楼、</w:t>
                  </w:r>
                  <w:r>
                    <w:rPr>
                      <w:rFonts w:hint="default" w:ascii="Times New Roman" w:hAnsi="Times New Roman" w:cs="Times New Roman"/>
                      <w:color w:val="auto"/>
                      <w:highlight w:val="none"/>
                      <w:lang w:val="en-US" w:eastAsia="zh-CN"/>
                    </w:rPr>
                    <w:t>道路</w:t>
                  </w:r>
                  <w:r>
                    <w:rPr>
                      <w:rFonts w:hint="default" w:ascii="Times New Roman" w:hAnsi="Times New Roman" w:cs="Times New Roman"/>
                      <w:color w:val="auto"/>
                      <w:highlight w:val="none"/>
                      <w:lang w:eastAsia="zh-CN"/>
                    </w:rPr>
                    <w:t>等</w:t>
                  </w:r>
                </w:p>
              </w:tc>
              <w:tc>
                <w:tcPr>
                  <w:tcW w:w="2234" w:type="pct"/>
                  <w:noWrap w:val="0"/>
                  <w:vAlign w:val="center"/>
                </w:tcPr>
                <w:p w14:paraId="6E8B59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一般地面硬化</w:t>
                  </w:r>
                </w:p>
              </w:tc>
            </w:tr>
          </w:tbl>
          <w:p w14:paraId="12D00CDB">
            <w:pPr>
              <w:widowControl w:val="0"/>
              <w:adjustRightInd w:val="0"/>
              <w:snapToGrid w:val="0"/>
              <w:spacing w:before="157" w:beforeLines="50"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（3）跟踪监测</w:t>
            </w:r>
            <w:r>
              <w:rPr>
                <w:rFonts w:hint="eastAsia" w:ascii="Times New Roman" w:hAnsi="Times New Roman" w:cs="Times New Roman"/>
                <w:color w:val="0000FF"/>
                <w:sz w:val="24"/>
                <w:lang w:val="en-US" w:eastAsia="zh-CN"/>
              </w:rPr>
              <w:t>要求</w:t>
            </w:r>
          </w:p>
          <w:p w14:paraId="17236F3B">
            <w:pPr>
              <w:widowControl w:val="0"/>
              <w:adjustRightInd w:val="0"/>
              <w:snapToGrid w:val="0"/>
              <w:spacing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auto"/>
                <w:sz w:val="24"/>
                <w:szCs w:val="24"/>
              </w:rPr>
              <w:t>根据项目特征，项目本身对地下水和土壤污染风险较小，本次不设置地下水和土壤跟踪监测点。</w:t>
            </w:r>
            <w:r>
              <w:rPr>
                <w:rFonts w:hint="default" w:ascii="Times New Roman" w:hAnsi="Times New Roman" w:eastAsia="宋体" w:cs="Times New Roman"/>
                <w:color w:val="0000FF"/>
                <w:sz w:val="24"/>
              </w:rPr>
              <w:t>发生突发环境事故对周边环境质量造成明显影响的，或发现周边环境质量相关污染物超标的，应适当增加监测频次。</w:t>
            </w:r>
          </w:p>
          <w:p w14:paraId="535A2271">
            <w:pPr>
              <w:widowControl w:val="0"/>
              <w:adjustRightInd w:val="0"/>
              <w:snapToGrid w:val="0"/>
              <w:spacing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（4）风险事故应急响应</w:t>
            </w:r>
          </w:p>
          <w:p w14:paraId="6A04E4F8">
            <w:pPr>
              <w:widowControl w:val="0"/>
              <w:adjustRightInd w:val="0"/>
              <w:snapToGrid w:val="0"/>
              <w:spacing w:line="360" w:lineRule="auto"/>
              <w:ind w:firstLine="480" w:firstLineChars="200"/>
              <w:jc w:val="both"/>
              <w:rPr>
                <w:color w:val="0000FF"/>
                <w:sz w:val="24"/>
              </w:rPr>
            </w:pPr>
            <w:r>
              <w:rPr>
                <w:rFonts w:hint="default" w:ascii="Times New Roman" w:hAnsi="Times New Roman" w:eastAsia="宋体" w:cs="Times New Roman"/>
                <w:color w:val="0000FF"/>
                <w:sz w:val="24"/>
              </w:rPr>
              <w:t>制定环境风险事故应急响应预案，风险事故状态下，厂区污染区排水口封闭，将污染区废水截流至事故应急池。当地下水被污染后应立即切断污染源</w:t>
            </w:r>
            <w:r>
              <w:rPr>
                <w:rFonts w:hint="default"/>
                <w:color w:val="0000FF"/>
                <w:sz w:val="24"/>
              </w:rPr>
              <w:t>，可采取抽水等方式减轻地下水污染。</w:t>
            </w:r>
          </w:p>
          <w:p w14:paraId="1456A570">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0000FF"/>
                <w:sz w:val="24"/>
                <w:szCs w:val="32"/>
                <w:highlight w:val="none"/>
                <w:lang w:val="en-US" w:eastAsia="zh-CN"/>
              </w:rPr>
            </w:pPr>
            <w:r>
              <w:rPr>
                <w:color w:val="0000FF"/>
                <w:sz w:val="24"/>
              </w:rPr>
              <w:t>采取以上</w:t>
            </w:r>
            <w:r>
              <w:rPr>
                <w:rFonts w:hint="default"/>
                <w:color w:val="0000FF"/>
                <w:sz w:val="24"/>
              </w:rPr>
              <w:t>防治</w:t>
            </w:r>
            <w:r>
              <w:rPr>
                <w:color w:val="0000FF"/>
                <w:sz w:val="24"/>
              </w:rPr>
              <w:t>措施后，本项目对土壤</w:t>
            </w:r>
            <w:r>
              <w:rPr>
                <w:rFonts w:hint="default"/>
                <w:color w:val="0000FF"/>
                <w:sz w:val="24"/>
              </w:rPr>
              <w:t>和</w:t>
            </w:r>
            <w:r>
              <w:rPr>
                <w:color w:val="0000FF"/>
                <w:sz w:val="24"/>
              </w:rPr>
              <w:t>地下水</w:t>
            </w:r>
            <w:r>
              <w:rPr>
                <w:rFonts w:hint="default"/>
                <w:color w:val="0000FF"/>
                <w:sz w:val="24"/>
              </w:rPr>
              <w:t>的</w:t>
            </w:r>
            <w:r>
              <w:rPr>
                <w:color w:val="0000FF"/>
                <w:sz w:val="24"/>
              </w:rPr>
              <w:t>影响</w:t>
            </w:r>
            <w:r>
              <w:rPr>
                <w:rFonts w:hint="default"/>
                <w:color w:val="0000FF"/>
                <w:sz w:val="24"/>
              </w:rPr>
              <w:t>在可以接受范围内；一旦发生污染事故，可及时采取有效应对措施</w:t>
            </w:r>
            <w:r>
              <w:rPr>
                <w:color w:val="0000FF"/>
                <w:sz w:val="24"/>
              </w:rPr>
              <w:t>。</w:t>
            </w:r>
          </w:p>
          <w:p w14:paraId="475CF277">
            <w:pPr>
              <w:widowControl/>
              <w:numPr>
                <w:ilvl w:val="-1"/>
                <w:numId w:val="0"/>
              </w:numPr>
              <w:spacing w:line="360" w:lineRule="auto"/>
              <w:ind w:firstLine="482" w:firstLineChars="200"/>
              <w:jc w:val="left"/>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六、环境风险影响分析</w:t>
            </w:r>
          </w:p>
          <w:p w14:paraId="6C015BCA">
            <w:pPr>
              <w:widowControl w:val="0"/>
              <w:spacing w:line="360" w:lineRule="auto"/>
              <w:ind w:firstLine="420"/>
              <w:jc w:val="both"/>
              <w:rPr>
                <w:rFonts w:ascii="Times New Roman" w:hAnsi="Times New Roman" w:eastAsia="宋体" w:cs="Times New Roman"/>
                <w:sz w:val="24"/>
              </w:rPr>
            </w:pPr>
            <w:r>
              <w:rPr>
                <w:rFonts w:ascii="Times New Roman" w:hAnsi="Times New Roman" w:eastAsia="宋体" w:cs="Times New Roman"/>
                <w:sz w:val="24"/>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127D7762">
            <w:pPr>
              <w:widowControl w:val="0"/>
              <w:spacing w:line="360" w:lineRule="auto"/>
              <w:ind w:firstLine="420"/>
              <w:jc w:val="both"/>
              <w:rPr>
                <w:rFonts w:ascii="Times New Roman" w:hAnsi="Times New Roman" w:eastAsia="宋体" w:cs="Times New Roman"/>
                <w:b w:val="0"/>
                <w:bCs w:val="0"/>
                <w:sz w:val="24"/>
              </w:rPr>
            </w:pPr>
            <w:r>
              <w:rPr>
                <w:rFonts w:hint="eastAsia" w:cs="Times New Roman"/>
                <w:b w:val="0"/>
                <w:bCs w:val="0"/>
                <w:sz w:val="24"/>
                <w:lang w:val="en-US" w:eastAsia="zh-CN"/>
              </w:rPr>
              <w:t>1、</w:t>
            </w:r>
            <w:r>
              <w:rPr>
                <w:rFonts w:ascii="Times New Roman" w:hAnsi="Times New Roman" w:eastAsia="宋体" w:cs="Times New Roman"/>
                <w:b w:val="0"/>
                <w:bCs w:val="0"/>
                <w:sz w:val="24"/>
              </w:rPr>
              <w:t>项目环境风险调查</w:t>
            </w:r>
          </w:p>
          <w:p w14:paraId="5C2856A7">
            <w:pPr>
              <w:widowControl w:val="0"/>
              <w:spacing w:line="360" w:lineRule="auto"/>
              <w:ind w:firstLine="420"/>
              <w:jc w:val="both"/>
              <w:rPr>
                <w:rFonts w:ascii="Times New Roman" w:hAnsi="Times New Roman" w:eastAsia="宋体" w:cs="Times New Roman"/>
                <w:b w:val="0"/>
                <w:bCs w:val="0"/>
                <w:sz w:val="24"/>
              </w:rPr>
            </w:pPr>
            <w:r>
              <w:rPr>
                <w:rFonts w:hint="eastAsia" w:cs="Times New Roman"/>
                <w:b w:val="0"/>
                <w:bCs w:val="0"/>
                <w:sz w:val="24"/>
                <w:lang w:eastAsia="zh-CN"/>
              </w:rPr>
              <w:t>（</w:t>
            </w:r>
            <w:r>
              <w:rPr>
                <w:rFonts w:ascii="Times New Roman" w:hAnsi="Times New Roman" w:eastAsia="宋体" w:cs="Times New Roman"/>
                <w:b w:val="0"/>
                <w:bCs w:val="0"/>
                <w:sz w:val="24"/>
              </w:rPr>
              <w:t>1）风险源调查</w:t>
            </w:r>
          </w:p>
          <w:p w14:paraId="5C139170">
            <w:pPr>
              <w:widowControl w:val="0"/>
              <w:spacing w:line="360" w:lineRule="auto"/>
              <w:ind w:firstLine="480" w:firstLineChars="200"/>
              <w:jc w:val="both"/>
              <w:rPr>
                <w:rFonts w:ascii="Times New Roman" w:hAnsi="Times New Roman" w:eastAsia="宋体" w:cs="Times New Roman"/>
                <w:sz w:val="24"/>
              </w:rPr>
            </w:pPr>
            <w:r>
              <w:rPr>
                <w:rFonts w:ascii="Times New Roman" w:hAnsi="Times New Roman" w:eastAsia="宋体" w:cs="Times New Roman"/>
                <w:sz w:val="24"/>
              </w:rPr>
              <w:t>根据分析，项目涉及的危险物质主要为</w:t>
            </w:r>
            <w:r>
              <w:rPr>
                <w:rFonts w:hint="eastAsia" w:ascii="Times New Roman" w:hAnsi="Times New Roman" w:eastAsia="宋体" w:cs="Times New Roman"/>
                <w:color w:val="0000FF"/>
                <w:sz w:val="24"/>
                <w:szCs w:val="24"/>
                <w:highlight w:val="none"/>
                <w:lang w:val="en-US" w:eastAsia="zh-CN"/>
              </w:rPr>
              <w:t>油漆、稀释剂、机油、切削液、废机油及其他危险废物</w:t>
            </w:r>
            <w:r>
              <w:rPr>
                <w:rFonts w:ascii="Times New Roman" w:hAnsi="Times New Roman" w:eastAsia="宋体" w:cs="Times New Roman"/>
                <w:sz w:val="24"/>
              </w:rPr>
              <w:t>等。</w:t>
            </w:r>
          </w:p>
          <w:p w14:paraId="1B7AA67E">
            <w:pPr>
              <w:widowControl w:val="0"/>
              <w:spacing w:line="360" w:lineRule="auto"/>
              <w:ind w:firstLine="480" w:firstLineChars="200"/>
              <w:jc w:val="both"/>
              <w:rPr>
                <w:rFonts w:ascii="Times New Roman" w:hAnsi="Times New Roman" w:eastAsia="宋体" w:cs="Times New Roman"/>
                <w:sz w:val="24"/>
              </w:rPr>
            </w:pPr>
            <w:r>
              <w:rPr>
                <w:rFonts w:hint="eastAsia" w:cs="Times New Roman"/>
                <w:sz w:val="24"/>
                <w:lang w:eastAsia="zh-CN"/>
              </w:rPr>
              <w:t>（</w:t>
            </w:r>
            <w:r>
              <w:rPr>
                <w:rFonts w:ascii="Times New Roman" w:hAnsi="Times New Roman" w:eastAsia="宋体" w:cs="Times New Roman"/>
                <w:sz w:val="24"/>
              </w:rPr>
              <w:t>2）风险潜势初判</w:t>
            </w:r>
          </w:p>
          <w:p w14:paraId="7FAF24AE">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0" w:firstLineChars="200"/>
              <w:jc w:val="both"/>
              <w:textAlignment w:val="auto"/>
              <w:rPr>
                <w:rFonts w:hint="default" w:ascii="Times New Roman" w:hAnsi="Times New Roman" w:eastAsia="宋体" w:cs="Times New Roman"/>
                <w:b/>
                <w:bCs/>
                <w:color w:val="auto"/>
                <w:sz w:val="24"/>
                <w:szCs w:val="24"/>
                <w:highlight w:val="none"/>
              </w:rPr>
            </w:pPr>
            <w:r>
              <w:rPr>
                <w:rFonts w:ascii="Times New Roman" w:hAnsi="Times New Roman" w:eastAsia="宋体" w:cs="Times New Roman"/>
                <w:sz w:val="24"/>
              </w:rPr>
              <w:t>根据《建设项目环境风险评价技术导则》（HJ169-2018），依据建设项目涉及的物质及工艺系统危险性和所在的环境敏感性确定环境风险潜势。</w:t>
            </w:r>
          </w:p>
          <w:p w14:paraId="6459BB02">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计算建设项目所涉及每种风险物质在厂界内的最大存在总量与其在《建设项目环境风险评价技术导则》（HJ169-2018）附录B中对应的临界量的比值Q。在不同厂区的同一种物质，按其在厂界内的最大存在总量计算。</w:t>
            </w:r>
          </w:p>
          <w:p w14:paraId="32B446F5">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当企业只涉及一种危险物质时，计算该物质的总量与其临界量的比值，即为Q；</w:t>
            </w:r>
          </w:p>
          <w:p w14:paraId="71A6FCED">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当存在多种危险物质时，按以下公式计算物质总量与其临界量的比值，即为（Q）；</w:t>
            </w:r>
          </w:p>
          <w:p w14:paraId="6BF82942">
            <w:pPr>
              <w:widowControl w:val="0"/>
              <w:autoSpaceDE w:val="0"/>
              <w:autoSpaceDN w:val="0"/>
              <w:spacing w:line="360" w:lineRule="auto"/>
              <w:ind w:firstLine="480" w:firstLineChars="200"/>
              <w:jc w:val="center"/>
              <w:rPr>
                <w:rFonts w:ascii="Times New Roman" w:hAnsi="Times New Roman" w:eastAsia="宋体" w:cs="Times New Roman"/>
                <w:kern w:val="0"/>
                <w:sz w:val="24"/>
              </w:rPr>
            </w:pPr>
            <w:r>
              <w:rPr>
                <w:rFonts w:ascii="Times New Roman" w:hAnsi="Times New Roman" w:eastAsia="宋体" w:cs="Times New Roman"/>
                <w:kern w:val="0"/>
                <w:sz w:val="24"/>
              </w:rPr>
              <w:drawing>
                <wp:inline distT="0" distB="0" distL="114300" distR="114300">
                  <wp:extent cx="1649095" cy="439420"/>
                  <wp:effectExtent l="0" t="0" r="12065" b="254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30"/>
                          <a:stretch>
                            <a:fillRect/>
                          </a:stretch>
                        </pic:blipFill>
                        <pic:spPr>
                          <a:xfrm>
                            <a:off x="0" y="0"/>
                            <a:ext cx="1649095" cy="439420"/>
                          </a:xfrm>
                          <a:prstGeom prst="rect">
                            <a:avLst/>
                          </a:prstGeom>
                          <a:noFill/>
                          <a:ln>
                            <a:noFill/>
                          </a:ln>
                        </pic:spPr>
                      </pic:pic>
                    </a:graphicData>
                  </a:graphic>
                </wp:inline>
              </w:drawing>
            </w:r>
          </w:p>
          <w:p w14:paraId="3C9643DD">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式中：q</w:t>
            </w:r>
            <w:r>
              <w:rPr>
                <w:rFonts w:ascii="Times New Roman" w:hAnsi="Times New Roman" w:eastAsia="宋体" w:cs="Times New Roman"/>
                <w:sz w:val="24"/>
                <w:vertAlign w:val="subscript"/>
              </w:rPr>
              <w:t>1</w:t>
            </w:r>
            <w:r>
              <w:rPr>
                <w:rFonts w:ascii="Times New Roman" w:hAnsi="Times New Roman" w:eastAsia="宋体" w:cs="Times New Roman"/>
                <w:sz w:val="24"/>
              </w:rPr>
              <w:t>，q</w:t>
            </w:r>
            <w:r>
              <w:rPr>
                <w:rFonts w:ascii="Times New Roman" w:hAnsi="Times New Roman" w:eastAsia="宋体" w:cs="Times New Roman"/>
                <w:sz w:val="24"/>
                <w:vertAlign w:val="subscript"/>
              </w:rPr>
              <w:t>2</w:t>
            </w:r>
            <w:r>
              <w:rPr>
                <w:rFonts w:ascii="Times New Roman" w:hAnsi="Times New Roman" w:eastAsia="宋体" w:cs="Times New Roman"/>
                <w:sz w:val="24"/>
              </w:rPr>
              <w:t>，…，qn——每种危险物质的最大存在总量，t；</w:t>
            </w:r>
          </w:p>
          <w:p w14:paraId="3C7D307E">
            <w:pPr>
              <w:pStyle w:val="104"/>
              <w:widowControl w:val="0"/>
              <w:adjustRightInd w:val="0"/>
              <w:snapToGrid w:val="0"/>
              <w:spacing w:line="360" w:lineRule="auto"/>
              <w:ind w:firstLine="1200" w:firstLineChars="500"/>
              <w:jc w:val="both"/>
              <w:rPr>
                <w:rFonts w:ascii="Times New Roman" w:hAnsi="Times New Roman" w:eastAsia="宋体" w:cs="Times New Roman"/>
                <w:sz w:val="24"/>
              </w:rPr>
            </w:pPr>
            <w:r>
              <w:rPr>
                <w:rFonts w:ascii="Times New Roman" w:hAnsi="Times New Roman" w:eastAsia="宋体" w:cs="Times New Roman"/>
                <w:sz w:val="24"/>
              </w:rPr>
              <w:t>Q</w:t>
            </w:r>
            <w:r>
              <w:rPr>
                <w:rFonts w:ascii="Times New Roman" w:hAnsi="Times New Roman" w:eastAsia="宋体" w:cs="Times New Roman"/>
                <w:sz w:val="24"/>
                <w:vertAlign w:val="superscript"/>
              </w:rPr>
              <w:t>1</w:t>
            </w:r>
            <w:r>
              <w:rPr>
                <w:rFonts w:ascii="Times New Roman" w:hAnsi="Times New Roman" w:eastAsia="宋体" w:cs="Times New Roman"/>
                <w:sz w:val="24"/>
              </w:rPr>
              <w:t>，Q</w:t>
            </w:r>
            <w:r>
              <w:rPr>
                <w:rFonts w:ascii="Times New Roman" w:hAnsi="Times New Roman" w:eastAsia="宋体" w:cs="Times New Roman"/>
                <w:sz w:val="24"/>
                <w:vertAlign w:val="subscript"/>
              </w:rPr>
              <w:t>2</w:t>
            </w:r>
            <w:r>
              <w:rPr>
                <w:rFonts w:ascii="Times New Roman" w:hAnsi="Times New Roman" w:eastAsia="宋体" w:cs="Times New Roman"/>
                <w:sz w:val="24"/>
              </w:rPr>
              <w:t>，…，Qn——每种危险物质的临界量，t。</w:t>
            </w:r>
          </w:p>
          <w:p w14:paraId="5506FF08">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当Q＜1时，该项目环境风险潜势为Ⅰ。</w:t>
            </w:r>
          </w:p>
          <w:p w14:paraId="6ABBE41E">
            <w:pPr>
              <w:pStyle w:val="104"/>
              <w:widowControl w:val="0"/>
              <w:adjustRightInd w:val="0"/>
              <w:snapToGrid w:val="0"/>
              <w:spacing w:line="360" w:lineRule="auto"/>
              <w:jc w:val="both"/>
              <w:rPr>
                <w:rFonts w:ascii="Times New Roman" w:hAnsi="Times New Roman" w:eastAsia="宋体" w:cs="Times New Roman"/>
                <w:sz w:val="24"/>
              </w:rPr>
            </w:pPr>
            <w:r>
              <w:rPr>
                <w:rFonts w:ascii="Times New Roman" w:hAnsi="Times New Roman" w:eastAsia="宋体" w:cs="Times New Roman"/>
                <w:sz w:val="24"/>
              </w:rPr>
              <w:t>当Q≥1时，将Q值划分为：⑴1≤Q＜10；⑵10≤Q＜100；⑶Q≥100。</w:t>
            </w:r>
          </w:p>
          <w:p w14:paraId="288A1D0C">
            <w:pPr>
              <w:widowControl w:val="0"/>
              <w:spacing w:line="360" w:lineRule="auto"/>
              <w:ind w:firstLine="420"/>
              <w:jc w:val="both"/>
              <w:rPr>
                <w:rFonts w:ascii="Times New Roman" w:hAnsi="Times New Roman" w:eastAsia="宋体" w:cs="Times New Roman"/>
                <w:sz w:val="24"/>
              </w:rPr>
            </w:pPr>
            <w:r>
              <w:rPr>
                <w:rFonts w:ascii="Times New Roman" w:hAnsi="Times New Roman" w:eastAsia="宋体" w:cs="Times New Roman"/>
                <w:sz w:val="24"/>
              </w:rPr>
              <w:t>根据《建设项目环境风险评价技术导则》（HJ169-2018）附录B和附录C，项目重大危险源判定见下表。</w:t>
            </w:r>
          </w:p>
          <w:p w14:paraId="6D1F1F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4</w:t>
            </w:r>
            <w:r>
              <w:rPr>
                <w:rFonts w:hint="default" w:ascii="Times New Roman" w:hAnsi="Times New Roman" w:eastAsia="宋体" w:cs="Times New Roman"/>
                <w:b/>
                <w:bCs/>
                <w:color w:val="auto"/>
                <w:highlight w:val="none"/>
                <w:lang w:val="en-US" w:eastAsia="zh-CN"/>
              </w:rPr>
              <w:t xml:space="preserve"> 项目建设完成后全厂</w:t>
            </w:r>
            <w:r>
              <w:rPr>
                <w:rFonts w:hint="default" w:ascii="Times New Roman" w:hAnsi="Times New Roman" w:eastAsia="宋体" w:cs="Times New Roman"/>
                <w:b/>
                <w:bCs/>
                <w:color w:val="auto"/>
                <w:highlight w:val="none"/>
              </w:rPr>
              <w:t>危险物质临界量一览表</w:t>
            </w:r>
          </w:p>
          <w:tbl>
            <w:tblPr>
              <w:tblStyle w:val="33"/>
              <w:tblW w:w="496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35"/>
              <w:gridCol w:w="2246"/>
              <w:gridCol w:w="1888"/>
              <w:gridCol w:w="1650"/>
              <w:gridCol w:w="1417"/>
            </w:tblGrid>
            <w:tr w14:paraId="3FB70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10400B73">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FF"/>
                      <w:highlight w:val="none"/>
                      <w:lang w:val="en-US" w:eastAsia="zh-CN"/>
                    </w:rPr>
                  </w:pPr>
                  <w:r>
                    <w:rPr>
                      <w:rFonts w:hint="eastAsia" w:ascii="Times New Roman" w:hAnsi="Times New Roman" w:eastAsia="宋体" w:cs="Times New Roman"/>
                      <w:b/>
                      <w:bCs/>
                      <w:color w:val="0000FF"/>
                      <w:highlight w:val="none"/>
                      <w:lang w:val="en-US" w:eastAsia="zh-CN"/>
                    </w:rPr>
                    <w:t>序号</w:t>
                  </w:r>
                </w:p>
              </w:tc>
              <w:tc>
                <w:tcPr>
                  <w:tcW w:w="1397" w:type="pct"/>
                  <w:tcBorders>
                    <w:tl2br w:val="nil"/>
                    <w:tr2bl w:val="nil"/>
                  </w:tcBorders>
                  <w:noWrap w:val="0"/>
                  <w:vAlign w:val="center"/>
                </w:tcPr>
                <w:p w14:paraId="2C7E7BD2">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FF"/>
                      <w:highlight w:val="none"/>
                      <w:lang w:val="en-US" w:eastAsia="zh-CN"/>
                    </w:rPr>
                  </w:pPr>
                  <w:r>
                    <w:rPr>
                      <w:rFonts w:hint="default" w:ascii="Times New Roman" w:hAnsi="Times New Roman" w:eastAsia="宋体" w:cs="Times New Roman"/>
                      <w:b/>
                      <w:bCs/>
                      <w:color w:val="0000FF"/>
                      <w:highlight w:val="none"/>
                      <w:lang w:val="en-US" w:eastAsia="zh-CN"/>
                    </w:rPr>
                    <w:t>存在物质</w:t>
                  </w:r>
                </w:p>
              </w:tc>
              <w:tc>
                <w:tcPr>
                  <w:tcW w:w="1174" w:type="pct"/>
                  <w:tcBorders>
                    <w:tl2br w:val="nil"/>
                    <w:tr2bl w:val="nil"/>
                  </w:tcBorders>
                  <w:noWrap w:val="0"/>
                  <w:vAlign w:val="center"/>
                </w:tcPr>
                <w:p w14:paraId="2F00A428">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FF"/>
                      <w:highlight w:val="none"/>
                      <w:lang w:val="en-US" w:eastAsia="zh-CN"/>
                    </w:rPr>
                  </w:pPr>
                  <w:r>
                    <w:rPr>
                      <w:rFonts w:hint="eastAsia" w:ascii="Times New Roman" w:hAnsi="Times New Roman" w:eastAsia="宋体" w:cs="Times New Roman"/>
                      <w:b/>
                      <w:bCs/>
                      <w:color w:val="0000FF"/>
                      <w:highlight w:val="none"/>
                      <w:lang w:val="en-US" w:eastAsia="zh-CN"/>
                    </w:rPr>
                    <w:t>最大储存</w:t>
                  </w:r>
                  <w:r>
                    <w:rPr>
                      <w:rFonts w:hint="default" w:ascii="Times New Roman" w:hAnsi="Times New Roman" w:eastAsia="宋体" w:cs="Times New Roman"/>
                      <w:b/>
                      <w:bCs/>
                      <w:color w:val="0000FF"/>
                      <w:highlight w:val="none"/>
                      <w:lang w:val="en-US" w:eastAsia="zh-CN"/>
                    </w:rPr>
                    <w:t>量（t）</w:t>
                  </w:r>
                </w:p>
              </w:tc>
              <w:tc>
                <w:tcPr>
                  <w:tcW w:w="1026" w:type="pct"/>
                  <w:tcBorders>
                    <w:tl2br w:val="nil"/>
                    <w:tr2bl w:val="nil"/>
                  </w:tcBorders>
                  <w:noWrap w:val="0"/>
                  <w:vAlign w:val="center"/>
                </w:tcPr>
                <w:p w14:paraId="26293FD2">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FF"/>
                      <w:highlight w:val="none"/>
                      <w:lang w:val="en-US" w:eastAsia="zh-CN"/>
                    </w:rPr>
                  </w:pPr>
                  <w:r>
                    <w:rPr>
                      <w:rFonts w:hint="default" w:ascii="Times New Roman" w:hAnsi="Times New Roman" w:eastAsia="宋体" w:cs="Times New Roman"/>
                      <w:b/>
                      <w:bCs/>
                      <w:color w:val="0000FF"/>
                      <w:highlight w:val="none"/>
                      <w:lang w:val="en-US" w:eastAsia="zh-CN"/>
                    </w:rPr>
                    <w:t>临界量（t）</w:t>
                  </w:r>
                </w:p>
              </w:tc>
              <w:tc>
                <w:tcPr>
                  <w:tcW w:w="881" w:type="pct"/>
                  <w:tcBorders>
                    <w:tl2br w:val="nil"/>
                    <w:tr2bl w:val="nil"/>
                  </w:tcBorders>
                  <w:noWrap w:val="0"/>
                  <w:vAlign w:val="center"/>
                </w:tcPr>
                <w:p w14:paraId="088CBF19">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FF"/>
                      <w:highlight w:val="none"/>
                      <w:lang w:val="en-US" w:eastAsia="zh-CN"/>
                    </w:rPr>
                  </w:pPr>
                  <w:r>
                    <w:rPr>
                      <w:rFonts w:hint="default" w:ascii="Times New Roman" w:hAnsi="Times New Roman" w:eastAsia="宋体" w:cs="Times New Roman"/>
                      <w:b/>
                      <w:bCs/>
                      <w:color w:val="0000FF"/>
                      <w:highlight w:val="none"/>
                      <w:lang w:val="en-US" w:eastAsia="zh-CN"/>
                    </w:rPr>
                    <w:t>q/Q</w:t>
                  </w:r>
                </w:p>
              </w:tc>
            </w:tr>
            <w:tr w14:paraId="3584E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1E8C579B">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1</w:t>
                  </w:r>
                </w:p>
              </w:tc>
              <w:tc>
                <w:tcPr>
                  <w:tcW w:w="1397" w:type="pct"/>
                  <w:tcBorders>
                    <w:tl2br w:val="nil"/>
                    <w:tr2bl w:val="nil"/>
                  </w:tcBorders>
                  <w:noWrap w:val="0"/>
                  <w:vAlign w:val="center"/>
                </w:tcPr>
                <w:p w14:paraId="3EF17C80">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油漆</w:t>
                  </w:r>
                </w:p>
              </w:tc>
              <w:tc>
                <w:tcPr>
                  <w:tcW w:w="1174" w:type="pct"/>
                  <w:tcBorders>
                    <w:tl2br w:val="nil"/>
                    <w:tr2bl w:val="nil"/>
                  </w:tcBorders>
                  <w:noWrap w:val="0"/>
                  <w:vAlign w:val="center"/>
                </w:tcPr>
                <w:p w14:paraId="2B355F99">
                  <w:pPr>
                    <w:adjustRightInd w:val="0"/>
                    <w:snapToGrid w:val="0"/>
                    <w:jc w:val="center"/>
                    <w:rPr>
                      <w:rFonts w:hint="default" w:ascii="Times New Roman" w:hAnsi="Times New Roman" w:eastAsia="宋体" w:cs="Times New Roman"/>
                      <w:color w:val="0000FF"/>
                      <w:kern w:val="2"/>
                      <w:sz w:val="21"/>
                      <w:szCs w:val="21"/>
                      <w:lang w:val="en-US" w:eastAsia="zh-CN" w:bidi="ar-SA"/>
                    </w:rPr>
                  </w:pPr>
                  <w:r>
                    <w:rPr>
                      <w:rFonts w:hint="eastAsia" w:cs="Times New Roman"/>
                      <w:color w:val="0000FF"/>
                      <w:szCs w:val="21"/>
                      <w:lang w:val="en-US" w:eastAsia="zh-CN"/>
                    </w:rPr>
                    <w:t>1.0</w:t>
                  </w:r>
                </w:p>
              </w:tc>
              <w:tc>
                <w:tcPr>
                  <w:tcW w:w="1026" w:type="pct"/>
                  <w:tcBorders>
                    <w:tl2br w:val="nil"/>
                    <w:tr2bl w:val="nil"/>
                  </w:tcBorders>
                  <w:noWrap w:val="0"/>
                  <w:vAlign w:val="center"/>
                </w:tcPr>
                <w:p w14:paraId="1FB7A13D">
                  <w:pPr>
                    <w:adjustRightInd w:val="0"/>
                    <w:snapToGrid w:val="0"/>
                    <w:jc w:val="center"/>
                    <w:rPr>
                      <w:rFonts w:hint="default" w:ascii="Times New Roman" w:hAnsi="Times New Roman" w:eastAsia="宋体" w:cs="Times New Roman"/>
                      <w:color w:val="0000FF"/>
                      <w:kern w:val="2"/>
                      <w:sz w:val="21"/>
                      <w:szCs w:val="21"/>
                      <w:lang w:val="en-US" w:eastAsia="zh-CN" w:bidi="ar-SA"/>
                    </w:rPr>
                  </w:pPr>
                  <w:r>
                    <w:rPr>
                      <w:rFonts w:hint="eastAsia" w:ascii="Times New Roman" w:hAnsi="Times New Roman" w:eastAsia="宋体" w:cs="Times New Roman"/>
                      <w:color w:val="0000FF"/>
                      <w:szCs w:val="21"/>
                      <w:lang w:val="en-US" w:eastAsia="zh-CN"/>
                    </w:rPr>
                    <w:t>1</w:t>
                  </w:r>
                  <w:r>
                    <w:rPr>
                      <w:rFonts w:hint="default" w:ascii="Times New Roman" w:hAnsi="Times New Roman" w:eastAsia="宋体" w:cs="Times New Roman"/>
                      <w:color w:val="0000FF"/>
                      <w:szCs w:val="21"/>
                      <w:lang w:val="en-US" w:eastAsia="zh-CN"/>
                    </w:rPr>
                    <w:t>0</w:t>
                  </w:r>
                </w:p>
              </w:tc>
              <w:tc>
                <w:tcPr>
                  <w:tcW w:w="881" w:type="pct"/>
                  <w:tcBorders>
                    <w:tl2br w:val="nil"/>
                    <w:tr2bl w:val="nil"/>
                  </w:tcBorders>
                  <w:noWrap w:val="0"/>
                  <w:vAlign w:val="center"/>
                </w:tcPr>
                <w:p w14:paraId="12754400">
                  <w:pPr>
                    <w:adjustRightInd w:val="0"/>
                    <w:snapToGrid w:val="0"/>
                    <w:jc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FF"/>
                      <w:szCs w:val="21"/>
                      <w:lang w:val="en-US" w:eastAsia="zh-CN"/>
                    </w:rPr>
                    <w:t>0.</w:t>
                  </w:r>
                  <w:r>
                    <w:rPr>
                      <w:rFonts w:hint="eastAsia" w:ascii="Times New Roman" w:hAnsi="Times New Roman" w:eastAsia="宋体" w:cs="Times New Roman"/>
                      <w:color w:val="0000FF"/>
                      <w:szCs w:val="21"/>
                      <w:lang w:val="en-US" w:eastAsia="zh-CN"/>
                    </w:rPr>
                    <w:t>1</w:t>
                  </w:r>
                </w:p>
              </w:tc>
            </w:tr>
            <w:tr w14:paraId="0269E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4E24AA6B">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2</w:t>
                  </w:r>
                </w:p>
              </w:tc>
              <w:tc>
                <w:tcPr>
                  <w:tcW w:w="1397" w:type="pct"/>
                  <w:tcBorders>
                    <w:tl2br w:val="nil"/>
                    <w:tr2bl w:val="nil"/>
                  </w:tcBorders>
                  <w:noWrap w:val="0"/>
                  <w:vAlign w:val="center"/>
                </w:tcPr>
                <w:p w14:paraId="55823804">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稀释剂</w:t>
                  </w:r>
                </w:p>
              </w:tc>
              <w:tc>
                <w:tcPr>
                  <w:tcW w:w="1174" w:type="pct"/>
                  <w:tcBorders>
                    <w:tl2br w:val="nil"/>
                    <w:tr2bl w:val="nil"/>
                  </w:tcBorders>
                  <w:noWrap w:val="0"/>
                  <w:vAlign w:val="center"/>
                </w:tcPr>
                <w:p w14:paraId="065A6973">
                  <w:pPr>
                    <w:adjustRightInd w:val="0"/>
                    <w:snapToGrid w:val="0"/>
                    <w:jc w:val="center"/>
                    <w:rPr>
                      <w:rFonts w:hint="default" w:cs="Times New Roman"/>
                      <w:color w:val="0000FF"/>
                      <w:szCs w:val="21"/>
                      <w:lang w:val="en-US" w:eastAsia="zh-CN"/>
                    </w:rPr>
                  </w:pPr>
                  <w:r>
                    <w:rPr>
                      <w:rFonts w:hint="eastAsia" w:cs="Times New Roman"/>
                      <w:color w:val="0000FF"/>
                      <w:szCs w:val="21"/>
                      <w:lang w:val="en-US" w:eastAsia="zh-CN"/>
                    </w:rPr>
                    <w:t>0.2</w:t>
                  </w:r>
                </w:p>
              </w:tc>
              <w:tc>
                <w:tcPr>
                  <w:tcW w:w="1026" w:type="pct"/>
                  <w:tcBorders>
                    <w:tl2br w:val="nil"/>
                    <w:tr2bl w:val="nil"/>
                  </w:tcBorders>
                  <w:noWrap w:val="0"/>
                  <w:vAlign w:val="center"/>
                </w:tcPr>
                <w:p w14:paraId="3614CC55">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10</w:t>
                  </w:r>
                </w:p>
              </w:tc>
              <w:tc>
                <w:tcPr>
                  <w:tcW w:w="881" w:type="pct"/>
                  <w:tcBorders>
                    <w:tl2br w:val="nil"/>
                    <w:tr2bl w:val="nil"/>
                  </w:tcBorders>
                  <w:noWrap w:val="0"/>
                  <w:vAlign w:val="center"/>
                </w:tcPr>
                <w:p w14:paraId="256421BB">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0.02</w:t>
                  </w:r>
                </w:p>
              </w:tc>
            </w:tr>
            <w:tr w14:paraId="5B630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5D26F0B2">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3</w:t>
                  </w:r>
                </w:p>
              </w:tc>
              <w:tc>
                <w:tcPr>
                  <w:tcW w:w="1397" w:type="pct"/>
                  <w:tcBorders>
                    <w:tl2br w:val="nil"/>
                    <w:tr2bl w:val="nil"/>
                  </w:tcBorders>
                  <w:noWrap w:val="0"/>
                  <w:vAlign w:val="center"/>
                </w:tcPr>
                <w:p w14:paraId="0623A245">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机油</w:t>
                  </w:r>
                </w:p>
              </w:tc>
              <w:tc>
                <w:tcPr>
                  <w:tcW w:w="1174" w:type="pct"/>
                  <w:tcBorders>
                    <w:tl2br w:val="nil"/>
                    <w:tr2bl w:val="nil"/>
                  </w:tcBorders>
                  <w:noWrap w:val="0"/>
                  <w:vAlign w:val="center"/>
                </w:tcPr>
                <w:p w14:paraId="3067D451">
                  <w:pPr>
                    <w:adjustRightInd w:val="0"/>
                    <w:snapToGrid w:val="0"/>
                    <w:jc w:val="center"/>
                    <w:rPr>
                      <w:rFonts w:hint="default" w:cs="Times New Roman"/>
                      <w:color w:val="0000FF"/>
                      <w:szCs w:val="21"/>
                      <w:lang w:val="en-US" w:eastAsia="zh-CN"/>
                    </w:rPr>
                  </w:pPr>
                  <w:r>
                    <w:rPr>
                      <w:rFonts w:hint="eastAsia" w:cs="Times New Roman"/>
                      <w:color w:val="0000FF"/>
                      <w:szCs w:val="21"/>
                      <w:lang w:val="en-US" w:eastAsia="zh-CN"/>
                    </w:rPr>
                    <w:t>1.5</w:t>
                  </w:r>
                </w:p>
              </w:tc>
              <w:tc>
                <w:tcPr>
                  <w:tcW w:w="1026" w:type="pct"/>
                  <w:tcBorders>
                    <w:tl2br w:val="nil"/>
                    <w:tr2bl w:val="nil"/>
                  </w:tcBorders>
                  <w:noWrap w:val="0"/>
                  <w:vAlign w:val="center"/>
                </w:tcPr>
                <w:p w14:paraId="3B29CB67">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2500</w:t>
                  </w:r>
                </w:p>
              </w:tc>
              <w:tc>
                <w:tcPr>
                  <w:tcW w:w="881" w:type="pct"/>
                  <w:tcBorders>
                    <w:tl2br w:val="nil"/>
                    <w:tr2bl w:val="nil"/>
                  </w:tcBorders>
                  <w:noWrap w:val="0"/>
                  <w:vAlign w:val="center"/>
                </w:tcPr>
                <w:p w14:paraId="5D91B589">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0.0006</w:t>
                  </w:r>
                </w:p>
              </w:tc>
            </w:tr>
            <w:tr w14:paraId="20756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7EC97DB2">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4</w:t>
                  </w:r>
                </w:p>
              </w:tc>
              <w:tc>
                <w:tcPr>
                  <w:tcW w:w="1397" w:type="pct"/>
                  <w:tcBorders>
                    <w:tl2br w:val="nil"/>
                    <w:tr2bl w:val="nil"/>
                  </w:tcBorders>
                  <w:noWrap w:val="0"/>
                  <w:vAlign w:val="center"/>
                </w:tcPr>
                <w:p w14:paraId="3D26DD10">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切削液</w:t>
                  </w:r>
                </w:p>
              </w:tc>
              <w:tc>
                <w:tcPr>
                  <w:tcW w:w="1174" w:type="pct"/>
                  <w:tcBorders>
                    <w:tl2br w:val="nil"/>
                    <w:tr2bl w:val="nil"/>
                  </w:tcBorders>
                  <w:noWrap w:val="0"/>
                  <w:vAlign w:val="center"/>
                </w:tcPr>
                <w:p w14:paraId="541CB810">
                  <w:pPr>
                    <w:adjustRightInd w:val="0"/>
                    <w:snapToGrid w:val="0"/>
                    <w:jc w:val="center"/>
                    <w:rPr>
                      <w:rFonts w:hint="default" w:cs="Times New Roman"/>
                      <w:color w:val="0000FF"/>
                      <w:szCs w:val="21"/>
                      <w:lang w:val="en-US" w:eastAsia="zh-CN"/>
                    </w:rPr>
                  </w:pPr>
                  <w:r>
                    <w:rPr>
                      <w:rFonts w:hint="eastAsia" w:cs="Times New Roman"/>
                      <w:color w:val="0000FF"/>
                      <w:szCs w:val="21"/>
                      <w:lang w:val="en-US" w:eastAsia="zh-CN"/>
                    </w:rPr>
                    <w:t>2.0</w:t>
                  </w:r>
                </w:p>
              </w:tc>
              <w:tc>
                <w:tcPr>
                  <w:tcW w:w="1026" w:type="pct"/>
                  <w:tcBorders>
                    <w:tl2br w:val="nil"/>
                    <w:tr2bl w:val="nil"/>
                  </w:tcBorders>
                  <w:noWrap w:val="0"/>
                  <w:vAlign w:val="center"/>
                </w:tcPr>
                <w:p w14:paraId="53CD544F">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50</w:t>
                  </w:r>
                </w:p>
              </w:tc>
              <w:tc>
                <w:tcPr>
                  <w:tcW w:w="881" w:type="pct"/>
                  <w:tcBorders>
                    <w:tl2br w:val="nil"/>
                    <w:tr2bl w:val="nil"/>
                  </w:tcBorders>
                  <w:noWrap w:val="0"/>
                  <w:vAlign w:val="center"/>
                </w:tcPr>
                <w:p w14:paraId="093D9235">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0.04</w:t>
                  </w:r>
                </w:p>
              </w:tc>
            </w:tr>
            <w:tr w14:paraId="1D6484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19" w:type="pct"/>
                  <w:tcBorders>
                    <w:tl2br w:val="nil"/>
                    <w:tr2bl w:val="nil"/>
                  </w:tcBorders>
                  <w:noWrap w:val="0"/>
                  <w:vAlign w:val="center"/>
                </w:tcPr>
                <w:p w14:paraId="61F4C085">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5</w:t>
                  </w:r>
                </w:p>
              </w:tc>
              <w:tc>
                <w:tcPr>
                  <w:tcW w:w="1397" w:type="pct"/>
                  <w:tcBorders>
                    <w:tl2br w:val="nil"/>
                    <w:tr2bl w:val="nil"/>
                  </w:tcBorders>
                  <w:noWrap w:val="0"/>
                  <w:vAlign w:val="center"/>
                </w:tcPr>
                <w:p w14:paraId="5AEC02C9">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废机油</w:t>
                  </w:r>
                </w:p>
              </w:tc>
              <w:tc>
                <w:tcPr>
                  <w:tcW w:w="1174" w:type="pct"/>
                  <w:tcBorders>
                    <w:tl2br w:val="nil"/>
                    <w:tr2bl w:val="nil"/>
                  </w:tcBorders>
                  <w:noWrap w:val="0"/>
                  <w:vAlign w:val="center"/>
                </w:tcPr>
                <w:p w14:paraId="4A997BE3">
                  <w:pPr>
                    <w:adjustRightInd w:val="0"/>
                    <w:snapToGrid w:val="0"/>
                    <w:jc w:val="center"/>
                    <w:rPr>
                      <w:rFonts w:hint="default" w:cs="Times New Roman"/>
                      <w:color w:val="0000FF"/>
                      <w:szCs w:val="21"/>
                      <w:lang w:val="en-US" w:eastAsia="zh-CN"/>
                    </w:rPr>
                  </w:pPr>
                  <w:r>
                    <w:rPr>
                      <w:rFonts w:hint="eastAsia" w:cs="Times New Roman"/>
                      <w:color w:val="0000FF"/>
                      <w:szCs w:val="21"/>
                      <w:lang w:val="en-US" w:eastAsia="zh-CN"/>
                    </w:rPr>
                    <w:t>1.5</w:t>
                  </w:r>
                </w:p>
              </w:tc>
              <w:tc>
                <w:tcPr>
                  <w:tcW w:w="1026" w:type="pct"/>
                  <w:tcBorders>
                    <w:tl2br w:val="nil"/>
                    <w:tr2bl w:val="nil"/>
                  </w:tcBorders>
                  <w:noWrap w:val="0"/>
                  <w:vAlign w:val="center"/>
                </w:tcPr>
                <w:p w14:paraId="5BED1803">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2500</w:t>
                  </w:r>
                </w:p>
              </w:tc>
              <w:tc>
                <w:tcPr>
                  <w:tcW w:w="881" w:type="pct"/>
                  <w:tcBorders>
                    <w:tl2br w:val="nil"/>
                    <w:tr2bl w:val="nil"/>
                  </w:tcBorders>
                  <w:noWrap w:val="0"/>
                  <w:vAlign w:val="center"/>
                </w:tcPr>
                <w:p w14:paraId="04478B71">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0.0006</w:t>
                  </w:r>
                </w:p>
              </w:tc>
            </w:tr>
            <w:tr w14:paraId="39D04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6" w:hRule="atLeast"/>
                <w:jc w:val="center"/>
              </w:trPr>
              <w:tc>
                <w:tcPr>
                  <w:tcW w:w="519" w:type="pct"/>
                  <w:tcBorders>
                    <w:tl2br w:val="nil"/>
                    <w:tr2bl w:val="nil"/>
                  </w:tcBorders>
                  <w:noWrap w:val="0"/>
                  <w:vAlign w:val="center"/>
                </w:tcPr>
                <w:p w14:paraId="04EE9EEA">
                  <w:pPr>
                    <w:adjustRightInd w:val="0"/>
                    <w:snapToGrid w:val="0"/>
                    <w:jc w:val="center"/>
                    <w:rPr>
                      <w:rFonts w:hint="default" w:ascii="Times New Roman" w:hAnsi="Times New Roman" w:eastAsia="宋体" w:cs="Times New Roman"/>
                      <w:bCs/>
                      <w:color w:val="0000FF"/>
                      <w:kern w:val="2"/>
                      <w:sz w:val="21"/>
                      <w:szCs w:val="21"/>
                      <w:lang w:val="en-US" w:eastAsia="zh-CN" w:bidi="ar-SA"/>
                    </w:rPr>
                  </w:pPr>
                  <w:r>
                    <w:rPr>
                      <w:rFonts w:hint="eastAsia" w:ascii="Times New Roman" w:hAnsi="Times New Roman" w:eastAsia="宋体" w:cs="Times New Roman"/>
                      <w:bCs/>
                      <w:color w:val="0000FF"/>
                      <w:kern w:val="2"/>
                      <w:sz w:val="21"/>
                      <w:szCs w:val="21"/>
                      <w:lang w:val="en-US" w:eastAsia="zh-CN" w:bidi="ar-SA"/>
                    </w:rPr>
                    <w:t>6</w:t>
                  </w:r>
                </w:p>
              </w:tc>
              <w:tc>
                <w:tcPr>
                  <w:tcW w:w="1397" w:type="pct"/>
                  <w:tcBorders>
                    <w:tl2br w:val="nil"/>
                    <w:tr2bl w:val="nil"/>
                  </w:tcBorders>
                  <w:noWrap w:val="0"/>
                  <w:vAlign w:val="center"/>
                </w:tcPr>
                <w:p w14:paraId="712976B6">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其它危险废物（</w:t>
                  </w:r>
                  <w:r>
                    <w:rPr>
                      <w:rFonts w:hint="default" w:ascii="Times New Roman" w:hAnsi="Times New Roman" w:eastAsia="宋体" w:cs="Times New Roman"/>
                      <w:color w:val="0000FF"/>
                      <w:sz w:val="21"/>
                      <w:szCs w:val="21"/>
                      <w:highlight w:val="none"/>
                    </w:rPr>
                    <w:t>油泥、废切削液、其它废包装桶、漆渣、废活性炭</w:t>
                  </w:r>
                  <w:r>
                    <w:rPr>
                      <w:rFonts w:hint="eastAsia" w:ascii="Times New Roman" w:hAnsi="Times New Roman" w:eastAsia="宋体" w:cs="Times New Roman"/>
                      <w:bCs/>
                      <w:color w:val="0000FF"/>
                      <w:szCs w:val="21"/>
                      <w:lang w:val="en-US" w:eastAsia="zh-CN"/>
                    </w:rPr>
                    <w:t>）</w:t>
                  </w:r>
                </w:p>
              </w:tc>
              <w:tc>
                <w:tcPr>
                  <w:tcW w:w="1174" w:type="pct"/>
                  <w:tcBorders>
                    <w:tl2br w:val="nil"/>
                    <w:tr2bl w:val="nil"/>
                  </w:tcBorders>
                  <w:noWrap w:val="0"/>
                  <w:vAlign w:val="center"/>
                </w:tcPr>
                <w:p w14:paraId="3434ABCC">
                  <w:pPr>
                    <w:adjustRightInd w:val="0"/>
                    <w:snapToGrid w:val="0"/>
                    <w:jc w:val="center"/>
                    <w:rPr>
                      <w:rFonts w:hint="default" w:cs="Times New Roman"/>
                      <w:color w:val="0000FF"/>
                      <w:szCs w:val="21"/>
                      <w:lang w:val="en-US" w:eastAsia="zh-CN"/>
                    </w:rPr>
                  </w:pPr>
                  <w:r>
                    <w:rPr>
                      <w:rFonts w:hint="eastAsia" w:cs="Times New Roman"/>
                      <w:color w:val="0000FF"/>
                      <w:szCs w:val="21"/>
                      <w:lang w:val="en-US" w:eastAsia="zh-CN"/>
                    </w:rPr>
                    <w:t>3.069</w:t>
                  </w:r>
                </w:p>
              </w:tc>
              <w:tc>
                <w:tcPr>
                  <w:tcW w:w="1026" w:type="pct"/>
                  <w:tcBorders>
                    <w:tl2br w:val="nil"/>
                    <w:tr2bl w:val="nil"/>
                  </w:tcBorders>
                  <w:noWrap w:val="0"/>
                  <w:vAlign w:val="center"/>
                </w:tcPr>
                <w:p w14:paraId="68336D17">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50</w:t>
                  </w:r>
                </w:p>
              </w:tc>
              <w:tc>
                <w:tcPr>
                  <w:tcW w:w="881" w:type="pct"/>
                  <w:tcBorders>
                    <w:tl2br w:val="nil"/>
                    <w:tr2bl w:val="nil"/>
                  </w:tcBorders>
                  <w:noWrap w:val="0"/>
                  <w:vAlign w:val="center"/>
                </w:tcPr>
                <w:p w14:paraId="75476EC9">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0.061</w:t>
                  </w:r>
                </w:p>
              </w:tc>
            </w:tr>
            <w:tr w14:paraId="52A776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1916" w:type="pct"/>
                  <w:gridSpan w:val="2"/>
                  <w:tcBorders>
                    <w:tl2br w:val="nil"/>
                    <w:tr2bl w:val="nil"/>
                  </w:tcBorders>
                  <w:noWrap w:val="0"/>
                  <w:vAlign w:val="center"/>
                </w:tcPr>
                <w:p w14:paraId="278DE649">
                  <w:pPr>
                    <w:adjustRightInd w:val="0"/>
                    <w:snapToGrid w:val="0"/>
                    <w:jc w:val="center"/>
                    <w:rPr>
                      <w:rFonts w:hint="default" w:ascii="Times New Roman" w:hAnsi="Times New Roman" w:eastAsia="宋体" w:cs="Times New Roman"/>
                      <w:bCs/>
                      <w:color w:val="0000FF"/>
                      <w:szCs w:val="21"/>
                      <w:lang w:val="en-US" w:eastAsia="zh-CN"/>
                    </w:rPr>
                  </w:pPr>
                  <w:r>
                    <w:rPr>
                      <w:rFonts w:hint="eastAsia" w:ascii="Times New Roman" w:hAnsi="Times New Roman" w:eastAsia="宋体" w:cs="Times New Roman"/>
                      <w:bCs/>
                      <w:color w:val="0000FF"/>
                      <w:szCs w:val="21"/>
                      <w:lang w:val="en-US" w:eastAsia="zh-CN"/>
                    </w:rPr>
                    <w:t>合计</w:t>
                  </w:r>
                </w:p>
              </w:tc>
              <w:tc>
                <w:tcPr>
                  <w:tcW w:w="1174" w:type="pct"/>
                  <w:tcBorders>
                    <w:tl2br w:val="nil"/>
                    <w:tr2bl w:val="nil"/>
                  </w:tcBorders>
                  <w:noWrap w:val="0"/>
                  <w:vAlign w:val="center"/>
                </w:tcPr>
                <w:p w14:paraId="487B8B6B">
                  <w:pPr>
                    <w:adjustRightInd w:val="0"/>
                    <w:snapToGrid w:val="0"/>
                    <w:jc w:val="center"/>
                    <w:rPr>
                      <w:rFonts w:hint="eastAsia" w:cs="Times New Roman"/>
                      <w:color w:val="0000FF"/>
                      <w:szCs w:val="21"/>
                      <w:lang w:val="en-US" w:eastAsia="zh-CN"/>
                    </w:rPr>
                  </w:pPr>
                </w:p>
              </w:tc>
              <w:tc>
                <w:tcPr>
                  <w:tcW w:w="1026" w:type="pct"/>
                  <w:tcBorders>
                    <w:tl2br w:val="nil"/>
                    <w:tr2bl w:val="nil"/>
                  </w:tcBorders>
                  <w:noWrap w:val="0"/>
                  <w:vAlign w:val="center"/>
                </w:tcPr>
                <w:p w14:paraId="3BD122D9">
                  <w:pPr>
                    <w:adjustRightInd w:val="0"/>
                    <w:snapToGrid w:val="0"/>
                    <w:jc w:val="center"/>
                    <w:rPr>
                      <w:rFonts w:hint="eastAsia" w:ascii="Times New Roman" w:hAnsi="Times New Roman" w:eastAsia="宋体" w:cs="Times New Roman"/>
                      <w:color w:val="0000FF"/>
                      <w:szCs w:val="21"/>
                      <w:lang w:val="en-US" w:eastAsia="zh-CN"/>
                    </w:rPr>
                  </w:pPr>
                </w:p>
              </w:tc>
              <w:tc>
                <w:tcPr>
                  <w:tcW w:w="881" w:type="pct"/>
                  <w:tcBorders>
                    <w:tl2br w:val="nil"/>
                    <w:tr2bl w:val="nil"/>
                  </w:tcBorders>
                  <w:noWrap w:val="0"/>
                  <w:vAlign w:val="center"/>
                </w:tcPr>
                <w:p w14:paraId="6371667A">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0.2222</w:t>
                  </w:r>
                </w:p>
              </w:tc>
            </w:tr>
          </w:tbl>
          <w:p w14:paraId="540ADE8D">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rPr>
              <w:t>q/Q为</w:t>
            </w:r>
            <w:r>
              <w:rPr>
                <w:rFonts w:hint="default"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2222</w:t>
            </w:r>
            <w:r>
              <w:rPr>
                <w:rFonts w:hint="default" w:ascii="Times New Roman" w:hAnsi="Times New Roman" w:eastAsia="宋体" w:cs="Times New Roman"/>
                <w:color w:val="auto"/>
                <w:sz w:val="24"/>
                <w:szCs w:val="24"/>
                <w:highlight w:val="none"/>
              </w:rPr>
              <w:t>＜1，环境风险潜势直接判定为I，仅作简单分析</w:t>
            </w:r>
            <w:r>
              <w:rPr>
                <w:rFonts w:hint="default" w:ascii="Times New Roman" w:hAnsi="Times New Roman" w:eastAsia="宋体" w:cs="Times New Roman"/>
                <w:color w:val="auto"/>
                <w:highlight w:val="none"/>
              </w:rPr>
              <w:t>。</w:t>
            </w:r>
          </w:p>
          <w:p w14:paraId="548B7182">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0" w:firstLineChars="200"/>
              <w:jc w:val="both"/>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rPr>
              <w:t>（</w:t>
            </w:r>
            <w:r>
              <w:rPr>
                <w:rFonts w:hint="eastAsia" w:ascii="Times New Roman" w:hAnsi="Times New Roman" w:eastAsia="宋体" w:cs="Times New Roman"/>
                <w:b w:val="0"/>
                <w:bCs w:val="0"/>
                <w:color w:val="auto"/>
                <w:sz w:val="24"/>
                <w:szCs w:val="24"/>
                <w:highlight w:val="none"/>
                <w:lang w:val="en-US" w:eastAsia="zh-CN"/>
              </w:rPr>
              <w:t>3</w:t>
            </w:r>
            <w:r>
              <w:rPr>
                <w:rFonts w:hint="default" w:ascii="Times New Roman" w:hAnsi="Times New Roman" w:eastAsia="宋体" w:cs="Times New Roman"/>
                <w:b w:val="0"/>
                <w:bCs w:val="0"/>
                <w:color w:val="auto"/>
                <w:sz w:val="24"/>
                <w:szCs w:val="24"/>
                <w:highlight w:val="none"/>
                <w:lang w:val="en-US" w:eastAsia="zh-CN"/>
              </w:rPr>
              <w:t>）评价</w:t>
            </w:r>
            <w:r>
              <w:rPr>
                <w:rFonts w:hint="eastAsia" w:ascii="Times New Roman" w:hAnsi="Times New Roman" w:eastAsia="宋体" w:cs="Times New Roman"/>
                <w:b w:val="0"/>
                <w:bCs w:val="0"/>
                <w:color w:val="auto"/>
                <w:sz w:val="24"/>
                <w:szCs w:val="24"/>
                <w:highlight w:val="none"/>
                <w:lang w:val="en-US" w:eastAsia="zh-CN"/>
              </w:rPr>
              <w:t>等级</w:t>
            </w:r>
          </w:p>
          <w:p w14:paraId="0D99E722">
            <w:pPr>
              <w:pStyle w:val="176"/>
              <w:widowControl w:val="0"/>
              <w:spacing w:line="360" w:lineRule="auto"/>
              <w:ind w:firstLine="480"/>
              <w:jc w:val="both"/>
              <w:rPr>
                <w:rFonts w:ascii="Times New Roman" w:hAnsi="Times New Roman" w:eastAsia="宋体" w:cs="Times New Roman"/>
                <w:sz w:val="24"/>
                <w:szCs w:val="24"/>
              </w:rPr>
            </w:pPr>
            <w:r>
              <w:rPr>
                <w:rFonts w:hint="default" w:ascii="Times New Roman" w:hAnsi="Times New Roman" w:eastAsia="宋体" w:cs="Times New Roman"/>
                <w:color w:val="auto"/>
                <w:sz w:val="24"/>
                <w:szCs w:val="24"/>
                <w:highlight w:val="none"/>
                <w:lang w:val="en-US" w:eastAsia="zh-CN"/>
              </w:rPr>
              <w:t>根据《建设项目环境风险评价技术导则》（HJ169-2018），环境风险评价工作等级分为一级、二级、三级。</w:t>
            </w:r>
            <w:r>
              <w:rPr>
                <w:rFonts w:ascii="Times New Roman" w:hAnsi="Times New Roman" w:eastAsia="宋体" w:cs="Times New Roman"/>
                <w:sz w:val="24"/>
                <w:szCs w:val="24"/>
              </w:rPr>
              <w:t>结合本项目实际情况，确定本项目环境风险评价等级。环境风险评价级别见表。</w:t>
            </w:r>
          </w:p>
          <w:p w14:paraId="02DC14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w:t>
            </w:r>
            <w:r>
              <w:rPr>
                <w:rFonts w:hint="default" w:ascii="Times New Roman" w:hAnsi="Times New Roman" w:eastAsia="宋体" w:cs="Times New Roman"/>
                <w:b/>
                <w:bCs/>
                <w:color w:val="auto"/>
                <w:highlight w:val="none"/>
              </w:rPr>
              <w:t>-</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3</w:t>
            </w:r>
            <w:r>
              <w:rPr>
                <w:rFonts w:hint="default" w:ascii="Times New Roman" w:hAnsi="Times New Roman" w:eastAsia="宋体" w:cs="Times New Roman"/>
                <w:b/>
                <w:bCs/>
                <w:color w:val="auto"/>
                <w:highlight w:val="none"/>
                <w:lang w:val="en-US" w:eastAsia="zh-CN"/>
              </w:rPr>
              <w:t xml:space="preserve"> 风险</w:t>
            </w:r>
            <w:r>
              <w:rPr>
                <w:rFonts w:hint="default" w:ascii="Times New Roman" w:hAnsi="Times New Roman" w:eastAsia="宋体" w:cs="Times New Roman"/>
                <w:b/>
                <w:bCs/>
                <w:color w:val="auto"/>
                <w:highlight w:val="none"/>
              </w:rPr>
              <w:t>评价工作等级</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1616"/>
              <w:gridCol w:w="1615"/>
              <w:gridCol w:w="1616"/>
              <w:gridCol w:w="1620"/>
            </w:tblGrid>
            <w:tr w14:paraId="124D7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99" w:type="pct"/>
                  <w:noWrap w:val="0"/>
                  <w:vAlign w:val="center"/>
                </w:tcPr>
                <w:p w14:paraId="5017F68E">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环境风险潜势</w:t>
                  </w:r>
                </w:p>
              </w:tc>
              <w:tc>
                <w:tcPr>
                  <w:tcW w:w="1000" w:type="pct"/>
                  <w:noWrap w:val="0"/>
                  <w:vAlign w:val="center"/>
                </w:tcPr>
                <w:p w14:paraId="5AAF67AB">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r>
                    <w:rPr>
                      <w:rFonts w:hint="default" w:ascii="Times New Roman" w:hAnsi="Times New Roman" w:eastAsia="宋体" w:cs="Times New Roman"/>
                      <w:b/>
                      <w:bCs/>
                      <w:color w:val="auto"/>
                      <w:highlight w:val="none"/>
                    </w:rPr>
                    <w:t>+、</w:t>
                  </w: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p>
              </w:tc>
              <w:tc>
                <w:tcPr>
                  <w:tcW w:w="999" w:type="pct"/>
                  <w:noWrap w:val="0"/>
                  <w:vAlign w:val="center"/>
                </w:tcPr>
                <w:p w14:paraId="4A59BF4F">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3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4C5F5813">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2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7DEE1561">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1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w:t>
                  </w:r>
                  <w:r>
                    <w:rPr>
                      <w:rFonts w:hint="default" w:ascii="Times New Roman" w:hAnsi="Times New Roman" w:eastAsia="宋体" w:cs="Times New Roman"/>
                      <w:b/>
                      <w:bCs/>
                      <w:color w:val="auto"/>
                      <w:highlight w:val="none"/>
                    </w:rPr>
                    <w:fldChar w:fldCharType="end"/>
                  </w:r>
                </w:p>
              </w:tc>
            </w:tr>
            <w:tr w14:paraId="21C1F1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99" w:type="pct"/>
                  <w:noWrap w:val="0"/>
                  <w:vAlign w:val="center"/>
                </w:tcPr>
                <w:p w14:paraId="3B9D8559">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评价工作等级</w:t>
                  </w:r>
                </w:p>
              </w:tc>
              <w:tc>
                <w:tcPr>
                  <w:tcW w:w="1000" w:type="pct"/>
                  <w:noWrap w:val="0"/>
                  <w:vAlign w:val="center"/>
                </w:tcPr>
                <w:p w14:paraId="68DC714E">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w:t>
                  </w:r>
                </w:p>
              </w:tc>
              <w:tc>
                <w:tcPr>
                  <w:tcW w:w="999" w:type="pct"/>
                  <w:noWrap w:val="0"/>
                  <w:vAlign w:val="center"/>
                </w:tcPr>
                <w:p w14:paraId="45B78039">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二</w:t>
                  </w:r>
                </w:p>
              </w:tc>
              <w:tc>
                <w:tcPr>
                  <w:tcW w:w="1000" w:type="pct"/>
                  <w:noWrap w:val="0"/>
                  <w:vAlign w:val="center"/>
                </w:tcPr>
                <w:p w14:paraId="04CA2E16">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三</w:t>
                  </w:r>
                </w:p>
              </w:tc>
              <w:tc>
                <w:tcPr>
                  <w:tcW w:w="1000" w:type="pct"/>
                  <w:noWrap w:val="0"/>
                  <w:vAlign w:val="center"/>
                </w:tcPr>
                <w:p w14:paraId="620804F2">
                  <w:pPr>
                    <w:widowControl/>
                    <w:autoSpaceDE w:val="0"/>
                    <w:autoSpaceDN w:val="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简单分析</w:t>
                  </w:r>
                  <w:r>
                    <w:rPr>
                      <w:rFonts w:hint="default" w:ascii="Times New Roman" w:hAnsi="Times New Roman" w:eastAsia="宋体" w:cs="Times New Roman"/>
                      <w:color w:val="auto"/>
                      <w:highlight w:val="none"/>
                      <w:vertAlign w:val="superscript"/>
                      <w:lang w:val="en-US" w:eastAsia="zh-CN"/>
                    </w:rPr>
                    <w:t>a</w:t>
                  </w:r>
                </w:p>
              </w:tc>
            </w:tr>
            <w:tr w14:paraId="49CD8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5"/>
                  <w:noWrap w:val="0"/>
                  <w:vAlign w:val="center"/>
                </w:tcPr>
                <w:p w14:paraId="5AE32565">
                  <w:pPr>
                    <w:widowControl/>
                    <w:autoSpaceDE w:val="0"/>
                    <w:autoSpaceDN w:val="0"/>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注：a是相对于详细评价工作内容而言，在描述危险物质、环境影响途径、环境危害后果、风险防范措施等方面给出定性的说明。</w:t>
                  </w:r>
                </w:p>
              </w:tc>
            </w:tr>
          </w:tbl>
          <w:p w14:paraId="2A4A240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highlight w:val="none"/>
                <w:lang w:eastAsia="zh-CN"/>
              </w:rPr>
            </w:pPr>
          </w:p>
          <w:p w14:paraId="7D22B00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sz w:val="24"/>
                <w:szCs w:val="24"/>
                <w:highlight w:val="none"/>
                <w:lang w:val="en-US" w:eastAsia="zh-CN"/>
              </w:rPr>
              <w:t>2、</w:t>
            </w:r>
            <w:r>
              <w:rPr>
                <w:rFonts w:hint="default" w:ascii="Times New Roman" w:hAnsi="Times New Roman" w:eastAsia="宋体" w:cs="Times New Roman"/>
                <w:b w:val="0"/>
                <w:bCs w:val="0"/>
                <w:color w:val="auto"/>
                <w:sz w:val="24"/>
                <w:szCs w:val="24"/>
                <w:highlight w:val="none"/>
                <w:lang w:val="en-US" w:eastAsia="zh-CN"/>
              </w:rPr>
              <w:t>环境敏感目标情况</w:t>
            </w:r>
          </w:p>
          <w:p w14:paraId="5E02806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sz w:val="24"/>
                <w:szCs w:val="24"/>
                <w:highlight w:val="none"/>
              </w:rPr>
              <w:t>根据项目敏感目标分布情况，项目评价范围</w:t>
            </w:r>
            <w:r>
              <w:rPr>
                <w:rFonts w:hint="eastAsia" w:cs="Times New Roman"/>
                <w:b w:val="0"/>
                <w:bCs w:val="0"/>
                <w:color w:val="auto"/>
                <w:sz w:val="24"/>
                <w:szCs w:val="24"/>
                <w:highlight w:val="none"/>
                <w:lang w:val="en-US" w:eastAsia="zh-CN"/>
              </w:rPr>
              <w:t>内</w:t>
            </w:r>
            <w:r>
              <w:rPr>
                <w:rFonts w:hint="eastAsia" w:ascii="Times New Roman" w:hAnsi="Times New Roman" w:eastAsia="宋体" w:cs="Times New Roman"/>
                <w:b w:val="0"/>
                <w:bCs w:val="0"/>
                <w:color w:val="auto"/>
                <w:sz w:val="24"/>
                <w:szCs w:val="24"/>
                <w:highlight w:val="none"/>
                <w:lang w:val="en-US" w:eastAsia="zh-CN"/>
              </w:rPr>
              <w:t>无</w:t>
            </w:r>
            <w:r>
              <w:rPr>
                <w:rFonts w:hint="default" w:ascii="Times New Roman" w:hAnsi="Times New Roman" w:eastAsia="宋体" w:cs="Times New Roman"/>
                <w:b w:val="0"/>
                <w:bCs w:val="0"/>
                <w:color w:val="auto"/>
                <w:sz w:val="24"/>
                <w:szCs w:val="24"/>
                <w:highlight w:val="none"/>
              </w:rPr>
              <w:t>居民点，</w:t>
            </w:r>
            <w:r>
              <w:rPr>
                <w:rFonts w:hint="eastAsia" w:ascii="Times New Roman" w:hAnsi="Times New Roman" w:eastAsia="宋体" w:cs="Times New Roman"/>
                <w:b w:val="0"/>
                <w:bCs w:val="0"/>
                <w:color w:val="auto"/>
                <w:sz w:val="24"/>
                <w:szCs w:val="24"/>
                <w:highlight w:val="none"/>
                <w:lang w:val="en-US" w:eastAsia="zh-CN"/>
              </w:rPr>
              <w:t>无环境</w:t>
            </w:r>
            <w:r>
              <w:rPr>
                <w:rFonts w:hint="default" w:ascii="Times New Roman" w:hAnsi="Times New Roman" w:eastAsia="宋体" w:cs="Times New Roman"/>
                <w:b w:val="0"/>
                <w:bCs w:val="0"/>
                <w:color w:val="auto"/>
                <w:sz w:val="24"/>
                <w:szCs w:val="24"/>
                <w:highlight w:val="none"/>
              </w:rPr>
              <w:t>敏感点</w:t>
            </w:r>
            <w:r>
              <w:rPr>
                <w:rFonts w:hint="default" w:ascii="Times New Roman" w:hAnsi="Times New Roman" w:eastAsia="宋体" w:cs="Times New Roman"/>
                <w:b w:val="0"/>
                <w:bCs w:val="0"/>
                <w:color w:val="auto"/>
                <w:highlight w:val="none"/>
              </w:rPr>
              <w:t>。</w:t>
            </w:r>
          </w:p>
          <w:p w14:paraId="7A98643B">
            <w:pPr>
              <w:keepNext w:val="0"/>
              <w:keepLines w:val="0"/>
              <w:suppressLineNumbers w:val="0"/>
              <w:spacing w:before="0" w:beforeAutospacing="0" w:after="0" w:afterAutospacing="0" w:line="360" w:lineRule="auto"/>
              <w:ind w:left="479" w:leftChars="228" w:right="0" w:firstLine="0" w:firstLineChars="0"/>
              <w:rPr>
                <w:rFonts w:hint="default" w:ascii="Times New Roman" w:hAnsi="Times New Roman" w:eastAsia="宋体" w:cs="Times New Roman"/>
                <w:b w:val="0"/>
                <w:bCs w:val="0"/>
                <w:color w:val="auto"/>
                <w:highlight w:val="none"/>
              </w:rPr>
            </w:pPr>
            <w:r>
              <w:rPr>
                <w:rFonts w:hint="eastAsia" w:cs="Times New Roman"/>
                <w:b w:val="0"/>
                <w:bCs w:val="0"/>
                <w:color w:val="auto"/>
                <w:sz w:val="24"/>
                <w:szCs w:val="24"/>
                <w:highlight w:val="none"/>
                <w:lang w:val="en-US" w:eastAsia="zh-CN"/>
              </w:rPr>
              <w:t>3、</w:t>
            </w:r>
            <w:r>
              <w:rPr>
                <w:rFonts w:hint="default" w:ascii="Times New Roman" w:hAnsi="Times New Roman" w:eastAsia="宋体" w:cs="Times New Roman"/>
                <w:b w:val="0"/>
                <w:bCs w:val="0"/>
                <w:color w:val="auto"/>
                <w:sz w:val="24"/>
                <w:szCs w:val="24"/>
                <w:highlight w:val="none"/>
              </w:rPr>
              <w:t>环境风险识别</w:t>
            </w:r>
          </w:p>
          <w:p w14:paraId="35CF709D">
            <w:pPr>
              <w:spacing w:line="360" w:lineRule="auto"/>
              <w:ind w:firstLine="48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sz w:val="24"/>
                <w:szCs w:val="24"/>
                <w:highlight w:val="none"/>
              </w:rPr>
              <w:t>项目风险事故对环境的影响主要是发生泄漏引起爆炸事故引起的人员伤害和财产损失。</w:t>
            </w:r>
          </w:p>
          <w:p w14:paraId="3D02D1D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FF"/>
                <w:highlight w:val="none"/>
              </w:rPr>
            </w:pPr>
            <w:r>
              <w:rPr>
                <w:rFonts w:hint="eastAsia" w:cs="Times New Roman"/>
                <w:b w:val="0"/>
                <w:bCs w:val="0"/>
                <w:color w:val="0000FF"/>
                <w:sz w:val="24"/>
                <w:szCs w:val="24"/>
                <w:highlight w:val="none"/>
                <w:lang w:val="en-US" w:eastAsia="zh-CN"/>
              </w:rPr>
              <w:t>4、</w:t>
            </w:r>
            <w:r>
              <w:rPr>
                <w:rFonts w:hint="default" w:ascii="Times New Roman" w:hAnsi="Times New Roman" w:eastAsia="宋体" w:cs="Times New Roman"/>
                <w:b w:val="0"/>
                <w:bCs w:val="0"/>
                <w:color w:val="0000FF"/>
                <w:sz w:val="24"/>
                <w:szCs w:val="24"/>
                <w:highlight w:val="none"/>
                <w:lang w:val="en-US" w:eastAsia="zh-CN"/>
              </w:rPr>
              <w:t>环境</w:t>
            </w:r>
            <w:r>
              <w:rPr>
                <w:rFonts w:hint="default" w:ascii="Times New Roman" w:hAnsi="Times New Roman" w:eastAsia="宋体" w:cs="Times New Roman"/>
                <w:b w:val="0"/>
                <w:bCs w:val="0"/>
                <w:color w:val="0000FF"/>
                <w:sz w:val="24"/>
                <w:szCs w:val="24"/>
                <w:highlight w:val="none"/>
              </w:rPr>
              <w:t>风险分析</w:t>
            </w:r>
          </w:p>
          <w:p w14:paraId="6F3AFC64">
            <w:pPr>
              <w:pStyle w:val="177"/>
              <w:widowControl w:val="0"/>
              <w:ind w:firstLine="480"/>
              <w:jc w:val="both"/>
              <w:rPr>
                <w:rFonts w:ascii="Times New Roman" w:hAnsi="Times New Roman" w:eastAsia="宋体" w:cs="Times New Roman"/>
                <w:color w:val="0000FF"/>
                <w:sz w:val="24"/>
                <w:szCs w:val="24"/>
              </w:rPr>
            </w:pPr>
            <w:r>
              <w:rPr>
                <w:rFonts w:hint="eastAsia" w:cs="Times New Roman"/>
                <w:color w:val="0000FF"/>
                <w:sz w:val="24"/>
                <w:szCs w:val="24"/>
                <w:lang w:eastAsia="zh-CN"/>
              </w:rPr>
              <w:t>①</w:t>
            </w:r>
            <w:r>
              <w:rPr>
                <w:rFonts w:ascii="Times New Roman" w:hAnsi="Times New Roman" w:eastAsia="宋体" w:cs="Times New Roman"/>
                <w:color w:val="0000FF"/>
                <w:sz w:val="24"/>
                <w:szCs w:val="24"/>
              </w:rPr>
              <w:t>废气处理装置运行故障</w:t>
            </w:r>
          </w:p>
          <w:p w14:paraId="679CA60B">
            <w:pPr>
              <w:pStyle w:val="177"/>
              <w:widowControl w:val="0"/>
              <w:ind w:firstLine="480"/>
              <w:jc w:val="both"/>
              <w:rPr>
                <w:rFonts w:ascii="Times New Roman" w:hAnsi="Times New Roman" w:eastAsia="宋体" w:cs="Times New Roman"/>
                <w:color w:val="0000FF"/>
              </w:rPr>
            </w:pPr>
            <w:r>
              <w:rPr>
                <w:rFonts w:ascii="Times New Roman" w:hAnsi="Times New Roman" w:eastAsia="宋体" w:cs="Times New Roman"/>
                <w:color w:val="0000FF"/>
                <w:sz w:val="24"/>
                <w:szCs w:val="24"/>
              </w:rPr>
              <w:t>厂内废气处理装置可能因为停电、设备老化等出现非正常运转或停止运转，导致废气超标排放，影响周围大气环境。</w:t>
            </w:r>
          </w:p>
          <w:p w14:paraId="07E1D12A">
            <w:pPr>
              <w:pStyle w:val="48"/>
              <w:adjustRightInd/>
              <w:spacing w:before="0" w:after="0" w:line="360" w:lineRule="auto"/>
              <w:ind w:firstLine="480" w:firstLineChars="200"/>
              <w:rPr>
                <w:rFonts w:ascii="Times New Roman" w:cs="Times New Roman"/>
                <w:color w:val="0000FF"/>
              </w:rPr>
            </w:pPr>
            <w:r>
              <w:rPr>
                <w:rFonts w:hint="eastAsia" w:cs="Times New Roman"/>
                <w:color w:val="0000FF"/>
                <w:sz w:val="24"/>
                <w:szCs w:val="24"/>
                <w:lang w:eastAsia="zh-CN"/>
              </w:rPr>
              <w:t>②</w:t>
            </w:r>
            <w:r>
              <w:rPr>
                <w:rFonts w:ascii="Times New Roman" w:cs="Times New Roman"/>
                <w:color w:val="0000FF"/>
              </w:rPr>
              <w:t>火灾风险分析</w:t>
            </w:r>
          </w:p>
          <w:p w14:paraId="4283C7EB">
            <w:pPr>
              <w:widowControl w:val="0"/>
              <w:spacing w:line="360" w:lineRule="auto"/>
              <w:ind w:firstLine="480" w:firstLineChars="200"/>
              <w:jc w:val="both"/>
              <w:rPr>
                <w:rFonts w:ascii="Times New Roman" w:hAnsi="Times New Roman" w:eastAsia="宋体" w:cs="Times New Roman"/>
                <w:color w:val="0000FF"/>
                <w:sz w:val="24"/>
              </w:rPr>
            </w:pPr>
            <w:r>
              <w:rPr>
                <w:rFonts w:ascii="Times New Roman" w:hAnsi="Times New Roman" w:eastAsia="宋体" w:cs="Times New Roman"/>
                <w:color w:val="0000FF"/>
                <w:sz w:val="24"/>
              </w:rPr>
              <w:t>油漆、稀释剂、机油、</w:t>
            </w:r>
            <w:r>
              <w:rPr>
                <w:rFonts w:hint="eastAsia" w:cs="Times New Roman"/>
                <w:color w:val="0000FF"/>
                <w:sz w:val="24"/>
                <w:lang w:val="en-US" w:eastAsia="zh-CN"/>
              </w:rPr>
              <w:t>切削液、</w:t>
            </w:r>
            <w:r>
              <w:rPr>
                <w:rFonts w:ascii="Times New Roman" w:hAnsi="Times New Roman" w:eastAsia="宋体" w:cs="Times New Roman"/>
                <w:color w:val="0000FF"/>
                <w:sz w:val="24"/>
              </w:rPr>
              <w:t>危险废物等若发生火灾事故，燃烧产生TSP、CO、有机废气等污染物而进入空气中将会对厂区员工及附近居民的身体造成一定的伤害。考虑到项目实施后油漆、稀释剂、机油、危险废物用量不大，事故发生的概率小，一是防雷击防火等防范可靠性强，二是即使发生雷击火灾，燃烧形成的烟气量较小，经扩散稀释后对周围大气环境污染较小。</w:t>
            </w:r>
          </w:p>
          <w:p w14:paraId="6C639E82">
            <w:pPr>
              <w:widowControl w:val="0"/>
              <w:spacing w:line="360" w:lineRule="auto"/>
              <w:ind w:firstLine="420"/>
              <w:jc w:val="both"/>
              <w:rPr>
                <w:rFonts w:ascii="Times New Roman" w:hAnsi="Times New Roman" w:eastAsia="宋体" w:cs="Times New Roman"/>
                <w:color w:val="0000FF"/>
                <w:sz w:val="24"/>
              </w:rPr>
            </w:pPr>
            <w:r>
              <w:rPr>
                <w:rFonts w:hint="eastAsia" w:cs="Times New Roman"/>
                <w:color w:val="0000FF"/>
                <w:sz w:val="24"/>
                <w:szCs w:val="24"/>
                <w:lang w:eastAsia="zh-CN"/>
              </w:rPr>
              <w:t>③</w:t>
            </w:r>
            <w:r>
              <w:rPr>
                <w:rFonts w:ascii="Times New Roman" w:hAnsi="Times New Roman" w:eastAsia="宋体" w:cs="Times New Roman"/>
                <w:color w:val="0000FF"/>
                <w:sz w:val="24"/>
              </w:rPr>
              <w:t>泄漏风险事故影响分析</w:t>
            </w:r>
          </w:p>
          <w:p w14:paraId="2674DE0A">
            <w:pPr>
              <w:widowControl w:val="0"/>
              <w:spacing w:line="360" w:lineRule="auto"/>
              <w:ind w:firstLine="480" w:firstLineChars="200"/>
              <w:jc w:val="left"/>
              <w:rPr>
                <w:rFonts w:ascii="Times New Roman" w:hAnsi="Times New Roman" w:eastAsia="宋体" w:cs="Times New Roman"/>
                <w:color w:val="0000FF"/>
              </w:rPr>
            </w:pPr>
            <w:r>
              <w:rPr>
                <w:rFonts w:ascii="Times New Roman" w:hAnsi="Times New Roman" w:eastAsia="宋体" w:cs="Times New Roman"/>
                <w:color w:val="0000FF"/>
                <w:sz w:val="24"/>
              </w:rPr>
              <w:t>油漆、稀释剂、机油、</w:t>
            </w:r>
            <w:r>
              <w:rPr>
                <w:rFonts w:hint="eastAsia" w:cs="Times New Roman"/>
                <w:color w:val="0000FF"/>
                <w:sz w:val="24"/>
                <w:lang w:val="en-US" w:eastAsia="zh-CN"/>
              </w:rPr>
              <w:t>切削液、</w:t>
            </w:r>
            <w:r>
              <w:rPr>
                <w:rFonts w:ascii="Times New Roman" w:hAnsi="Times New Roman" w:eastAsia="宋体" w:cs="Times New Roman"/>
                <w:color w:val="0000FF"/>
                <w:sz w:val="24"/>
              </w:rPr>
              <w:t>危险废物储存量较少，且根据同类型国内企业实际运行情况，项目运行中危险物质泄漏风险事故概率较低。一旦发生危险物质泄露，若不采取有效的应急措施，危险物质大部分将会通过厂区雨污管网进入地表水。若危险物质将直接进入附近地表水，导致水体复氧困难，水体长期被油膜覆盖将会导致水体缺氧，水体好氧生物死亡，破坏水生生态系统。泄漏的危险物质会有小部分挥发，污染大气环境。本项目危险物质发生泄漏事故后，由于泄漏量较小，容易采取有效的应急措施，防止泄漏的危险物质污染地表水体，可有效减少危险物质泄漏对环境的影响程度。</w:t>
            </w:r>
          </w:p>
          <w:p w14:paraId="14969E7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lang w:eastAsia="zh-CN"/>
              </w:rPr>
            </w:pPr>
            <w:r>
              <w:rPr>
                <w:rFonts w:hint="eastAsia" w:cs="Times New Roman"/>
                <w:b w:val="0"/>
                <w:bCs w:val="0"/>
                <w:color w:val="auto"/>
                <w:sz w:val="24"/>
                <w:szCs w:val="24"/>
                <w:highlight w:val="none"/>
                <w:lang w:val="en-US" w:eastAsia="zh-CN"/>
              </w:rPr>
              <w:t>5、</w:t>
            </w:r>
            <w:r>
              <w:rPr>
                <w:rFonts w:hint="default" w:ascii="Times New Roman" w:hAnsi="Times New Roman" w:eastAsia="宋体" w:cs="Times New Roman"/>
                <w:b w:val="0"/>
                <w:bCs w:val="0"/>
                <w:color w:val="auto"/>
                <w:sz w:val="24"/>
                <w:szCs w:val="24"/>
                <w:highlight w:val="none"/>
              </w:rPr>
              <w:t>环境风险防范措施及应急要求</w:t>
            </w:r>
          </w:p>
          <w:p w14:paraId="13188921">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环境风险防范措施应与社会经济技术发展水平相适应，运用科学的技术手段和管理方法，对环境风险进行有效的预防、监控、响应。</w:t>
            </w:r>
          </w:p>
          <w:p w14:paraId="781673EB">
            <w:pPr>
              <w:pStyle w:val="104"/>
              <w:widowControl w:val="0"/>
              <w:adjustRightInd w:val="0"/>
              <w:snapToGrid w:val="0"/>
              <w:spacing w:line="360" w:lineRule="auto"/>
              <w:jc w:val="both"/>
              <w:rPr>
                <w:rFonts w:hint="default" w:ascii="Times New Roman" w:hAnsi="Times New Roman" w:eastAsia="宋体" w:cs="Times New Roman"/>
                <w:color w:val="0000FF"/>
                <w:sz w:val="24"/>
                <w:lang w:val="en-US" w:eastAsia="zh-CN"/>
              </w:rPr>
            </w:pPr>
            <w:r>
              <w:rPr>
                <w:rFonts w:hint="eastAsia" w:ascii="Times New Roman" w:hAnsi="Times New Roman" w:cs="Times New Roman"/>
                <w:color w:val="0000FF"/>
                <w:sz w:val="24"/>
                <w:lang w:eastAsia="zh-CN"/>
              </w:rPr>
              <w:t>（</w:t>
            </w:r>
            <w:r>
              <w:rPr>
                <w:rFonts w:hint="eastAsia" w:ascii="Times New Roman" w:hAnsi="Times New Roman" w:cs="Times New Roman"/>
                <w:color w:val="0000FF"/>
                <w:sz w:val="24"/>
                <w:lang w:val="en-US" w:eastAsia="zh-CN"/>
              </w:rPr>
              <w:t>1</w:t>
            </w:r>
            <w:r>
              <w:rPr>
                <w:rFonts w:hint="eastAsia" w:ascii="Times New Roman" w:hAnsi="Times New Roman" w:cs="Times New Roman"/>
                <w:color w:val="0000FF"/>
                <w:sz w:val="24"/>
                <w:lang w:eastAsia="zh-CN"/>
              </w:rPr>
              <w:t>）</w:t>
            </w:r>
            <w:r>
              <w:rPr>
                <w:rFonts w:hint="eastAsia" w:ascii="Times New Roman" w:hAnsi="Times New Roman" w:cs="Times New Roman"/>
                <w:color w:val="0000FF"/>
                <w:sz w:val="24"/>
                <w:lang w:val="en-US" w:eastAsia="zh-CN"/>
              </w:rPr>
              <w:t>环境风险防范措施</w:t>
            </w:r>
          </w:p>
          <w:p w14:paraId="3211DE97">
            <w:pPr>
              <w:pStyle w:val="104"/>
              <w:widowControl w:val="0"/>
              <w:adjustRightInd w:val="0"/>
              <w:snapToGrid w:val="0"/>
              <w:spacing w:line="360" w:lineRule="auto"/>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①</w:t>
            </w:r>
            <w:r>
              <w:rPr>
                <w:rFonts w:ascii="Times New Roman" w:hAnsi="Times New Roman" w:eastAsia="宋体" w:cs="Times New Roman"/>
                <w:color w:val="0000FF"/>
                <w:sz w:val="24"/>
              </w:rPr>
              <w:t>强化安全生产及环境保护意识的教育，提高职工的素质，加强操作人员的上岗前的培训，进行安全生产、消防、环保、工业卫生等方面的技术培训教育；定期检查安全消防设施完好性，确保其处于即用状态，以备在事故发生时，能及时、高效的发挥作用。</w:t>
            </w:r>
          </w:p>
          <w:p w14:paraId="3A30085D">
            <w:pPr>
              <w:widowControl/>
              <w:spacing w:line="360" w:lineRule="auto"/>
              <w:ind w:firstLine="480" w:firstLineChars="200"/>
              <w:jc w:val="left"/>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②</w:t>
            </w:r>
            <w:r>
              <w:rPr>
                <w:rFonts w:ascii="Times New Roman" w:hAnsi="Times New Roman" w:eastAsia="宋体" w:cs="Times New Roman"/>
                <w:color w:val="0000FF"/>
                <w:sz w:val="24"/>
              </w:rPr>
              <w:t>油漆、稀释剂、机油等原料应根据其性质分类存放，</w:t>
            </w:r>
            <w:r>
              <w:rPr>
                <w:rFonts w:ascii="Times New Roman" w:hAnsi="Times New Roman" w:eastAsia="宋体" w:cs="Times New Roman"/>
                <w:color w:val="0000FF"/>
                <w:kern w:val="0"/>
                <w:sz w:val="24"/>
                <w:lang w:bidi="ar"/>
              </w:rPr>
              <w:t>并在区域边界处设置围堰，再出现泄漏时，首先由围堰阻隔</w:t>
            </w:r>
            <w:r>
              <w:rPr>
                <w:rStyle w:val="41"/>
                <w:rFonts w:hint="eastAsia"/>
                <w:color w:val="0000FF"/>
                <w:lang w:eastAsia="zh-CN"/>
              </w:rPr>
              <w:t>（</w:t>
            </w:r>
            <w:r>
              <w:rPr>
                <w:rStyle w:val="41"/>
                <w:rFonts w:hint="eastAsia"/>
                <w:color w:val="0000FF"/>
                <w:sz w:val="24"/>
                <w:szCs w:val="32"/>
                <w:lang w:eastAsia="zh-CN"/>
              </w:rPr>
              <w:t>围堰容积为</w:t>
            </w:r>
            <w:r>
              <w:rPr>
                <w:rStyle w:val="41"/>
                <w:rFonts w:hint="eastAsia"/>
                <w:color w:val="0000FF"/>
                <w:sz w:val="24"/>
                <w:szCs w:val="32"/>
                <w:lang w:val="en-US" w:eastAsia="zh-CN"/>
              </w:rPr>
              <w:t>9m</w:t>
            </w:r>
            <w:r>
              <w:rPr>
                <w:rStyle w:val="41"/>
                <w:rFonts w:hint="eastAsia"/>
                <w:color w:val="0000FF"/>
                <w:sz w:val="24"/>
                <w:szCs w:val="32"/>
                <w:vertAlign w:val="superscript"/>
                <w:lang w:val="en-US" w:eastAsia="zh-CN"/>
              </w:rPr>
              <w:t>3</w:t>
            </w:r>
            <w:r>
              <w:rPr>
                <w:rStyle w:val="41"/>
                <w:rFonts w:hint="eastAsia"/>
                <w:color w:val="0000FF"/>
                <w:lang w:eastAsia="zh-CN"/>
              </w:rPr>
              <w:t>）</w:t>
            </w:r>
            <w:r>
              <w:rPr>
                <w:rFonts w:ascii="Times New Roman" w:hAnsi="Times New Roman" w:eastAsia="宋体" w:cs="Times New Roman"/>
                <w:color w:val="0000FF"/>
                <w:kern w:val="0"/>
                <w:sz w:val="24"/>
                <w:lang w:bidi="ar"/>
              </w:rPr>
              <w:t>，不会流出，再用沙土进行覆盖吸收</w:t>
            </w:r>
            <w:r>
              <w:rPr>
                <w:rFonts w:hint="eastAsia" w:ascii="Times New Roman" w:hAnsi="Times New Roman" w:eastAsia="宋体" w:cs="Times New Roman"/>
                <w:color w:val="0000FF"/>
                <w:kern w:val="0"/>
                <w:sz w:val="24"/>
                <w:lang w:bidi="ar"/>
              </w:rPr>
              <w:t>，</w:t>
            </w:r>
            <w:r>
              <w:rPr>
                <w:rFonts w:ascii="Times New Roman" w:hAnsi="Times New Roman" w:eastAsia="宋体" w:cs="Times New Roman"/>
                <w:color w:val="0000FF"/>
                <w:sz w:val="24"/>
              </w:rPr>
              <w:t>项目液态原料使用量较少，储存区域地面铺设防渗防漏层，危险品分类存放在塑料托盘上；一般情况下，原料仓应上锁，并设有台账登记原料出入库的相关信息。</w:t>
            </w:r>
          </w:p>
          <w:p w14:paraId="704DE6F2">
            <w:pPr>
              <w:pStyle w:val="104"/>
              <w:widowControl w:val="0"/>
              <w:adjustRightInd w:val="0"/>
              <w:snapToGrid w:val="0"/>
              <w:spacing w:line="360" w:lineRule="auto"/>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③</w:t>
            </w:r>
            <w:r>
              <w:rPr>
                <w:rFonts w:ascii="Times New Roman" w:hAnsi="Times New Roman" w:eastAsia="宋体" w:cs="Times New Roman"/>
                <w:color w:val="0000FF"/>
                <w:sz w:val="24"/>
              </w:rPr>
              <w:t>原料储存容器的结构材料应与储存的物料和储存条件（温度、压力等）相适应。建设单位应每日检查原料桶外部，及时发现破损和漏处，如有破损应做出应对措施。在装卸物料时，要严格按章操作，尽量避免事故的发生；装卸放置托盘防止液体物料直接流到车间地面。</w:t>
            </w:r>
          </w:p>
          <w:p w14:paraId="5C0AB47D">
            <w:pPr>
              <w:pStyle w:val="104"/>
              <w:widowControl w:val="0"/>
              <w:adjustRightInd w:val="0"/>
              <w:snapToGrid w:val="0"/>
              <w:spacing w:line="360" w:lineRule="auto"/>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④</w:t>
            </w:r>
            <w:r>
              <w:rPr>
                <w:rFonts w:ascii="Times New Roman" w:hAnsi="Times New Roman" w:eastAsia="宋体" w:cs="Times New Roman"/>
                <w:color w:val="0000FF"/>
                <w:sz w:val="24"/>
              </w:rPr>
              <w:t>当发现液态物料泄漏后，应立即采取措施处理，合理通风，严格限制出入。物料泄漏至地面，及时使用吸油棉或其他材料对泄漏物料进行回收，将泄漏物料回收处理后，还需对地面进行洗消。泄漏容器要妥善处理，修复、检验后使用。</w:t>
            </w:r>
          </w:p>
          <w:p w14:paraId="2A4E0F47">
            <w:pPr>
              <w:pStyle w:val="104"/>
              <w:widowControl w:val="0"/>
              <w:adjustRightInd w:val="0"/>
              <w:snapToGrid w:val="0"/>
              <w:spacing w:line="360" w:lineRule="auto"/>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⑤</w:t>
            </w:r>
            <w:r>
              <w:rPr>
                <w:rFonts w:hint="eastAsia" w:ascii="Times New Roman" w:hAnsi="Times New Roman" w:eastAsia="宋体" w:cs="Times New Roman"/>
                <w:color w:val="0000FF"/>
                <w:sz w:val="24"/>
              </w:rPr>
              <w:t>油漆</w:t>
            </w:r>
            <w:r>
              <w:rPr>
                <w:rFonts w:ascii="Times New Roman" w:hAnsi="Times New Roman" w:eastAsia="宋体" w:cs="Times New Roman"/>
                <w:color w:val="0000FF"/>
                <w:sz w:val="24"/>
              </w:rPr>
              <w:t>仓库地面须铺设防油渗透扩散的材料，并设置围堰，规范管理，树立安全警示标志、严禁吸烟、明火等，配备灭火器材，杜绝事故发生。化学品入库时应严格检验物品数量、包装情况、有无泄漏。化学品进存储场所的后应采取适当的养护措施，在贮存期内、定期检查，若发现品质变化、包装破损、渗漏，出现跑冒、滴、漏等情况时应及时处理。化学品仓库应该加强火源管理和其他方面的管理，严禁烟火，应该防止机械（撞击、摩擦）着火源，加强通风。化学品仓库必须保持干燥，室温应在35℃以下，并有相应的防火安全措施。一旦发生化学品泄漏，迅速撤离泄漏污染区人员至安全区，并进行隔离，严格限制出入，切断火源。建议应急处理人员戴自给正压式呼吸器，穿消防防护服。尽可能切断泄漏源，防止进入下水道、排洪沟等限制性空间。</w:t>
            </w:r>
          </w:p>
          <w:p w14:paraId="797A8FC7">
            <w:pPr>
              <w:widowControl w:val="0"/>
              <w:spacing w:line="360" w:lineRule="auto"/>
              <w:ind w:firstLine="480" w:firstLineChars="200"/>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⑥</w:t>
            </w:r>
            <w:r>
              <w:rPr>
                <w:rFonts w:ascii="Times New Roman" w:hAnsi="Times New Roman" w:eastAsia="宋体" w:cs="Times New Roman"/>
                <w:color w:val="0000FF"/>
                <w:sz w:val="24"/>
              </w:rPr>
              <w:t>废气处理工艺尽可能采用自动化控制系统，使系统更加易于控制，同时应设自动监控仪表。定期对废气处理系统进行维护和检修，而不是等设备出现故障再进行修理，良好的维护可使环保设备常处于较好的运行状态，可延长设备的使用寿命、减小故障概率，避免和减少污染事故发生。当自控仪表监测到废气的排放不符合排放标准时，工作人员应立即停止生产，阻断污染源，随即检查废气处理装置发生的问题并维修，通过专人检查、维修等尽快将问题妥善解决，保证处理效率并避免大量未经过处理后的废气排入大气中，对周边环境造成影响。</w:t>
            </w:r>
          </w:p>
          <w:p w14:paraId="2275D675">
            <w:pPr>
              <w:widowControl w:val="0"/>
              <w:spacing w:line="360" w:lineRule="auto"/>
              <w:ind w:firstLine="480" w:firstLineChars="200"/>
              <w:jc w:val="both"/>
              <w:rPr>
                <w:rFonts w:ascii="Times New Roman" w:hAnsi="Times New Roman" w:eastAsia="宋体" w:cs="Times New Roman"/>
                <w:color w:val="0000FF"/>
                <w:sz w:val="24"/>
              </w:rPr>
            </w:pPr>
            <w:r>
              <w:rPr>
                <w:rFonts w:hint="eastAsia" w:ascii="Times New Roman" w:hAnsi="Times New Roman" w:cs="Times New Roman"/>
                <w:color w:val="0000FF"/>
                <w:sz w:val="24"/>
                <w:lang w:eastAsia="zh-CN"/>
              </w:rPr>
              <w:t>⑦</w:t>
            </w:r>
            <w:r>
              <w:rPr>
                <w:rFonts w:ascii="Times New Roman" w:hAnsi="Times New Roman" w:eastAsia="宋体" w:cs="Times New Roman"/>
                <w:color w:val="0000FF"/>
                <w:sz w:val="24"/>
              </w:rPr>
              <w:t>发生安全事故后，对周围环境有着难以弥补的损害，所以在</w:t>
            </w:r>
            <w:r>
              <w:rPr>
                <w:rFonts w:hint="eastAsia" w:ascii="宋体" w:hAnsi="宋体" w:eastAsia="宋体" w:cs="宋体"/>
                <w:color w:val="0000FF"/>
                <w:sz w:val="24"/>
              </w:rPr>
              <w:t>贯彻“安全第一，预防为主”的</w:t>
            </w:r>
            <w:r>
              <w:rPr>
                <w:rFonts w:ascii="Times New Roman" w:hAnsi="Times New Roman" w:eastAsia="宋体" w:cs="Times New Roman"/>
                <w:color w:val="0000FF"/>
                <w:sz w:val="24"/>
              </w:rPr>
              <w:t>方针同时，应树立环境风险意识，强化环境风险责任。本项目运营期应对操作和管理人员的技术水平从严要求，上岗之前必须参加培训，培训不合格严禁上岗。</w:t>
            </w:r>
          </w:p>
          <w:p w14:paraId="56483100">
            <w:pPr>
              <w:widowControl w:val="0"/>
              <w:spacing w:line="360" w:lineRule="auto"/>
              <w:ind w:firstLine="480" w:firstLineChars="200"/>
              <w:jc w:val="both"/>
              <w:rPr>
                <w:rFonts w:hint="eastAsia"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综上所述，本项目中物质可能产生的风险，通过采取以上的风险防范措施和制定相应的应急预案，项目风险程度可以降到最低，不会危害周边环境和人体健康，可满足环境风险的防范要求。</w:t>
            </w:r>
          </w:p>
          <w:p w14:paraId="5662CB23">
            <w:pPr>
              <w:widowControl w:val="0"/>
              <w:spacing w:line="360" w:lineRule="auto"/>
              <w:ind w:firstLine="480" w:firstLineChars="200"/>
              <w:jc w:val="both"/>
              <w:rPr>
                <w:rFonts w:ascii="Times New Roman" w:hAnsi="Times New Roman" w:eastAsia="宋体" w:cs="Times New Roman"/>
                <w:color w:val="0000FF"/>
                <w:sz w:val="24"/>
              </w:rPr>
            </w:pPr>
            <w:r>
              <w:rPr>
                <w:rFonts w:hint="eastAsia" w:ascii="Times New Roman" w:hAnsi="Times New Roman" w:eastAsia="宋体" w:cs="Times New Roman"/>
                <w:color w:val="0000FF"/>
                <w:sz w:val="24"/>
              </w:rPr>
              <w:t>（</w:t>
            </w:r>
            <w:r>
              <w:rPr>
                <w:rFonts w:hint="eastAsia" w:cs="Times New Roman"/>
                <w:color w:val="0000FF"/>
                <w:sz w:val="24"/>
                <w:lang w:eastAsia="zh-CN"/>
              </w:rPr>
              <w:t>2</w:t>
            </w:r>
            <w:r>
              <w:rPr>
                <w:rFonts w:hint="eastAsia" w:ascii="Times New Roman" w:hAnsi="Times New Roman" w:eastAsia="宋体" w:cs="Times New Roman"/>
                <w:color w:val="0000FF"/>
                <w:sz w:val="24"/>
              </w:rPr>
              <w:t>）</w:t>
            </w:r>
            <w:r>
              <w:rPr>
                <w:rFonts w:hint="eastAsia" w:cs="Times New Roman"/>
                <w:color w:val="0000FF"/>
                <w:sz w:val="24"/>
                <w:lang w:val="en-US" w:eastAsia="zh-CN"/>
              </w:rPr>
              <w:t>应急要求</w:t>
            </w:r>
            <w:r>
              <w:rPr>
                <w:rFonts w:hint="default" w:cs="Times New Roman"/>
                <w:color w:val="0000FF"/>
                <w:sz w:val="24"/>
                <w:lang w:val="en-US" w:eastAsia="zh-CN"/>
              </w:rPr>
              <w:t>——</w:t>
            </w:r>
            <w:r>
              <w:rPr>
                <w:rFonts w:hint="eastAsia" w:ascii="Times New Roman" w:hAnsi="Times New Roman" w:eastAsia="宋体" w:cs="Times New Roman"/>
                <w:color w:val="0000FF"/>
                <w:sz w:val="24"/>
              </w:rPr>
              <w:t>事故池容积计算</w:t>
            </w:r>
          </w:p>
          <w:p w14:paraId="7774321B">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本项目生产废水主要是</w:t>
            </w:r>
            <w:r>
              <w:rPr>
                <w:rFonts w:hint="eastAsia" w:cs="Times New Roman"/>
                <w:color w:val="0000FF"/>
                <w:kern w:val="0"/>
                <w:sz w:val="24"/>
                <w:lang w:val="en-US" w:eastAsia="zh-CN"/>
              </w:rPr>
              <w:t>超声波清洗</w:t>
            </w:r>
            <w:r>
              <w:rPr>
                <w:rFonts w:hint="eastAsia" w:ascii="Times New Roman" w:hAnsi="Times New Roman" w:eastAsia="宋体" w:cs="Times New Roman"/>
                <w:color w:val="0000FF"/>
                <w:kern w:val="0"/>
                <w:sz w:val="24"/>
              </w:rPr>
              <w:t>废水，经厂区</w:t>
            </w:r>
            <w:r>
              <w:rPr>
                <w:rFonts w:hint="eastAsia" w:cs="Times New Roman"/>
                <w:color w:val="0000FF"/>
                <w:kern w:val="0"/>
                <w:sz w:val="24"/>
                <w:lang w:eastAsia="zh-CN"/>
              </w:rPr>
              <w:t>一</w:t>
            </w:r>
            <w:r>
              <w:rPr>
                <w:rFonts w:hint="eastAsia" w:cs="Times New Roman"/>
                <w:color w:val="0000FF"/>
                <w:kern w:val="0"/>
                <w:sz w:val="24"/>
                <w:lang w:val="en-US" w:eastAsia="zh-CN"/>
              </w:rPr>
              <w:t>体化污水处理设施处理后与经预处理的生活污水混合后纳入高安市工业园污水处理厂进行深度处理</w:t>
            </w:r>
            <w:r>
              <w:rPr>
                <w:rFonts w:hint="eastAsia" w:ascii="Times New Roman" w:hAnsi="Times New Roman" w:eastAsia="宋体" w:cs="Times New Roman"/>
                <w:color w:val="0000FF"/>
                <w:kern w:val="0"/>
                <w:sz w:val="24"/>
              </w:rPr>
              <w:t>。为避免事故状态下消防废水及其他排水的收集需求，根据环发〔2012〕77号文要求。项目按照《化工建设项目环境保护工程设计标准》（GBT50483-2019）中应急事故水池设计要求，计算项目事故应急池总有效容积：</w:t>
            </w:r>
          </w:p>
          <w:p w14:paraId="2E355EFB">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1）计算公式</w:t>
            </w:r>
          </w:p>
          <w:p w14:paraId="62E6DA39">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参考中国石化集团公司《水体污染防控紧急措施设计导则》，事故储池总有效容积按下式计算：</w:t>
            </w:r>
          </w:p>
          <w:p w14:paraId="3482A86D">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V=(V1+V2-V3)max+V4+V5</w:t>
            </w:r>
          </w:p>
          <w:p w14:paraId="057866FE">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式中：(V1+V2-V3)max-－指对收集系统范围内不同罐组或装置分别计算</w:t>
            </w:r>
          </w:p>
          <w:p w14:paraId="68ECB799">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V1+V2-V3，取其中最大值。</w:t>
            </w:r>
          </w:p>
          <w:p w14:paraId="3F2F0E8E">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V1－收集系统范围内发生事故的一个罐组或一套装置的物料量；</w:t>
            </w:r>
          </w:p>
          <w:p w14:paraId="02C64995">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V2－收集事故的储罐或装置的消防水量，m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27335FA1">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V3－发生事故时可以传输到其他储存系统或处理设施的物料量，m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3C4AF818">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V4－发生事故时仍然必须进入该收集系统的废水量，m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56D93371">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V5－发生事故时可能进入该收集系统的降雨量，m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49D9D8B7">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2）参数计算</w:t>
            </w:r>
          </w:p>
          <w:p w14:paraId="6077AA3A">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V1</w:t>
            </w:r>
            <w:r>
              <w:rPr>
                <w:rFonts w:hint="eastAsia" w:cs="Times New Roman"/>
                <w:color w:val="0000FF"/>
                <w:kern w:val="0"/>
                <w:sz w:val="24"/>
                <w:lang w:val="en-US" w:eastAsia="zh-CN"/>
              </w:rPr>
              <w:t>为污水排放量，V1=</w:t>
            </w:r>
            <w:r>
              <w:rPr>
                <w:rFonts w:hint="eastAsia" w:ascii="Times New Roman" w:hAnsi="Times New Roman" w:eastAsia="宋体" w:cs="Times New Roman"/>
                <w:color w:val="0000FF"/>
                <w:kern w:val="0"/>
                <w:sz w:val="24"/>
              </w:rPr>
              <w:t>2</w:t>
            </w:r>
            <w:r>
              <w:rPr>
                <w:rFonts w:hint="eastAsia" w:cs="Times New Roman"/>
                <w:color w:val="0000FF"/>
                <w:kern w:val="0"/>
                <w:sz w:val="24"/>
                <w:lang w:val="en-US" w:eastAsia="zh-CN"/>
              </w:rPr>
              <w:t>4</w:t>
            </w:r>
            <w:r>
              <w:rPr>
                <w:rFonts w:hint="eastAsia" w:ascii="Times New Roman" w:hAnsi="Times New Roman" w:eastAsia="宋体" w:cs="Times New Roman"/>
                <w:color w:val="0000FF"/>
                <w:kern w:val="0"/>
                <w:sz w:val="24"/>
              </w:rPr>
              <w:t>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1B52093E">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V2</w:t>
            </w:r>
            <w:r>
              <w:rPr>
                <w:rFonts w:hint="eastAsia" w:cs="Times New Roman"/>
                <w:color w:val="0000FF"/>
                <w:kern w:val="0"/>
                <w:sz w:val="24"/>
                <w:lang w:eastAsia="zh-CN"/>
              </w:rPr>
              <w:t>：</w:t>
            </w:r>
            <w:r>
              <w:rPr>
                <w:rFonts w:hint="eastAsia" w:ascii="Times New Roman" w:hAnsi="Times New Roman" w:eastAsia="宋体" w:cs="Times New Roman"/>
                <w:color w:val="0000FF"/>
                <w:kern w:val="0"/>
                <w:sz w:val="24"/>
              </w:rPr>
              <w:t>为保证安全，生产车间火灾危险性等级为</w:t>
            </w:r>
            <w:r>
              <w:rPr>
                <w:rFonts w:hint="eastAsia" w:cs="Times New Roman"/>
                <w:color w:val="0000FF"/>
                <w:kern w:val="0"/>
                <w:sz w:val="24"/>
                <w:lang w:val="en-US" w:eastAsia="zh-CN"/>
              </w:rPr>
              <w:t>乙</w:t>
            </w:r>
            <w:r>
              <w:rPr>
                <w:rFonts w:hint="eastAsia" w:ascii="Times New Roman" w:hAnsi="Times New Roman" w:eastAsia="宋体" w:cs="Times New Roman"/>
                <w:color w:val="0000FF"/>
                <w:kern w:val="0"/>
                <w:sz w:val="24"/>
              </w:rPr>
              <w:t>级。根据《消防给水及消火栓系统技术规范》（GB50974-2014），室外消火栓设计流量为15L/s，火灾持续时间2小时，则V2</w:t>
            </w:r>
            <w:r>
              <w:rPr>
                <w:rFonts w:hint="eastAsia" w:cs="Times New Roman"/>
                <w:color w:val="0000FF"/>
                <w:kern w:val="0"/>
                <w:sz w:val="24"/>
                <w:lang w:eastAsia="zh-CN"/>
              </w:rPr>
              <w:t>=</w:t>
            </w:r>
            <w:r>
              <w:rPr>
                <w:rFonts w:hint="eastAsia" w:ascii="Times New Roman" w:hAnsi="Times New Roman" w:eastAsia="宋体" w:cs="Times New Roman"/>
                <w:color w:val="0000FF"/>
                <w:kern w:val="0"/>
                <w:sz w:val="24"/>
              </w:rPr>
              <w:t>108m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72B984AE">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V3</w:t>
            </w:r>
            <w:r>
              <w:rPr>
                <w:rFonts w:hint="eastAsia" w:cs="Times New Roman"/>
                <w:color w:val="0000FF"/>
                <w:kern w:val="0"/>
                <w:sz w:val="24"/>
                <w:lang w:eastAsia="zh-CN"/>
              </w:rPr>
              <w:t>：</w:t>
            </w:r>
            <w:r>
              <w:rPr>
                <w:rFonts w:hint="eastAsia" w:ascii="Times New Roman" w:hAnsi="Times New Roman" w:eastAsia="宋体" w:cs="Times New Roman"/>
                <w:color w:val="0000FF"/>
                <w:kern w:val="0"/>
                <w:sz w:val="24"/>
              </w:rPr>
              <w:t>发生事故时可以转输到其他储存或处理设施的物料量，无。</w:t>
            </w:r>
          </w:p>
          <w:p w14:paraId="1E947011">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V4</w:t>
            </w:r>
            <w:r>
              <w:rPr>
                <w:rFonts w:hint="eastAsia" w:cs="Times New Roman"/>
                <w:color w:val="0000FF"/>
                <w:kern w:val="0"/>
                <w:sz w:val="24"/>
                <w:lang w:eastAsia="zh-CN"/>
              </w:rPr>
              <w:t>：</w:t>
            </w:r>
            <w:r>
              <w:rPr>
                <w:rFonts w:hint="eastAsia" w:ascii="Times New Roman" w:hAnsi="Times New Roman" w:eastAsia="宋体" w:cs="Times New Roman"/>
                <w:color w:val="0000FF"/>
                <w:kern w:val="0"/>
                <w:sz w:val="24"/>
              </w:rPr>
              <w:t>必须进入该收集系统的废水量</w:t>
            </w:r>
            <w:r>
              <w:rPr>
                <w:rFonts w:hint="eastAsia" w:cs="Times New Roman"/>
                <w:color w:val="0000FF"/>
                <w:kern w:val="0"/>
                <w:sz w:val="24"/>
                <w:lang w:eastAsia="zh-CN"/>
              </w:rPr>
              <w:t>，</w:t>
            </w:r>
            <w:r>
              <w:rPr>
                <w:rFonts w:hint="eastAsia" w:cs="Times New Roman"/>
                <w:color w:val="0000FF"/>
                <w:kern w:val="0"/>
                <w:sz w:val="24"/>
                <w:lang w:val="en-US" w:eastAsia="zh-CN"/>
              </w:rPr>
              <w:t>无</w:t>
            </w:r>
            <w:r>
              <w:rPr>
                <w:rFonts w:hint="eastAsia" w:ascii="Times New Roman" w:hAnsi="Times New Roman" w:eastAsia="宋体" w:cs="Times New Roman"/>
                <w:color w:val="0000FF"/>
                <w:kern w:val="0"/>
                <w:sz w:val="24"/>
              </w:rPr>
              <w:t>。</w:t>
            </w:r>
          </w:p>
          <w:p w14:paraId="530A0132">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V5</w:t>
            </w:r>
            <w:r>
              <w:rPr>
                <w:rFonts w:hint="eastAsia" w:cs="Times New Roman"/>
                <w:color w:val="0000FF"/>
                <w:kern w:val="0"/>
                <w:sz w:val="24"/>
                <w:lang w:eastAsia="zh-CN"/>
              </w:rPr>
              <w:t>：</w:t>
            </w:r>
            <w:r>
              <w:rPr>
                <w:rFonts w:hint="eastAsia" w:ascii="Times New Roman" w:hAnsi="Times New Roman" w:eastAsia="宋体" w:cs="Times New Roman"/>
                <w:color w:val="0000FF"/>
                <w:kern w:val="0"/>
                <w:sz w:val="24"/>
              </w:rPr>
              <w:t>企业初期雨水单独设置初期雨水池收集初期雨水，无可能进入该收集系统的降雨量。</w:t>
            </w:r>
          </w:p>
          <w:p w14:paraId="384D3F17">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⑥事故池池容积</w:t>
            </w:r>
          </w:p>
          <w:p w14:paraId="48E741A4">
            <w:pPr>
              <w:widowControl w:val="0"/>
              <w:adjustRightInd w:val="0"/>
              <w:snapToGrid w:val="0"/>
              <w:spacing w:line="360" w:lineRule="auto"/>
              <w:ind w:firstLine="480" w:firstLineChars="200"/>
              <w:jc w:val="both"/>
              <w:rPr>
                <w:rFonts w:ascii="Times New Roman" w:hAnsi="Times New Roman" w:eastAsia="宋体" w:cs="Times New Roman"/>
                <w:color w:val="0000FF"/>
                <w:kern w:val="0"/>
                <w:sz w:val="24"/>
              </w:rPr>
            </w:pPr>
            <w:r>
              <w:rPr>
                <w:rFonts w:hint="eastAsia" w:ascii="Times New Roman" w:hAnsi="Times New Roman" w:eastAsia="宋体" w:cs="Times New Roman"/>
                <w:color w:val="0000FF"/>
                <w:kern w:val="0"/>
                <w:sz w:val="24"/>
              </w:rPr>
              <w:t>经计算，本项目事故池容积</w:t>
            </w:r>
            <w:r>
              <w:rPr>
                <w:rFonts w:hint="eastAsia" w:cs="Times New Roman"/>
                <w:color w:val="0000FF"/>
                <w:kern w:val="0"/>
                <w:sz w:val="24"/>
                <w:lang w:eastAsia="zh-CN"/>
              </w:rPr>
              <w:t>1</w:t>
            </w:r>
            <w:r>
              <w:rPr>
                <w:rFonts w:hint="eastAsia" w:cs="Times New Roman"/>
                <w:color w:val="0000FF"/>
                <w:kern w:val="0"/>
                <w:sz w:val="24"/>
                <w:lang w:val="en-US" w:eastAsia="zh-CN"/>
              </w:rPr>
              <w:t>32</w:t>
            </w:r>
            <w:r>
              <w:rPr>
                <w:rFonts w:hint="eastAsia" w:ascii="Times New Roman" w:hAnsi="Times New Roman" w:eastAsia="宋体" w:cs="Times New Roman"/>
                <w:color w:val="0000FF"/>
                <w:kern w:val="0"/>
                <w:sz w:val="24"/>
              </w:rPr>
              <w:t>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，因此，本项目设置事故池容积为1</w:t>
            </w:r>
            <w:r>
              <w:rPr>
                <w:rFonts w:hint="eastAsia" w:cs="Times New Roman"/>
                <w:color w:val="0000FF"/>
                <w:kern w:val="0"/>
                <w:sz w:val="24"/>
                <w:lang w:eastAsia="zh-CN"/>
              </w:rPr>
              <w:t>35</w:t>
            </w:r>
            <w:r>
              <w:rPr>
                <w:rFonts w:hint="eastAsia" w:ascii="Times New Roman" w:hAnsi="Times New Roman" w:eastAsia="宋体" w:cs="Times New Roman"/>
                <w:color w:val="0000FF"/>
                <w:kern w:val="0"/>
                <w:sz w:val="24"/>
              </w:rPr>
              <w:t>m</w:t>
            </w:r>
            <w:r>
              <w:rPr>
                <w:rFonts w:hint="eastAsia" w:ascii="Times New Roman" w:hAnsi="Times New Roman" w:eastAsia="宋体" w:cs="Times New Roman"/>
                <w:color w:val="0000FF"/>
                <w:kern w:val="0"/>
                <w:sz w:val="24"/>
                <w:vertAlign w:val="superscript"/>
              </w:rPr>
              <w:t>3</w:t>
            </w:r>
            <w:r>
              <w:rPr>
                <w:rFonts w:hint="eastAsia" w:ascii="Times New Roman" w:hAnsi="Times New Roman" w:eastAsia="宋体" w:cs="Times New Roman"/>
                <w:color w:val="0000FF"/>
                <w:kern w:val="0"/>
                <w:sz w:val="24"/>
              </w:rPr>
              <w:t>。</w:t>
            </w:r>
          </w:p>
          <w:p w14:paraId="3051E354">
            <w:pPr>
              <w:keepNext w:val="0"/>
              <w:keepLines w:val="0"/>
              <w:suppressLineNumbers w:val="0"/>
              <w:autoSpaceDE w:val="0"/>
              <w:autoSpaceDN w:val="0"/>
              <w:adjustRightInd w:val="0"/>
              <w:spacing w:before="0" w:beforeAutospacing="0" w:after="0" w:afterAutospacing="0" w:line="360" w:lineRule="auto"/>
              <w:ind w:right="0" w:firstLine="480" w:firstLineChars="200"/>
              <w:rPr>
                <w:rFonts w:hint="default" w:ascii="Times New Roman" w:hAnsi="Times New Roman" w:eastAsia="宋体" w:cs="Times New Roman"/>
                <w:b w:val="0"/>
                <w:bCs w:val="0"/>
                <w:color w:val="auto"/>
                <w:sz w:val="24"/>
                <w:szCs w:val="32"/>
                <w:highlight w:val="none"/>
                <w:lang w:eastAsia="zh-CN"/>
              </w:rPr>
            </w:pPr>
            <w:r>
              <w:rPr>
                <w:rFonts w:hint="eastAsia" w:cs="Times New Roman"/>
                <w:b w:val="0"/>
                <w:bCs w:val="0"/>
                <w:color w:val="auto"/>
                <w:sz w:val="24"/>
                <w:szCs w:val="32"/>
                <w:highlight w:val="none"/>
                <w:lang w:val="en-US" w:eastAsia="zh-CN"/>
              </w:rPr>
              <w:t>6、</w:t>
            </w:r>
            <w:r>
              <w:rPr>
                <w:rFonts w:hint="default" w:ascii="Times New Roman" w:hAnsi="Times New Roman" w:eastAsia="宋体" w:cs="Times New Roman"/>
                <w:b w:val="0"/>
                <w:bCs w:val="0"/>
                <w:color w:val="auto"/>
                <w:sz w:val="24"/>
                <w:szCs w:val="32"/>
                <w:highlight w:val="none"/>
              </w:rPr>
              <w:t>分析结论</w:t>
            </w:r>
          </w:p>
          <w:p w14:paraId="129C2690">
            <w:pPr>
              <w:keepNext w:val="0"/>
              <w:keepLines w:val="0"/>
              <w:suppressLineNumbers w:val="0"/>
              <w:spacing w:before="0" w:beforeAutospacing="0" w:after="0" w:afterAutospacing="0" w:line="360" w:lineRule="auto"/>
              <w:ind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在落实风险防范措施及应急预案的前提下，从环境风险角度评价，项目建设是可行的。</w:t>
            </w:r>
          </w:p>
          <w:p w14:paraId="0F49513B">
            <w:pPr>
              <w:keepNext/>
              <w:keepLines w:val="0"/>
              <w:pageBreakBefore w:val="0"/>
              <w:widowControl w:val="0"/>
              <w:numPr>
                <w:ilvl w:val="0"/>
                <w:numId w:val="0"/>
              </w:numPr>
              <w:kinsoku/>
              <w:wordWrap/>
              <w:overflowPunct/>
              <w:topLinePunct w:val="0"/>
              <w:autoSpaceDE/>
              <w:autoSpaceDN/>
              <w:bidi w:val="0"/>
              <w:adjustRightInd w:val="0"/>
              <w:snapToGrid/>
              <w:spacing w:before="157" w:beforeLines="50" w:beforeAutospacing="0" w:afterAutospacing="0"/>
              <w:ind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表4-</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5</w:t>
            </w:r>
            <w:r>
              <w:rPr>
                <w:rFonts w:hint="default" w:ascii="Times New Roman" w:hAnsi="Times New Roman" w:eastAsia="宋体" w:cs="Times New Roman"/>
                <w:b/>
                <w:bCs/>
                <w:color w:val="auto"/>
                <w:highlight w:val="none"/>
                <w:lang w:val="en-US" w:eastAsia="zh-CN"/>
              </w:rPr>
              <w:t xml:space="preserve"> 建设项目环境风险简单分析内容表</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5845"/>
            </w:tblGrid>
            <w:tr w14:paraId="45B43B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064853E8">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建设项目名称</w:t>
                  </w:r>
                </w:p>
              </w:tc>
              <w:tc>
                <w:tcPr>
                  <w:tcW w:w="3615" w:type="pct"/>
                  <w:tcBorders>
                    <w:tl2br w:val="nil"/>
                    <w:tr2bl w:val="nil"/>
                  </w:tcBorders>
                  <w:noWrap w:val="0"/>
                  <w:vAlign w:val="center"/>
                </w:tcPr>
                <w:p w14:paraId="6739009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江西瑞鼎精密传动有限公司AB/AF/AD行星减速机技术改造项目</w:t>
                  </w:r>
                </w:p>
              </w:tc>
            </w:tr>
            <w:tr w14:paraId="465ED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5EB949E4">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建设地点</w:t>
                  </w:r>
                </w:p>
              </w:tc>
              <w:tc>
                <w:tcPr>
                  <w:tcW w:w="3615" w:type="pct"/>
                  <w:tcBorders>
                    <w:tl2br w:val="nil"/>
                    <w:tr2bl w:val="nil"/>
                  </w:tcBorders>
                  <w:noWrap w:val="0"/>
                  <w:vAlign w:val="center"/>
                </w:tcPr>
                <w:p w14:paraId="4E9EAE88">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江西高安高新技术产业园</w:t>
                  </w:r>
                </w:p>
              </w:tc>
            </w:tr>
            <w:tr w14:paraId="10C03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446F2DE5">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地理坐标</w:t>
                  </w:r>
                </w:p>
              </w:tc>
              <w:tc>
                <w:tcPr>
                  <w:tcW w:w="3615" w:type="pct"/>
                  <w:tcBorders>
                    <w:tl2br w:val="nil"/>
                    <w:tr2bl w:val="nil"/>
                  </w:tcBorders>
                  <w:noWrap w:val="0"/>
                  <w:vAlign w:val="center"/>
                </w:tcPr>
                <w:p w14:paraId="6042AFD2">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lang w:val="en-US" w:eastAsia="zh-CN"/>
                    </w:rPr>
                    <w:t>东经</w:t>
                  </w:r>
                  <w:r>
                    <w:rPr>
                      <w:rFonts w:hint="eastAsia" w:cs="Times New Roman"/>
                      <w:color w:val="auto"/>
                      <w:sz w:val="21"/>
                      <w:szCs w:val="21"/>
                      <w:highlight w:val="none"/>
                      <w:lang w:val="en-US" w:eastAsia="zh-CN"/>
                    </w:rPr>
                    <w:t>115°23′48.689″</w:t>
                  </w:r>
                  <w:r>
                    <w:rPr>
                      <w:rFonts w:hint="default" w:ascii="Times New Roman" w:hAnsi="Times New Roman" w:eastAsia="宋体" w:cs="Times New Roman"/>
                      <w:color w:val="auto"/>
                      <w:sz w:val="21"/>
                      <w:szCs w:val="21"/>
                      <w:highlight w:val="none"/>
                      <w:lang w:val="en-US" w:eastAsia="zh-CN"/>
                    </w:rPr>
                    <w:t>，北纬</w:t>
                  </w:r>
                  <w:r>
                    <w:rPr>
                      <w:rFonts w:hint="eastAsia" w:cs="Times New Roman"/>
                      <w:color w:val="auto"/>
                      <w:sz w:val="21"/>
                      <w:szCs w:val="21"/>
                      <w:highlight w:val="none"/>
                      <w:lang w:val="en-US" w:eastAsia="zh-CN"/>
                    </w:rPr>
                    <w:t>28°28′2.974″</w:t>
                  </w:r>
                </w:p>
              </w:tc>
            </w:tr>
            <w:tr w14:paraId="65C85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70C2E7C4">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主要危险物质及分布</w:t>
                  </w:r>
                </w:p>
              </w:tc>
              <w:tc>
                <w:tcPr>
                  <w:tcW w:w="3615" w:type="pct"/>
                  <w:tcBorders>
                    <w:tl2br w:val="nil"/>
                    <w:tr2bl w:val="nil"/>
                  </w:tcBorders>
                  <w:noWrap w:val="0"/>
                  <w:vAlign w:val="center"/>
                </w:tcPr>
                <w:p w14:paraId="72D5544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主要危险物质：</w:t>
                  </w:r>
                  <w:r>
                    <w:rPr>
                      <w:rFonts w:hint="eastAsia" w:cs="Times New Roman"/>
                      <w:color w:val="auto"/>
                      <w:highlight w:val="none"/>
                      <w:lang w:val="en-US" w:eastAsia="zh-CN"/>
                    </w:rPr>
                    <w:t>油漆、危废</w:t>
                  </w:r>
                </w:p>
              </w:tc>
            </w:tr>
            <w:tr w14:paraId="316C53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31963F6B">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环境影响途径及危害后果（大气、地表水、地下水等）</w:t>
                  </w:r>
                </w:p>
              </w:tc>
              <w:tc>
                <w:tcPr>
                  <w:tcW w:w="3615" w:type="pct"/>
                  <w:tcBorders>
                    <w:tl2br w:val="nil"/>
                    <w:tr2bl w:val="nil"/>
                  </w:tcBorders>
                  <w:noWrap w:val="0"/>
                  <w:vAlign w:val="center"/>
                </w:tcPr>
                <w:p w14:paraId="53B1DAF8">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油漆、稀释剂</w:t>
                  </w:r>
                  <w:r>
                    <w:rPr>
                      <w:rFonts w:hint="default" w:ascii="Times New Roman" w:hAnsi="Times New Roman" w:eastAsia="宋体" w:cs="Times New Roman"/>
                      <w:color w:val="auto"/>
                      <w:sz w:val="21"/>
                      <w:szCs w:val="21"/>
                      <w:highlight w:val="none"/>
                      <w:lang w:val="en-US" w:eastAsia="zh-CN"/>
                    </w:rPr>
                    <w:t>、机油、切削液、油泥、废切削液、废机油、漆渣、废活性炭泄</w:t>
                  </w:r>
                  <w:r>
                    <w:rPr>
                      <w:rFonts w:hint="eastAsia" w:cs="Times New Roman"/>
                      <w:color w:val="auto"/>
                      <w:sz w:val="21"/>
                      <w:szCs w:val="21"/>
                      <w:highlight w:val="none"/>
                      <w:lang w:val="en-US" w:eastAsia="zh-CN"/>
                    </w:rPr>
                    <w:t>漏</w:t>
                  </w:r>
                  <w:r>
                    <w:rPr>
                      <w:rFonts w:hint="default" w:ascii="Times New Roman" w:hAnsi="Times New Roman" w:eastAsia="宋体" w:cs="Times New Roman"/>
                      <w:color w:val="auto"/>
                      <w:sz w:val="21"/>
                      <w:szCs w:val="21"/>
                      <w:highlight w:val="none"/>
                    </w:rPr>
                    <w:t>事故可能会对厂区员工及周围人群健造成危害</w:t>
                  </w:r>
                  <w:r>
                    <w:rPr>
                      <w:rFonts w:hint="default" w:ascii="Times New Roman" w:hAnsi="Times New Roman" w:eastAsia="宋体" w:cs="Times New Roman"/>
                      <w:color w:val="auto"/>
                      <w:sz w:val="21"/>
                      <w:szCs w:val="21"/>
                      <w:highlight w:val="none"/>
                      <w:lang w:val="en-US" w:eastAsia="zh-CN"/>
                    </w:rPr>
                    <w:t>，污染物通过雨水管网、地表径流污染地表水，或通过渗入厂区绿化带进而污染地表水、地下水、土壤环境。</w:t>
                  </w:r>
                </w:p>
              </w:tc>
            </w:tr>
            <w:tr w14:paraId="2A7FA2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84" w:type="pct"/>
                  <w:tcBorders>
                    <w:tl2br w:val="nil"/>
                    <w:tr2bl w:val="nil"/>
                  </w:tcBorders>
                  <w:noWrap w:val="0"/>
                  <w:vAlign w:val="center"/>
                </w:tcPr>
                <w:p w14:paraId="58AF2BF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风险防范措施要求</w:t>
                  </w:r>
                </w:p>
              </w:tc>
              <w:tc>
                <w:tcPr>
                  <w:tcW w:w="3615" w:type="pct"/>
                  <w:tcBorders>
                    <w:tl2br w:val="nil"/>
                    <w:tr2bl w:val="nil"/>
                  </w:tcBorders>
                  <w:noWrap w:val="0"/>
                  <w:vAlign w:val="center"/>
                </w:tcPr>
                <w:p w14:paraId="108B6749">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（1）储存于阴凉、通风仓间内。仓库内温度不宜超过30℃；</w:t>
                  </w:r>
                </w:p>
                <w:p w14:paraId="299FDD05">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（2）防止阳光直射，保持容器密封；</w:t>
                  </w:r>
                </w:p>
                <w:p w14:paraId="2C9ECAA5">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（3）应与氧气、压缩空气、氧化剂等分开存放；</w:t>
                  </w:r>
                </w:p>
                <w:p w14:paraId="0D965EEE">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（4）储存间内的照明、通风等设施应采用防爆型，开关设在仓外，配备相应品种和数量的消防器材；</w:t>
                  </w:r>
                </w:p>
                <w:p w14:paraId="51BC8C7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（5）禁止使用易产生火花的机械设备和工具。搬运时要轻装轻卸，防止包装及容器损坏；</w:t>
                  </w:r>
                </w:p>
                <w:p w14:paraId="7BC9B8DA">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（6）为及时发生</w:t>
                  </w:r>
                  <w:r>
                    <w:rPr>
                      <w:rFonts w:hint="eastAsia" w:cs="Times New Roman"/>
                      <w:color w:val="auto"/>
                      <w:highlight w:val="none"/>
                      <w:lang w:val="en-US" w:eastAsia="zh-CN"/>
                    </w:rPr>
                    <w:t>泄漏</w:t>
                  </w:r>
                  <w:r>
                    <w:rPr>
                      <w:rFonts w:hint="default" w:ascii="Times New Roman" w:hAnsi="Times New Roman" w:eastAsia="宋体" w:cs="Times New Roman"/>
                      <w:color w:val="auto"/>
                      <w:highlight w:val="none"/>
                      <w:lang w:val="en-US" w:eastAsia="zh-CN"/>
                    </w:rPr>
                    <w:t>，应安装</w:t>
                  </w:r>
                  <w:r>
                    <w:rPr>
                      <w:rFonts w:hint="eastAsia" w:cs="Times New Roman"/>
                      <w:color w:val="auto"/>
                      <w:highlight w:val="none"/>
                      <w:lang w:val="en-US" w:eastAsia="zh-CN"/>
                    </w:rPr>
                    <w:t>泄漏</w:t>
                  </w:r>
                  <w:r>
                    <w:rPr>
                      <w:rFonts w:hint="default" w:ascii="Times New Roman" w:hAnsi="Times New Roman" w:eastAsia="宋体" w:cs="Times New Roman"/>
                      <w:color w:val="auto"/>
                      <w:highlight w:val="none"/>
                      <w:lang w:val="en-US" w:eastAsia="zh-CN"/>
                    </w:rPr>
                    <w:t>监控报警装置；</w:t>
                  </w:r>
                </w:p>
                <w:p w14:paraId="40BDF69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（7）操作人员每周应进行安全活动，提高职工的安全意识，识别施工发生前的异常状态，并采取相应的措施。</w:t>
                  </w:r>
                </w:p>
              </w:tc>
            </w:tr>
            <w:tr w14:paraId="69AC23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2"/>
                  <w:tcBorders>
                    <w:tl2br w:val="nil"/>
                    <w:tr2bl w:val="nil"/>
                  </w:tcBorders>
                  <w:noWrap w:val="0"/>
                  <w:vAlign w:val="center"/>
                </w:tcPr>
                <w:p w14:paraId="38AEEC0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填表说明（列出项目相关信息及评价说明）：该建设项目存在一定潜在事故风险，要加强风险管理，在项目营运过程中认真落实各种风险防范措施，通过相应的技术手段降低风险发生概率，并在风险事故发生后，及时采取风险防范措施及应急预案，可以使风险事故对环境的危害得到有效控制，将事故风险控制在可以接受的范围内。</w:t>
                  </w:r>
                </w:p>
              </w:tc>
            </w:tr>
          </w:tbl>
          <w:p w14:paraId="280F0034">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right="0" w:rightChars="0" w:firstLine="482" w:firstLineChars="200"/>
              <w:jc w:val="both"/>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七</w:t>
            </w:r>
            <w:r>
              <w:rPr>
                <w:rFonts w:hint="default" w:ascii="Times New Roman" w:hAnsi="Times New Roman" w:eastAsia="宋体" w:cs="Times New Roman"/>
                <w:b/>
                <w:bCs/>
                <w:color w:val="auto"/>
                <w:sz w:val="24"/>
                <w:szCs w:val="24"/>
                <w:highlight w:val="none"/>
                <w:lang w:eastAsia="zh-CN"/>
              </w:rPr>
              <w:t>、</w:t>
            </w:r>
            <w:bookmarkStart w:id="29" w:name="_Toc8227"/>
            <w:bookmarkStart w:id="30" w:name="_Toc23511"/>
            <w:bookmarkStart w:id="31" w:name="_Toc446487475"/>
            <w:bookmarkStart w:id="32" w:name="_Toc5657"/>
            <w:bookmarkStart w:id="33" w:name="_Toc369360964"/>
            <w:bookmarkStart w:id="34" w:name="_Toc21506"/>
            <w:bookmarkStart w:id="35" w:name="_Toc369352693"/>
            <w:bookmarkStart w:id="36" w:name="_Toc32016"/>
            <w:bookmarkStart w:id="37" w:name="_Toc23821"/>
            <w:bookmarkStart w:id="38" w:name="_Toc23307"/>
            <w:bookmarkStart w:id="39" w:name="_Toc2662"/>
            <w:bookmarkStart w:id="40" w:name="_Toc30810"/>
            <w:bookmarkStart w:id="41" w:name="_Toc376729943"/>
            <w:bookmarkStart w:id="42" w:name="_Toc8126"/>
            <w:r>
              <w:rPr>
                <w:rFonts w:hint="default" w:ascii="Times New Roman" w:hAnsi="Times New Roman" w:eastAsia="宋体" w:cs="Times New Roman"/>
                <w:b/>
                <w:bCs/>
                <w:color w:val="auto"/>
                <w:sz w:val="24"/>
                <w:szCs w:val="24"/>
                <w:highlight w:val="none"/>
                <w:lang w:eastAsia="zh-CN"/>
              </w:rPr>
              <w:t>环境保护管理</w:t>
            </w:r>
          </w:p>
          <w:p w14:paraId="3F397FE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环境管理是组成落实、检查和监督该项目的一项生产监督活动，必须纳入日常性的生产管理轨道和重要的议事日程。建设项目在建设期间和投产运营期间均对周围环境产生一定的影响，因此必须采取一定措施将不利影响减轻或消除，为此需要建立环境保护管理机构，及时掌握项目的施工或运行所造成的环境影响程度，了解环境保护措施所获取的效益，以便进行必要的调整和补充</w:t>
            </w:r>
            <w:r>
              <w:rPr>
                <w:rFonts w:hint="default" w:ascii="Times New Roman" w:hAnsi="Times New Roman" w:eastAsia="宋体" w:cs="Times New Roman"/>
                <w:color w:val="auto"/>
                <w:sz w:val="24"/>
                <w:szCs w:val="24"/>
                <w:highlight w:val="none"/>
                <w:lang w:eastAsia="zh-CN"/>
              </w:rPr>
              <w:t>。</w:t>
            </w:r>
          </w:p>
          <w:p w14:paraId="5B9D8A4D">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zh-CN"/>
              </w:rPr>
              <w:t>本工程在整个工程的生产过程中会产生废气、废水、噪声、固废等污染因素，会对周围环境造成一定的影响，因此除工程本身配套的污染防治措施之外，必须把环境保护工作纳入正常的生产管理之中，建立健全各项管理和监测制度，设置环境保护管理机构和制定科学的监控计划，确保项目在工程施工和运行期间各项环保治理措施自行认真落实，做到最大限度地减少污染。</w:t>
            </w:r>
          </w:p>
          <w:p w14:paraId="40EE2CBD">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43" w:name="_Toc23971"/>
            <w:bookmarkStart w:id="44" w:name="_Toc8171"/>
            <w:bookmarkStart w:id="45" w:name="_Toc26"/>
            <w:r>
              <w:rPr>
                <w:rFonts w:hint="default"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rPr>
              <w:t>环境管理的原则</w:t>
            </w:r>
            <w:bookmarkEnd w:id="43"/>
            <w:bookmarkEnd w:id="44"/>
            <w:bookmarkEnd w:id="45"/>
          </w:p>
          <w:p w14:paraId="7A1A214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项目建设中，是以保护环境和资源、同时实施环境保护建设与改善、实现区域经济可持续发展为目标。在项目实施的各阶段，将遵循下述基本原则。</w:t>
            </w:r>
          </w:p>
          <w:p w14:paraId="54628D76">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符合区域建设总体规划及区域与企业长远利益；</w:t>
            </w:r>
          </w:p>
          <w:p w14:paraId="6845AE1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国家有关污染控制的法律、法规标准；</w:t>
            </w:r>
          </w:p>
          <w:p w14:paraId="6B014D8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国家和当地保护矿产资源、水资源、改善生态环境的要求；</w:t>
            </w:r>
          </w:p>
          <w:p w14:paraId="617D2CA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国家和当地环境管理的政策要求；</w:t>
            </w:r>
          </w:p>
          <w:p w14:paraId="50B2371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国家和当地环境可持续发展要求。</w:t>
            </w:r>
          </w:p>
          <w:p w14:paraId="5671A585">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46" w:name="_Toc2648"/>
            <w:bookmarkStart w:id="47" w:name="_Toc21869"/>
            <w:bookmarkStart w:id="48" w:name="_Toc9701"/>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val="en-US"/>
              </w:rPr>
              <w:t>环境管理体系</w:t>
            </w:r>
            <w:bookmarkEnd w:id="46"/>
            <w:bookmarkEnd w:id="47"/>
            <w:bookmarkEnd w:id="48"/>
          </w:p>
          <w:p w14:paraId="6615591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施工期环境管理机构</w:t>
            </w:r>
          </w:p>
          <w:p w14:paraId="15FF5064">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施工期的环境管理应由建设单位、施工单位负责，组建环境管理机构，并由</w:t>
            </w:r>
            <w:r>
              <w:rPr>
                <w:rFonts w:hint="default" w:ascii="Times New Roman" w:hAnsi="Times New Roman" w:eastAsia="宋体" w:cs="Times New Roman"/>
                <w:color w:val="auto"/>
                <w:sz w:val="24"/>
                <w:szCs w:val="24"/>
                <w:highlight w:val="none"/>
                <w:lang w:eastAsia="zh-CN"/>
              </w:rPr>
              <w:t>当</w:t>
            </w:r>
            <w:r>
              <w:rPr>
                <w:rFonts w:hint="default" w:ascii="Times New Roman" w:hAnsi="Times New Roman" w:eastAsia="宋体" w:cs="Times New Roman"/>
                <w:color w:val="auto"/>
                <w:sz w:val="24"/>
                <w:szCs w:val="24"/>
                <w:highlight w:val="none"/>
                <w:lang w:val="en-US" w:eastAsia="zh-CN"/>
              </w:rPr>
              <w:t>地主管部门</w:t>
            </w:r>
            <w:r>
              <w:rPr>
                <w:rFonts w:hint="default" w:ascii="Times New Roman" w:hAnsi="Times New Roman" w:eastAsia="宋体" w:cs="Times New Roman"/>
                <w:color w:val="auto"/>
                <w:sz w:val="24"/>
                <w:szCs w:val="24"/>
                <w:highlight w:val="none"/>
              </w:rPr>
              <w:t>负责监督。</w:t>
            </w:r>
          </w:p>
          <w:p w14:paraId="5A14720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主要内容包括：依照国家环境保护法律、法规，对施工中可能产生污染的环节进行规范管理，定期或不定期的检查；督促建设单位、施工单位采取相应的污染防治措施，以减轻对环境的污染。</w:t>
            </w:r>
          </w:p>
          <w:p w14:paraId="0B4E753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营运期环境管理机构</w:t>
            </w:r>
          </w:p>
          <w:p w14:paraId="2F00D7A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加强环境保护管理工作，在生产过程中应设置专门的环境保护管理科室，负责组织、落实、监督本项目的环境保护管理工作，并在主要污染工序设专门兼职环保管理员。企业应制定《环境保护管理制度》，对环保工作要有明确的职责分工。</w:t>
            </w:r>
          </w:p>
          <w:p w14:paraId="59CE315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rPr>
            </w:pPr>
            <w:bookmarkStart w:id="49" w:name="_Toc19121"/>
            <w:bookmarkStart w:id="50" w:name="_Toc3930"/>
            <w:bookmarkStart w:id="51" w:name="_Toc31294"/>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rPr>
              <w:t>环境管理工作计划和方案</w:t>
            </w:r>
            <w:bookmarkEnd w:id="49"/>
            <w:bookmarkEnd w:id="50"/>
            <w:bookmarkEnd w:id="51"/>
          </w:p>
          <w:p w14:paraId="2A8D866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根据本项目的具体情况，本次对建设项目的环境保护管理计划和主要环境管理方案提出如下建议。</w:t>
            </w:r>
          </w:p>
          <w:p w14:paraId="2F1B00AE">
            <w:pPr>
              <w:snapToGrid w:val="0"/>
              <w:spacing w:line="240" w:lineRule="auto"/>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6</w:t>
            </w:r>
            <w:r>
              <w:rPr>
                <w:rFonts w:hint="default" w:ascii="Times New Roman" w:hAnsi="Times New Roman" w:eastAsia="宋体" w:cs="Times New Roman"/>
                <w:b/>
                <w:bCs/>
                <w:color w:val="auto"/>
                <w:highlight w:val="none"/>
              </w:rPr>
              <w:t xml:space="preserve">  环境保护管理计划一览表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227"/>
              <w:gridCol w:w="6857"/>
            </w:tblGrid>
            <w:tr w14:paraId="4EF07C3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296D0103">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企业环境</w:t>
                  </w:r>
                </w:p>
                <w:p w14:paraId="134CD209">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管理要求</w:t>
                  </w:r>
                </w:p>
              </w:tc>
              <w:tc>
                <w:tcPr>
                  <w:tcW w:w="4240" w:type="pct"/>
                  <w:noWrap w:val="0"/>
                  <w:vAlign w:val="center"/>
                </w:tcPr>
                <w:p w14:paraId="2A01B959">
                  <w:pPr>
                    <w:spacing w:line="240" w:lineRule="auto"/>
                    <w:ind w:firstLine="0"/>
                    <w:jc w:val="both"/>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根据国家建设项目环境保护管理规定，认真落实各项环保手续</w:t>
                  </w:r>
                  <w:r>
                    <w:rPr>
                      <w:rFonts w:hint="eastAsia" w:cs="Times New Roman"/>
                      <w:color w:val="auto"/>
                      <w:highlight w:val="none"/>
                      <w:lang w:eastAsia="zh-CN"/>
                    </w:rPr>
                    <w:t>。</w:t>
                  </w:r>
                </w:p>
              </w:tc>
            </w:tr>
            <w:tr w14:paraId="1DAB081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6C3B3354">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55AAB7F0">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⑴可研阶段，委托评价单位编制环境</w:t>
                  </w:r>
                  <w:r>
                    <w:rPr>
                      <w:rFonts w:hint="default" w:ascii="Times New Roman" w:hAnsi="Times New Roman" w:eastAsia="宋体" w:cs="Times New Roman"/>
                      <w:color w:val="auto"/>
                      <w:highlight w:val="none"/>
                      <w:lang w:eastAsia="zh-CN"/>
                    </w:rPr>
                    <w:t>影响评价</w:t>
                  </w:r>
                  <w:r>
                    <w:rPr>
                      <w:rFonts w:hint="default" w:ascii="Times New Roman" w:hAnsi="Times New Roman" w:eastAsia="宋体" w:cs="Times New Roman"/>
                      <w:color w:val="auto"/>
                      <w:highlight w:val="none"/>
                    </w:rPr>
                    <w:t>报告；</w:t>
                  </w:r>
                </w:p>
                <w:p w14:paraId="1A677C8E">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⑵开工前，履行环</w:t>
                  </w:r>
                  <w:r>
                    <w:rPr>
                      <w:rFonts w:hint="eastAsia" w:ascii="宋体" w:hAnsi="宋体" w:eastAsia="宋体" w:cs="宋体"/>
                      <w:color w:val="auto"/>
                      <w:highlight w:val="none"/>
                    </w:rPr>
                    <w:t>保“三同时”手续；</w:t>
                  </w:r>
                </w:p>
                <w:p w14:paraId="07FDD21A">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⑶严把施工质量关，严格按照设计要求和施工验收规范质量要求执行；</w:t>
                  </w:r>
                </w:p>
                <w:p w14:paraId="140D8CEA">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⑷生产运行中，定期进行环境监测，同时请当地</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部门监督、检查、协助主管部门做好环境管理工作，对不达标装置及时整顿；</w:t>
                  </w:r>
                </w:p>
                <w:p w14:paraId="11168F90">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⑸配合环境监测站做好例行监测工作。</w:t>
                  </w:r>
                </w:p>
              </w:tc>
            </w:tr>
            <w:tr w14:paraId="51FB7D5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412CE4FC">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生产阶段</w:t>
                  </w:r>
                </w:p>
                <w:p w14:paraId="07C0F8F0">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环境管理</w:t>
                  </w:r>
                </w:p>
              </w:tc>
              <w:tc>
                <w:tcPr>
                  <w:tcW w:w="4240" w:type="pct"/>
                  <w:noWrap w:val="0"/>
                  <w:vAlign w:val="center"/>
                </w:tcPr>
                <w:p w14:paraId="258BA438">
                  <w:pPr>
                    <w:spacing w:line="240" w:lineRule="auto"/>
                    <w:ind w:firstLine="0"/>
                    <w:jc w:val="both"/>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加强环保设备运行检查，确保达产达标，力求降低排污水平</w:t>
                  </w:r>
                  <w:r>
                    <w:rPr>
                      <w:rFonts w:hint="eastAsia" w:cs="Times New Roman"/>
                      <w:color w:val="auto"/>
                      <w:highlight w:val="none"/>
                      <w:lang w:eastAsia="zh-CN"/>
                    </w:rPr>
                    <w:t>。</w:t>
                  </w:r>
                </w:p>
              </w:tc>
            </w:tr>
            <w:tr w14:paraId="7E3CA1E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3FA8FF20">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17650982">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⑴明确专人负责建设项目环保设施的管理；</w:t>
                  </w:r>
                </w:p>
                <w:p w14:paraId="4EC0ABB9">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⑵对各项环保设施操作、维护定量考核，建立环保设施运行档案；</w:t>
                  </w:r>
                </w:p>
                <w:p w14:paraId="1F6DA470">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⑶合理利用能源、资源、节水、节能；</w:t>
                  </w:r>
                </w:p>
                <w:p w14:paraId="5396508F">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⑷监督物料运输和堆存过程中的环境保护工作；</w:t>
                  </w:r>
                </w:p>
                <w:p w14:paraId="6C730BD9">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⑸定期组织污染源监测。</w:t>
                  </w:r>
                </w:p>
              </w:tc>
            </w:tr>
            <w:tr w14:paraId="177E4EC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0AAEE505">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信息反馈和</w:t>
                  </w:r>
                </w:p>
                <w:p w14:paraId="5285E134">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群众监督</w:t>
                  </w:r>
                </w:p>
              </w:tc>
              <w:tc>
                <w:tcPr>
                  <w:tcW w:w="4240" w:type="pct"/>
                  <w:noWrap w:val="0"/>
                  <w:vAlign w:val="center"/>
                </w:tcPr>
                <w:p w14:paraId="390DFD87">
                  <w:pPr>
                    <w:spacing w:line="240" w:lineRule="auto"/>
                    <w:ind w:firstLine="0"/>
                    <w:jc w:val="both"/>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反馈监督数据，加强群众监督，改进污染治理工作</w:t>
                  </w:r>
                  <w:r>
                    <w:rPr>
                      <w:rFonts w:hint="eastAsia" w:cs="Times New Roman"/>
                      <w:color w:val="auto"/>
                      <w:highlight w:val="none"/>
                      <w:lang w:eastAsia="zh-CN"/>
                    </w:rPr>
                    <w:t>。</w:t>
                  </w:r>
                </w:p>
              </w:tc>
            </w:tr>
            <w:tr w14:paraId="183B3AA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6C776313">
                  <w:pPr>
                    <w:spacing w:line="240" w:lineRule="auto"/>
                    <w:ind w:firstLine="0"/>
                    <w:jc w:val="center"/>
                    <w:rPr>
                      <w:rFonts w:hint="default" w:ascii="Times New Roman" w:hAnsi="Times New Roman" w:eastAsia="宋体" w:cs="Times New Roman"/>
                      <w:color w:val="auto"/>
                      <w:highlight w:val="none"/>
                    </w:rPr>
                  </w:pPr>
                </w:p>
              </w:tc>
              <w:tc>
                <w:tcPr>
                  <w:tcW w:w="4240" w:type="pct"/>
                  <w:noWrap w:val="0"/>
                  <w:vAlign w:val="center"/>
                </w:tcPr>
                <w:p w14:paraId="1FC91C02">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⑴建立奖惩制度，保证环保设施正常运转；</w:t>
                  </w:r>
                </w:p>
                <w:p w14:paraId="18E46004">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⑵归纳整理监督数据，技术部门配合进行工艺改造；</w:t>
                  </w:r>
                </w:p>
                <w:p w14:paraId="53AE7105">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⑶配合</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部门的检查验收。</w:t>
                  </w:r>
                </w:p>
              </w:tc>
            </w:tr>
          </w:tbl>
          <w:p w14:paraId="041B8616">
            <w:pPr>
              <w:keepNext w:val="0"/>
              <w:keepLines w:val="0"/>
              <w:pageBreakBefore w:val="0"/>
              <w:widowControl w:val="0"/>
              <w:kinsoku/>
              <w:wordWrap/>
              <w:overflowPunct/>
              <w:topLinePunct w:val="0"/>
              <w:autoSpaceDE/>
              <w:autoSpaceDN/>
              <w:bidi w:val="0"/>
              <w:adjustRightInd/>
              <w:snapToGrid w:val="0"/>
              <w:spacing w:before="157" w:beforeLines="50" w:line="240" w:lineRule="auto"/>
              <w:ind w:firstLine="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7</w:t>
            </w:r>
            <w:r>
              <w:rPr>
                <w:rFonts w:hint="default" w:ascii="Times New Roman" w:hAnsi="Times New Roman" w:eastAsia="宋体" w:cs="Times New Roman"/>
                <w:b/>
                <w:bCs/>
                <w:color w:val="auto"/>
                <w:highlight w:val="none"/>
              </w:rPr>
              <w:t xml:space="preserve">  主要环境管理方案一览表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59"/>
              <w:gridCol w:w="5379"/>
              <w:gridCol w:w="743"/>
              <w:gridCol w:w="803"/>
            </w:tblGrid>
            <w:tr w14:paraId="08F639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539065D8">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主要环境</w:t>
                  </w:r>
                </w:p>
                <w:p w14:paraId="4C23CF3E">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问题</w:t>
                  </w:r>
                </w:p>
              </w:tc>
              <w:tc>
                <w:tcPr>
                  <w:tcW w:w="3326" w:type="pct"/>
                  <w:noWrap w:val="0"/>
                  <w:vAlign w:val="center"/>
                </w:tcPr>
                <w:p w14:paraId="44F01BBA">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防治措施</w:t>
                  </w:r>
                </w:p>
              </w:tc>
              <w:tc>
                <w:tcPr>
                  <w:tcW w:w="459" w:type="pct"/>
                  <w:noWrap w:val="0"/>
                  <w:vAlign w:val="center"/>
                </w:tcPr>
                <w:p w14:paraId="31AA7BAF">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经费</w:t>
                  </w:r>
                </w:p>
              </w:tc>
              <w:tc>
                <w:tcPr>
                  <w:tcW w:w="496" w:type="pct"/>
                  <w:noWrap w:val="0"/>
                  <w:vAlign w:val="center"/>
                </w:tcPr>
                <w:p w14:paraId="247B859A">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实施时间</w:t>
                  </w:r>
                </w:p>
              </w:tc>
            </w:tr>
            <w:tr w14:paraId="2CC27E5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5174967C">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工艺设计</w:t>
                  </w:r>
                </w:p>
              </w:tc>
              <w:tc>
                <w:tcPr>
                  <w:tcW w:w="3326" w:type="pct"/>
                  <w:noWrap w:val="0"/>
                  <w:vAlign w:val="center"/>
                </w:tcPr>
                <w:p w14:paraId="0FCFF30A">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选用先进的工艺和设备；合理利用资源和能源；节约能源消耗；提高水资源循环利用率。</w:t>
                  </w:r>
                </w:p>
              </w:tc>
              <w:tc>
                <w:tcPr>
                  <w:tcW w:w="459" w:type="pct"/>
                  <w:noWrap w:val="0"/>
                  <w:vAlign w:val="center"/>
                </w:tcPr>
                <w:p w14:paraId="39D9FCA3">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6DDD2DC7">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632ED79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1E433921">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总图设计</w:t>
                  </w:r>
                </w:p>
              </w:tc>
              <w:tc>
                <w:tcPr>
                  <w:tcW w:w="3326" w:type="pct"/>
                  <w:noWrap w:val="0"/>
                  <w:vAlign w:val="center"/>
                </w:tcPr>
                <w:p w14:paraId="0A6D14AB">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高噪声设备远离厂界，加强环境保护和绿化工作，规划出</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区绿化带。严格按设计、环境工程对策报告进行绿化。</w:t>
                  </w:r>
                </w:p>
              </w:tc>
              <w:tc>
                <w:tcPr>
                  <w:tcW w:w="459" w:type="pct"/>
                  <w:noWrap w:val="0"/>
                  <w:vAlign w:val="center"/>
                </w:tcPr>
                <w:p w14:paraId="2D9F4EE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4197BC27">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5783025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31C59347">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废气排放</w:t>
                  </w:r>
                </w:p>
              </w:tc>
              <w:tc>
                <w:tcPr>
                  <w:tcW w:w="3326" w:type="pct"/>
                  <w:noWrap w:val="0"/>
                  <w:vAlign w:val="center"/>
                </w:tcPr>
                <w:p w14:paraId="49707508">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严格按照国家和行业标准控制污染物的排放；定期维护设备，保持设备良好状态；对操作人员定期培训，提高操作人员素质及环保意识。</w:t>
                  </w:r>
                </w:p>
              </w:tc>
              <w:tc>
                <w:tcPr>
                  <w:tcW w:w="459" w:type="pct"/>
                  <w:noWrap w:val="0"/>
                  <w:vAlign w:val="center"/>
                </w:tcPr>
                <w:p w14:paraId="07709EF6">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4650C1F3">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1CCC782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08545BE2">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废水排放</w:t>
                  </w:r>
                </w:p>
              </w:tc>
              <w:tc>
                <w:tcPr>
                  <w:tcW w:w="3326" w:type="pct"/>
                  <w:noWrap w:val="0"/>
                  <w:vAlign w:val="center"/>
                </w:tcPr>
                <w:p w14:paraId="03E12E15">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严格清污分流管理，避免跑、冒、滴、漏等现象，确保生活污水</w:t>
                  </w:r>
                  <w:r>
                    <w:rPr>
                      <w:rFonts w:hint="default" w:ascii="Times New Roman" w:hAnsi="Times New Roman" w:eastAsia="宋体" w:cs="Times New Roman"/>
                      <w:color w:val="auto"/>
                      <w:sz w:val="21"/>
                      <w:szCs w:val="21"/>
                      <w:highlight w:val="none"/>
                      <w:lang w:eastAsia="zh-CN"/>
                    </w:rPr>
                    <w:t>、生产废水</w:t>
                  </w:r>
                  <w:r>
                    <w:rPr>
                      <w:rFonts w:hint="default" w:ascii="Times New Roman" w:hAnsi="Times New Roman" w:eastAsia="宋体" w:cs="Times New Roman"/>
                      <w:color w:val="auto"/>
                      <w:sz w:val="21"/>
                      <w:szCs w:val="21"/>
                      <w:highlight w:val="none"/>
                    </w:rPr>
                    <w:t>处理</w:t>
                  </w:r>
                  <w:r>
                    <w:rPr>
                      <w:rFonts w:hint="default" w:ascii="Times New Roman" w:hAnsi="Times New Roman" w:eastAsia="宋体" w:cs="Times New Roman"/>
                      <w:color w:val="auto"/>
                      <w:sz w:val="21"/>
                      <w:szCs w:val="21"/>
                      <w:highlight w:val="none"/>
                      <w:lang w:eastAsia="zh-CN"/>
                    </w:rPr>
                    <w:t>后不外排</w:t>
                  </w:r>
                  <w:r>
                    <w:rPr>
                      <w:rFonts w:hint="default" w:ascii="Times New Roman" w:hAnsi="Times New Roman" w:eastAsia="宋体" w:cs="Times New Roman"/>
                      <w:color w:val="auto"/>
                      <w:sz w:val="21"/>
                      <w:szCs w:val="21"/>
                      <w:highlight w:val="none"/>
                    </w:rPr>
                    <w:t>。</w:t>
                  </w:r>
                </w:p>
              </w:tc>
              <w:tc>
                <w:tcPr>
                  <w:tcW w:w="459" w:type="pct"/>
                  <w:noWrap w:val="0"/>
                  <w:vAlign w:val="center"/>
                </w:tcPr>
                <w:p w14:paraId="1DEC3EF6">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3EAB23A1">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00E70C4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3D83BF35">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噪声控制</w:t>
                  </w:r>
                </w:p>
              </w:tc>
              <w:tc>
                <w:tcPr>
                  <w:tcW w:w="3326" w:type="pct"/>
                  <w:noWrap w:val="0"/>
                  <w:vAlign w:val="center"/>
                </w:tcPr>
                <w:p w14:paraId="622CDB63">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对设备等主要噪声源严格采取隔声、减振等综合控制措施。</w:t>
                  </w:r>
                </w:p>
              </w:tc>
              <w:tc>
                <w:tcPr>
                  <w:tcW w:w="459" w:type="pct"/>
                  <w:noWrap w:val="0"/>
                  <w:vAlign w:val="center"/>
                </w:tcPr>
                <w:p w14:paraId="5265F1BD">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7721B671">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58FA740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6A4E2EB7">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w:t>
                  </w:r>
                </w:p>
                <w:p w14:paraId="35E13F9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物排放</w:t>
                  </w:r>
                </w:p>
              </w:tc>
              <w:tc>
                <w:tcPr>
                  <w:tcW w:w="3326" w:type="pct"/>
                  <w:noWrap w:val="0"/>
                  <w:vAlign w:val="center"/>
                </w:tcPr>
                <w:p w14:paraId="4CFE343C">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生活垃圾等固体废物应认真落实按环评报告提出的处理处置措施。</w:t>
                  </w:r>
                </w:p>
              </w:tc>
              <w:tc>
                <w:tcPr>
                  <w:tcW w:w="459" w:type="pct"/>
                  <w:noWrap w:val="0"/>
                  <w:vAlign w:val="center"/>
                </w:tcPr>
                <w:p w14:paraId="3F004448">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7CF0F0C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bl>
          <w:p w14:paraId="636C3A6D">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right="0" w:rightChars="0" w:firstLine="482" w:firstLineChars="200"/>
              <w:jc w:val="both"/>
              <w:textAlignment w:val="auto"/>
              <w:outlineLvl w:val="9"/>
              <w:rPr>
                <w:rFonts w:hint="default" w:ascii="Times New Roman" w:hAnsi="Times New Roman" w:eastAsia="宋体" w:cs="Times New Roman"/>
                <w:color w:val="auto"/>
                <w:highlight w:val="none"/>
                <w:lang w:val="en-US" w:eastAsia="zh-CN"/>
              </w:rPr>
            </w:pPr>
            <w:bookmarkStart w:id="52" w:name="_Toc23416"/>
            <w:bookmarkStart w:id="53" w:name="_Toc5445"/>
            <w:bookmarkStart w:id="54" w:name="_Toc14322"/>
            <w:r>
              <w:rPr>
                <w:rFonts w:hint="default" w:ascii="Times New Roman" w:hAnsi="Times New Roman" w:eastAsia="宋体" w:cs="Times New Roman"/>
                <w:b/>
                <w:bCs/>
                <w:color w:val="auto"/>
                <w:sz w:val="24"/>
                <w:szCs w:val="24"/>
                <w:highlight w:val="none"/>
                <w:lang w:val="en-US" w:eastAsia="zh-CN"/>
              </w:rPr>
              <w:t>八、排污口规范化</w:t>
            </w:r>
          </w:p>
          <w:p w14:paraId="20A7D44A">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eastAsia="zh-CN"/>
              </w:rPr>
              <w:t>项</w:t>
            </w:r>
            <w:r>
              <w:rPr>
                <w:rFonts w:hint="eastAsia" w:ascii="宋体" w:hAnsi="宋体" w:eastAsia="宋体" w:cs="宋体"/>
                <w:color w:val="auto"/>
                <w:sz w:val="24"/>
                <w:szCs w:val="24"/>
                <w:highlight w:val="none"/>
                <w:lang w:eastAsia="zh-CN"/>
              </w:rPr>
              <w:t>目</w:t>
            </w:r>
            <w:r>
              <w:rPr>
                <w:rFonts w:hint="eastAsia" w:ascii="宋体" w:hAnsi="宋体" w:eastAsia="宋体" w:cs="宋体"/>
                <w:color w:val="auto"/>
                <w:sz w:val="24"/>
                <w:szCs w:val="24"/>
                <w:highlight w:val="none"/>
              </w:rPr>
              <w:t>区“三废”及噪</w:t>
            </w:r>
            <w:r>
              <w:rPr>
                <w:rFonts w:hint="default" w:ascii="Times New Roman" w:hAnsi="Times New Roman" w:eastAsia="宋体" w:cs="Times New Roman"/>
                <w:color w:val="auto"/>
                <w:sz w:val="24"/>
                <w:szCs w:val="24"/>
                <w:highlight w:val="none"/>
              </w:rPr>
              <w:t>声排放点应设置明显标志，标志的设置应执行《环境保护图形标志排放口（源）》（GBl5562.1-1995）排污口规范化整治应符合国家、省、市有关规定，并通过主管</w:t>
            </w:r>
            <w:r>
              <w:rPr>
                <w:rFonts w:hint="eastAsia" w:cs="Times New Roman"/>
                <w:color w:val="auto"/>
                <w:sz w:val="24"/>
                <w:szCs w:val="24"/>
                <w:highlight w:val="none"/>
                <w:lang w:val="en-US" w:eastAsia="zh-CN"/>
              </w:rPr>
              <w:t>生态环境</w:t>
            </w:r>
            <w:r>
              <w:rPr>
                <w:rFonts w:hint="default" w:ascii="Times New Roman" w:hAnsi="Times New Roman" w:eastAsia="宋体" w:cs="Times New Roman"/>
                <w:color w:val="auto"/>
                <w:sz w:val="24"/>
                <w:szCs w:val="24"/>
                <w:highlight w:val="none"/>
              </w:rPr>
              <w:t>部门认证和验收。排放口图形标志见</w:t>
            </w:r>
            <w:r>
              <w:rPr>
                <w:rFonts w:hint="default" w:ascii="Times New Roman" w:hAnsi="Times New Roman" w:eastAsia="宋体" w:cs="Times New Roman"/>
                <w:color w:val="auto"/>
                <w:sz w:val="24"/>
                <w:szCs w:val="24"/>
                <w:highlight w:val="none"/>
                <w:lang w:eastAsia="zh-CN"/>
              </w:rPr>
              <w:t>下</w:t>
            </w:r>
            <w:r>
              <w:rPr>
                <w:rFonts w:hint="default" w:ascii="Times New Roman" w:hAnsi="Times New Roman" w:eastAsia="宋体" w:cs="Times New Roman"/>
                <w:color w:val="auto"/>
                <w:sz w:val="24"/>
                <w:szCs w:val="24"/>
                <w:highlight w:val="none"/>
              </w:rPr>
              <w:t>表。</w:t>
            </w:r>
          </w:p>
          <w:p w14:paraId="5124B55F">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8</w:t>
            </w:r>
            <w:r>
              <w:rPr>
                <w:rFonts w:hint="default" w:ascii="Times New Roman" w:hAnsi="Times New Roman" w:eastAsia="宋体" w:cs="Times New Roman"/>
                <w:b/>
                <w:bCs/>
                <w:color w:val="auto"/>
                <w:highlight w:val="none"/>
              </w:rPr>
              <w:t xml:space="preserve">  排放口图形标志</w:t>
            </w:r>
          </w:p>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52"/>
          <w:bookmarkEnd w:id="53"/>
          <w:bookmarkEnd w:id="54"/>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818"/>
              <w:gridCol w:w="2163"/>
              <w:gridCol w:w="1367"/>
              <w:gridCol w:w="2091"/>
            </w:tblGrid>
            <w:tr w14:paraId="338AE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399" w:type="pct"/>
                  <w:tcBorders>
                    <w:tl2br w:val="nil"/>
                    <w:tr2bl w:val="nil"/>
                  </w:tcBorders>
                  <w:noWrap w:val="0"/>
                  <w:vAlign w:val="center"/>
                </w:tcPr>
                <w:p w14:paraId="7D5AE93A">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1124" w:type="pct"/>
                  <w:tcBorders>
                    <w:tl2br w:val="nil"/>
                    <w:tr2bl w:val="nil"/>
                  </w:tcBorders>
                  <w:noWrap w:val="0"/>
                  <w:vAlign w:val="center"/>
                </w:tcPr>
                <w:p w14:paraId="12E55EC0">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提示图形符号</w:t>
                  </w:r>
                </w:p>
              </w:tc>
              <w:tc>
                <w:tcPr>
                  <w:tcW w:w="1337" w:type="pct"/>
                  <w:tcBorders>
                    <w:tl2br w:val="nil"/>
                    <w:tr2bl w:val="nil"/>
                  </w:tcBorders>
                  <w:noWrap w:val="0"/>
                  <w:vAlign w:val="center"/>
                </w:tcPr>
                <w:p w14:paraId="61E550C1">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警告图形符号</w:t>
                  </w:r>
                </w:p>
              </w:tc>
              <w:tc>
                <w:tcPr>
                  <w:tcW w:w="845" w:type="pct"/>
                  <w:tcBorders>
                    <w:tl2br w:val="nil"/>
                    <w:tr2bl w:val="nil"/>
                  </w:tcBorders>
                  <w:noWrap w:val="0"/>
                  <w:vAlign w:val="center"/>
                </w:tcPr>
                <w:p w14:paraId="391962A2">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名称</w:t>
                  </w:r>
                </w:p>
              </w:tc>
              <w:tc>
                <w:tcPr>
                  <w:tcW w:w="1293" w:type="pct"/>
                  <w:tcBorders>
                    <w:tl2br w:val="nil"/>
                    <w:tr2bl w:val="nil"/>
                  </w:tcBorders>
                  <w:noWrap w:val="0"/>
                  <w:vAlign w:val="center"/>
                </w:tcPr>
                <w:p w14:paraId="24BBCCD0">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功能</w:t>
                  </w:r>
                </w:p>
              </w:tc>
            </w:tr>
            <w:tr w14:paraId="7F020B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399" w:type="pct"/>
                  <w:tcBorders>
                    <w:tl2br w:val="nil"/>
                    <w:tr2bl w:val="nil"/>
                  </w:tcBorders>
                  <w:noWrap w:val="0"/>
                  <w:vAlign w:val="center"/>
                </w:tcPr>
                <w:p w14:paraId="32F5724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1124" w:type="pct"/>
                  <w:tcBorders>
                    <w:tl2br w:val="nil"/>
                    <w:tr2bl w:val="nil"/>
                  </w:tcBorders>
                  <w:noWrap w:val="0"/>
                  <w:vAlign w:val="center"/>
                </w:tcPr>
                <w:p w14:paraId="2EE90096">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0" b="0"/>
                        <wp:docPr id="9"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0"/>
                                <pic:cNvPicPr>
                                  <a:picLocks noChangeAspect="1"/>
                                </pic:cNvPicPr>
                              </pic:nvPicPr>
                              <pic:blipFill>
                                <a:blip r:embed="rId31"/>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177FC9AE">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52500" cy="845820"/>
                        <wp:effectExtent l="0" t="0" r="7620" b="7620"/>
                        <wp:docPr id="1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1"/>
                                <pic:cNvPicPr>
                                  <a:picLocks noChangeAspect="1"/>
                                </pic:cNvPicPr>
                              </pic:nvPicPr>
                              <pic:blipFill>
                                <a:blip r:embed="rId32"/>
                                <a:stretch>
                                  <a:fillRect/>
                                </a:stretch>
                              </pic:blipFill>
                              <pic:spPr>
                                <a:xfrm>
                                  <a:off x="0" y="0"/>
                                  <a:ext cx="952500" cy="84582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5599E97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废气排放口</w:t>
                  </w:r>
                </w:p>
              </w:tc>
              <w:tc>
                <w:tcPr>
                  <w:tcW w:w="1293" w:type="pct"/>
                  <w:tcBorders>
                    <w:tl2br w:val="nil"/>
                    <w:tr2bl w:val="nil"/>
                  </w:tcBorders>
                  <w:noWrap w:val="0"/>
                  <w:vAlign w:val="center"/>
                </w:tcPr>
                <w:p w14:paraId="1BCEBD9D">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表示废气向大气环境排放</w:t>
                  </w:r>
                </w:p>
              </w:tc>
            </w:tr>
            <w:tr w14:paraId="22F3C3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399" w:type="pct"/>
                  <w:tcBorders>
                    <w:tl2br w:val="nil"/>
                    <w:tr2bl w:val="nil"/>
                  </w:tcBorders>
                  <w:noWrap w:val="0"/>
                  <w:vAlign w:val="center"/>
                </w:tcPr>
                <w:p w14:paraId="2445E5E1">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1124" w:type="pct"/>
                  <w:tcBorders>
                    <w:tl2br w:val="nil"/>
                    <w:tr2bl w:val="nil"/>
                  </w:tcBorders>
                  <w:noWrap w:val="0"/>
                  <w:vAlign w:val="center"/>
                </w:tcPr>
                <w:p w14:paraId="3F09056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0" b="0"/>
                        <wp:docPr id="1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2"/>
                                <pic:cNvPicPr>
                                  <a:picLocks noChangeAspect="1"/>
                                </pic:cNvPicPr>
                              </pic:nvPicPr>
                              <pic:blipFill>
                                <a:blip r:embed="rId33"/>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7DB566A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75360" cy="868680"/>
                        <wp:effectExtent l="0" t="0" r="0" b="0"/>
                        <wp:docPr id="1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3"/>
                                <pic:cNvPicPr>
                                  <a:picLocks noChangeAspect="1"/>
                                </pic:cNvPicPr>
                              </pic:nvPicPr>
                              <pic:blipFill>
                                <a:blip r:embed="rId34"/>
                                <a:stretch>
                                  <a:fillRect/>
                                </a:stretch>
                              </pic:blipFill>
                              <pic:spPr>
                                <a:xfrm>
                                  <a:off x="0" y="0"/>
                                  <a:ext cx="975360" cy="86868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0EC60D16">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一般固体废物</w:t>
                  </w:r>
                </w:p>
              </w:tc>
              <w:tc>
                <w:tcPr>
                  <w:tcW w:w="1293" w:type="pct"/>
                  <w:tcBorders>
                    <w:tl2br w:val="nil"/>
                    <w:tr2bl w:val="nil"/>
                  </w:tcBorders>
                  <w:noWrap w:val="0"/>
                  <w:vAlign w:val="center"/>
                </w:tcPr>
                <w:p w14:paraId="65E3CA2D">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表示一般固体废物贮存、处置场</w:t>
                  </w:r>
                </w:p>
              </w:tc>
            </w:tr>
            <w:tr w14:paraId="13FF9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399" w:type="pct"/>
                  <w:tcBorders>
                    <w:tl2br w:val="nil"/>
                    <w:tr2bl w:val="nil"/>
                  </w:tcBorders>
                  <w:noWrap w:val="0"/>
                  <w:vAlign w:val="center"/>
                </w:tcPr>
                <w:p w14:paraId="43476DEE">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1124" w:type="pct"/>
                  <w:tcBorders>
                    <w:tl2br w:val="nil"/>
                    <w:tr2bl w:val="nil"/>
                  </w:tcBorders>
                  <w:noWrap w:val="0"/>
                  <w:vAlign w:val="center"/>
                </w:tcPr>
                <w:p w14:paraId="2032CAE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57250" cy="857250"/>
                        <wp:effectExtent l="0" t="0" r="11430" b="11430"/>
                        <wp:docPr id="16" name="图片 75" descr="mark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5" descr="mark_3"/>
                                <pic:cNvPicPr>
                                  <a:picLocks noChangeAspect="1"/>
                                </pic:cNvPicPr>
                              </pic:nvPicPr>
                              <pic:blipFill>
                                <a:blip r:embed="rId35"/>
                                <a:stretch>
                                  <a:fillRect/>
                                </a:stretch>
                              </pic:blipFill>
                              <pic:spPr>
                                <a:xfrm>
                                  <a:off x="0" y="0"/>
                                  <a:ext cx="857250" cy="857250"/>
                                </a:xfrm>
                                <a:prstGeom prst="rect">
                                  <a:avLst/>
                                </a:prstGeom>
                                <a:noFill/>
                                <a:ln>
                                  <a:noFill/>
                                </a:ln>
                              </pic:spPr>
                            </pic:pic>
                          </a:graphicData>
                        </a:graphic>
                      </wp:inline>
                    </w:drawing>
                  </w:r>
                </w:p>
              </w:tc>
              <w:tc>
                <w:tcPr>
                  <w:tcW w:w="1337" w:type="pct"/>
                  <w:tcBorders>
                    <w:tl2br w:val="nil"/>
                    <w:tr2bl w:val="nil"/>
                  </w:tcBorders>
                  <w:noWrap w:val="0"/>
                  <w:vAlign w:val="center"/>
                </w:tcPr>
                <w:p w14:paraId="4B1AD88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962025" cy="847725"/>
                        <wp:effectExtent l="0" t="0" r="13335" b="5715"/>
                        <wp:docPr id="17" name="图片 76" descr="mark_j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6" descr="mark_j3"/>
                                <pic:cNvPicPr>
                                  <a:picLocks noChangeAspect="1"/>
                                </pic:cNvPicPr>
                              </pic:nvPicPr>
                              <pic:blipFill>
                                <a:blip r:embed="rId36"/>
                                <a:stretch>
                                  <a:fillRect/>
                                </a:stretch>
                              </pic:blipFill>
                              <pic:spPr>
                                <a:xfrm>
                                  <a:off x="0" y="0"/>
                                  <a:ext cx="962025" cy="847725"/>
                                </a:xfrm>
                                <a:prstGeom prst="rect">
                                  <a:avLst/>
                                </a:prstGeom>
                                <a:noFill/>
                                <a:ln>
                                  <a:noFill/>
                                </a:ln>
                              </pic:spPr>
                            </pic:pic>
                          </a:graphicData>
                        </a:graphic>
                      </wp:inline>
                    </w:drawing>
                  </w:r>
                </w:p>
              </w:tc>
              <w:tc>
                <w:tcPr>
                  <w:tcW w:w="845" w:type="pct"/>
                  <w:tcBorders>
                    <w:tl2br w:val="nil"/>
                    <w:tr2bl w:val="nil"/>
                  </w:tcBorders>
                  <w:noWrap w:val="0"/>
                  <w:vAlign w:val="center"/>
                </w:tcPr>
                <w:p w14:paraId="3F9002A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噪声排放源</w:t>
                  </w:r>
                </w:p>
              </w:tc>
              <w:tc>
                <w:tcPr>
                  <w:tcW w:w="1293" w:type="pct"/>
                  <w:tcBorders>
                    <w:tl2br w:val="nil"/>
                    <w:tr2bl w:val="nil"/>
                  </w:tcBorders>
                  <w:noWrap w:val="0"/>
                  <w:vAlign w:val="center"/>
                </w:tcPr>
                <w:p w14:paraId="4F77D26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表示噪声向外环境排放</w:t>
                  </w:r>
                </w:p>
              </w:tc>
            </w:tr>
            <w:tr w14:paraId="4EE7D4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7DE919E0">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1124" w:type="pct"/>
                  <w:tcBorders>
                    <w:tl2br w:val="nil"/>
                    <w:tr2bl w:val="nil"/>
                  </w:tcBorders>
                  <w:noWrap w:val="0"/>
                  <w:vAlign w:val="center"/>
                </w:tcPr>
                <w:p w14:paraId="4FDE21C6">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76300" cy="889000"/>
                        <wp:effectExtent l="0" t="0" r="7620" b="10160"/>
                        <wp:docPr id="18"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7"/>
                                <pic:cNvPicPr>
                                  <a:picLocks noChangeAspect="1"/>
                                </pic:cNvPicPr>
                              </pic:nvPicPr>
                              <pic:blipFill>
                                <a:blip r:embed="rId37"/>
                                <a:stretch>
                                  <a:fillRect/>
                                </a:stretch>
                              </pic:blipFill>
                              <pic:spPr>
                                <a:xfrm>
                                  <a:off x="0" y="0"/>
                                  <a:ext cx="876300" cy="889000"/>
                                </a:xfrm>
                                <a:prstGeom prst="rect">
                                  <a:avLst/>
                                </a:prstGeom>
                                <a:noFill/>
                                <a:ln>
                                  <a:noFill/>
                                </a:ln>
                              </pic:spPr>
                            </pic:pic>
                          </a:graphicData>
                        </a:graphic>
                      </wp:inline>
                    </w:drawing>
                  </w:r>
                </w:p>
              </w:tc>
              <w:tc>
                <w:tcPr>
                  <w:tcW w:w="1337" w:type="pct"/>
                  <w:tcBorders>
                    <w:tl2br w:val="nil"/>
                    <w:tr2bl w:val="nil"/>
                  </w:tcBorders>
                  <w:noWrap w:val="0"/>
                  <w:vAlign w:val="center"/>
                </w:tcPr>
                <w:p w14:paraId="0C69992E">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1045210" cy="895985"/>
                        <wp:effectExtent l="0" t="0" r="6350" b="3175"/>
                        <wp:docPr id="19"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8"/>
                                <pic:cNvPicPr>
                                  <a:picLocks noChangeAspect="1"/>
                                </pic:cNvPicPr>
                              </pic:nvPicPr>
                              <pic:blipFill>
                                <a:blip r:embed="rId38"/>
                                <a:srcRect r="2719" b="5492"/>
                                <a:stretch>
                                  <a:fillRect/>
                                </a:stretch>
                              </pic:blipFill>
                              <pic:spPr>
                                <a:xfrm>
                                  <a:off x="0" y="0"/>
                                  <a:ext cx="1045210" cy="895985"/>
                                </a:xfrm>
                                <a:prstGeom prst="rect">
                                  <a:avLst/>
                                </a:prstGeom>
                                <a:noFill/>
                                <a:ln>
                                  <a:noFill/>
                                </a:ln>
                              </pic:spPr>
                            </pic:pic>
                          </a:graphicData>
                        </a:graphic>
                      </wp:inline>
                    </w:drawing>
                  </w:r>
                </w:p>
              </w:tc>
              <w:tc>
                <w:tcPr>
                  <w:tcW w:w="845" w:type="pct"/>
                  <w:tcBorders>
                    <w:tl2br w:val="nil"/>
                    <w:tr2bl w:val="nil"/>
                  </w:tcBorders>
                  <w:noWrap w:val="0"/>
                  <w:vAlign w:val="center"/>
                </w:tcPr>
                <w:p w14:paraId="44C0A02D">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废水排放口</w:t>
                  </w:r>
                </w:p>
              </w:tc>
              <w:tc>
                <w:tcPr>
                  <w:tcW w:w="1293" w:type="pct"/>
                  <w:tcBorders>
                    <w:tl2br w:val="nil"/>
                    <w:tr2bl w:val="nil"/>
                  </w:tcBorders>
                  <w:noWrap w:val="0"/>
                  <w:vAlign w:val="center"/>
                </w:tcPr>
                <w:p w14:paraId="7BF9ABDF">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表示废水向外环境排放</w:t>
                  </w:r>
                </w:p>
              </w:tc>
            </w:tr>
            <w:tr w14:paraId="52EF8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7B96A1C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1124" w:type="pct"/>
                  <w:tcBorders>
                    <w:tl2br w:val="nil"/>
                    <w:tr2bl w:val="nil"/>
                  </w:tcBorders>
                  <w:noWrap w:val="0"/>
                  <w:vAlign w:val="center"/>
                </w:tcPr>
                <w:p w14:paraId="040E1C00">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t>/</w:t>
                  </w:r>
                </w:p>
              </w:tc>
              <w:tc>
                <w:tcPr>
                  <w:tcW w:w="1337" w:type="pct"/>
                  <w:tcBorders>
                    <w:tl2br w:val="nil"/>
                    <w:tr2bl w:val="nil"/>
                  </w:tcBorders>
                  <w:noWrap w:val="0"/>
                  <w:vAlign w:val="center"/>
                </w:tcPr>
                <w:p w14:paraId="4C55340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drawing>
                      <wp:inline distT="0" distB="0" distL="114300" distR="114300">
                        <wp:extent cx="1212215" cy="941705"/>
                        <wp:effectExtent l="0" t="0" r="6985" b="3175"/>
                        <wp:docPr id="131"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6" descr="图片"/>
                                <pic:cNvPicPr>
                                  <a:picLocks noChangeAspect="1"/>
                                </pic:cNvPicPr>
                              </pic:nvPicPr>
                              <pic:blipFill>
                                <a:blip r:embed="rId39"/>
                                <a:stretch>
                                  <a:fillRect/>
                                </a:stretch>
                              </pic:blipFill>
                              <pic:spPr>
                                <a:xfrm>
                                  <a:off x="0" y="0"/>
                                  <a:ext cx="1212215" cy="941705"/>
                                </a:xfrm>
                                <a:prstGeom prst="rect">
                                  <a:avLst/>
                                </a:prstGeom>
                                <a:noFill/>
                                <a:ln>
                                  <a:noFill/>
                                </a:ln>
                              </pic:spPr>
                            </pic:pic>
                          </a:graphicData>
                        </a:graphic>
                      </wp:inline>
                    </w:drawing>
                  </w:r>
                </w:p>
              </w:tc>
              <w:tc>
                <w:tcPr>
                  <w:tcW w:w="845" w:type="pct"/>
                  <w:tcBorders>
                    <w:tl2br w:val="nil"/>
                    <w:tr2bl w:val="nil"/>
                  </w:tcBorders>
                  <w:noWrap w:val="0"/>
                  <w:vAlign w:val="center"/>
                </w:tcPr>
                <w:p w14:paraId="519BBCE6">
                  <w:pPr>
                    <w:pStyle w:val="126"/>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危险废物</w:t>
                  </w:r>
                </w:p>
              </w:tc>
              <w:tc>
                <w:tcPr>
                  <w:tcW w:w="1293" w:type="pct"/>
                  <w:tcBorders>
                    <w:tl2br w:val="nil"/>
                    <w:tr2bl w:val="nil"/>
                  </w:tcBorders>
                  <w:noWrap w:val="0"/>
                  <w:vAlign w:val="center"/>
                </w:tcPr>
                <w:p w14:paraId="437EF5F8">
                  <w:pPr>
                    <w:pStyle w:val="126"/>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表示危险废物贮存、处置场</w:t>
                  </w:r>
                </w:p>
              </w:tc>
            </w:tr>
          </w:tbl>
          <w:p w14:paraId="70596655">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九、改</w:t>
            </w:r>
            <w:r>
              <w:rPr>
                <w:rFonts w:hint="eastAsia" w:cs="Times New Roman"/>
                <w:b/>
                <w:bCs/>
                <w:color w:val="auto"/>
                <w:sz w:val="24"/>
                <w:szCs w:val="24"/>
                <w:highlight w:val="none"/>
                <w:lang w:val="en-US" w:eastAsia="zh-CN"/>
              </w:rPr>
              <w:t>扩建</w:t>
            </w:r>
            <w:r>
              <w:rPr>
                <w:rFonts w:hint="default" w:ascii="Times New Roman" w:hAnsi="Times New Roman" w:eastAsia="宋体" w:cs="Times New Roman"/>
                <w:b/>
                <w:bCs/>
                <w:color w:val="auto"/>
                <w:sz w:val="24"/>
                <w:szCs w:val="24"/>
                <w:highlight w:val="none"/>
                <w:lang w:val="en-US" w:eastAsia="zh-CN"/>
              </w:rPr>
              <w:t>项目建成后全</w:t>
            </w:r>
            <w:r>
              <w:rPr>
                <w:rFonts w:hint="eastAsia" w:ascii="宋体" w:hAnsi="宋体" w:eastAsia="宋体" w:cs="宋体"/>
                <w:b/>
                <w:bCs/>
                <w:color w:val="auto"/>
                <w:sz w:val="24"/>
                <w:szCs w:val="24"/>
                <w:highlight w:val="none"/>
                <w:lang w:val="en-US" w:eastAsia="zh-CN"/>
              </w:rPr>
              <w:t>厂“三本账”分</w:t>
            </w:r>
            <w:r>
              <w:rPr>
                <w:rFonts w:hint="default" w:ascii="Times New Roman" w:hAnsi="Times New Roman" w:eastAsia="宋体" w:cs="Times New Roman"/>
                <w:b/>
                <w:bCs/>
                <w:color w:val="auto"/>
                <w:sz w:val="24"/>
                <w:szCs w:val="24"/>
                <w:highlight w:val="none"/>
                <w:lang w:val="en-US" w:eastAsia="zh-CN"/>
              </w:rPr>
              <w:t>析</w:t>
            </w:r>
          </w:p>
          <w:p w14:paraId="333B7B6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1"/>
                <w:szCs w:val="21"/>
                <w:highlight w:val="none"/>
                <w:lang w:val="en-US" w:eastAsia="zh-CN"/>
              </w:rPr>
              <w:t>表4-2</w:t>
            </w:r>
            <w:r>
              <w:rPr>
                <w:rFonts w:hint="eastAsia" w:cs="Times New Roman"/>
                <w:b/>
                <w:bCs/>
                <w:color w:val="auto"/>
                <w:sz w:val="21"/>
                <w:szCs w:val="21"/>
                <w:highlight w:val="none"/>
                <w:lang w:val="en-US" w:eastAsia="zh-CN"/>
              </w:rPr>
              <w:t>9</w:t>
            </w:r>
            <w:r>
              <w:rPr>
                <w:rFonts w:hint="default" w:ascii="Times New Roman" w:hAnsi="Times New Roman" w:eastAsia="宋体" w:cs="Times New Roman"/>
                <w:b/>
                <w:bCs/>
                <w:color w:val="auto"/>
                <w:sz w:val="21"/>
                <w:szCs w:val="21"/>
                <w:highlight w:val="none"/>
                <w:lang w:val="en-US" w:eastAsia="zh-CN"/>
              </w:rPr>
              <w:t xml:space="preserve">  厂区污</w:t>
            </w:r>
            <w:r>
              <w:rPr>
                <w:rFonts w:hint="eastAsia" w:ascii="宋体" w:hAnsi="宋体" w:eastAsia="宋体" w:cs="宋体"/>
                <w:b/>
                <w:bCs/>
                <w:color w:val="auto"/>
                <w:sz w:val="21"/>
                <w:szCs w:val="21"/>
                <w:highlight w:val="none"/>
                <w:lang w:val="en-US" w:eastAsia="zh-CN"/>
              </w:rPr>
              <w:t>染物“三本账”一</w:t>
            </w:r>
            <w:r>
              <w:rPr>
                <w:rFonts w:hint="default" w:ascii="Times New Roman" w:hAnsi="Times New Roman" w:eastAsia="宋体" w:cs="Times New Roman"/>
                <w:b/>
                <w:bCs/>
                <w:color w:val="auto"/>
                <w:sz w:val="21"/>
                <w:szCs w:val="21"/>
                <w:highlight w:val="none"/>
                <w:lang w:val="en-US" w:eastAsia="zh-CN"/>
              </w:rPr>
              <w:t>览表</w:t>
            </w:r>
          </w:p>
          <w:tbl>
            <w:tblPr>
              <w:tblStyle w:val="33"/>
              <w:tblW w:w="819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70"/>
              <w:gridCol w:w="540"/>
              <w:gridCol w:w="1560"/>
              <w:gridCol w:w="1071"/>
              <w:gridCol w:w="1118"/>
              <w:gridCol w:w="1094"/>
              <w:gridCol w:w="1184"/>
              <w:gridCol w:w="1161"/>
            </w:tblGrid>
            <w:tr w14:paraId="19BC12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567" w:type="pct"/>
                  <w:gridSpan w:val="3"/>
                  <w:tcBorders>
                    <w:tl2br w:val="nil"/>
                    <w:tr2bl w:val="nil"/>
                  </w:tcBorders>
                  <w:noWrap w:val="0"/>
                  <w:vAlign w:val="center"/>
                </w:tcPr>
                <w:p w14:paraId="316D65F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污染物项目</w:t>
                  </w:r>
                </w:p>
              </w:tc>
              <w:tc>
                <w:tcPr>
                  <w:tcW w:w="653" w:type="pct"/>
                  <w:tcBorders>
                    <w:tl2br w:val="nil"/>
                    <w:tr2bl w:val="nil"/>
                  </w:tcBorders>
                  <w:noWrap w:val="0"/>
                  <w:vAlign w:val="center"/>
                </w:tcPr>
                <w:p w14:paraId="31D9E57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现有工程排放量</w:t>
                  </w:r>
                </w:p>
              </w:tc>
              <w:tc>
                <w:tcPr>
                  <w:tcW w:w="681" w:type="pct"/>
                  <w:tcBorders>
                    <w:tl2br w:val="nil"/>
                    <w:tr2bl w:val="nil"/>
                  </w:tcBorders>
                  <w:noWrap w:val="0"/>
                  <w:vAlign w:val="center"/>
                </w:tcPr>
                <w:p w14:paraId="4B947EE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改</w:t>
                  </w: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项目排放量</w:t>
                  </w:r>
                </w:p>
              </w:tc>
              <w:tc>
                <w:tcPr>
                  <w:tcW w:w="667" w:type="pct"/>
                  <w:tcBorders>
                    <w:tl2br w:val="nil"/>
                    <w:tr2bl w:val="nil"/>
                  </w:tcBorders>
                  <w:noWrap w:val="0"/>
                  <w:vAlign w:val="center"/>
                </w:tcPr>
                <w:p w14:paraId="2373549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“以新带老”削减量</w:t>
                  </w:r>
                </w:p>
              </w:tc>
              <w:tc>
                <w:tcPr>
                  <w:tcW w:w="722" w:type="pct"/>
                  <w:tcBorders>
                    <w:tl2br w:val="nil"/>
                    <w:tr2bl w:val="nil"/>
                  </w:tcBorders>
                  <w:noWrap w:val="0"/>
                  <w:vAlign w:val="center"/>
                </w:tcPr>
                <w:p w14:paraId="0BCF30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改</w:t>
                  </w: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后全厂总排放量</w:t>
                  </w:r>
                </w:p>
              </w:tc>
              <w:tc>
                <w:tcPr>
                  <w:tcW w:w="708" w:type="pct"/>
                  <w:tcBorders>
                    <w:tl2br w:val="nil"/>
                    <w:tr2bl w:val="nil"/>
                  </w:tcBorders>
                  <w:noWrap w:val="0"/>
                  <w:vAlign w:val="center"/>
                </w:tcPr>
                <w:p w14:paraId="397D7BA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增减变化量</w:t>
                  </w:r>
                </w:p>
              </w:tc>
            </w:tr>
            <w:tr w14:paraId="0111A2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16" w:type="pct"/>
                  <w:gridSpan w:val="2"/>
                  <w:vMerge w:val="restart"/>
                  <w:tcBorders>
                    <w:tl2br w:val="nil"/>
                    <w:tr2bl w:val="nil"/>
                  </w:tcBorders>
                  <w:noWrap w:val="0"/>
                  <w:vAlign w:val="center"/>
                </w:tcPr>
                <w:p w14:paraId="01B3AF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废气</w:t>
                  </w:r>
                </w:p>
              </w:tc>
              <w:tc>
                <w:tcPr>
                  <w:tcW w:w="951" w:type="pct"/>
                  <w:tcBorders>
                    <w:tl2br w:val="nil"/>
                    <w:tr2bl w:val="nil"/>
                  </w:tcBorders>
                  <w:noWrap w:val="0"/>
                  <w:vAlign w:val="center"/>
                </w:tcPr>
                <w:p w14:paraId="3BBB5426">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二甲苯</w:t>
                  </w:r>
                </w:p>
              </w:tc>
              <w:tc>
                <w:tcPr>
                  <w:tcW w:w="653" w:type="pct"/>
                  <w:tcBorders>
                    <w:tl2br w:val="nil"/>
                    <w:tr2bl w:val="nil"/>
                  </w:tcBorders>
                  <w:shd w:val="clear" w:color="auto" w:fill="auto"/>
                  <w:noWrap w:val="0"/>
                  <w:vAlign w:val="center"/>
                </w:tcPr>
                <w:p w14:paraId="1E8FF4F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p>
              </w:tc>
              <w:tc>
                <w:tcPr>
                  <w:tcW w:w="681" w:type="pct"/>
                  <w:tcBorders>
                    <w:tl2br w:val="nil"/>
                    <w:tr2bl w:val="nil"/>
                  </w:tcBorders>
                  <w:shd w:val="clear" w:color="auto" w:fill="auto"/>
                  <w:noWrap w:val="0"/>
                  <w:vAlign w:val="center"/>
                </w:tcPr>
                <w:p w14:paraId="0DEAB2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667" w:type="pct"/>
                  <w:tcBorders>
                    <w:tl2br w:val="nil"/>
                    <w:tr2bl w:val="nil"/>
                  </w:tcBorders>
                  <w:shd w:val="clear" w:color="auto" w:fill="auto"/>
                  <w:noWrap w:val="0"/>
                  <w:vAlign w:val="center"/>
                </w:tcPr>
                <w:p w14:paraId="6FFD6DAF">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22" w:type="pct"/>
                  <w:tcBorders>
                    <w:tl2br w:val="nil"/>
                    <w:tr2bl w:val="nil"/>
                  </w:tcBorders>
                  <w:shd w:val="clear" w:color="auto" w:fill="auto"/>
                  <w:noWrap w:val="0"/>
                  <w:vAlign w:val="center"/>
                </w:tcPr>
                <w:p w14:paraId="290709D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708" w:type="pct"/>
                  <w:tcBorders>
                    <w:tl2br w:val="nil"/>
                    <w:tr2bl w:val="nil"/>
                  </w:tcBorders>
                  <w:noWrap w:val="0"/>
                  <w:vAlign w:val="center"/>
                </w:tcPr>
                <w:p w14:paraId="182A8C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r>
            <w:tr w14:paraId="6F54E0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16" w:type="pct"/>
                  <w:gridSpan w:val="2"/>
                  <w:vMerge w:val="continue"/>
                  <w:tcBorders>
                    <w:tl2br w:val="nil"/>
                    <w:tr2bl w:val="nil"/>
                  </w:tcBorders>
                  <w:noWrap w:val="0"/>
                  <w:vAlign w:val="center"/>
                </w:tcPr>
                <w:p w14:paraId="234B4A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51" w:type="pct"/>
                  <w:tcBorders>
                    <w:tl2br w:val="nil"/>
                    <w:tr2bl w:val="nil"/>
                  </w:tcBorders>
                  <w:noWrap w:val="0"/>
                  <w:vAlign w:val="center"/>
                </w:tcPr>
                <w:p w14:paraId="6DDC5167">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653" w:type="pct"/>
                  <w:tcBorders>
                    <w:tl2br w:val="nil"/>
                    <w:tr2bl w:val="nil"/>
                  </w:tcBorders>
                  <w:shd w:val="clear" w:color="auto" w:fill="auto"/>
                  <w:noWrap w:val="0"/>
                  <w:vAlign w:val="center"/>
                </w:tcPr>
                <w:p w14:paraId="7C9E9274">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p>
              </w:tc>
              <w:tc>
                <w:tcPr>
                  <w:tcW w:w="681" w:type="pct"/>
                  <w:tcBorders>
                    <w:tl2br w:val="nil"/>
                    <w:tr2bl w:val="nil"/>
                  </w:tcBorders>
                  <w:shd w:val="clear" w:color="auto" w:fill="auto"/>
                  <w:noWrap w:val="0"/>
                  <w:vAlign w:val="center"/>
                </w:tcPr>
                <w:p w14:paraId="6BB3909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667" w:type="pct"/>
                  <w:tcBorders>
                    <w:tl2br w:val="nil"/>
                    <w:tr2bl w:val="nil"/>
                  </w:tcBorders>
                  <w:shd w:val="clear" w:color="auto" w:fill="auto"/>
                  <w:noWrap w:val="0"/>
                  <w:vAlign w:val="center"/>
                </w:tcPr>
                <w:p w14:paraId="6EB1857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22" w:type="pct"/>
                  <w:tcBorders>
                    <w:tl2br w:val="nil"/>
                    <w:tr2bl w:val="nil"/>
                  </w:tcBorders>
                  <w:shd w:val="clear" w:color="auto" w:fill="auto"/>
                  <w:noWrap w:val="0"/>
                  <w:vAlign w:val="center"/>
                </w:tcPr>
                <w:p w14:paraId="074A8DA8">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708" w:type="pct"/>
                  <w:tcBorders>
                    <w:tl2br w:val="nil"/>
                    <w:tr2bl w:val="nil"/>
                  </w:tcBorders>
                  <w:shd w:val="clear" w:color="auto" w:fill="auto"/>
                  <w:noWrap w:val="0"/>
                  <w:vAlign w:val="center"/>
                </w:tcPr>
                <w:p w14:paraId="015DF8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r>
            <w:tr w14:paraId="43064D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16" w:type="pct"/>
                  <w:gridSpan w:val="2"/>
                  <w:vMerge w:val="continue"/>
                  <w:tcBorders>
                    <w:tl2br w:val="nil"/>
                    <w:tr2bl w:val="nil"/>
                  </w:tcBorders>
                  <w:noWrap w:val="0"/>
                  <w:vAlign w:val="center"/>
                </w:tcPr>
                <w:p w14:paraId="1548E1D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51" w:type="pct"/>
                  <w:tcBorders>
                    <w:tl2br w:val="nil"/>
                    <w:tr2bl w:val="nil"/>
                  </w:tcBorders>
                  <w:noWrap w:val="0"/>
                  <w:vAlign w:val="center"/>
                </w:tcPr>
                <w:p w14:paraId="0CD4DBBD">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653" w:type="pct"/>
                  <w:tcBorders>
                    <w:tl2br w:val="nil"/>
                    <w:tr2bl w:val="nil"/>
                  </w:tcBorders>
                  <w:noWrap w:val="0"/>
                  <w:vAlign w:val="center"/>
                </w:tcPr>
                <w:p w14:paraId="555E78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681" w:type="pct"/>
                  <w:tcBorders>
                    <w:tl2br w:val="nil"/>
                    <w:tr2bl w:val="nil"/>
                  </w:tcBorders>
                  <w:noWrap w:val="0"/>
                  <w:vAlign w:val="center"/>
                </w:tcPr>
                <w:p w14:paraId="2E73D2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667" w:type="pct"/>
                  <w:tcBorders>
                    <w:tl2br w:val="nil"/>
                    <w:tr2bl w:val="nil"/>
                  </w:tcBorders>
                  <w:noWrap w:val="0"/>
                  <w:vAlign w:val="center"/>
                </w:tcPr>
                <w:p w14:paraId="6E01CD5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tcBorders>
                    <w:tl2br w:val="nil"/>
                    <w:tr2bl w:val="nil"/>
                  </w:tcBorders>
                  <w:noWrap w:val="0"/>
                  <w:vAlign w:val="center"/>
                </w:tcPr>
                <w:p w14:paraId="47901A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708" w:type="pct"/>
                  <w:tcBorders>
                    <w:tl2br w:val="nil"/>
                    <w:tr2bl w:val="nil"/>
                  </w:tcBorders>
                  <w:noWrap w:val="0"/>
                  <w:vAlign w:val="center"/>
                </w:tcPr>
                <w:p w14:paraId="65415A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7AF893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16" w:type="pct"/>
                  <w:gridSpan w:val="2"/>
                  <w:vMerge w:val="continue"/>
                  <w:tcBorders>
                    <w:tl2br w:val="nil"/>
                    <w:tr2bl w:val="nil"/>
                  </w:tcBorders>
                  <w:noWrap w:val="0"/>
                  <w:vAlign w:val="center"/>
                </w:tcPr>
                <w:p w14:paraId="5BEC7F2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51" w:type="pct"/>
                  <w:tcBorders>
                    <w:tl2br w:val="nil"/>
                    <w:tr2bl w:val="nil"/>
                  </w:tcBorders>
                  <w:noWrap w:val="0"/>
                  <w:vAlign w:val="center"/>
                </w:tcPr>
                <w:p w14:paraId="2F24CEA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653" w:type="pct"/>
                  <w:tcBorders>
                    <w:tl2br w:val="nil"/>
                    <w:tr2bl w:val="nil"/>
                  </w:tcBorders>
                  <w:noWrap w:val="0"/>
                  <w:vAlign w:val="center"/>
                </w:tcPr>
                <w:p w14:paraId="655BE3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0.0509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tcBorders>
                    <w:tl2br w:val="nil"/>
                    <w:tr2bl w:val="nil"/>
                  </w:tcBorders>
                  <w:noWrap w:val="0"/>
                  <w:vAlign w:val="center"/>
                </w:tcPr>
                <w:p w14:paraId="796945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0.0198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tcBorders>
                    <w:tl2br w:val="nil"/>
                    <w:tr2bl w:val="nil"/>
                  </w:tcBorders>
                  <w:noWrap w:val="0"/>
                  <w:vAlign w:val="center"/>
                </w:tcPr>
                <w:p w14:paraId="26A3AE9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0311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22" w:type="pct"/>
                  <w:tcBorders>
                    <w:tl2br w:val="nil"/>
                    <w:tr2bl w:val="nil"/>
                  </w:tcBorders>
                  <w:shd w:val="clear" w:color="auto" w:fill="auto"/>
                  <w:noWrap w:val="0"/>
                  <w:vAlign w:val="center"/>
                </w:tcPr>
                <w:p w14:paraId="0817F9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0.0198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tcBorders>
                    <w:tl2br w:val="nil"/>
                    <w:tr2bl w:val="nil"/>
                  </w:tcBorders>
                  <w:shd w:val="clear" w:color="auto" w:fill="auto"/>
                  <w:noWrap w:val="0"/>
                  <w:vAlign w:val="center"/>
                </w:tcPr>
                <w:p w14:paraId="5D7822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0311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26EB2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482" w:hRule="atLeast"/>
                <w:jc w:val="center"/>
              </w:trPr>
              <w:tc>
                <w:tcPr>
                  <w:tcW w:w="616" w:type="pct"/>
                  <w:gridSpan w:val="2"/>
                  <w:vMerge w:val="restart"/>
                  <w:tcBorders>
                    <w:tl2br w:val="nil"/>
                    <w:tr2bl w:val="nil"/>
                  </w:tcBorders>
                  <w:noWrap w:val="0"/>
                  <w:vAlign w:val="center"/>
                </w:tcPr>
                <w:p w14:paraId="7B19E6F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951" w:type="pct"/>
                  <w:tcBorders>
                    <w:tl2br w:val="nil"/>
                    <w:tr2bl w:val="nil"/>
                  </w:tcBorders>
                  <w:noWrap w:val="0"/>
                  <w:vAlign w:val="center"/>
                </w:tcPr>
                <w:p w14:paraId="736B7FA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653" w:type="pct"/>
                  <w:tcBorders>
                    <w:tl2br w:val="nil"/>
                    <w:tr2bl w:val="nil"/>
                  </w:tcBorders>
                  <w:noWrap w:val="0"/>
                  <w:vAlign w:val="center"/>
                </w:tcPr>
                <w:p w14:paraId="51BA36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tcBorders>
                    <w:tl2br w:val="nil"/>
                    <w:tr2bl w:val="nil"/>
                  </w:tcBorders>
                  <w:noWrap w:val="0"/>
                  <w:vAlign w:val="center"/>
                </w:tcPr>
                <w:p w14:paraId="76B1C3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0.939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tcBorders>
                    <w:tl2br w:val="nil"/>
                    <w:tr2bl w:val="nil"/>
                  </w:tcBorders>
                  <w:noWrap w:val="0"/>
                  <w:vAlign w:val="center"/>
                </w:tcPr>
                <w:p w14:paraId="677569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0.861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22" w:type="pct"/>
                  <w:tcBorders>
                    <w:tl2br w:val="nil"/>
                    <w:tr2bl w:val="nil"/>
                  </w:tcBorders>
                  <w:noWrap w:val="0"/>
                  <w:vAlign w:val="center"/>
                </w:tcPr>
                <w:p w14:paraId="367DF9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0.939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tcBorders>
                    <w:tl2br w:val="nil"/>
                    <w:tr2bl w:val="nil"/>
                  </w:tcBorders>
                  <w:noWrap w:val="0"/>
                  <w:vAlign w:val="center"/>
                </w:tcPr>
                <w:p w14:paraId="387864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cs="Times New Roman"/>
                      <w:i w:val="0"/>
                      <w:iCs w:val="0"/>
                      <w:color w:val="auto"/>
                      <w:kern w:val="0"/>
                      <w:sz w:val="21"/>
                      <w:szCs w:val="21"/>
                      <w:highlight w:val="none"/>
                      <w:u w:val="none"/>
                      <w:lang w:val="en-US" w:eastAsia="zh-CN" w:bidi="ar"/>
                    </w:rPr>
                    <w:t>0.861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9D9C8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16" w:type="pct"/>
                  <w:gridSpan w:val="2"/>
                  <w:vMerge w:val="continue"/>
                  <w:tcBorders>
                    <w:tl2br w:val="nil"/>
                    <w:tr2bl w:val="nil"/>
                  </w:tcBorders>
                  <w:noWrap w:val="0"/>
                  <w:vAlign w:val="center"/>
                </w:tcPr>
                <w:p w14:paraId="534D716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tcBorders>
                    <w:tl2br w:val="nil"/>
                    <w:tr2bl w:val="nil"/>
                  </w:tcBorders>
                  <w:noWrap w:val="0"/>
                  <w:vAlign w:val="center"/>
                </w:tcPr>
                <w:p w14:paraId="69A69E4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653" w:type="pct"/>
                  <w:tcBorders>
                    <w:tl2br w:val="nil"/>
                    <w:tr2bl w:val="nil"/>
                  </w:tcBorders>
                  <w:noWrap w:val="0"/>
                  <w:vAlign w:val="center"/>
                </w:tcPr>
                <w:p w14:paraId="599D9D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tcBorders>
                    <w:tl2br w:val="nil"/>
                    <w:tr2bl w:val="nil"/>
                  </w:tcBorders>
                  <w:noWrap w:val="0"/>
                  <w:vAlign w:val="center"/>
                </w:tcPr>
                <w:p w14:paraId="066EB5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tcBorders>
                    <w:tl2br w:val="nil"/>
                    <w:tr2bl w:val="nil"/>
                  </w:tcBorders>
                  <w:noWrap w:val="0"/>
                  <w:vAlign w:val="center"/>
                </w:tcPr>
                <w:p w14:paraId="699AF7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22" w:type="pct"/>
                  <w:tcBorders>
                    <w:tl2br w:val="nil"/>
                    <w:tr2bl w:val="nil"/>
                  </w:tcBorders>
                  <w:noWrap w:val="0"/>
                  <w:vAlign w:val="center"/>
                </w:tcPr>
                <w:p w14:paraId="4DA1A6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tcBorders>
                    <w:tl2br w:val="nil"/>
                    <w:tr2bl w:val="nil"/>
                  </w:tcBorders>
                  <w:noWrap w:val="0"/>
                  <w:vAlign w:val="center"/>
                </w:tcPr>
                <w:p w14:paraId="3E5170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656FF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restart"/>
                  <w:tcBorders>
                    <w:tl2br w:val="nil"/>
                    <w:tr2bl w:val="nil"/>
                  </w:tcBorders>
                  <w:noWrap w:val="0"/>
                  <w:vAlign w:val="center"/>
                </w:tcPr>
                <w:p w14:paraId="450878B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固废</w:t>
                  </w:r>
                </w:p>
              </w:tc>
              <w:tc>
                <w:tcPr>
                  <w:tcW w:w="329" w:type="pct"/>
                  <w:vMerge w:val="restart"/>
                  <w:tcBorders>
                    <w:tl2br w:val="nil"/>
                    <w:tr2bl w:val="nil"/>
                  </w:tcBorders>
                  <w:noWrap w:val="0"/>
                  <w:vAlign w:val="center"/>
                </w:tcPr>
                <w:p w14:paraId="541F0BE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1DE654F2">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951" w:type="pct"/>
                  <w:tcBorders>
                    <w:tl2br w:val="nil"/>
                    <w:tr2bl w:val="nil"/>
                  </w:tcBorders>
                  <w:noWrap w:val="0"/>
                  <w:vAlign w:val="center"/>
                </w:tcPr>
                <w:p w14:paraId="015201E4">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沉降金属粉尘</w:t>
                  </w:r>
                </w:p>
              </w:tc>
              <w:tc>
                <w:tcPr>
                  <w:tcW w:w="653" w:type="pct"/>
                  <w:vMerge w:val="restart"/>
                  <w:tcBorders>
                    <w:tl2br w:val="nil"/>
                    <w:tr2bl w:val="nil"/>
                  </w:tcBorders>
                  <w:noWrap w:val="0"/>
                  <w:vAlign w:val="center"/>
                </w:tcPr>
                <w:p w14:paraId="0ABEA82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2.9t/a</w:t>
                  </w:r>
                </w:p>
              </w:tc>
              <w:tc>
                <w:tcPr>
                  <w:tcW w:w="681" w:type="pct"/>
                  <w:tcBorders>
                    <w:tl2br w:val="nil"/>
                    <w:tr2bl w:val="nil"/>
                  </w:tcBorders>
                  <w:noWrap w:val="0"/>
                  <w:vAlign w:val="center"/>
                </w:tcPr>
                <w:p w14:paraId="1781A3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tcBorders>
                    <w:tl2br w:val="nil"/>
                    <w:tr2bl w:val="nil"/>
                  </w:tcBorders>
                  <w:noWrap w:val="0"/>
                  <w:vAlign w:val="center"/>
                </w:tcPr>
                <w:p w14:paraId="56912FC6">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722" w:type="pct"/>
                  <w:tcBorders>
                    <w:tl2br w:val="nil"/>
                    <w:tr2bl w:val="nil"/>
                  </w:tcBorders>
                  <w:noWrap w:val="0"/>
                  <w:vAlign w:val="center"/>
                </w:tcPr>
                <w:p w14:paraId="6DE0FA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tcBorders>
                    <w:tl2br w:val="nil"/>
                    <w:tr2bl w:val="nil"/>
                  </w:tcBorders>
                  <w:noWrap w:val="0"/>
                  <w:vAlign w:val="center"/>
                </w:tcPr>
                <w:p w14:paraId="3DEE32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4E4669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tcBorders>
                    <w:tl2br w:val="nil"/>
                    <w:tr2bl w:val="nil"/>
                  </w:tcBorders>
                  <w:noWrap w:val="0"/>
                  <w:vAlign w:val="center"/>
                </w:tcPr>
                <w:p w14:paraId="43A2A4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tcBorders>
                    <w:tl2br w:val="nil"/>
                    <w:tr2bl w:val="nil"/>
                  </w:tcBorders>
                  <w:noWrap w:val="0"/>
                  <w:vAlign w:val="center"/>
                </w:tcPr>
                <w:p w14:paraId="292F656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tcBorders>
                    <w:tl2br w:val="nil"/>
                    <w:tr2bl w:val="nil"/>
                  </w:tcBorders>
                  <w:noWrap w:val="0"/>
                  <w:vAlign w:val="center"/>
                </w:tcPr>
                <w:p w14:paraId="1A71E017">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废边角料</w:t>
                  </w:r>
                </w:p>
              </w:tc>
              <w:tc>
                <w:tcPr>
                  <w:tcW w:w="653" w:type="pct"/>
                  <w:vMerge w:val="continue"/>
                  <w:tcBorders>
                    <w:tl2br w:val="nil"/>
                    <w:tr2bl w:val="nil"/>
                  </w:tcBorders>
                  <w:noWrap w:val="0"/>
                  <w:vAlign w:val="center"/>
                </w:tcPr>
                <w:p w14:paraId="1292356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p>
              </w:tc>
              <w:tc>
                <w:tcPr>
                  <w:tcW w:w="681" w:type="pct"/>
                  <w:tcBorders>
                    <w:tl2br w:val="nil"/>
                    <w:tr2bl w:val="nil"/>
                  </w:tcBorders>
                  <w:noWrap w:val="0"/>
                  <w:vAlign w:val="center"/>
                </w:tcPr>
                <w:p w14:paraId="5C7A7B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tcBorders>
                    <w:tl2br w:val="nil"/>
                    <w:tr2bl w:val="nil"/>
                  </w:tcBorders>
                  <w:noWrap w:val="0"/>
                  <w:vAlign w:val="center"/>
                </w:tcPr>
                <w:p w14:paraId="37B39F3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tcBorders>
                    <w:tl2br w:val="nil"/>
                    <w:tr2bl w:val="nil"/>
                  </w:tcBorders>
                  <w:noWrap w:val="0"/>
                  <w:vAlign w:val="center"/>
                </w:tcPr>
                <w:p w14:paraId="71F854C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tcBorders>
                    <w:tl2br w:val="nil"/>
                    <w:tr2bl w:val="nil"/>
                  </w:tcBorders>
                  <w:noWrap w:val="0"/>
                  <w:vAlign w:val="center"/>
                </w:tcPr>
                <w:p w14:paraId="22A835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+10.3t/a</w:t>
                  </w:r>
                </w:p>
              </w:tc>
            </w:tr>
            <w:tr w14:paraId="3E61C1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7138F4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7B11ECA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3C4EEF2B">
                  <w:pPr>
                    <w:snapToGrid w:val="0"/>
                    <w:ind w:right="-134" w:rightChars="-64"/>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653" w:type="pct"/>
                  <w:noWrap w:val="0"/>
                  <w:vAlign w:val="center"/>
                </w:tcPr>
                <w:p w14:paraId="52D803D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681" w:type="pct"/>
                  <w:noWrap w:val="0"/>
                  <w:vAlign w:val="center"/>
                </w:tcPr>
                <w:p w14:paraId="699C23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4D7A939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722" w:type="pct"/>
                  <w:noWrap w:val="0"/>
                  <w:vAlign w:val="center"/>
                </w:tcPr>
                <w:p w14:paraId="0B64336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44159D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EC0F9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56BD839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02CDEB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4E3A925D">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653" w:type="pct"/>
                  <w:noWrap w:val="0"/>
                  <w:vAlign w:val="center"/>
                </w:tcPr>
                <w:p w14:paraId="32A683A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noWrap w:val="0"/>
                  <w:vAlign w:val="center"/>
                </w:tcPr>
                <w:p w14:paraId="78E9C9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56E5E36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0B50E11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63E0D9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eastAsia"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B8021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04E9554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restart"/>
                  <w:noWrap w:val="0"/>
                  <w:vAlign w:val="center"/>
                </w:tcPr>
                <w:p w14:paraId="1BCFF67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危险废物</w:t>
                  </w:r>
                </w:p>
              </w:tc>
              <w:tc>
                <w:tcPr>
                  <w:tcW w:w="951" w:type="pct"/>
                  <w:noWrap w:val="0"/>
                  <w:vAlign w:val="center"/>
                </w:tcPr>
                <w:p w14:paraId="3D8DB111">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油泥</w:t>
                  </w:r>
                </w:p>
              </w:tc>
              <w:tc>
                <w:tcPr>
                  <w:tcW w:w="653" w:type="pct"/>
                  <w:noWrap w:val="0"/>
                  <w:vAlign w:val="center"/>
                </w:tcPr>
                <w:p w14:paraId="4EA219F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noWrap w:val="0"/>
                  <w:vAlign w:val="center"/>
                </w:tcPr>
                <w:p w14:paraId="3768DB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32A512AC">
                  <w:pPr>
                    <w:jc w:val="center"/>
                    <w:rPr>
                      <w:rFonts w:hint="default" w:ascii="Times New Roman" w:hAnsi="Times New Roman" w:eastAsia="宋体" w:cs="Times New Roman"/>
                      <w:color w:val="auto"/>
                      <w:sz w:val="21"/>
                      <w:szCs w:val="21"/>
                      <w:highlight w:val="none"/>
                      <w:lang w:val="en-US" w:eastAsia="zh-CN"/>
                    </w:rPr>
                  </w:pPr>
                </w:p>
              </w:tc>
              <w:tc>
                <w:tcPr>
                  <w:tcW w:w="722" w:type="pct"/>
                  <w:noWrap w:val="0"/>
                  <w:vAlign w:val="center"/>
                </w:tcPr>
                <w:p w14:paraId="5EACCFD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6E979E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7C95C9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66F2F26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20ACDD6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951" w:type="pct"/>
                  <w:shd w:val="clear" w:color="auto" w:fill="auto"/>
                  <w:noWrap w:val="0"/>
                  <w:vAlign w:val="center"/>
                </w:tcPr>
                <w:p w14:paraId="364D7438">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废切削液</w:t>
                  </w:r>
                </w:p>
              </w:tc>
              <w:tc>
                <w:tcPr>
                  <w:tcW w:w="653" w:type="pct"/>
                  <w:shd w:val="clear" w:color="auto" w:fill="auto"/>
                  <w:noWrap w:val="0"/>
                  <w:vAlign w:val="center"/>
                </w:tcPr>
                <w:p w14:paraId="3AE1D74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4.0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shd w:val="clear" w:color="auto" w:fill="auto"/>
                  <w:noWrap w:val="0"/>
                  <w:vAlign w:val="center"/>
                </w:tcPr>
                <w:p w14:paraId="4F4225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shd w:val="clear" w:color="auto" w:fill="auto"/>
                  <w:noWrap w:val="0"/>
                  <w:vAlign w:val="center"/>
                </w:tcPr>
                <w:p w14:paraId="5596BD1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22" w:type="pct"/>
                  <w:shd w:val="clear" w:color="auto" w:fill="auto"/>
                  <w:noWrap w:val="0"/>
                  <w:vAlign w:val="center"/>
                </w:tcPr>
                <w:p w14:paraId="198E9DE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shd w:val="clear" w:color="auto" w:fill="auto"/>
                  <w:noWrap w:val="0"/>
                  <w:vAlign w:val="center"/>
                </w:tcPr>
                <w:p w14:paraId="014C4F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E2502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2A71BF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050050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5FCE1C1F">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废机油</w:t>
                  </w:r>
                </w:p>
              </w:tc>
              <w:tc>
                <w:tcPr>
                  <w:tcW w:w="653" w:type="pct"/>
                  <w:noWrap w:val="0"/>
                  <w:vAlign w:val="center"/>
                </w:tcPr>
                <w:p w14:paraId="3271AED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2.4</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81" w:type="pct"/>
                  <w:noWrap w:val="0"/>
                  <w:vAlign w:val="center"/>
                </w:tcPr>
                <w:p w14:paraId="5A4FF9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4C1E635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4A4BBF3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0260D1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1B1CB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32425A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514511F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139096B9">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废机油桶</w:t>
                  </w:r>
                </w:p>
              </w:tc>
              <w:tc>
                <w:tcPr>
                  <w:tcW w:w="653" w:type="pct"/>
                  <w:noWrap w:val="0"/>
                  <w:vAlign w:val="center"/>
                </w:tcPr>
                <w:p w14:paraId="466F67E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681" w:type="pct"/>
                  <w:noWrap w:val="0"/>
                  <w:vAlign w:val="center"/>
                </w:tcPr>
                <w:p w14:paraId="490260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4D10190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568B291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2A4B4E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6F363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435644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4447CA6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74482A44">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其它废包装桶</w:t>
                  </w:r>
                </w:p>
              </w:tc>
              <w:tc>
                <w:tcPr>
                  <w:tcW w:w="653" w:type="pct"/>
                  <w:noWrap w:val="0"/>
                  <w:vAlign w:val="center"/>
                </w:tcPr>
                <w:p w14:paraId="69994EA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681" w:type="pct"/>
                  <w:noWrap w:val="0"/>
                  <w:vAlign w:val="center"/>
                </w:tcPr>
                <w:p w14:paraId="1CD863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040AE60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5DCDED1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126D11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F9A51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6B428A8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018B950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2847A267">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漆渣</w:t>
                  </w:r>
                </w:p>
              </w:tc>
              <w:tc>
                <w:tcPr>
                  <w:tcW w:w="653" w:type="pct"/>
                  <w:noWrap w:val="0"/>
                  <w:vAlign w:val="center"/>
                </w:tcPr>
                <w:p w14:paraId="3D6FDE0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681" w:type="pct"/>
                  <w:noWrap w:val="0"/>
                  <w:vAlign w:val="center"/>
                </w:tcPr>
                <w:p w14:paraId="42DD54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22BF12A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08C153C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598B20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0E8D0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47476E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7EF9ECB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37DA885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宋体" w:hAnsi="宋体" w:eastAsia="宋体" w:cs="宋体"/>
                      <w:i w:val="0"/>
                      <w:iCs w:val="0"/>
                      <w:color w:val="auto"/>
                      <w:kern w:val="0"/>
                      <w:sz w:val="21"/>
                      <w:szCs w:val="21"/>
                      <w:u w:val="none"/>
                      <w:lang w:val="en-US" w:eastAsia="zh-CN" w:bidi="ar"/>
                    </w:rPr>
                    <w:t>废活性炭</w:t>
                  </w:r>
                </w:p>
              </w:tc>
              <w:tc>
                <w:tcPr>
                  <w:tcW w:w="653" w:type="pct"/>
                  <w:noWrap w:val="0"/>
                  <w:vAlign w:val="center"/>
                </w:tcPr>
                <w:p w14:paraId="3563E5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681" w:type="pct"/>
                  <w:noWrap w:val="0"/>
                  <w:vAlign w:val="center"/>
                </w:tcPr>
                <w:p w14:paraId="28840B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67" w:type="pct"/>
                  <w:noWrap w:val="0"/>
                  <w:vAlign w:val="center"/>
                </w:tcPr>
                <w:p w14:paraId="4B18EE7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22" w:type="pct"/>
                  <w:noWrap w:val="0"/>
                  <w:vAlign w:val="center"/>
                </w:tcPr>
                <w:p w14:paraId="133BB1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08" w:type="pct"/>
                  <w:noWrap w:val="0"/>
                  <w:vAlign w:val="center"/>
                </w:tcPr>
                <w:p w14:paraId="42FA47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0AEC9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6" w:type="pct"/>
                  <w:vMerge w:val="continue"/>
                  <w:noWrap w:val="0"/>
                  <w:vAlign w:val="center"/>
                </w:tcPr>
                <w:p w14:paraId="18C49C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29" w:type="pct"/>
                  <w:vMerge w:val="continue"/>
                  <w:noWrap w:val="0"/>
                  <w:vAlign w:val="center"/>
                </w:tcPr>
                <w:p w14:paraId="667F160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51" w:type="pct"/>
                  <w:noWrap w:val="0"/>
                  <w:vAlign w:val="center"/>
                </w:tcPr>
                <w:p w14:paraId="433DDD00">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超</w:t>
                  </w:r>
                  <w:r>
                    <w:rPr>
                      <w:rFonts w:hint="eastAsia" w:ascii="宋体" w:hAnsi="宋体" w:eastAsia="宋体" w:cs="宋体"/>
                      <w:i w:val="0"/>
                      <w:iCs w:val="0"/>
                      <w:color w:val="auto"/>
                      <w:kern w:val="0"/>
                      <w:sz w:val="21"/>
                      <w:szCs w:val="21"/>
                      <w:highlight w:val="none"/>
                      <w:u w:val="none"/>
                      <w:lang w:val="en-US" w:eastAsia="zh-CN" w:bidi="ar"/>
                    </w:rPr>
                    <w:t>声波介质用水</w:t>
                  </w:r>
                  <w:r>
                    <w:rPr>
                      <w:rFonts w:hint="eastAsia" w:ascii="宋体" w:hAnsi="宋体" w:cs="宋体"/>
                      <w:i w:val="0"/>
                      <w:iCs w:val="0"/>
                      <w:color w:val="auto"/>
                      <w:kern w:val="0"/>
                      <w:sz w:val="21"/>
                      <w:szCs w:val="21"/>
                      <w:highlight w:val="none"/>
                      <w:u w:val="none"/>
                      <w:lang w:val="en-US" w:eastAsia="zh-CN" w:bidi="ar"/>
                    </w:rPr>
                    <w:t>（原环评）</w:t>
                  </w:r>
                </w:p>
              </w:tc>
              <w:tc>
                <w:tcPr>
                  <w:tcW w:w="653" w:type="pct"/>
                  <w:noWrap w:val="0"/>
                  <w:vAlign w:val="center"/>
                </w:tcPr>
                <w:p w14:paraId="6F7852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20t/a</w:t>
                  </w:r>
                </w:p>
              </w:tc>
              <w:tc>
                <w:tcPr>
                  <w:tcW w:w="681" w:type="pct"/>
                  <w:noWrap w:val="0"/>
                  <w:vAlign w:val="center"/>
                </w:tcPr>
                <w:p w14:paraId="5E784D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667" w:type="pct"/>
                  <w:noWrap w:val="0"/>
                  <w:vAlign w:val="center"/>
                </w:tcPr>
                <w:p w14:paraId="22461B0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22" w:type="pct"/>
                  <w:noWrap w:val="0"/>
                  <w:vAlign w:val="center"/>
                </w:tcPr>
                <w:p w14:paraId="5CB34D5F">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w:t>
                  </w:r>
                </w:p>
              </w:tc>
              <w:tc>
                <w:tcPr>
                  <w:tcW w:w="708" w:type="pct"/>
                  <w:noWrap w:val="0"/>
                  <w:vAlign w:val="center"/>
                </w:tcPr>
                <w:p w14:paraId="329CC2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t>20t/a</w:t>
                  </w:r>
                </w:p>
              </w:tc>
            </w:tr>
            <w:tr w14:paraId="46BDDF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5000" w:type="pct"/>
                  <w:gridSpan w:val="8"/>
                  <w:noWrap w:val="0"/>
                  <w:vAlign w:val="center"/>
                </w:tcPr>
                <w:p w14:paraId="3989287A">
                  <w:pPr>
                    <w:keepNext w:val="0"/>
                    <w:keepLines w:val="0"/>
                    <w:widowControl/>
                    <w:suppressLineNumbers w:val="0"/>
                    <w:jc w:val="both"/>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注：现有工程为全厂现有工程。</w:t>
                  </w:r>
                </w:p>
              </w:tc>
            </w:tr>
          </w:tbl>
          <w:p w14:paraId="0A706192">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jc w:val="both"/>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十、环保措施的投资估算</w:t>
            </w:r>
          </w:p>
          <w:p w14:paraId="2BD39C68">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本项目环保投资主要包括：废气处理、废水处理、固体废物处置、噪声</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rPr>
              <w:t>等，本项目总投资</w:t>
            </w:r>
            <w:r>
              <w:rPr>
                <w:rFonts w:hint="eastAsia" w:ascii="Times New Roman" w:hAnsi="Times New Roman" w:eastAsia="宋体" w:cs="Times New Roman"/>
                <w:color w:val="auto"/>
                <w:sz w:val="24"/>
                <w:highlight w:val="none"/>
                <w:lang w:val="en-US" w:eastAsia="zh-CN"/>
              </w:rPr>
              <w:t>120</w:t>
            </w:r>
            <w:r>
              <w:rPr>
                <w:rFonts w:hint="default" w:ascii="Times New Roman" w:hAnsi="Times New Roman" w:eastAsia="宋体" w:cs="Times New Roman"/>
                <w:color w:val="auto"/>
                <w:sz w:val="24"/>
                <w:highlight w:val="none"/>
                <w:lang w:val="en-US" w:eastAsia="zh-CN"/>
              </w:rPr>
              <w:t>00</w:t>
            </w:r>
            <w:r>
              <w:rPr>
                <w:rFonts w:hint="default" w:ascii="Times New Roman" w:hAnsi="Times New Roman" w:eastAsia="宋体" w:cs="Times New Roman"/>
                <w:color w:val="auto"/>
                <w:sz w:val="24"/>
                <w:highlight w:val="none"/>
              </w:rPr>
              <w:t>万元，计划用于环境保护设施项目的投资共计</w:t>
            </w:r>
            <w:r>
              <w:rPr>
                <w:rFonts w:hint="eastAsia" w:cs="Times New Roman"/>
                <w:color w:val="0000FF"/>
                <w:sz w:val="24"/>
                <w:highlight w:val="none"/>
                <w:lang w:val="en-US" w:eastAsia="zh-CN"/>
              </w:rPr>
              <w:t>155</w:t>
            </w:r>
            <w:r>
              <w:rPr>
                <w:rFonts w:hint="default" w:ascii="Times New Roman" w:hAnsi="Times New Roman" w:eastAsia="宋体" w:cs="Times New Roman"/>
                <w:color w:val="0000FF"/>
                <w:sz w:val="24"/>
                <w:highlight w:val="none"/>
              </w:rPr>
              <w:t>万元，工程环保投资占总投资比例为</w:t>
            </w:r>
            <w:r>
              <w:rPr>
                <w:rFonts w:hint="eastAsia" w:cs="Times New Roman"/>
                <w:color w:val="0000FF"/>
                <w:sz w:val="24"/>
                <w:highlight w:val="none"/>
                <w:lang w:val="en-US" w:eastAsia="zh-CN"/>
              </w:rPr>
              <w:t>1.29%</w:t>
            </w:r>
            <w:r>
              <w:rPr>
                <w:rFonts w:hint="default" w:ascii="Times New Roman" w:hAnsi="Times New Roman" w:eastAsia="宋体" w:cs="Times New Roman"/>
                <w:color w:val="0000FF"/>
                <w:sz w:val="24"/>
                <w:highlight w:val="none"/>
              </w:rPr>
              <w:t>。</w:t>
            </w:r>
            <w:r>
              <w:rPr>
                <w:rFonts w:hint="default" w:ascii="Times New Roman" w:hAnsi="Times New Roman" w:eastAsia="宋体" w:cs="Times New Roman"/>
                <w:color w:val="auto"/>
                <w:sz w:val="24"/>
                <w:highlight w:val="none"/>
              </w:rPr>
              <w:t>其估算列于表</w:t>
            </w:r>
            <w:r>
              <w:rPr>
                <w:rFonts w:hint="default" w:ascii="Times New Roman" w:hAnsi="Times New Roman" w:eastAsia="宋体" w:cs="Times New Roman"/>
                <w:color w:val="auto"/>
                <w:sz w:val="24"/>
                <w:highlight w:val="none"/>
                <w:lang w:val="en-US" w:eastAsia="zh-CN"/>
              </w:rPr>
              <w:t>4-</w:t>
            </w:r>
            <w:r>
              <w:rPr>
                <w:rFonts w:hint="eastAsia" w:cs="Times New Roman"/>
                <w:color w:val="auto"/>
                <w:sz w:val="24"/>
                <w:highlight w:val="none"/>
                <w:lang w:val="en-US" w:eastAsia="zh-CN"/>
              </w:rPr>
              <w:t>30</w:t>
            </w:r>
            <w:r>
              <w:rPr>
                <w:rFonts w:hint="default" w:ascii="Times New Roman" w:hAnsi="Times New Roman" w:eastAsia="宋体" w:cs="Times New Roman"/>
                <w:color w:val="auto"/>
                <w:sz w:val="24"/>
                <w:highlight w:val="none"/>
              </w:rPr>
              <w:t>。</w:t>
            </w:r>
          </w:p>
          <w:p w14:paraId="2C600E04">
            <w:pPr>
              <w:spacing w:line="240" w:lineRule="auto"/>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w:t>
            </w:r>
            <w:r>
              <w:rPr>
                <w:rFonts w:hint="eastAsia" w:cs="Times New Roman"/>
                <w:b/>
                <w:color w:val="auto"/>
                <w:sz w:val="21"/>
                <w:szCs w:val="21"/>
                <w:highlight w:val="none"/>
                <w:lang w:val="en-US" w:eastAsia="zh-CN"/>
              </w:rPr>
              <w:t>30</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环保投资估算表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5073"/>
              <w:gridCol w:w="1609"/>
            </w:tblGrid>
            <w:tr w14:paraId="01574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7FCD24C4">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项目</w:t>
                  </w:r>
                </w:p>
              </w:tc>
              <w:tc>
                <w:tcPr>
                  <w:tcW w:w="3138" w:type="pct"/>
                  <w:tcBorders>
                    <w:tl2br w:val="nil"/>
                    <w:tr2bl w:val="nil"/>
                  </w:tcBorders>
                  <w:noWrap w:val="0"/>
                  <w:vAlign w:val="center"/>
                </w:tcPr>
                <w:p w14:paraId="403A05C0">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环保设施/设备</w:t>
                  </w:r>
                </w:p>
              </w:tc>
              <w:tc>
                <w:tcPr>
                  <w:tcW w:w="995" w:type="pct"/>
                  <w:tcBorders>
                    <w:tl2br w:val="nil"/>
                    <w:tr2bl w:val="nil"/>
                  </w:tcBorders>
                  <w:noWrap w:val="0"/>
                  <w:vAlign w:val="center"/>
                </w:tcPr>
                <w:p w14:paraId="3C273312">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环保投资（万元）</w:t>
                  </w:r>
                </w:p>
              </w:tc>
            </w:tr>
            <w:tr w14:paraId="46667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2B04A355">
                  <w:pPr>
                    <w:pStyle w:val="42"/>
                    <w:keepNext w:val="0"/>
                    <w:keepLines w:val="0"/>
                    <w:pageBreakBefore w:val="0"/>
                    <w:widowControl w:val="0"/>
                    <w:kinsoku/>
                    <w:wordWrap/>
                    <w:overflowPunct/>
                    <w:topLinePunct w:val="0"/>
                    <w:bidi w:val="0"/>
                    <w:adjustRightInd w:val="0"/>
                    <w:snapToGrid w:val="0"/>
                    <w:spacing w:line="240" w:lineRule="auto"/>
                    <w:ind w:left="0" w:leftChars="0"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废气处理</w:t>
                  </w:r>
                </w:p>
              </w:tc>
              <w:tc>
                <w:tcPr>
                  <w:tcW w:w="3138" w:type="pct"/>
                  <w:tcBorders>
                    <w:tl2br w:val="nil"/>
                    <w:tr2bl w:val="nil"/>
                  </w:tcBorders>
                  <w:noWrap w:val="0"/>
                  <w:vAlign w:val="center"/>
                </w:tcPr>
                <w:p w14:paraId="1539A497">
                  <w:pPr>
                    <w:keepNext w:val="0"/>
                    <w:keepLines w:val="0"/>
                    <w:pageBreakBefore w:val="0"/>
                    <w:widowControl w:val="0"/>
                    <w:kinsoku/>
                    <w:wordWrap/>
                    <w:overflowPunct/>
                    <w:topLinePunct w:val="0"/>
                    <w:bidi w:val="0"/>
                    <w:adjustRightInd/>
                    <w:snapToGrid/>
                    <w:spacing w:line="240" w:lineRule="auto"/>
                    <w:ind w:left="0" w:leftChars="0"/>
                    <w:jc w:val="center"/>
                    <w:textAlignment w:val="auto"/>
                    <w:rPr>
                      <w:rFonts w:hint="default" w:ascii="Times New Roman" w:hAnsi="Times New Roman" w:eastAsia="宋体" w:cs="Times New Roman"/>
                      <w:color w:val="auto"/>
                      <w:spacing w:val="0"/>
                      <w:sz w:val="21"/>
                      <w:szCs w:val="24"/>
                      <w:highlight w:val="none"/>
                      <w:lang w:val="en-US"/>
                    </w:rPr>
                  </w:pPr>
                  <w:r>
                    <w:rPr>
                      <w:rFonts w:hint="default" w:ascii="Times New Roman" w:hAnsi="Times New Roman" w:eastAsia="宋体" w:cs="Times New Roman"/>
                      <w:i w:val="0"/>
                      <w:iCs w:val="0"/>
                      <w:color w:val="auto"/>
                      <w:kern w:val="2"/>
                      <w:sz w:val="21"/>
                      <w:szCs w:val="24"/>
                      <w:highlight w:val="none"/>
                      <w:u w:val="none"/>
                      <w:lang w:val="en-US" w:eastAsia="zh-CN" w:bidi="ar"/>
                    </w:rPr>
                    <w:t>新风系统+多级过滤+</w:t>
                  </w:r>
                  <w:r>
                    <w:rPr>
                      <w:rFonts w:hint="default" w:cs="Times New Roman"/>
                      <w:i w:val="0"/>
                      <w:iCs w:val="0"/>
                      <w:color w:val="auto"/>
                      <w:kern w:val="2"/>
                      <w:sz w:val="21"/>
                      <w:szCs w:val="24"/>
                      <w:highlight w:val="none"/>
                      <w:u w:val="none"/>
                      <w:lang w:val="en-US" w:eastAsia="zh-CN" w:bidi="ar"/>
                    </w:rPr>
                    <w:t>两级活性炭吸附装置</w:t>
                  </w:r>
                  <w:r>
                    <w:rPr>
                      <w:rFonts w:hint="default" w:ascii="Times New Roman" w:hAnsi="Times New Roman" w:eastAsia="宋体" w:cs="Times New Roman"/>
                      <w:i w:val="0"/>
                      <w:iCs w:val="0"/>
                      <w:color w:val="auto"/>
                      <w:kern w:val="2"/>
                      <w:sz w:val="21"/>
                      <w:szCs w:val="24"/>
                      <w:highlight w:val="none"/>
                      <w:u w:val="none"/>
                      <w:lang w:val="en-US" w:eastAsia="zh-CN" w:bidi="ar"/>
                    </w:rPr>
                    <w:t>+排气筒等</w:t>
                  </w:r>
                </w:p>
              </w:tc>
              <w:tc>
                <w:tcPr>
                  <w:tcW w:w="995" w:type="pct"/>
                  <w:tcBorders>
                    <w:tl2br w:val="nil"/>
                    <w:tr2bl w:val="nil"/>
                  </w:tcBorders>
                  <w:noWrap w:val="0"/>
                  <w:vAlign w:val="center"/>
                </w:tcPr>
                <w:p w14:paraId="6DDF0C82">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28</w:t>
                  </w:r>
                </w:p>
              </w:tc>
            </w:tr>
            <w:tr w14:paraId="3ED71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vMerge w:val="restart"/>
                  <w:tcBorders>
                    <w:tl2br w:val="nil"/>
                    <w:tr2bl w:val="nil"/>
                  </w:tcBorders>
                  <w:noWrap w:val="0"/>
                  <w:vAlign w:val="center"/>
                </w:tcPr>
                <w:p w14:paraId="69D776A0">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废水处理</w:t>
                  </w:r>
                </w:p>
              </w:tc>
              <w:tc>
                <w:tcPr>
                  <w:tcW w:w="3138" w:type="pct"/>
                  <w:tcBorders>
                    <w:tl2br w:val="nil"/>
                    <w:tr2bl w:val="nil"/>
                  </w:tcBorders>
                  <w:noWrap w:val="0"/>
                  <w:vAlign w:val="center"/>
                </w:tcPr>
                <w:p w14:paraId="1733B2C4">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0"/>
                      <w:sz w:val="21"/>
                      <w:szCs w:val="24"/>
                      <w:highlight w:val="none"/>
                      <w:lang w:val="en-US" w:eastAsia="zh-CN"/>
                    </w:rPr>
                  </w:pPr>
                  <w:r>
                    <w:rPr>
                      <w:rFonts w:hint="default" w:cs="Times New Roman"/>
                      <w:color w:val="auto"/>
                      <w:spacing w:val="0"/>
                      <w:sz w:val="21"/>
                      <w:szCs w:val="24"/>
                      <w:highlight w:val="none"/>
                      <w:lang w:val="en-US" w:eastAsia="zh-CN"/>
                    </w:rPr>
                    <w:t>隔油池</w:t>
                  </w:r>
                  <w:r>
                    <w:rPr>
                      <w:rFonts w:hint="eastAsia" w:cs="Times New Roman"/>
                      <w:color w:val="auto"/>
                      <w:spacing w:val="0"/>
                      <w:sz w:val="21"/>
                      <w:szCs w:val="24"/>
                      <w:highlight w:val="none"/>
                      <w:lang w:val="en-US" w:eastAsia="zh-CN"/>
                    </w:rPr>
                    <w:t>+</w:t>
                  </w:r>
                  <w:r>
                    <w:rPr>
                      <w:rFonts w:hint="default" w:ascii="Times New Roman" w:hAnsi="Times New Roman" w:eastAsia="宋体" w:cs="Times New Roman"/>
                      <w:color w:val="auto"/>
                      <w:spacing w:val="0"/>
                      <w:sz w:val="21"/>
                      <w:szCs w:val="24"/>
                      <w:highlight w:val="none"/>
                      <w:lang w:val="en-US" w:eastAsia="zh-CN"/>
                    </w:rPr>
                    <w:t>化粪池</w:t>
                  </w:r>
                </w:p>
              </w:tc>
              <w:tc>
                <w:tcPr>
                  <w:tcW w:w="995" w:type="pct"/>
                  <w:tcBorders>
                    <w:tl2br w:val="nil"/>
                    <w:tr2bl w:val="nil"/>
                  </w:tcBorders>
                  <w:noWrap w:val="0"/>
                  <w:vAlign w:val="center"/>
                </w:tcPr>
                <w:p w14:paraId="5E99E800">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5</w:t>
                  </w:r>
                </w:p>
              </w:tc>
            </w:tr>
            <w:tr w14:paraId="28E0F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vMerge w:val="continue"/>
                  <w:tcBorders>
                    <w:tl2br w:val="nil"/>
                    <w:tr2bl w:val="nil"/>
                  </w:tcBorders>
                  <w:noWrap w:val="0"/>
                  <w:vAlign w:val="center"/>
                </w:tcPr>
                <w:p w14:paraId="309E8CA9">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p>
              </w:tc>
              <w:tc>
                <w:tcPr>
                  <w:tcW w:w="3138" w:type="pct"/>
                  <w:tcBorders>
                    <w:tl2br w:val="nil"/>
                    <w:tr2bl w:val="nil"/>
                  </w:tcBorders>
                  <w:noWrap w:val="0"/>
                  <w:vAlign w:val="center"/>
                </w:tcPr>
                <w:p w14:paraId="5919F881">
                  <w:pPr>
                    <w:keepNext w:val="0"/>
                    <w:keepLines w:val="0"/>
                    <w:pageBreakBefore w:val="0"/>
                    <w:widowControl w:val="0"/>
                    <w:kinsoku/>
                    <w:wordWrap/>
                    <w:overflowPunct/>
                    <w:topLinePunct w:val="0"/>
                    <w:bidi w:val="0"/>
                    <w:spacing w:line="240" w:lineRule="auto"/>
                    <w:jc w:val="center"/>
                    <w:rPr>
                      <w:rFonts w:hint="default" w:cs="Times New Roman"/>
                      <w:color w:val="auto"/>
                      <w:spacing w:val="0"/>
                      <w:sz w:val="21"/>
                      <w:szCs w:val="24"/>
                      <w:highlight w:val="none"/>
                      <w:lang w:val="en-US" w:eastAsia="zh-CN"/>
                    </w:rPr>
                  </w:pPr>
                  <w:r>
                    <w:rPr>
                      <w:rFonts w:hint="eastAsia" w:cs="Times New Roman"/>
                      <w:color w:val="auto"/>
                      <w:spacing w:val="0"/>
                      <w:sz w:val="21"/>
                      <w:szCs w:val="24"/>
                      <w:highlight w:val="none"/>
                      <w:lang w:val="en-US" w:eastAsia="zh-CN"/>
                    </w:rPr>
                    <w:t>生产废水一体化污水处理设施（3m</w:t>
                  </w:r>
                  <w:r>
                    <w:rPr>
                      <w:rFonts w:hint="eastAsia" w:cs="Times New Roman"/>
                      <w:color w:val="auto"/>
                      <w:spacing w:val="0"/>
                      <w:sz w:val="21"/>
                      <w:szCs w:val="24"/>
                      <w:highlight w:val="none"/>
                      <w:vertAlign w:val="superscript"/>
                      <w:lang w:val="en-US" w:eastAsia="zh-CN"/>
                    </w:rPr>
                    <w:t>3</w:t>
                  </w:r>
                  <w:r>
                    <w:rPr>
                      <w:rFonts w:hint="eastAsia" w:cs="Times New Roman"/>
                      <w:color w:val="auto"/>
                      <w:spacing w:val="0"/>
                      <w:sz w:val="21"/>
                      <w:szCs w:val="24"/>
                      <w:highlight w:val="none"/>
                      <w:lang w:val="en-US" w:eastAsia="zh-CN"/>
                    </w:rPr>
                    <w:t>/d）</w:t>
                  </w:r>
                </w:p>
              </w:tc>
              <w:tc>
                <w:tcPr>
                  <w:tcW w:w="995" w:type="pct"/>
                  <w:tcBorders>
                    <w:tl2br w:val="nil"/>
                    <w:tr2bl w:val="nil"/>
                  </w:tcBorders>
                  <w:noWrap w:val="0"/>
                  <w:vAlign w:val="center"/>
                </w:tcPr>
                <w:p w14:paraId="12C2D87A">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50</w:t>
                  </w:r>
                </w:p>
              </w:tc>
            </w:tr>
            <w:tr w14:paraId="00AC9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0F59A2CC">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噪声防治</w:t>
                  </w:r>
                </w:p>
              </w:tc>
              <w:tc>
                <w:tcPr>
                  <w:tcW w:w="3138" w:type="pct"/>
                  <w:tcBorders>
                    <w:tl2br w:val="nil"/>
                    <w:tr2bl w:val="nil"/>
                  </w:tcBorders>
                  <w:noWrap w:val="0"/>
                  <w:vAlign w:val="center"/>
                </w:tcPr>
                <w:p w14:paraId="40899FC2">
                  <w:pPr>
                    <w:keepNext w:val="0"/>
                    <w:keepLines w:val="0"/>
                    <w:pageBreakBefore w:val="0"/>
                    <w:widowControl w:val="0"/>
                    <w:kinsoku/>
                    <w:wordWrap/>
                    <w:overflowPunct/>
                    <w:topLinePunct w:val="0"/>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
                      <w:sz w:val="21"/>
                      <w:szCs w:val="24"/>
                      <w:highlight w:val="none"/>
                      <w:lang w:val="en-US" w:eastAsia="zh-CN" w:bidi="ar-SA"/>
                    </w:rPr>
                  </w:pPr>
                  <w:r>
                    <w:rPr>
                      <w:rFonts w:hint="default" w:ascii="Times New Roman" w:hAnsi="Times New Roman" w:eastAsia="宋体" w:cs="Times New Roman"/>
                      <w:color w:val="auto"/>
                      <w:spacing w:val="0"/>
                      <w:sz w:val="21"/>
                      <w:szCs w:val="24"/>
                      <w:highlight w:val="none"/>
                      <w:lang w:val="en-US" w:eastAsia="zh-CN"/>
                    </w:rPr>
                    <w:t>隔声、减振等</w:t>
                  </w:r>
                </w:p>
              </w:tc>
              <w:tc>
                <w:tcPr>
                  <w:tcW w:w="995" w:type="pct"/>
                  <w:tcBorders>
                    <w:tl2br w:val="nil"/>
                    <w:tr2bl w:val="nil"/>
                  </w:tcBorders>
                  <w:noWrap w:val="0"/>
                  <w:vAlign w:val="center"/>
                </w:tcPr>
                <w:p w14:paraId="706FE3CE">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15</w:t>
                  </w:r>
                </w:p>
              </w:tc>
            </w:tr>
            <w:tr w14:paraId="261E7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72ABC021">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固体废物处置</w:t>
                  </w:r>
                </w:p>
              </w:tc>
              <w:tc>
                <w:tcPr>
                  <w:tcW w:w="3138" w:type="pct"/>
                  <w:tcBorders>
                    <w:tl2br w:val="nil"/>
                    <w:tr2bl w:val="nil"/>
                  </w:tcBorders>
                  <w:noWrap w:val="0"/>
                  <w:vAlign w:val="center"/>
                </w:tcPr>
                <w:p w14:paraId="3BD0001F">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一般固废暂存间、危废暂存间</w:t>
                  </w:r>
                </w:p>
              </w:tc>
              <w:tc>
                <w:tcPr>
                  <w:tcW w:w="995" w:type="pct"/>
                  <w:tcBorders>
                    <w:tl2br w:val="nil"/>
                    <w:tr2bl w:val="nil"/>
                  </w:tcBorders>
                  <w:noWrap w:val="0"/>
                  <w:vAlign w:val="center"/>
                </w:tcPr>
                <w:p w14:paraId="098E7BC2">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4</w:t>
                  </w:r>
                </w:p>
              </w:tc>
            </w:tr>
            <w:tr w14:paraId="27D1A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1409B9DA">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0000FF"/>
                      <w:spacing w:val="-11"/>
                      <w:kern w:val="2"/>
                      <w:sz w:val="21"/>
                      <w:szCs w:val="21"/>
                      <w:highlight w:val="none"/>
                      <w:lang w:val="en-US" w:eastAsia="zh-CN" w:bidi="ar-SA"/>
                    </w:rPr>
                  </w:pPr>
                  <w:r>
                    <w:rPr>
                      <w:rFonts w:hint="eastAsia" w:cs="Times New Roman"/>
                      <w:color w:val="0000FF"/>
                      <w:spacing w:val="-11"/>
                      <w:kern w:val="2"/>
                      <w:sz w:val="21"/>
                      <w:szCs w:val="21"/>
                      <w:highlight w:val="none"/>
                      <w:lang w:val="en-US" w:eastAsia="zh-CN" w:bidi="ar-SA"/>
                    </w:rPr>
                    <w:t>分区防渗</w:t>
                  </w:r>
                </w:p>
              </w:tc>
              <w:tc>
                <w:tcPr>
                  <w:tcW w:w="3138" w:type="pct"/>
                  <w:tcBorders>
                    <w:tl2br w:val="nil"/>
                    <w:tr2bl w:val="nil"/>
                  </w:tcBorders>
                  <w:noWrap w:val="0"/>
                  <w:vAlign w:val="center"/>
                </w:tcPr>
                <w:p w14:paraId="3140FDC7">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0000FF"/>
                      <w:kern w:val="0"/>
                      <w:sz w:val="21"/>
                      <w:szCs w:val="21"/>
                      <w:highlight w:val="none"/>
                      <w:lang w:val="en-US" w:eastAsia="zh-CN"/>
                    </w:rPr>
                  </w:pPr>
                  <w:r>
                    <w:rPr>
                      <w:rFonts w:ascii="Times New Roman" w:hAnsi="Times New Roman" w:eastAsia="宋体" w:cs="Times New Roman"/>
                      <w:color w:val="0000FF"/>
                      <w:szCs w:val="21"/>
                    </w:rPr>
                    <w:t>重点</w:t>
                  </w:r>
                  <w:r>
                    <w:rPr>
                      <w:rFonts w:hint="eastAsia" w:ascii="Times New Roman" w:hAnsi="Times New Roman" w:eastAsia="宋体" w:cs="Times New Roman"/>
                      <w:color w:val="0000FF"/>
                      <w:szCs w:val="21"/>
                    </w:rPr>
                    <w:t>防渗</w:t>
                  </w:r>
                  <w:r>
                    <w:rPr>
                      <w:rFonts w:ascii="Times New Roman" w:hAnsi="Times New Roman" w:eastAsia="宋体" w:cs="Times New Roman"/>
                      <w:color w:val="0000FF"/>
                      <w:szCs w:val="21"/>
                    </w:rPr>
                    <w:t>、一般防渗、简单防渗</w:t>
                  </w:r>
                </w:p>
              </w:tc>
              <w:tc>
                <w:tcPr>
                  <w:tcW w:w="995" w:type="pct"/>
                  <w:tcBorders>
                    <w:tl2br w:val="nil"/>
                    <w:tr2bl w:val="nil"/>
                  </w:tcBorders>
                  <w:noWrap w:val="0"/>
                  <w:vAlign w:val="center"/>
                </w:tcPr>
                <w:p w14:paraId="51B4D149">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0000FF"/>
                      <w:spacing w:val="-11"/>
                      <w:sz w:val="21"/>
                      <w:szCs w:val="21"/>
                      <w:highlight w:val="none"/>
                      <w:lang w:val="en-US" w:eastAsia="zh-CN"/>
                    </w:rPr>
                  </w:pPr>
                  <w:r>
                    <w:rPr>
                      <w:rFonts w:hint="eastAsia" w:cs="Times New Roman"/>
                      <w:color w:val="0000FF"/>
                      <w:spacing w:val="-11"/>
                      <w:sz w:val="21"/>
                      <w:szCs w:val="21"/>
                      <w:highlight w:val="none"/>
                      <w:lang w:val="en-US" w:eastAsia="zh-CN"/>
                    </w:rPr>
                    <w:t>10</w:t>
                  </w:r>
                </w:p>
              </w:tc>
            </w:tr>
            <w:tr w14:paraId="2456A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tcBorders>
                    <w:tl2br w:val="nil"/>
                    <w:tr2bl w:val="nil"/>
                  </w:tcBorders>
                  <w:noWrap w:val="0"/>
                  <w:vAlign w:val="center"/>
                </w:tcPr>
                <w:p w14:paraId="244B7B06">
                  <w:pPr>
                    <w:keepNext w:val="0"/>
                    <w:keepLines w:val="0"/>
                    <w:pageBreakBefore w:val="0"/>
                    <w:widowControl w:val="0"/>
                    <w:kinsoku/>
                    <w:wordWrap/>
                    <w:overflowPunct/>
                    <w:topLinePunct w:val="0"/>
                    <w:bidi w:val="0"/>
                    <w:spacing w:line="240" w:lineRule="auto"/>
                    <w:jc w:val="center"/>
                    <w:rPr>
                      <w:rFonts w:hint="default" w:cs="Times New Roman"/>
                      <w:color w:val="0000FF"/>
                      <w:spacing w:val="-11"/>
                      <w:kern w:val="2"/>
                      <w:sz w:val="21"/>
                      <w:szCs w:val="21"/>
                      <w:highlight w:val="none"/>
                      <w:lang w:val="en-US" w:eastAsia="zh-CN" w:bidi="ar-SA"/>
                    </w:rPr>
                  </w:pPr>
                  <w:r>
                    <w:rPr>
                      <w:rFonts w:hint="eastAsia" w:cs="Times New Roman"/>
                      <w:color w:val="0000FF"/>
                      <w:spacing w:val="-11"/>
                      <w:kern w:val="2"/>
                      <w:sz w:val="21"/>
                      <w:szCs w:val="21"/>
                      <w:highlight w:val="none"/>
                      <w:lang w:val="en-US" w:eastAsia="zh-CN" w:bidi="ar-SA"/>
                    </w:rPr>
                    <w:t>环境风险</w:t>
                  </w:r>
                </w:p>
              </w:tc>
              <w:tc>
                <w:tcPr>
                  <w:tcW w:w="3138" w:type="pct"/>
                  <w:tcBorders>
                    <w:tl2br w:val="nil"/>
                    <w:tr2bl w:val="nil"/>
                  </w:tcBorders>
                  <w:noWrap w:val="0"/>
                  <w:vAlign w:val="center"/>
                </w:tcPr>
                <w:p w14:paraId="0BD3B919">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0000FF"/>
                      <w:kern w:val="0"/>
                      <w:sz w:val="21"/>
                      <w:szCs w:val="21"/>
                      <w:highlight w:val="none"/>
                      <w:lang w:val="en-US" w:eastAsia="zh-CN"/>
                    </w:rPr>
                  </w:pPr>
                  <w:r>
                    <w:rPr>
                      <w:rFonts w:hint="eastAsia" w:cs="Times New Roman"/>
                      <w:color w:val="0000FF"/>
                      <w:kern w:val="0"/>
                      <w:sz w:val="21"/>
                      <w:szCs w:val="21"/>
                      <w:highlight w:val="none"/>
                      <w:lang w:val="en-US" w:eastAsia="zh-CN"/>
                    </w:rPr>
                    <w:t>事故应急池等</w:t>
                  </w:r>
                </w:p>
              </w:tc>
              <w:tc>
                <w:tcPr>
                  <w:tcW w:w="995" w:type="pct"/>
                  <w:tcBorders>
                    <w:tl2br w:val="nil"/>
                    <w:tr2bl w:val="nil"/>
                  </w:tcBorders>
                  <w:noWrap w:val="0"/>
                  <w:vAlign w:val="center"/>
                </w:tcPr>
                <w:p w14:paraId="139DD786">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0000FF"/>
                      <w:spacing w:val="-11"/>
                      <w:sz w:val="21"/>
                      <w:szCs w:val="21"/>
                      <w:highlight w:val="none"/>
                      <w:lang w:val="en-US" w:eastAsia="zh-CN"/>
                    </w:rPr>
                  </w:pPr>
                  <w:r>
                    <w:rPr>
                      <w:rFonts w:hint="eastAsia" w:cs="Times New Roman"/>
                      <w:color w:val="0000FF"/>
                      <w:spacing w:val="-11"/>
                      <w:sz w:val="21"/>
                      <w:szCs w:val="21"/>
                      <w:highlight w:val="none"/>
                      <w:lang w:val="en-US" w:eastAsia="zh-CN"/>
                    </w:rPr>
                    <w:t>6</w:t>
                  </w:r>
                </w:p>
              </w:tc>
            </w:tr>
            <w:tr w14:paraId="2E5C5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vMerge w:val="restart"/>
                  <w:tcBorders>
                    <w:tl2br w:val="nil"/>
                    <w:tr2bl w:val="nil"/>
                  </w:tcBorders>
                  <w:noWrap w:val="0"/>
                  <w:vAlign w:val="center"/>
                </w:tcPr>
                <w:p w14:paraId="6C734C6A">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其他</w:t>
                  </w:r>
                </w:p>
              </w:tc>
              <w:tc>
                <w:tcPr>
                  <w:tcW w:w="3138" w:type="pct"/>
                  <w:tcBorders>
                    <w:tl2br w:val="nil"/>
                    <w:tr2bl w:val="nil"/>
                  </w:tcBorders>
                  <w:noWrap w:val="0"/>
                  <w:vAlign w:val="center"/>
                </w:tcPr>
                <w:p w14:paraId="42844F00">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highlight w:val="none"/>
                    </w:rPr>
                    <w:t>排污口规范化和环境监测设备</w:t>
                  </w:r>
                </w:p>
              </w:tc>
              <w:tc>
                <w:tcPr>
                  <w:tcW w:w="995" w:type="pct"/>
                  <w:tcBorders>
                    <w:tl2br w:val="nil"/>
                    <w:tr2bl w:val="nil"/>
                  </w:tcBorders>
                  <w:noWrap w:val="0"/>
                  <w:vAlign w:val="center"/>
                </w:tcPr>
                <w:p w14:paraId="41200501">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20</w:t>
                  </w:r>
                </w:p>
              </w:tc>
            </w:tr>
            <w:tr w14:paraId="1E620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pct"/>
                  <w:vMerge w:val="continue"/>
                  <w:tcBorders>
                    <w:tl2br w:val="nil"/>
                    <w:tr2bl w:val="nil"/>
                  </w:tcBorders>
                  <w:noWrap w:val="0"/>
                  <w:vAlign w:val="center"/>
                </w:tcPr>
                <w:p w14:paraId="68CAA068">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p>
              </w:tc>
              <w:tc>
                <w:tcPr>
                  <w:tcW w:w="3138" w:type="pct"/>
                  <w:tcBorders>
                    <w:tl2br w:val="nil"/>
                    <w:tr2bl w:val="nil"/>
                  </w:tcBorders>
                  <w:noWrap w:val="0"/>
                  <w:vAlign w:val="center"/>
                </w:tcPr>
                <w:p w14:paraId="02EF711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环境保护预备资金</w:t>
                  </w:r>
                </w:p>
              </w:tc>
              <w:tc>
                <w:tcPr>
                  <w:tcW w:w="995" w:type="pct"/>
                  <w:tcBorders>
                    <w:tl2br w:val="nil"/>
                    <w:tr2bl w:val="nil"/>
                  </w:tcBorders>
                  <w:noWrap w:val="0"/>
                  <w:vAlign w:val="center"/>
                </w:tcPr>
                <w:p w14:paraId="6C0092C7">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17</w:t>
                  </w:r>
                </w:p>
              </w:tc>
            </w:tr>
            <w:tr w14:paraId="72656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4" w:type="pct"/>
                  <w:gridSpan w:val="2"/>
                  <w:tcBorders>
                    <w:tl2br w:val="nil"/>
                    <w:tr2bl w:val="nil"/>
                  </w:tcBorders>
                  <w:noWrap w:val="0"/>
                  <w:vAlign w:val="center"/>
                </w:tcPr>
                <w:p w14:paraId="1B657921">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合计</w:t>
                  </w:r>
                </w:p>
              </w:tc>
              <w:tc>
                <w:tcPr>
                  <w:tcW w:w="995" w:type="pct"/>
                  <w:tcBorders>
                    <w:tl2br w:val="nil"/>
                    <w:tr2bl w:val="nil"/>
                  </w:tcBorders>
                  <w:noWrap w:val="0"/>
                  <w:vAlign w:val="center"/>
                </w:tcPr>
                <w:p w14:paraId="46F886F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0000FF"/>
                      <w:spacing w:val="-11"/>
                      <w:sz w:val="21"/>
                      <w:szCs w:val="21"/>
                      <w:highlight w:val="none"/>
                      <w:lang w:val="en-US" w:eastAsia="zh-CN"/>
                    </w:rPr>
                    <w:t>155</w:t>
                  </w:r>
                </w:p>
              </w:tc>
            </w:tr>
          </w:tbl>
          <w:p w14:paraId="05A84FAC">
            <w:pPr>
              <w:pStyle w:val="46"/>
              <w:ind w:left="0" w:leftChars="0" w:firstLine="0" w:firstLineChars="0"/>
              <w:rPr>
                <w:rFonts w:hint="default" w:ascii="Times New Roman" w:hAnsi="Times New Roman" w:eastAsia="宋体" w:cs="Times New Roman"/>
                <w:color w:val="auto"/>
                <w:sz w:val="24"/>
                <w:szCs w:val="24"/>
                <w:highlight w:val="none"/>
                <w:lang w:val="en-US" w:eastAsia="zh-CN"/>
              </w:rPr>
            </w:pPr>
          </w:p>
        </w:tc>
      </w:tr>
    </w:tbl>
    <w:p w14:paraId="68AE813B">
      <w:pPr>
        <w:adjustRightInd w:val="0"/>
        <w:snapToGrid w:val="0"/>
        <w:jc w:val="center"/>
        <w:rPr>
          <w:rFonts w:hint="default" w:ascii="Times New Roman" w:hAnsi="Times New Roman" w:eastAsia="宋体" w:cs="Times New Roman"/>
          <w:bCs/>
          <w:color w:val="auto"/>
          <w:sz w:val="24"/>
          <w:szCs w:val="24"/>
          <w:highlight w:val="none"/>
        </w:rPr>
      </w:pPr>
    </w:p>
    <w:p w14:paraId="2DEAABF3">
      <w:pPr>
        <w:adjustRightInd w:val="0"/>
        <w:snapToGrid w:val="0"/>
        <w:spacing w:line="360" w:lineRule="auto"/>
        <w:rPr>
          <w:rFonts w:hint="default" w:ascii="Times New Roman" w:hAnsi="Times New Roman" w:eastAsia="宋体"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44A231A">
      <w:pPr>
        <w:pStyle w:val="29"/>
        <w:jc w:val="center"/>
        <w:outlineLvl w:val="0"/>
        <w:rPr>
          <w:rFonts w:hint="default" w:ascii="Times New Roman" w:hAnsi="Times New Roman" w:eastAsia="宋体" w:cs="Times New Roman"/>
          <w:b/>
          <w:bCs/>
          <w:snapToGrid w:val="0"/>
          <w:color w:val="auto"/>
          <w:sz w:val="30"/>
          <w:szCs w:val="30"/>
        </w:rPr>
      </w:pPr>
      <w:bookmarkStart w:id="55" w:name="_Toc5190"/>
      <w:bookmarkStart w:id="56" w:name="_Toc12279"/>
      <w:r>
        <w:rPr>
          <w:rFonts w:hint="default" w:ascii="Times New Roman" w:hAnsi="Times New Roman" w:eastAsia="宋体" w:cs="Times New Roman"/>
          <w:b/>
          <w:bCs/>
          <w:snapToGrid w:val="0"/>
          <w:color w:val="auto"/>
          <w:sz w:val="30"/>
          <w:szCs w:val="30"/>
        </w:rPr>
        <w:t>五、</w:t>
      </w:r>
      <w:bookmarkStart w:id="57" w:name="_Hlk54167917"/>
      <w:r>
        <w:rPr>
          <w:rFonts w:hint="default" w:ascii="Times New Roman" w:hAnsi="Times New Roman" w:eastAsia="宋体" w:cs="Times New Roman"/>
          <w:b/>
          <w:bCs/>
          <w:snapToGrid w:val="0"/>
          <w:color w:val="auto"/>
          <w:sz w:val="30"/>
          <w:szCs w:val="30"/>
        </w:rPr>
        <w:t>环境保护措施监督检查清单</w:t>
      </w:r>
      <w:bookmarkEnd w:id="55"/>
      <w:bookmarkEnd w:id="56"/>
      <w:bookmarkEnd w:id="57"/>
    </w:p>
    <w:tbl>
      <w:tblPr>
        <w:tblStyle w:val="33"/>
        <w:tblW w:w="501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342"/>
        <w:gridCol w:w="1707"/>
        <w:gridCol w:w="2148"/>
        <w:gridCol w:w="2699"/>
      </w:tblGrid>
      <w:tr w14:paraId="2A3C8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tcBorders>
              <w:tl2br w:val="single" w:color="auto" w:sz="4" w:space="0"/>
            </w:tcBorders>
            <w:noWrap w:val="0"/>
            <w:vAlign w:val="center"/>
          </w:tcPr>
          <w:p w14:paraId="661AB8CE">
            <w:pPr>
              <w:adjustRightInd w:val="0"/>
              <w:snapToGrid w:val="0"/>
              <w:spacing w:line="240" w:lineRule="auto"/>
              <w:ind w:firstLine="482" w:firstLineChars="20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内容</w:t>
            </w:r>
          </w:p>
          <w:p w14:paraId="3F7AD1B3">
            <w:pPr>
              <w:adjustRightInd w:val="0"/>
              <w:snapToGrid w:val="0"/>
              <w:spacing w:line="240" w:lineRule="auto"/>
              <w:ind w:firstLine="0" w:firstLineChars="0"/>
              <w:jc w:val="center"/>
              <w:rPr>
                <w:rFonts w:hint="default" w:ascii="Times New Roman" w:hAnsi="Times New Roman" w:eastAsia="宋体" w:cs="Times New Roman"/>
                <w:b/>
                <w:bCs/>
                <w:color w:val="auto"/>
                <w:sz w:val="24"/>
                <w:szCs w:val="24"/>
              </w:rPr>
            </w:pPr>
          </w:p>
          <w:p w14:paraId="42923BB3">
            <w:pPr>
              <w:adjustRightInd w:val="0"/>
              <w:snapToGrid w:val="0"/>
              <w:spacing w:line="240" w:lineRule="auto"/>
              <w:ind w:firstLine="0" w:firstLineChars="0"/>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要素</w:t>
            </w:r>
          </w:p>
        </w:tc>
        <w:tc>
          <w:tcPr>
            <w:tcW w:w="1342" w:type="dxa"/>
            <w:noWrap w:val="0"/>
            <w:vAlign w:val="center"/>
          </w:tcPr>
          <w:p w14:paraId="0227109C">
            <w:pPr>
              <w:adjustRightInd w:val="0"/>
              <w:snapToGrid w:val="0"/>
              <w:spacing w:line="240" w:lineRule="auto"/>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排放口(编号、名称)/污染源</w:t>
            </w:r>
          </w:p>
        </w:tc>
        <w:tc>
          <w:tcPr>
            <w:tcW w:w="1707" w:type="dxa"/>
            <w:noWrap w:val="0"/>
            <w:vAlign w:val="center"/>
          </w:tcPr>
          <w:p w14:paraId="022F7E74">
            <w:pPr>
              <w:adjustRightInd w:val="0"/>
              <w:snapToGrid w:val="0"/>
              <w:spacing w:line="240" w:lineRule="auto"/>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污染物项目</w:t>
            </w:r>
          </w:p>
        </w:tc>
        <w:tc>
          <w:tcPr>
            <w:tcW w:w="2148" w:type="dxa"/>
            <w:noWrap w:val="0"/>
            <w:vAlign w:val="center"/>
          </w:tcPr>
          <w:p w14:paraId="7D22653F">
            <w:pPr>
              <w:adjustRightInd w:val="0"/>
              <w:snapToGrid w:val="0"/>
              <w:spacing w:line="240" w:lineRule="auto"/>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环境保护措施</w:t>
            </w:r>
          </w:p>
        </w:tc>
        <w:tc>
          <w:tcPr>
            <w:tcW w:w="2699" w:type="dxa"/>
            <w:noWrap w:val="0"/>
            <w:vAlign w:val="center"/>
          </w:tcPr>
          <w:p w14:paraId="595ECAB9">
            <w:pPr>
              <w:adjustRightInd w:val="0"/>
              <w:snapToGrid w:val="0"/>
              <w:spacing w:line="240" w:lineRule="auto"/>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执行标准</w:t>
            </w:r>
          </w:p>
        </w:tc>
      </w:tr>
      <w:tr w14:paraId="677E68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0DBCDDCB">
            <w:pPr>
              <w:adjustRightInd w:val="0"/>
              <w:snapToGrid w:val="0"/>
              <w:spacing w:line="240" w:lineRule="auto"/>
              <w:ind w:firstLine="0" w:firstLineChars="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大气环境</w:t>
            </w:r>
          </w:p>
        </w:tc>
        <w:tc>
          <w:tcPr>
            <w:tcW w:w="1342" w:type="dxa"/>
            <w:noWrap w:val="0"/>
            <w:vAlign w:val="center"/>
          </w:tcPr>
          <w:p w14:paraId="24D7EB32">
            <w:pPr>
              <w:keepNext w:val="0"/>
              <w:keepLines w:val="0"/>
              <w:widowControl/>
              <w:suppressLineNumbers w:val="0"/>
              <w:jc w:val="center"/>
              <w:textAlignment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i w:val="0"/>
                <w:iCs w:val="0"/>
                <w:color w:val="auto"/>
                <w:kern w:val="0"/>
                <w:sz w:val="24"/>
                <w:szCs w:val="24"/>
                <w:u w:val="none"/>
                <w:lang w:val="en-US" w:eastAsia="zh-CN" w:bidi="ar"/>
              </w:rPr>
              <w:t>DA002</w:t>
            </w:r>
          </w:p>
        </w:tc>
        <w:tc>
          <w:tcPr>
            <w:tcW w:w="1707" w:type="dxa"/>
            <w:noWrap w:val="0"/>
            <w:vAlign w:val="center"/>
          </w:tcPr>
          <w:p w14:paraId="594B218D">
            <w:pPr>
              <w:keepNext w:val="0"/>
              <w:keepLines w:val="0"/>
              <w:widowControl/>
              <w:suppressLineNumbers w:val="0"/>
              <w:jc w:val="center"/>
              <w:textAlignment w:val="center"/>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u w:val="none"/>
                <w:lang w:val="en-US" w:eastAsia="zh-CN" w:bidi="ar"/>
              </w:rPr>
              <w:t>二甲苯、</w:t>
            </w:r>
            <w:r>
              <w:rPr>
                <w:rFonts w:hint="default" w:ascii="Times New Roman" w:hAnsi="Times New Roman" w:eastAsia="宋体" w:cs="Times New Roman"/>
                <w:color w:val="auto"/>
                <w:sz w:val="24"/>
                <w:szCs w:val="24"/>
                <w:u w:val="none"/>
                <w:lang w:val="en-US" w:eastAsia="zh-CN" w:bidi="ar"/>
              </w:rPr>
              <w:t>非甲烷总烃</w:t>
            </w:r>
            <w:r>
              <w:rPr>
                <w:rFonts w:hint="eastAsia" w:cs="Times New Roman"/>
                <w:color w:val="auto"/>
                <w:sz w:val="24"/>
                <w:szCs w:val="24"/>
                <w:u w:val="none"/>
                <w:lang w:val="en-US" w:eastAsia="zh-CN" w:bidi="ar"/>
              </w:rPr>
              <w:t>、漆雾</w:t>
            </w:r>
          </w:p>
        </w:tc>
        <w:tc>
          <w:tcPr>
            <w:tcW w:w="2148" w:type="dxa"/>
            <w:noWrap w:val="0"/>
            <w:vAlign w:val="center"/>
          </w:tcPr>
          <w:p w14:paraId="2A8A745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密闭负压</w:t>
            </w:r>
            <w:r>
              <w:rPr>
                <w:rFonts w:hint="default" w:ascii="Times New Roman" w:hAnsi="Times New Roman" w:eastAsia="宋体" w:cs="Times New Roman"/>
                <w:color w:val="auto"/>
                <w:sz w:val="24"/>
                <w:szCs w:val="24"/>
                <w:lang w:eastAsia="zh-CN"/>
              </w:rPr>
              <w:t>收集+</w:t>
            </w:r>
            <w:r>
              <w:rPr>
                <w:rFonts w:hint="eastAsia" w:cs="Times New Roman"/>
                <w:color w:val="auto"/>
                <w:sz w:val="24"/>
                <w:szCs w:val="24"/>
                <w:lang w:val="en-US" w:eastAsia="zh-CN"/>
              </w:rPr>
              <w:t>多级过滤+两</w:t>
            </w:r>
            <w:r>
              <w:rPr>
                <w:rFonts w:hint="eastAsia" w:cs="Times New Roman"/>
                <w:color w:val="auto"/>
                <w:sz w:val="24"/>
                <w:szCs w:val="24"/>
                <w:lang w:eastAsia="zh-CN"/>
              </w:rPr>
              <w:t>级活性炭吸附装置</w:t>
            </w:r>
            <w:r>
              <w:rPr>
                <w:rFonts w:hint="default" w:ascii="Times New Roman" w:hAnsi="Times New Roman" w:eastAsia="宋体" w:cs="Times New Roman"/>
                <w:color w:val="auto"/>
                <w:sz w:val="24"/>
                <w:szCs w:val="24"/>
                <w:lang w:eastAsia="zh-CN"/>
              </w:rPr>
              <w:t>+车间一根15m高排气筒（DA002）排放</w:t>
            </w:r>
          </w:p>
        </w:tc>
        <w:tc>
          <w:tcPr>
            <w:tcW w:w="2699" w:type="dxa"/>
            <w:noWrap w:val="0"/>
            <w:vAlign w:val="center"/>
          </w:tcPr>
          <w:p w14:paraId="3DF301E8">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《挥发性有机物综合排放控制标准（试行）》（DB36/2186</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2025）表1中有组织排放限值</w:t>
            </w:r>
            <w:r>
              <w:rPr>
                <w:rFonts w:hint="eastAsia" w:cs="Times New Roman"/>
                <w:color w:val="auto"/>
                <w:sz w:val="24"/>
                <w:szCs w:val="24"/>
                <w:highlight w:val="none"/>
                <w:lang w:val="en-US" w:eastAsia="zh-CN"/>
              </w:rPr>
              <w:t>要求及表2、表3无组织排放限值</w:t>
            </w:r>
          </w:p>
        </w:tc>
      </w:tr>
      <w:tr w14:paraId="65F7D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501B8033">
            <w:pPr>
              <w:adjustRightInd w:val="0"/>
              <w:snapToGrid w:val="0"/>
              <w:spacing w:line="240" w:lineRule="auto"/>
              <w:ind w:firstLine="0" w:firstLineChars="0"/>
              <w:jc w:val="center"/>
              <w:rPr>
                <w:rFonts w:hint="default" w:ascii="Times New Roman" w:hAnsi="Times New Roman" w:eastAsia="宋体" w:cs="Times New Roman"/>
                <w:color w:val="auto"/>
                <w:sz w:val="24"/>
                <w:szCs w:val="24"/>
              </w:rPr>
            </w:pPr>
          </w:p>
        </w:tc>
        <w:tc>
          <w:tcPr>
            <w:tcW w:w="1342" w:type="dxa"/>
            <w:noWrap w:val="0"/>
            <w:vAlign w:val="center"/>
          </w:tcPr>
          <w:p w14:paraId="67A48A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食堂</w:t>
            </w:r>
          </w:p>
        </w:tc>
        <w:tc>
          <w:tcPr>
            <w:tcW w:w="1707" w:type="dxa"/>
            <w:noWrap w:val="0"/>
            <w:vAlign w:val="center"/>
          </w:tcPr>
          <w:p w14:paraId="398A6984">
            <w:pPr>
              <w:keepNext w:val="0"/>
              <w:keepLines w:val="0"/>
              <w:widowControl/>
              <w:suppressLineNumbers w:val="0"/>
              <w:jc w:val="center"/>
              <w:textAlignment w:val="center"/>
              <w:rPr>
                <w:rFonts w:hint="default" w:ascii="Times New Roman" w:hAnsi="Times New Roman" w:eastAsia="宋体" w:cs="Times New Roman"/>
                <w:color w:val="auto"/>
                <w:sz w:val="24"/>
                <w:szCs w:val="24"/>
                <w:u w:val="none"/>
                <w:lang w:val="en-US" w:eastAsia="zh-CN" w:bidi="ar"/>
              </w:rPr>
            </w:pPr>
            <w:r>
              <w:rPr>
                <w:rFonts w:hint="default" w:ascii="Times New Roman" w:hAnsi="Times New Roman" w:eastAsia="宋体" w:cs="Times New Roman"/>
                <w:color w:val="auto"/>
                <w:sz w:val="24"/>
                <w:szCs w:val="24"/>
                <w:u w:val="none"/>
                <w:lang w:val="en-US" w:eastAsia="zh-CN" w:bidi="ar"/>
              </w:rPr>
              <w:t>食堂油烟</w:t>
            </w:r>
          </w:p>
        </w:tc>
        <w:tc>
          <w:tcPr>
            <w:tcW w:w="2148" w:type="dxa"/>
            <w:noWrap w:val="0"/>
            <w:vAlign w:val="center"/>
          </w:tcPr>
          <w:p w14:paraId="5EDB5532">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经油烟净化器处理后</w:t>
            </w:r>
            <w:r>
              <w:rPr>
                <w:rFonts w:hint="eastAsia" w:cs="Times New Roman"/>
                <w:color w:val="auto"/>
                <w:sz w:val="24"/>
                <w:szCs w:val="24"/>
                <w:lang w:val="en-US" w:eastAsia="zh-CN"/>
              </w:rPr>
              <w:t>经15m高排气筒（DA001）排放</w:t>
            </w:r>
          </w:p>
        </w:tc>
        <w:tc>
          <w:tcPr>
            <w:tcW w:w="2699" w:type="dxa"/>
            <w:noWrap w:val="0"/>
            <w:vAlign w:val="center"/>
          </w:tcPr>
          <w:p w14:paraId="37F276BD">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《饮食业油烟排放标准》（GB18483-2001）大型规模饮食业单位</w:t>
            </w:r>
            <w:r>
              <w:rPr>
                <w:rFonts w:hint="eastAsia" w:cs="Times New Roman"/>
                <w:color w:val="auto"/>
                <w:sz w:val="24"/>
                <w:szCs w:val="24"/>
                <w:lang w:val="en-US" w:eastAsia="zh-CN"/>
              </w:rPr>
              <w:t>标准</w:t>
            </w:r>
          </w:p>
        </w:tc>
      </w:tr>
      <w:tr w14:paraId="721A0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0" w:type="dxa"/>
            <w:vMerge w:val="restart"/>
            <w:noWrap w:val="0"/>
            <w:vAlign w:val="center"/>
          </w:tcPr>
          <w:p w14:paraId="23B6C36E">
            <w:pPr>
              <w:adjustRightInd w:val="0"/>
              <w:snapToGrid w:val="0"/>
              <w:spacing w:line="240" w:lineRule="auto"/>
              <w:ind w:firstLine="0" w:firstLine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地表水环境</w:t>
            </w:r>
          </w:p>
        </w:tc>
        <w:tc>
          <w:tcPr>
            <w:tcW w:w="1342" w:type="dxa"/>
            <w:noWrap w:val="0"/>
            <w:vAlign w:val="center"/>
          </w:tcPr>
          <w:p w14:paraId="4DAB0531">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4"/>
                <w:szCs w:val="24"/>
                <w:u w:val="none"/>
                <w:lang w:val="en-US" w:eastAsia="zh-CN" w:bidi="ar"/>
              </w:rPr>
            </w:pPr>
            <w:r>
              <w:rPr>
                <w:rFonts w:hint="eastAsia" w:cs="Times New Roman"/>
                <w:i w:val="0"/>
                <w:iCs w:val="0"/>
                <w:color w:val="0000FF"/>
                <w:kern w:val="0"/>
                <w:sz w:val="24"/>
                <w:szCs w:val="24"/>
                <w:u w:val="none"/>
                <w:lang w:val="en-US" w:eastAsia="zh-CN" w:bidi="ar"/>
              </w:rPr>
              <w:t>生活污水</w:t>
            </w:r>
          </w:p>
        </w:tc>
        <w:tc>
          <w:tcPr>
            <w:tcW w:w="1707" w:type="dxa"/>
            <w:noWrap w:val="0"/>
            <w:vAlign w:val="center"/>
          </w:tcPr>
          <w:p w14:paraId="1BA269AC">
            <w:pPr>
              <w:keepNext w:val="0"/>
              <w:keepLines w:val="0"/>
              <w:widowControl/>
              <w:suppressLineNumbers w:val="0"/>
              <w:jc w:val="center"/>
              <w:textAlignment w:val="center"/>
              <w:rPr>
                <w:rFonts w:hint="default" w:ascii="Times New Roman" w:hAnsi="Times New Roman" w:eastAsia="宋体" w:cs="Times New Roman"/>
                <w:color w:val="0000FF"/>
                <w:sz w:val="24"/>
                <w:szCs w:val="24"/>
                <w:u w:val="none"/>
                <w:lang w:val="en-US" w:eastAsia="zh-CN" w:bidi="ar"/>
              </w:rPr>
            </w:pPr>
            <w:r>
              <w:rPr>
                <w:rFonts w:hint="eastAsia" w:cs="Times New Roman"/>
                <w:color w:val="0000FF"/>
                <w:sz w:val="24"/>
                <w:szCs w:val="24"/>
                <w:u w:val="none"/>
                <w:lang w:val="en-US" w:eastAsia="zh-CN" w:bidi="ar"/>
              </w:rPr>
              <w:t>pH、</w:t>
            </w:r>
            <w:r>
              <w:rPr>
                <w:rFonts w:hint="default" w:ascii="Times New Roman" w:hAnsi="Times New Roman" w:eastAsia="宋体" w:cs="Times New Roman"/>
                <w:color w:val="0000FF"/>
                <w:sz w:val="24"/>
                <w:szCs w:val="24"/>
                <w:u w:val="none"/>
                <w:lang w:val="en-US" w:eastAsia="zh-CN" w:bidi="ar"/>
              </w:rPr>
              <w:t>COD、BOD</w:t>
            </w:r>
            <w:r>
              <w:rPr>
                <w:rFonts w:hint="default" w:ascii="Times New Roman" w:hAnsi="Times New Roman" w:eastAsia="宋体" w:cs="Times New Roman"/>
                <w:color w:val="0000FF"/>
                <w:sz w:val="24"/>
                <w:szCs w:val="24"/>
                <w:u w:val="none"/>
                <w:vertAlign w:val="subscript"/>
                <w:lang w:val="en-US" w:eastAsia="zh-CN" w:bidi="ar"/>
              </w:rPr>
              <w:t>5</w:t>
            </w:r>
            <w:r>
              <w:rPr>
                <w:rFonts w:hint="eastAsia" w:cs="Times New Roman"/>
                <w:color w:val="0000FF"/>
                <w:sz w:val="24"/>
                <w:szCs w:val="24"/>
                <w:u w:val="none"/>
                <w:vertAlign w:val="baseline"/>
                <w:lang w:val="en-US" w:eastAsia="zh-CN" w:bidi="ar"/>
              </w:rPr>
              <w:t>、</w:t>
            </w:r>
            <w:r>
              <w:rPr>
                <w:rFonts w:hint="default" w:ascii="Times New Roman" w:hAnsi="Times New Roman" w:eastAsia="宋体" w:cs="Times New Roman"/>
                <w:color w:val="0000FF"/>
                <w:sz w:val="24"/>
                <w:szCs w:val="24"/>
                <w:u w:val="none"/>
                <w:lang w:val="en-US" w:eastAsia="zh-CN" w:bidi="ar"/>
              </w:rPr>
              <w:t>SS、NH</w:t>
            </w:r>
            <w:r>
              <w:rPr>
                <w:rFonts w:hint="default" w:ascii="Times New Roman" w:hAnsi="Times New Roman" w:eastAsia="宋体" w:cs="Times New Roman"/>
                <w:color w:val="0000FF"/>
                <w:sz w:val="24"/>
                <w:szCs w:val="24"/>
                <w:u w:val="none"/>
                <w:vertAlign w:val="subscript"/>
                <w:lang w:val="en-US" w:eastAsia="zh-CN" w:bidi="ar"/>
              </w:rPr>
              <w:t>3</w:t>
            </w:r>
            <w:r>
              <w:rPr>
                <w:rFonts w:hint="default" w:ascii="Times New Roman" w:hAnsi="Times New Roman" w:eastAsia="宋体" w:cs="Times New Roman"/>
                <w:color w:val="0000FF"/>
                <w:sz w:val="24"/>
                <w:szCs w:val="24"/>
                <w:u w:val="none"/>
                <w:lang w:val="en-US" w:eastAsia="zh-CN" w:bidi="ar"/>
              </w:rPr>
              <w:t>-N</w:t>
            </w:r>
            <w:r>
              <w:rPr>
                <w:rFonts w:hint="eastAsia" w:cs="Times New Roman"/>
                <w:color w:val="0000FF"/>
                <w:sz w:val="24"/>
                <w:szCs w:val="24"/>
                <w:u w:val="none"/>
                <w:lang w:val="en-US" w:eastAsia="zh-CN" w:bidi="ar"/>
              </w:rPr>
              <w:t>、</w:t>
            </w:r>
            <w:r>
              <w:rPr>
                <w:rFonts w:hint="default" w:ascii="Times New Roman" w:hAnsi="Times New Roman" w:eastAsia="宋体" w:cs="Times New Roman"/>
                <w:color w:val="0000FF"/>
                <w:sz w:val="24"/>
                <w:szCs w:val="24"/>
                <w:u w:val="none"/>
                <w:lang w:val="en-US" w:eastAsia="zh-CN" w:bidi="ar"/>
              </w:rPr>
              <w:t>动植物油、TP</w:t>
            </w:r>
            <w:r>
              <w:rPr>
                <w:rFonts w:hint="eastAsia" w:ascii="Times New Roman" w:hAnsi="Times New Roman" w:eastAsia="宋体" w:cs="Times New Roman"/>
                <w:color w:val="0000FF"/>
                <w:sz w:val="24"/>
                <w:szCs w:val="24"/>
                <w:u w:val="none"/>
                <w:lang w:val="en-US" w:eastAsia="zh-CN" w:bidi="ar"/>
              </w:rPr>
              <w:t>、TN</w:t>
            </w:r>
          </w:p>
        </w:tc>
        <w:tc>
          <w:tcPr>
            <w:tcW w:w="2148" w:type="dxa"/>
            <w:noWrap w:val="0"/>
            <w:vAlign w:val="center"/>
          </w:tcPr>
          <w:p w14:paraId="65AA7E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4"/>
                <w:szCs w:val="24"/>
              </w:rPr>
            </w:pPr>
            <w:r>
              <w:rPr>
                <w:rFonts w:hint="eastAsia" w:cs="Times New Roman"/>
                <w:color w:val="0000FF"/>
                <w:sz w:val="24"/>
                <w:szCs w:val="24"/>
                <w:lang w:val="en-US" w:eastAsia="zh-CN"/>
              </w:rPr>
              <w:t>生活污水</w:t>
            </w:r>
            <w:r>
              <w:rPr>
                <w:rFonts w:hint="default" w:ascii="Times New Roman" w:hAnsi="Times New Roman" w:eastAsia="宋体" w:cs="Times New Roman"/>
                <w:color w:val="0000FF"/>
                <w:sz w:val="24"/>
                <w:szCs w:val="24"/>
                <w:highlight w:val="none"/>
                <w:lang w:val="en-US" w:eastAsia="zh-CN"/>
              </w:rPr>
              <w:t>经</w:t>
            </w:r>
            <w:r>
              <w:rPr>
                <w:rFonts w:hint="eastAsia" w:cs="Times New Roman"/>
                <w:color w:val="0000FF"/>
                <w:sz w:val="24"/>
                <w:szCs w:val="24"/>
                <w:highlight w:val="none"/>
                <w:lang w:val="en-US" w:eastAsia="zh-CN"/>
              </w:rPr>
              <w:t>隔油池+化粪池预处理</w:t>
            </w:r>
          </w:p>
        </w:tc>
        <w:tc>
          <w:tcPr>
            <w:tcW w:w="2699" w:type="dxa"/>
            <w:vMerge w:val="restart"/>
            <w:noWrap w:val="0"/>
            <w:vAlign w:val="center"/>
          </w:tcPr>
          <w:p w14:paraId="6350306F">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0000FF"/>
                <w:sz w:val="24"/>
                <w:szCs w:val="24"/>
                <w:lang w:val="en-US" w:eastAsia="zh-CN"/>
              </w:rPr>
              <w:t>高安市工业园污水处理厂接管标准</w:t>
            </w:r>
          </w:p>
        </w:tc>
      </w:tr>
      <w:tr w14:paraId="6CB81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0" w:type="dxa"/>
            <w:vMerge w:val="continue"/>
            <w:noWrap w:val="0"/>
            <w:vAlign w:val="center"/>
          </w:tcPr>
          <w:p w14:paraId="2CBCE242">
            <w:pPr>
              <w:adjustRightInd w:val="0"/>
              <w:snapToGrid w:val="0"/>
              <w:spacing w:line="240" w:lineRule="auto"/>
              <w:ind w:firstLine="0" w:firstLineChars="0"/>
              <w:jc w:val="center"/>
              <w:rPr>
                <w:rFonts w:hint="default" w:ascii="Times New Roman" w:hAnsi="Times New Roman" w:eastAsia="宋体" w:cs="Times New Roman"/>
                <w:color w:val="auto"/>
                <w:sz w:val="24"/>
                <w:szCs w:val="24"/>
                <w:lang w:val="en-US" w:eastAsia="zh-CN"/>
              </w:rPr>
            </w:pPr>
          </w:p>
        </w:tc>
        <w:tc>
          <w:tcPr>
            <w:tcW w:w="1342" w:type="dxa"/>
            <w:noWrap w:val="0"/>
            <w:vAlign w:val="center"/>
          </w:tcPr>
          <w:p w14:paraId="532BF57B">
            <w:pPr>
              <w:keepNext w:val="0"/>
              <w:keepLines w:val="0"/>
              <w:widowControl/>
              <w:suppressLineNumbers w:val="0"/>
              <w:jc w:val="center"/>
              <w:textAlignment w:val="center"/>
              <w:rPr>
                <w:rFonts w:hint="eastAsia" w:cs="Times New Roman"/>
                <w:i w:val="0"/>
                <w:iCs w:val="0"/>
                <w:color w:val="0000FF"/>
                <w:kern w:val="0"/>
                <w:sz w:val="24"/>
                <w:szCs w:val="24"/>
                <w:u w:val="none"/>
                <w:lang w:val="en-US" w:eastAsia="zh-CN" w:bidi="ar"/>
              </w:rPr>
            </w:pPr>
            <w:r>
              <w:rPr>
                <w:rFonts w:hint="eastAsia" w:cs="Times New Roman"/>
                <w:i w:val="0"/>
                <w:iCs w:val="0"/>
                <w:color w:val="0000FF"/>
                <w:kern w:val="0"/>
                <w:sz w:val="24"/>
                <w:szCs w:val="24"/>
                <w:u w:val="none"/>
                <w:lang w:val="en-US" w:eastAsia="zh-CN" w:bidi="ar"/>
              </w:rPr>
              <w:t>超声波清洗废水</w:t>
            </w:r>
          </w:p>
        </w:tc>
        <w:tc>
          <w:tcPr>
            <w:tcW w:w="1707" w:type="dxa"/>
            <w:noWrap w:val="0"/>
            <w:vAlign w:val="center"/>
          </w:tcPr>
          <w:p w14:paraId="46D8106C">
            <w:pPr>
              <w:keepNext w:val="0"/>
              <w:keepLines w:val="0"/>
              <w:widowControl/>
              <w:suppressLineNumbers w:val="0"/>
              <w:jc w:val="center"/>
              <w:textAlignment w:val="center"/>
              <w:rPr>
                <w:rFonts w:hint="eastAsia" w:cs="Times New Roman"/>
                <w:color w:val="0000FF"/>
                <w:sz w:val="24"/>
                <w:szCs w:val="24"/>
                <w:u w:val="none"/>
                <w:lang w:val="en-US" w:eastAsia="zh-CN" w:bidi="ar"/>
              </w:rPr>
            </w:pPr>
            <w:r>
              <w:rPr>
                <w:rFonts w:hint="eastAsia" w:cs="Times New Roman"/>
                <w:color w:val="0000FF"/>
                <w:sz w:val="24"/>
                <w:szCs w:val="24"/>
                <w:u w:val="none"/>
                <w:lang w:val="en-US" w:eastAsia="zh-CN" w:bidi="ar"/>
              </w:rPr>
              <w:t>pH、</w:t>
            </w:r>
            <w:r>
              <w:rPr>
                <w:rFonts w:hint="default" w:ascii="Times New Roman" w:hAnsi="Times New Roman" w:eastAsia="宋体" w:cs="Times New Roman"/>
                <w:color w:val="0000FF"/>
                <w:sz w:val="24"/>
                <w:szCs w:val="24"/>
                <w:u w:val="none"/>
                <w:lang w:val="en-US" w:eastAsia="zh-CN" w:bidi="ar"/>
              </w:rPr>
              <w:t>COD、BOD</w:t>
            </w:r>
            <w:r>
              <w:rPr>
                <w:rFonts w:hint="default" w:ascii="Times New Roman" w:hAnsi="Times New Roman" w:eastAsia="宋体" w:cs="Times New Roman"/>
                <w:color w:val="0000FF"/>
                <w:sz w:val="24"/>
                <w:szCs w:val="24"/>
                <w:u w:val="none"/>
                <w:vertAlign w:val="subscript"/>
                <w:lang w:val="en-US" w:eastAsia="zh-CN" w:bidi="ar"/>
              </w:rPr>
              <w:t>5</w:t>
            </w:r>
            <w:r>
              <w:rPr>
                <w:rFonts w:hint="eastAsia" w:cs="Times New Roman"/>
                <w:color w:val="0000FF"/>
                <w:sz w:val="24"/>
                <w:szCs w:val="24"/>
                <w:u w:val="none"/>
                <w:vertAlign w:val="baseline"/>
                <w:lang w:val="en-US" w:eastAsia="zh-CN" w:bidi="ar"/>
              </w:rPr>
              <w:t>、</w:t>
            </w:r>
            <w:r>
              <w:rPr>
                <w:rFonts w:hint="default" w:ascii="Times New Roman" w:hAnsi="Times New Roman" w:eastAsia="宋体" w:cs="Times New Roman"/>
                <w:color w:val="0000FF"/>
                <w:sz w:val="24"/>
                <w:szCs w:val="24"/>
                <w:u w:val="none"/>
                <w:lang w:val="en-US" w:eastAsia="zh-CN" w:bidi="ar"/>
              </w:rPr>
              <w:t>SS、NH</w:t>
            </w:r>
            <w:r>
              <w:rPr>
                <w:rFonts w:hint="default" w:ascii="Times New Roman" w:hAnsi="Times New Roman" w:eastAsia="宋体" w:cs="Times New Roman"/>
                <w:color w:val="0000FF"/>
                <w:sz w:val="24"/>
                <w:szCs w:val="24"/>
                <w:u w:val="none"/>
                <w:vertAlign w:val="subscript"/>
                <w:lang w:val="en-US" w:eastAsia="zh-CN" w:bidi="ar"/>
              </w:rPr>
              <w:t>3</w:t>
            </w:r>
            <w:r>
              <w:rPr>
                <w:rFonts w:hint="default" w:ascii="Times New Roman" w:hAnsi="Times New Roman" w:eastAsia="宋体" w:cs="Times New Roman"/>
                <w:color w:val="0000FF"/>
                <w:sz w:val="24"/>
                <w:szCs w:val="24"/>
                <w:u w:val="none"/>
                <w:lang w:val="en-US" w:eastAsia="zh-CN" w:bidi="ar"/>
              </w:rPr>
              <w:t>-N</w:t>
            </w:r>
            <w:r>
              <w:rPr>
                <w:rFonts w:hint="eastAsia" w:cs="Times New Roman"/>
                <w:color w:val="0000FF"/>
                <w:sz w:val="24"/>
                <w:szCs w:val="24"/>
                <w:u w:val="none"/>
                <w:lang w:val="en-US" w:eastAsia="zh-CN" w:bidi="ar"/>
              </w:rPr>
              <w:t>、</w:t>
            </w:r>
            <w:r>
              <w:rPr>
                <w:rFonts w:hint="default" w:ascii="Times New Roman" w:hAnsi="Times New Roman" w:eastAsia="宋体" w:cs="Times New Roman"/>
                <w:color w:val="0000FF"/>
                <w:sz w:val="24"/>
                <w:szCs w:val="24"/>
                <w:u w:val="none"/>
                <w:lang w:val="en-US" w:eastAsia="zh-CN" w:bidi="ar"/>
              </w:rPr>
              <w:t>TP</w:t>
            </w:r>
            <w:r>
              <w:rPr>
                <w:rFonts w:hint="eastAsia" w:ascii="Times New Roman" w:hAnsi="Times New Roman" w:eastAsia="宋体" w:cs="Times New Roman"/>
                <w:color w:val="0000FF"/>
                <w:sz w:val="24"/>
                <w:szCs w:val="24"/>
                <w:u w:val="none"/>
                <w:lang w:val="en-US" w:eastAsia="zh-CN" w:bidi="ar"/>
              </w:rPr>
              <w:t>、TN</w:t>
            </w:r>
          </w:p>
        </w:tc>
        <w:tc>
          <w:tcPr>
            <w:tcW w:w="2148" w:type="dxa"/>
            <w:noWrap w:val="0"/>
            <w:vAlign w:val="center"/>
          </w:tcPr>
          <w:p w14:paraId="57695259">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0000FF"/>
                <w:sz w:val="24"/>
                <w:szCs w:val="24"/>
                <w:lang w:val="en-US" w:eastAsia="zh-CN"/>
              </w:rPr>
            </w:pPr>
            <w:r>
              <w:rPr>
                <w:rFonts w:hint="eastAsia" w:cs="Times New Roman"/>
                <w:i w:val="0"/>
                <w:iCs w:val="0"/>
                <w:color w:val="0000FF"/>
                <w:kern w:val="0"/>
                <w:sz w:val="24"/>
                <w:szCs w:val="24"/>
                <w:u w:val="none"/>
                <w:lang w:val="en-US" w:eastAsia="zh-CN" w:bidi="ar"/>
              </w:rPr>
              <w:t>经生产废水一体化污水处理设施</w:t>
            </w:r>
            <w:r>
              <w:rPr>
                <w:rFonts w:hint="default" w:ascii="Times New Roman" w:hAnsi="Times New Roman" w:eastAsia="宋体" w:cs="Times New Roman"/>
                <w:color w:val="0000FF"/>
                <w:sz w:val="24"/>
                <w:szCs w:val="24"/>
                <w:lang w:val="en-US" w:eastAsia="zh-CN"/>
              </w:rPr>
              <w:t>（</w:t>
            </w:r>
            <w:r>
              <w:rPr>
                <w:rFonts w:hint="eastAsia" w:cs="Times New Roman"/>
                <w:color w:val="0000FF"/>
                <w:sz w:val="24"/>
                <w:szCs w:val="24"/>
                <w:lang w:val="en-US" w:eastAsia="zh-CN"/>
              </w:rPr>
              <w:t>3</w:t>
            </w:r>
            <w:r>
              <w:rPr>
                <w:rFonts w:hint="eastAsia" w:cs="Times New Roman"/>
                <w:color w:val="0000FF"/>
                <w:spacing w:val="0"/>
                <w:sz w:val="24"/>
                <w:szCs w:val="24"/>
                <w:highlight w:val="none"/>
                <w:lang w:val="en-US" w:eastAsia="zh-CN"/>
              </w:rPr>
              <w:t>m</w:t>
            </w:r>
            <w:r>
              <w:rPr>
                <w:rFonts w:hint="eastAsia" w:cs="Times New Roman"/>
                <w:color w:val="0000FF"/>
                <w:spacing w:val="0"/>
                <w:sz w:val="24"/>
                <w:szCs w:val="24"/>
                <w:highlight w:val="none"/>
                <w:vertAlign w:val="superscript"/>
                <w:lang w:val="en-US" w:eastAsia="zh-CN"/>
              </w:rPr>
              <w:t>3</w:t>
            </w:r>
            <w:r>
              <w:rPr>
                <w:rFonts w:hint="default" w:ascii="Times New Roman" w:hAnsi="Times New Roman" w:eastAsia="宋体" w:cs="Times New Roman"/>
                <w:color w:val="0000FF"/>
                <w:sz w:val="24"/>
                <w:szCs w:val="24"/>
                <w:lang w:val="en-US" w:eastAsia="zh-CN"/>
              </w:rPr>
              <w:t>/d）后进入高安市工业园污水处理厂</w:t>
            </w:r>
            <w:r>
              <w:rPr>
                <w:rFonts w:hint="eastAsia" w:cs="Times New Roman"/>
                <w:color w:val="0000FF"/>
                <w:sz w:val="24"/>
                <w:szCs w:val="24"/>
                <w:lang w:val="en-US" w:eastAsia="zh-CN"/>
              </w:rPr>
              <w:t>深度</w:t>
            </w:r>
            <w:r>
              <w:rPr>
                <w:rFonts w:hint="default" w:ascii="Times New Roman" w:hAnsi="Times New Roman" w:eastAsia="宋体" w:cs="Times New Roman"/>
                <w:color w:val="0000FF"/>
                <w:sz w:val="24"/>
                <w:szCs w:val="24"/>
                <w:lang w:val="en-US" w:eastAsia="zh-CN"/>
              </w:rPr>
              <w:t>处理</w:t>
            </w:r>
          </w:p>
        </w:tc>
        <w:tc>
          <w:tcPr>
            <w:tcW w:w="2699" w:type="dxa"/>
            <w:vMerge w:val="continue"/>
            <w:noWrap w:val="0"/>
            <w:vAlign w:val="center"/>
          </w:tcPr>
          <w:p w14:paraId="3A6A64D5">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eastAsia="zh-CN"/>
              </w:rPr>
            </w:pPr>
          </w:p>
        </w:tc>
      </w:tr>
      <w:tr w14:paraId="29F91B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0216DFCD">
            <w:pPr>
              <w:adjustRightInd w:val="0"/>
              <w:snapToGrid w:val="0"/>
              <w:spacing w:line="240" w:lineRule="auto"/>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声环境</w:t>
            </w:r>
          </w:p>
        </w:tc>
        <w:tc>
          <w:tcPr>
            <w:tcW w:w="1342" w:type="dxa"/>
            <w:noWrap w:val="0"/>
            <w:vAlign w:val="center"/>
          </w:tcPr>
          <w:p w14:paraId="389881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生产设备</w:t>
            </w:r>
          </w:p>
        </w:tc>
        <w:tc>
          <w:tcPr>
            <w:tcW w:w="1707" w:type="dxa"/>
            <w:noWrap w:val="0"/>
            <w:vAlign w:val="center"/>
          </w:tcPr>
          <w:p w14:paraId="0EE28A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噪声</w:t>
            </w:r>
          </w:p>
        </w:tc>
        <w:tc>
          <w:tcPr>
            <w:tcW w:w="2148" w:type="dxa"/>
            <w:noWrap w:val="0"/>
            <w:vAlign w:val="center"/>
          </w:tcPr>
          <w:p w14:paraId="76AC3F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隔声、减震设备</w:t>
            </w:r>
          </w:p>
        </w:tc>
        <w:tc>
          <w:tcPr>
            <w:tcW w:w="2699" w:type="dxa"/>
            <w:noWrap w:val="0"/>
            <w:vAlign w:val="center"/>
          </w:tcPr>
          <w:p w14:paraId="4EDFCCF9">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《工业企业厂界环境噪声排放标准》（GB12348-2008）</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类标准</w:t>
            </w:r>
          </w:p>
        </w:tc>
      </w:tr>
      <w:tr w14:paraId="490C62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2F6E7F04">
            <w:pPr>
              <w:adjustRightInd w:val="0"/>
              <w:snapToGrid w:val="0"/>
              <w:spacing w:line="240" w:lineRule="auto"/>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电磁辐射</w:t>
            </w:r>
          </w:p>
        </w:tc>
        <w:tc>
          <w:tcPr>
            <w:tcW w:w="1342" w:type="dxa"/>
            <w:noWrap w:val="0"/>
            <w:vAlign w:val="center"/>
          </w:tcPr>
          <w:p w14:paraId="71EEABE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p>
        </w:tc>
        <w:tc>
          <w:tcPr>
            <w:tcW w:w="1707" w:type="dxa"/>
            <w:noWrap w:val="0"/>
            <w:vAlign w:val="center"/>
          </w:tcPr>
          <w:p w14:paraId="3D58C3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p>
        </w:tc>
        <w:tc>
          <w:tcPr>
            <w:tcW w:w="2148" w:type="dxa"/>
            <w:noWrap w:val="0"/>
            <w:vAlign w:val="center"/>
          </w:tcPr>
          <w:p w14:paraId="4EE1C6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p>
        </w:tc>
        <w:tc>
          <w:tcPr>
            <w:tcW w:w="2699" w:type="dxa"/>
            <w:noWrap w:val="0"/>
            <w:vAlign w:val="center"/>
          </w:tcPr>
          <w:p w14:paraId="5106C57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p>
        </w:tc>
      </w:tr>
      <w:tr w14:paraId="4512A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7CBE4A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tc>
        <w:tc>
          <w:tcPr>
            <w:tcW w:w="1342" w:type="dxa"/>
            <w:vMerge w:val="restart"/>
            <w:noWrap w:val="0"/>
            <w:vAlign w:val="center"/>
          </w:tcPr>
          <w:p w14:paraId="4A79F23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一般工业固废</w:t>
            </w:r>
          </w:p>
        </w:tc>
        <w:tc>
          <w:tcPr>
            <w:tcW w:w="1707" w:type="dxa"/>
            <w:noWrap w:val="0"/>
            <w:vAlign w:val="center"/>
          </w:tcPr>
          <w:p w14:paraId="2B9F79EA">
            <w:pPr>
              <w:snapToGrid w:val="0"/>
              <w:jc w:val="center"/>
              <w:rPr>
                <w:rFonts w:hint="default" w:ascii="Times New Roman" w:hAnsi="Times New Roman" w:eastAsia="宋体" w:cs="Times New Roman"/>
                <w:bCs/>
                <w:color w:val="auto"/>
                <w:kern w:val="2"/>
                <w:sz w:val="24"/>
                <w:szCs w:val="24"/>
                <w:lang w:val="en-US" w:eastAsia="zh-CN" w:bidi="ar-SA"/>
              </w:rPr>
            </w:pPr>
            <w:r>
              <w:rPr>
                <w:rFonts w:hint="eastAsia" w:cs="Times New Roman"/>
                <w:bCs/>
                <w:color w:val="auto"/>
                <w:kern w:val="2"/>
                <w:sz w:val="24"/>
                <w:szCs w:val="24"/>
                <w:lang w:val="en-US" w:eastAsia="zh-CN" w:bidi="ar-SA"/>
              </w:rPr>
              <w:t>沉降金属粉尘</w:t>
            </w:r>
          </w:p>
        </w:tc>
        <w:tc>
          <w:tcPr>
            <w:tcW w:w="2148" w:type="dxa"/>
            <w:vMerge w:val="restart"/>
            <w:noWrap w:val="0"/>
            <w:vAlign w:val="center"/>
          </w:tcPr>
          <w:p w14:paraId="37638226">
            <w:pPr>
              <w:snapToGrid w:val="0"/>
              <w:jc w:val="left"/>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收集后暂存一般固废暂存间，外售处理</w:t>
            </w:r>
          </w:p>
        </w:tc>
        <w:tc>
          <w:tcPr>
            <w:tcW w:w="2699" w:type="dxa"/>
            <w:vMerge w:val="restart"/>
            <w:noWrap w:val="0"/>
            <w:vAlign w:val="center"/>
          </w:tcPr>
          <w:p w14:paraId="5F854A7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资源化、无害化、减量化</w:t>
            </w:r>
          </w:p>
        </w:tc>
      </w:tr>
      <w:tr w14:paraId="4341E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190" w:type="dxa"/>
            <w:vMerge w:val="continue"/>
            <w:noWrap w:val="0"/>
            <w:vAlign w:val="center"/>
          </w:tcPr>
          <w:p w14:paraId="1BD65D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rPr>
            </w:pPr>
          </w:p>
        </w:tc>
        <w:tc>
          <w:tcPr>
            <w:tcW w:w="1342" w:type="dxa"/>
            <w:vMerge w:val="continue"/>
            <w:noWrap w:val="0"/>
            <w:vAlign w:val="center"/>
          </w:tcPr>
          <w:p w14:paraId="35F127F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c>
          <w:tcPr>
            <w:tcW w:w="1707" w:type="dxa"/>
            <w:noWrap w:val="0"/>
            <w:vAlign w:val="center"/>
          </w:tcPr>
          <w:p w14:paraId="621CB416">
            <w:pPr>
              <w:snapToGrid w:val="0"/>
              <w:jc w:val="center"/>
              <w:rPr>
                <w:rFonts w:hint="default" w:ascii="Times New Roman" w:hAnsi="Times New Roman" w:eastAsia="宋体" w:cs="Times New Roman"/>
                <w:bCs/>
                <w:color w:val="auto"/>
                <w:sz w:val="24"/>
                <w:szCs w:val="24"/>
                <w:lang w:val="en-US" w:eastAsia="zh-CN"/>
              </w:rPr>
            </w:pPr>
            <w:r>
              <w:rPr>
                <w:rFonts w:hint="eastAsia" w:cs="Times New Roman"/>
                <w:bCs/>
                <w:color w:val="auto"/>
                <w:sz w:val="24"/>
                <w:szCs w:val="24"/>
                <w:lang w:val="en-US" w:eastAsia="zh-CN"/>
              </w:rPr>
              <w:t>废边角料</w:t>
            </w:r>
          </w:p>
        </w:tc>
        <w:tc>
          <w:tcPr>
            <w:tcW w:w="2148" w:type="dxa"/>
            <w:vMerge w:val="continue"/>
            <w:noWrap w:val="0"/>
            <w:vAlign w:val="center"/>
          </w:tcPr>
          <w:p w14:paraId="226796BC">
            <w:pPr>
              <w:snapToGrid w:val="0"/>
              <w:jc w:val="center"/>
              <w:rPr>
                <w:rFonts w:hint="default" w:ascii="Times New Roman" w:hAnsi="Times New Roman" w:eastAsia="宋体" w:cs="Times New Roman"/>
                <w:bCs/>
                <w:color w:val="auto"/>
                <w:kern w:val="2"/>
                <w:sz w:val="24"/>
                <w:szCs w:val="24"/>
                <w:lang w:val="en-US" w:eastAsia="zh-CN" w:bidi="ar-SA"/>
              </w:rPr>
            </w:pPr>
          </w:p>
        </w:tc>
        <w:tc>
          <w:tcPr>
            <w:tcW w:w="2699" w:type="dxa"/>
            <w:vMerge w:val="continue"/>
            <w:noWrap w:val="0"/>
            <w:vAlign w:val="center"/>
          </w:tcPr>
          <w:p w14:paraId="400125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r>
      <w:tr w14:paraId="2DA79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65C077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rPr>
            </w:pPr>
          </w:p>
        </w:tc>
        <w:tc>
          <w:tcPr>
            <w:tcW w:w="1342" w:type="dxa"/>
            <w:vMerge w:val="continue"/>
            <w:noWrap w:val="0"/>
            <w:vAlign w:val="center"/>
          </w:tcPr>
          <w:p w14:paraId="40264E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c>
          <w:tcPr>
            <w:tcW w:w="1707" w:type="dxa"/>
            <w:noWrap w:val="0"/>
            <w:vAlign w:val="center"/>
          </w:tcPr>
          <w:p w14:paraId="4D910655">
            <w:pPr>
              <w:snapToGrid w:val="0"/>
              <w:jc w:val="left"/>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rPr>
              <w:t>污水处理污泥</w:t>
            </w:r>
          </w:p>
        </w:tc>
        <w:tc>
          <w:tcPr>
            <w:tcW w:w="2148" w:type="dxa"/>
            <w:noWrap w:val="0"/>
            <w:vAlign w:val="center"/>
          </w:tcPr>
          <w:p w14:paraId="5A9AE5BB">
            <w:pPr>
              <w:snapToGrid w:val="0"/>
              <w:jc w:val="left"/>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暂存</w:t>
            </w:r>
            <w:r>
              <w:rPr>
                <w:rFonts w:hint="default" w:ascii="Times New Roman" w:hAnsi="Times New Roman" w:eastAsia="宋体" w:cs="Times New Roman"/>
                <w:bCs/>
                <w:color w:val="auto"/>
                <w:kern w:val="2"/>
                <w:sz w:val="24"/>
                <w:szCs w:val="24"/>
                <w:lang w:val="en-US" w:eastAsia="zh-CN" w:bidi="ar-SA"/>
              </w:rPr>
              <w:t>一般固废暂存间</w:t>
            </w:r>
            <w:r>
              <w:rPr>
                <w:rFonts w:hint="default" w:ascii="Times New Roman" w:hAnsi="Times New Roman" w:eastAsia="宋体" w:cs="Times New Roman"/>
                <w:bCs/>
                <w:color w:val="auto"/>
                <w:sz w:val="24"/>
                <w:szCs w:val="24"/>
                <w:lang w:val="en-US" w:eastAsia="zh-CN"/>
              </w:rPr>
              <w:t>，</w:t>
            </w:r>
            <w:r>
              <w:rPr>
                <w:rFonts w:hint="default" w:ascii="Times New Roman" w:hAnsi="Times New Roman" w:eastAsia="宋体" w:cs="Times New Roman"/>
                <w:bCs/>
                <w:color w:val="auto"/>
                <w:sz w:val="24"/>
                <w:szCs w:val="24"/>
              </w:rPr>
              <w:t>定期</w:t>
            </w:r>
            <w:r>
              <w:rPr>
                <w:rFonts w:hint="eastAsia" w:cs="Times New Roman"/>
                <w:bCs/>
                <w:color w:val="auto"/>
                <w:sz w:val="24"/>
                <w:szCs w:val="24"/>
                <w:lang w:val="en-US" w:eastAsia="zh-CN"/>
              </w:rPr>
              <w:t>外售至砖瓦厂回用或</w:t>
            </w:r>
            <w:r>
              <w:rPr>
                <w:rFonts w:hint="default" w:ascii="Times New Roman" w:hAnsi="Times New Roman" w:eastAsia="宋体" w:cs="Times New Roman"/>
                <w:bCs/>
                <w:color w:val="auto"/>
                <w:sz w:val="24"/>
                <w:szCs w:val="24"/>
              </w:rPr>
              <w:t>交由环卫部门处理</w:t>
            </w:r>
          </w:p>
        </w:tc>
        <w:tc>
          <w:tcPr>
            <w:tcW w:w="2699" w:type="dxa"/>
            <w:vMerge w:val="continue"/>
            <w:noWrap w:val="0"/>
            <w:vAlign w:val="center"/>
          </w:tcPr>
          <w:p w14:paraId="7A6C39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r>
      <w:tr w14:paraId="3C498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564776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rPr>
            </w:pPr>
          </w:p>
        </w:tc>
        <w:tc>
          <w:tcPr>
            <w:tcW w:w="1342" w:type="dxa"/>
            <w:noWrap w:val="0"/>
            <w:vAlign w:val="center"/>
          </w:tcPr>
          <w:p w14:paraId="014764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危废</w:t>
            </w:r>
          </w:p>
        </w:tc>
        <w:tc>
          <w:tcPr>
            <w:tcW w:w="1707" w:type="dxa"/>
            <w:noWrap w:val="0"/>
            <w:vAlign w:val="center"/>
          </w:tcPr>
          <w:p w14:paraId="7135A0AB">
            <w:pPr>
              <w:snapToGrid w:val="0"/>
              <w:jc w:val="left"/>
              <w:rPr>
                <w:rFonts w:hint="default" w:ascii="Times New Roman" w:hAnsi="Times New Roman" w:eastAsia="宋体" w:cs="Times New Roman"/>
                <w:bCs/>
                <w:color w:val="auto"/>
                <w:sz w:val="24"/>
                <w:szCs w:val="24"/>
                <w:lang w:val="en-US"/>
              </w:rPr>
            </w:pPr>
            <w:r>
              <w:rPr>
                <w:rFonts w:hint="default" w:ascii="Times New Roman" w:hAnsi="Times New Roman" w:eastAsia="宋体" w:cs="Times New Roman"/>
                <w:color w:val="auto"/>
                <w:sz w:val="24"/>
                <w:szCs w:val="24"/>
                <w:highlight w:val="none"/>
                <w:lang w:val="en-US" w:eastAsia="zh-CN"/>
              </w:rPr>
              <w:t>油泥、废切削液、废机油、漆渣、</w:t>
            </w:r>
            <w:r>
              <w:rPr>
                <w:rFonts w:hint="default" w:ascii="Times New Roman" w:hAnsi="Times New Roman" w:eastAsia="宋体" w:cs="Times New Roman"/>
                <w:bCs/>
                <w:color w:val="auto"/>
                <w:sz w:val="24"/>
                <w:szCs w:val="24"/>
                <w:lang w:val="en-US" w:eastAsia="zh-CN"/>
              </w:rPr>
              <w:t>废活性炭</w:t>
            </w:r>
          </w:p>
        </w:tc>
        <w:tc>
          <w:tcPr>
            <w:tcW w:w="2148" w:type="dxa"/>
            <w:noWrap w:val="0"/>
            <w:vAlign w:val="center"/>
          </w:tcPr>
          <w:p w14:paraId="2406B649">
            <w:pPr>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危废暂存间暂存</w:t>
            </w:r>
          </w:p>
        </w:tc>
        <w:tc>
          <w:tcPr>
            <w:tcW w:w="2699" w:type="dxa"/>
            <w:vMerge w:val="continue"/>
            <w:noWrap w:val="0"/>
            <w:vAlign w:val="center"/>
          </w:tcPr>
          <w:p w14:paraId="22332D9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r>
      <w:tr w14:paraId="54ACE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0" w:type="dxa"/>
            <w:vMerge w:val="continue"/>
            <w:noWrap w:val="0"/>
            <w:vAlign w:val="center"/>
          </w:tcPr>
          <w:p w14:paraId="2113CD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rPr>
            </w:pPr>
          </w:p>
        </w:tc>
        <w:tc>
          <w:tcPr>
            <w:tcW w:w="1342" w:type="dxa"/>
            <w:noWrap w:val="0"/>
            <w:vAlign w:val="center"/>
          </w:tcPr>
          <w:p w14:paraId="106ED91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员工生活</w:t>
            </w:r>
          </w:p>
        </w:tc>
        <w:tc>
          <w:tcPr>
            <w:tcW w:w="1707" w:type="dxa"/>
            <w:noWrap w:val="0"/>
            <w:vAlign w:val="center"/>
          </w:tcPr>
          <w:p w14:paraId="31510421">
            <w:pPr>
              <w:snapToGrid w:val="0"/>
              <w:jc w:val="center"/>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生活垃圾</w:t>
            </w:r>
          </w:p>
        </w:tc>
        <w:tc>
          <w:tcPr>
            <w:tcW w:w="2148" w:type="dxa"/>
            <w:noWrap w:val="0"/>
            <w:vAlign w:val="center"/>
          </w:tcPr>
          <w:p w14:paraId="18F61071">
            <w:pPr>
              <w:snapToGrid w:val="0"/>
              <w:jc w:val="center"/>
              <w:rPr>
                <w:rFonts w:hint="default" w:ascii="Times New Roman" w:hAnsi="Times New Roman" w:eastAsia="宋体" w:cs="Times New Roman"/>
                <w:bCs/>
                <w:color w:val="auto"/>
                <w:sz w:val="24"/>
                <w:szCs w:val="24"/>
                <w:lang w:val="en-US"/>
              </w:rPr>
            </w:pPr>
            <w:r>
              <w:rPr>
                <w:rFonts w:hint="default" w:ascii="Times New Roman" w:hAnsi="Times New Roman" w:eastAsia="宋体" w:cs="Times New Roman"/>
                <w:color w:val="auto"/>
                <w:sz w:val="24"/>
                <w:szCs w:val="24"/>
                <w:lang w:val="en-US" w:eastAsia="zh-CN"/>
              </w:rPr>
              <w:t>收集后由环卫部门统一清运处理</w:t>
            </w:r>
          </w:p>
        </w:tc>
        <w:tc>
          <w:tcPr>
            <w:tcW w:w="2699" w:type="dxa"/>
            <w:vMerge w:val="continue"/>
            <w:noWrap w:val="0"/>
            <w:vAlign w:val="center"/>
          </w:tcPr>
          <w:p w14:paraId="01BB3C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p>
        </w:tc>
      </w:tr>
      <w:tr w14:paraId="20AA2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2C456093">
            <w:pPr>
              <w:adjustRightInd w:val="0"/>
              <w:snapToGrid w:val="0"/>
              <w:spacing w:line="240" w:lineRule="auto"/>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土壤及地下水污染防治措施</w:t>
            </w:r>
          </w:p>
        </w:tc>
        <w:tc>
          <w:tcPr>
            <w:tcW w:w="7896" w:type="dxa"/>
            <w:gridSpan w:val="4"/>
            <w:noWrap w:val="0"/>
            <w:vAlign w:val="center"/>
          </w:tcPr>
          <w:p w14:paraId="0CE70C02">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（1）源头控制措施</w:t>
            </w:r>
          </w:p>
          <w:p w14:paraId="08E52721">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项目各类废气均可达标排放，废水经收集、处理，达标后纳管排放，各类固态废物均能得以妥善处置，有效减少了污染物的排放量。</w:t>
            </w:r>
          </w:p>
          <w:p w14:paraId="4502ED91">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（2）分区防治措施</w:t>
            </w:r>
          </w:p>
          <w:p w14:paraId="4DBB59E9">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生活污水及生产废水收集处理构筑物在工程设计时采用混凝土构造，并按照相应的标准设置了防渗层，防止污水下渗污染地下水及土壤。在正常生产情况下，企业做好防渗处理条件下，项目废水不会直接渗入土壤，也不会对地下水造成影响。</w:t>
            </w:r>
          </w:p>
          <w:p w14:paraId="1F595F2F">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项目固体废物，厂内均设置专门的贮存场所，厂区地面进行硬化处理，环评要求按照下表防渗标准分区设置防渗区，建立防渗设施的检漏系统，防止污染物的跑、冒、滴、漏，将污染物泄漏的环境风险事故降到最低限度。</w:t>
            </w:r>
          </w:p>
          <w:p w14:paraId="450751A8">
            <w:pPr>
              <w:widowControl w:val="0"/>
              <w:adjustRightInd w:val="0"/>
              <w:snapToGrid w:val="0"/>
              <w:spacing w:line="276" w:lineRule="auto"/>
              <w:ind w:firstLineChars="200"/>
              <w:jc w:val="left"/>
              <w:rPr>
                <w:rFonts w:hint="default" w:ascii="Times New Roman" w:hAnsi="Times New Roman" w:eastAsia="宋体" w:cs="Times New Roman"/>
                <w:color w:val="0000FF"/>
                <w:sz w:val="24"/>
                <w:szCs w:val="24"/>
              </w:rPr>
            </w:pPr>
            <w:r>
              <w:rPr>
                <w:rFonts w:hint="eastAsia" w:ascii="Times New Roman" w:hAnsi="Times New Roman" w:eastAsia="宋体" w:cs="Times New Roman"/>
                <w:color w:val="0000FF"/>
                <w:sz w:val="24"/>
                <w:szCs w:val="24"/>
                <w:lang w:eastAsia="zh-CN"/>
              </w:rPr>
              <w:t>①</w:t>
            </w:r>
            <w:r>
              <w:rPr>
                <w:rFonts w:ascii="Times New Roman" w:hAnsi="Times New Roman" w:eastAsia="宋体" w:cs="Times New Roman"/>
                <w:color w:val="0000FF"/>
                <w:sz w:val="24"/>
                <w:szCs w:val="24"/>
              </w:rPr>
              <w:t>重点防渗区：</w:t>
            </w:r>
            <w:r>
              <w:rPr>
                <w:rFonts w:hint="default" w:ascii="Times New Roman" w:hAnsi="Times New Roman" w:eastAsia="宋体" w:cs="Times New Roman"/>
                <w:color w:val="0000FF"/>
                <w:sz w:val="24"/>
                <w:szCs w:val="24"/>
              </w:rPr>
              <w:t>危废间、喷漆房</w:t>
            </w:r>
            <w:r>
              <w:rPr>
                <w:rFonts w:hint="eastAsia" w:ascii="Times New Roman" w:hAnsi="Times New Roman" w:eastAsia="宋体" w:cs="Times New Roman"/>
                <w:color w:val="0000FF"/>
                <w:sz w:val="24"/>
                <w:szCs w:val="24"/>
                <w:lang w:eastAsia="zh-CN"/>
              </w:rPr>
              <w:t>、</w:t>
            </w:r>
            <w:r>
              <w:rPr>
                <w:rFonts w:hint="eastAsia" w:ascii="Times New Roman" w:hAnsi="Times New Roman" w:eastAsia="宋体" w:cs="Times New Roman"/>
                <w:color w:val="0000FF"/>
                <w:sz w:val="24"/>
                <w:szCs w:val="24"/>
                <w:lang w:val="en-US" w:eastAsia="zh-CN"/>
              </w:rPr>
              <w:t>污水处理设施</w:t>
            </w:r>
          </w:p>
          <w:p w14:paraId="1B24B080">
            <w:pPr>
              <w:widowControl w:val="0"/>
              <w:adjustRightInd w:val="0"/>
              <w:snapToGrid w:val="0"/>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危废间基础防渗层为至少2mm厚高密度聚乙烯或其它人工材料，渗透系数≤10</w:t>
            </w:r>
            <w:r>
              <w:rPr>
                <w:rFonts w:ascii="Times New Roman" w:hAnsi="Times New Roman" w:cs="Times New Roman"/>
                <w:color w:val="0000FF"/>
                <w:sz w:val="24"/>
                <w:szCs w:val="24"/>
                <w:vertAlign w:val="superscript"/>
              </w:rPr>
              <w:t>-10</w:t>
            </w:r>
            <w:r>
              <w:rPr>
                <w:rFonts w:ascii="Times New Roman" w:hAnsi="Times New Roman" w:cs="Times New Roman"/>
                <w:color w:val="0000FF"/>
                <w:sz w:val="24"/>
                <w:szCs w:val="24"/>
              </w:rPr>
              <w:t>cm/s，</w:t>
            </w:r>
            <w:r>
              <w:rPr>
                <w:rFonts w:hint="eastAsia" w:ascii="Times New Roman" w:hAnsi="Times New Roman" w:cs="Times New Roman"/>
                <w:color w:val="0000FF"/>
                <w:sz w:val="24"/>
                <w:szCs w:val="24"/>
              </w:rPr>
              <w:t>喷漆房</w:t>
            </w:r>
            <w:r>
              <w:rPr>
                <w:rFonts w:ascii="Times New Roman" w:hAnsi="Times New Roman" w:cs="Times New Roman"/>
                <w:color w:val="0000FF"/>
                <w:sz w:val="24"/>
                <w:szCs w:val="24"/>
              </w:rPr>
              <w:t>防渗设计要求等效黏土防渗层Mb≥6.0m，K≤1×10</w:t>
            </w:r>
            <w:r>
              <w:rPr>
                <w:rFonts w:ascii="Times New Roman" w:hAnsi="Times New Roman" w:cs="Times New Roman"/>
                <w:color w:val="0000FF"/>
                <w:sz w:val="24"/>
                <w:szCs w:val="24"/>
                <w:vertAlign w:val="superscript"/>
              </w:rPr>
              <w:t>-7</w:t>
            </w:r>
            <w:r>
              <w:rPr>
                <w:rFonts w:ascii="Times New Roman" w:hAnsi="Times New Roman" w:cs="Times New Roman"/>
                <w:color w:val="0000FF"/>
                <w:sz w:val="24"/>
                <w:szCs w:val="24"/>
              </w:rPr>
              <w:t>cm/s；并执行《危险废物贮存污染控制标准》（GB 18597-2023）中的有关规定。</w:t>
            </w:r>
          </w:p>
          <w:p w14:paraId="59663598">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②一般防渗区：</w:t>
            </w:r>
            <w:r>
              <w:rPr>
                <w:rFonts w:hint="eastAsia" w:ascii="Times New Roman" w:hAnsi="Times New Roman" w:cs="Times New Roman"/>
                <w:color w:val="0000FF"/>
                <w:sz w:val="24"/>
                <w:szCs w:val="24"/>
              </w:rPr>
              <w:t>原料存放区、一般固废暂存间、生产区</w:t>
            </w:r>
          </w:p>
          <w:p w14:paraId="6C6125D0">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进行水泥硬化处理，地基先用三合土夯实后，再在上层铺10~15cm后的水泥进行硬化，使防渗层渗透系数小于1×10</w:t>
            </w:r>
            <w:r>
              <w:rPr>
                <w:rFonts w:ascii="Times New Roman" w:hAnsi="Times New Roman" w:cs="Times New Roman"/>
                <w:color w:val="0000FF"/>
                <w:sz w:val="24"/>
                <w:szCs w:val="24"/>
                <w:vertAlign w:val="superscript"/>
              </w:rPr>
              <w:t>-7</w:t>
            </w:r>
            <w:r>
              <w:rPr>
                <w:rFonts w:ascii="Times New Roman" w:hAnsi="Times New Roman" w:cs="Times New Roman"/>
                <w:color w:val="0000FF"/>
                <w:sz w:val="24"/>
                <w:szCs w:val="24"/>
              </w:rPr>
              <w:t>cm/s，等效黏土防渗层 Mb≥1.5m。</w:t>
            </w:r>
          </w:p>
          <w:p w14:paraId="1730CE37">
            <w:pPr>
              <w:widowControl w:val="0"/>
              <w:adjustRightInd w:val="0"/>
              <w:snapToGrid w:val="0"/>
              <w:spacing w:line="276" w:lineRule="auto"/>
              <w:ind w:firstLine="480" w:firstLineChars="200"/>
              <w:jc w:val="left"/>
              <w:rPr>
                <w:rFonts w:ascii="Times New Roman" w:hAnsi="Times New Roman" w:cs="Times New Roman"/>
                <w:color w:val="0000FF"/>
                <w:sz w:val="24"/>
                <w:szCs w:val="24"/>
              </w:rPr>
            </w:pPr>
            <w:r>
              <w:rPr>
                <w:rFonts w:ascii="Times New Roman" w:hAnsi="Times New Roman" w:cs="Times New Roman"/>
                <w:color w:val="0000FF"/>
                <w:sz w:val="24"/>
                <w:szCs w:val="24"/>
              </w:rPr>
              <w:t>③简单防渗区：办公</w:t>
            </w:r>
            <w:r>
              <w:rPr>
                <w:rFonts w:hint="eastAsia" w:cs="Times New Roman"/>
                <w:color w:val="0000FF"/>
                <w:sz w:val="24"/>
                <w:szCs w:val="24"/>
                <w:lang w:val="en-US" w:eastAsia="zh-CN"/>
              </w:rPr>
              <w:t>室</w:t>
            </w:r>
            <w:r>
              <w:rPr>
                <w:rFonts w:ascii="Times New Roman" w:hAnsi="Times New Roman" w:cs="Times New Roman"/>
                <w:color w:val="0000FF"/>
                <w:sz w:val="24"/>
                <w:szCs w:val="24"/>
              </w:rPr>
              <w:t>、</w:t>
            </w:r>
            <w:r>
              <w:rPr>
                <w:rFonts w:hint="eastAsia" w:cs="Times New Roman"/>
                <w:color w:val="0000FF"/>
                <w:sz w:val="24"/>
                <w:szCs w:val="24"/>
                <w:lang w:val="en-US" w:eastAsia="zh-CN"/>
              </w:rPr>
              <w:t>宿舍楼</w:t>
            </w:r>
            <w:r>
              <w:rPr>
                <w:rFonts w:ascii="Times New Roman" w:hAnsi="Times New Roman" w:cs="Times New Roman"/>
                <w:color w:val="0000FF"/>
                <w:sz w:val="24"/>
                <w:szCs w:val="24"/>
              </w:rPr>
              <w:t>及除其他以上区域</w:t>
            </w:r>
          </w:p>
          <w:p w14:paraId="4147A251">
            <w:pPr>
              <w:keepNext w:val="0"/>
              <w:keepLines w:val="0"/>
              <w:pageBreakBefore w:val="0"/>
              <w:widowControl w:val="0"/>
              <w:kinsoku/>
              <w:wordWrap/>
              <w:overflowPunct/>
              <w:topLinePunct w:val="0"/>
              <w:autoSpaceDE/>
              <w:autoSpaceDN/>
              <w:bidi w:val="0"/>
              <w:adjustRightInd w:val="0"/>
              <w:snapToGrid w:val="0"/>
              <w:spacing w:line="276"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ascii="Times New Roman" w:hAnsi="Times New Roman" w:cs="Times New Roman"/>
                <w:color w:val="0000FF"/>
                <w:sz w:val="24"/>
                <w:szCs w:val="24"/>
              </w:rPr>
              <w:t>对办公区及除其他以上</w:t>
            </w:r>
            <w:r>
              <w:rPr>
                <w:rFonts w:hint="eastAsia" w:ascii="Times New Roman" w:hAnsi="Times New Roman" w:cs="Times New Roman"/>
                <w:color w:val="0000FF"/>
                <w:sz w:val="24"/>
                <w:szCs w:val="24"/>
              </w:rPr>
              <w:t>重点防渗和一般防渗</w:t>
            </w:r>
            <w:r>
              <w:rPr>
                <w:rFonts w:ascii="Times New Roman" w:hAnsi="Times New Roman" w:cs="Times New Roman"/>
                <w:color w:val="0000FF"/>
                <w:sz w:val="24"/>
                <w:szCs w:val="24"/>
              </w:rPr>
              <w:t>区域地面进行简单硬化。</w:t>
            </w:r>
          </w:p>
        </w:tc>
      </w:tr>
      <w:tr w14:paraId="10FAD0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11C6007F">
            <w:pPr>
              <w:adjustRightInd w:val="0"/>
              <w:snapToGrid w:val="0"/>
              <w:spacing w:line="240" w:lineRule="auto"/>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生态保护措施</w:t>
            </w:r>
          </w:p>
        </w:tc>
        <w:tc>
          <w:tcPr>
            <w:tcW w:w="7896" w:type="dxa"/>
            <w:gridSpan w:val="4"/>
            <w:noWrap w:val="0"/>
            <w:vAlign w:val="center"/>
          </w:tcPr>
          <w:p w14:paraId="4309E71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加强厂区绿化。</w:t>
            </w:r>
          </w:p>
        </w:tc>
      </w:tr>
      <w:tr w14:paraId="4D4B49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510ADA66">
            <w:pPr>
              <w:adjustRightInd w:val="0"/>
              <w:snapToGrid w:val="0"/>
              <w:spacing w:line="240" w:lineRule="auto"/>
              <w:ind w:firstLine="0" w:firstLineChars="0"/>
              <w:jc w:val="center"/>
              <w:rPr>
                <w:rFonts w:hint="default" w:ascii="Times New Roman" w:hAnsi="Times New Roman" w:eastAsia="宋体" w:cs="Times New Roman"/>
                <w:color w:val="auto"/>
                <w:spacing w:val="-8"/>
                <w:sz w:val="24"/>
                <w:szCs w:val="24"/>
              </w:rPr>
            </w:pPr>
            <w:r>
              <w:rPr>
                <w:rFonts w:hint="default" w:ascii="Times New Roman" w:hAnsi="Times New Roman" w:eastAsia="宋体" w:cs="Times New Roman"/>
                <w:color w:val="auto"/>
                <w:spacing w:val="-8"/>
                <w:sz w:val="24"/>
                <w:szCs w:val="24"/>
              </w:rPr>
              <w:t>环境风险</w:t>
            </w:r>
          </w:p>
          <w:p w14:paraId="7FCCF961">
            <w:pPr>
              <w:adjustRightInd w:val="0"/>
              <w:snapToGrid w:val="0"/>
              <w:spacing w:line="240" w:lineRule="auto"/>
              <w:ind w:firstLine="0" w:firstLineChars="0"/>
              <w:jc w:val="center"/>
              <w:rPr>
                <w:rFonts w:hint="default" w:ascii="Times New Roman" w:hAnsi="Times New Roman" w:eastAsia="宋体" w:cs="Times New Roman"/>
                <w:color w:val="auto"/>
                <w:spacing w:val="-8"/>
                <w:sz w:val="24"/>
                <w:szCs w:val="24"/>
              </w:rPr>
            </w:pPr>
            <w:r>
              <w:rPr>
                <w:rFonts w:hint="default" w:ascii="Times New Roman" w:hAnsi="Times New Roman" w:eastAsia="宋体" w:cs="Times New Roman"/>
                <w:color w:val="auto"/>
                <w:spacing w:val="-8"/>
                <w:sz w:val="24"/>
                <w:szCs w:val="24"/>
              </w:rPr>
              <w:t>防范措施</w:t>
            </w:r>
          </w:p>
        </w:tc>
        <w:tc>
          <w:tcPr>
            <w:tcW w:w="7896" w:type="dxa"/>
            <w:gridSpan w:val="4"/>
            <w:noWrap w:val="0"/>
            <w:vAlign w:val="center"/>
          </w:tcPr>
          <w:p w14:paraId="595257BE">
            <w:pPr>
              <w:widowControl w:val="0"/>
              <w:ind w:firstLine="480" w:firstLineChars="200"/>
              <w:jc w:val="left"/>
              <w:rPr>
                <w:rFonts w:ascii="Times New Roman" w:hAnsi="Times New Roman" w:eastAsia="宋体" w:cs="Times New Roman"/>
                <w:color w:val="0000FF"/>
                <w:sz w:val="24"/>
                <w:szCs w:val="24"/>
              </w:rPr>
            </w:pPr>
            <w:r>
              <w:rPr>
                <w:rFonts w:ascii="Times New Roman" w:hAnsi="Times New Roman" w:eastAsia="宋体" w:cs="Times New Roman"/>
                <w:color w:val="0000FF"/>
                <w:sz w:val="24"/>
                <w:szCs w:val="24"/>
              </w:rPr>
              <w:t>①火灾、爆炸风险常与装置设备故障相关联。企业在该项目生产和安全管理中要密切注意事故易发部位，做好运行监督检查与维修保养，防患于未然。</w:t>
            </w:r>
          </w:p>
          <w:p w14:paraId="5CA01E2C">
            <w:pPr>
              <w:widowControl w:val="0"/>
              <w:ind w:firstLine="480" w:firstLineChars="200"/>
              <w:jc w:val="left"/>
              <w:rPr>
                <w:rFonts w:ascii="Times New Roman" w:hAnsi="Times New Roman" w:eastAsia="宋体" w:cs="Times New Roman"/>
                <w:color w:val="0000FF"/>
                <w:sz w:val="24"/>
                <w:szCs w:val="24"/>
              </w:rPr>
            </w:pPr>
            <w:r>
              <w:rPr>
                <w:rFonts w:ascii="Times New Roman" w:hAnsi="Times New Roman" w:eastAsia="宋体" w:cs="Times New Roman"/>
                <w:color w:val="0000FF"/>
                <w:sz w:val="24"/>
                <w:szCs w:val="24"/>
              </w:rPr>
              <w:t>②工程设计中充分考虑易燃易爆物质的安全因素，反应、物料输送等关键岗位建议通过设备安全控制连锁措施降低风险性。</w:t>
            </w:r>
          </w:p>
          <w:p w14:paraId="1AC07C9D">
            <w:pPr>
              <w:widowControl w:val="0"/>
              <w:ind w:firstLine="480" w:firstLineChars="200"/>
              <w:jc w:val="left"/>
              <w:rPr>
                <w:rFonts w:ascii="Times New Roman" w:hAnsi="Times New Roman" w:eastAsia="宋体" w:cs="Times New Roman"/>
                <w:color w:val="0000FF"/>
                <w:sz w:val="24"/>
                <w:szCs w:val="24"/>
              </w:rPr>
            </w:pPr>
            <w:r>
              <w:rPr>
                <w:rFonts w:ascii="Times New Roman" w:hAnsi="Times New Roman" w:eastAsia="宋体" w:cs="Times New Roman"/>
                <w:color w:val="0000FF"/>
                <w:sz w:val="24"/>
                <w:szCs w:val="24"/>
              </w:rPr>
              <w:t>③必须组织专门人员每天每班多次进行周期性巡回检查，有异常现象的应及时检修，必要时按照“生产服从安全”原则停车检修，严禁带病或不正常运转。</w:t>
            </w:r>
          </w:p>
          <w:p w14:paraId="013C440A">
            <w:pPr>
              <w:pageBreakBefore w:val="0"/>
              <w:kinsoku/>
              <w:overflowPunct/>
              <w:topLinePunct w:val="0"/>
              <w:autoSpaceDE/>
              <w:autoSpaceDN/>
              <w:bidi w:val="0"/>
              <w:adjustRightInd/>
              <w:snapToGrid/>
              <w:spacing w:line="240" w:lineRule="auto"/>
              <w:ind w:firstLine="480" w:firstLineChars="200"/>
              <w:jc w:val="left"/>
              <w:rPr>
                <w:rFonts w:hint="default" w:ascii="Times New Roman" w:hAnsi="Times New Roman" w:eastAsia="宋体" w:cs="Times New Roman"/>
                <w:color w:val="auto"/>
                <w:sz w:val="24"/>
                <w:szCs w:val="24"/>
                <w:lang w:val="en-US" w:eastAsia="zh-CN"/>
              </w:rPr>
            </w:pPr>
            <w:r>
              <w:rPr>
                <w:rFonts w:ascii="Times New Roman" w:hAnsi="Times New Roman" w:eastAsia="宋体" w:cs="Times New Roman"/>
                <w:color w:val="0000FF"/>
                <w:sz w:val="24"/>
                <w:szCs w:val="24"/>
              </w:rPr>
              <w:t>④将</w:t>
            </w:r>
            <w:r>
              <w:rPr>
                <w:rFonts w:hint="eastAsia" w:ascii="宋体" w:hAnsi="宋体" w:eastAsia="宋体" w:cs="宋体"/>
                <w:color w:val="0000FF"/>
                <w:sz w:val="24"/>
                <w:szCs w:val="24"/>
              </w:rPr>
              <w:t>“安全第一，以防为主”作</w:t>
            </w:r>
            <w:r>
              <w:rPr>
                <w:rFonts w:ascii="Times New Roman" w:hAnsi="Times New Roman" w:eastAsia="宋体" w:cs="Times New Roman"/>
                <w:color w:val="0000FF"/>
                <w:sz w:val="24"/>
                <w:szCs w:val="24"/>
              </w:rPr>
              <w:t>为公司经营的基本原则。加强公司职员的安全意识，严禁在厂区吸烟，防止因明火导致厂区火灾、爆炸，对公司职工进行消防培训，当事故发生后能在最短时间内集合，在佩戴上相应的防护设备后，随同厂内技术人员进入泄漏地点。当情况比较严重时，应在组织自救的同时，通知城市救援中心和消防队，启动外界应急救援计划。</w:t>
            </w:r>
          </w:p>
        </w:tc>
      </w:tr>
      <w:tr w14:paraId="26237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4C9BE6D8">
            <w:pPr>
              <w:adjustRightInd w:val="0"/>
              <w:snapToGrid w:val="0"/>
              <w:spacing w:line="240" w:lineRule="auto"/>
              <w:ind w:firstLine="0" w:firstLineChars="0"/>
              <w:jc w:val="center"/>
              <w:rPr>
                <w:rFonts w:hint="default" w:ascii="Times New Roman" w:hAnsi="Times New Roman" w:eastAsia="宋体" w:cs="Times New Roman"/>
                <w:color w:val="auto"/>
                <w:spacing w:val="-8"/>
                <w:sz w:val="24"/>
                <w:szCs w:val="24"/>
              </w:rPr>
            </w:pPr>
            <w:r>
              <w:rPr>
                <w:rFonts w:hint="default" w:ascii="Times New Roman" w:hAnsi="Times New Roman" w:eastAsia="宋体" w:cs="Times New Roman"/>
                <w:color w:val="auto"/>
                <w:spacing w:val="-8"/>
                <w:sz w:val="24"/>
                <w:szCs w:val="24"/>
              </w:rPr>
              <w:t>其他环境</w:t>
            </w:r>
          </w:p>
          <w:p w14:paraId="56C994E2">
            <w:pPr>
              <w:adjustRightInd w:val="0"/>
              <w:snapToGrid w:val="0"/>
              <w:spacing w:line="240" w:lineRule="auto"/>
              <w:ind w:firstLine="0" w:firstLineChars="0"/>
              <w:jc w:val="center"/>
              <w:rPr>
                <w:rFonts w:hint="default" w:ascii="Times New Roman" w:hAnsi="Times New Roman" w:eastAsia="宋体" w:cs="Times New Roman"/>
                <w:color w:val="auto"/>
                <w:spacing w:val="-8"/>
                <w:sz w:val="24"/>
                <w:szCs w:val="24"/>
              </w:rPr>
            </w:pPr>
            <w:r>
              <w:rPr>
                <w:rFonts w:hint="default" w:ascii="Times New Roman" w:hAnsi="Times New Roman" w:eastAsia="宋体" w:cs="Times New Roman"/>
                <w:color w:val="auto"/>
                <w:spacing w:val="-8"/>
                <w:sz w:val="24"/>
                <w:szCs w:val="24"/>
              </w:rPr>
              <w:t>管理要求</w:t>
            </w:r>
          </w:p>
        </w:tc>
        <w:tc>
          <w:tcPr>
            <w:tcW w:w="7896" w:type="dxa"/>
            <w:gridSpan w:val="4"/>
            <w:noWrap w:val="0"/>
            <w:vAlign w:val="center"/>
          </w:tcPr>
          <w:p w14:paraId="60527191">
            <w:pPr>
              <w:keepNext w:val="0"/>
              <w:keepLines w:val="0"/>
              <w:suppressLineNumbers w:val="0"/>
              <w:adjustRightInd w:val="0"/>
              <w:snapToGrid w:val="0"/>
              <w:spacing w:before="0" w:beforeAutospacing="0" w:after="0" w:afterAutospacing="0" w:line="276" w:lineRule="auto"/>
              <w:ind w:left="0" w:right="0"/>
              <w:jc w:val="both"/>
              <w:rPr>
                <w:rFonts w:hint="default" w:ascii="Times New Roman" w:hAnsi="Times New Roman" w:eastAsia="宋体" w:cs="Times New Roman"/>
                <w:b w:val="0"/>
                <w:bCs w:val="0"/>
                <w:color w:val="0000FF"/>
                <w:sz w:val="24"/>
                <w:szCs w:val="24"/>
              </w:rPr>
            </w:pPr>
            <w:r>
              <w:rPr>
                <w:rFonts w:hint="default" w:ascii="Times New Roman" w:hAnsi="Times New Roman" w:eastAsia="宋体" w:cs="Times New Roman"/>
                <w:b w:val="0"/>
                <w:bCs w:val="0"/>
                <w:color w:val="0000FF"/>
                <w:sz w:val="24"/>
                <w:szCs w:val="24"/>
              </w:rPr>
              <w:t>①</w:t>
            </w:r>
            <w:r>
              <w:rPr>
                <w:rFonts w:hint="eastAsia" w:cs="Times New Roman"/>
                <w:b w:val="0"/>
                <w:bCs w:val="0"/>
                <w:color w:val="0000FF"/>
                <w:sz w:val="24"/>
                <w:szCs w:val="24"/>
                <w:lang w:val="en-US" w:eastAsia="zh-CN"/>
              </w:rPr>
              <w:t>按照《固定污染源排污许可分类管理名录（2019 版）》和《排污许可管理办法（试行）》（环境保护部令第 48 号）相关要求，根据本项目建设内容，</w:t>
            </w:r>
            <w:r>
              <w:rPr>
                <w:rFonts w:hint="default" w:ascii="Times New Roman" w:hAnsi="Times New Roman" w:eastAsia="宋体" w:cs="Times New Roman"/>
                <w:color w:val="0000FF"/>
                <w:sz w:val="24"/>
                <w:szCs w:val="24"/>
              </w:rPr>
              <w:t>属于</w:t>
            </w:r>
            <w:r>
              <w:rPr>
                <w:rFonts w:hint="eastAsia" w:ascii="宋体" w:hAnsi="宋体" w:eastAsia="宋体" w:cs="宋体"/>
                <w:color w:val="0000FF"/>
                <w:sz w:val="24"/>
                <w:szCs w:val="24"/>
              </w:rPr>
              <w:t>“</w:t>
            </w:r>
            <w:r>
              <w:rPr>
                <w:rFonts w:hint="eastAsia" w:ascii="Times New Roman" w:hAnsi="Times New Roman" w:eastAsia="宋体" w:cs="Times New Roman"/>
                <w:color w:val="0000FF"/>
                <w:sz w:val="24"/>
                <w:szCs w:val="24"/>
                <w:lang w:eastAsia="zh-CN"/>
              </w:rPr>
              <w:t>二十</w:t>
            </w:r>
            <w:r>
              <w:rPr>
                <w:rFonts w:hint="eastAsia" w:cs="Times New Roman"/>
                <w:color w:val="0000FF"/>
                <w:sz w:val="24"/>
                <w:szCs w:val="24"/>
                <w:lang w:val="en-US" w:eastAsia="zh-CN"/>
              </w:rPr>
              <w:t>九</w:t>
            </w:r>
            <w:r>
              <w:rPr>
                <w:rFonts w:hint="eastAsia" w:ascii="Times New Roman" w:hAnsi="Times New Roman" w:eastAsia="宋体" w:cs="Times New Roman"/>
                <w:color w:val="0000FF"/>
                <w:sz w:val="24"/>
                <w:szCs w:val="24"/>
                <w:lang w:eastAsia="zh-CN"/>
              </w:rPr>
              <w:t>、</w:t>
            </w:r>
            <w:r>
              <w:rPr>
                <w:rFonts w:hint="eastAsia" w:cs="Times New Roman"/>
                <w:color w:val="0000FF"/>
                <w:sz w:val="24"/>
                <w:szCs w:val="24"/>
                <w:lang w:val="en-US" w:eastAsia="zh-CN"/>
              </w:rPr>
              <w:t>通用设备制造业34</w:t>
            </w:r>
            <w:r>
              <w:rPr>
                <w:rFonts w:hint="eastAsia" w:ascii="宋体" w:hAnsi="宋体" w:eastAsia="宋体" w:cs="宋体"/>
                <w:color w:val="0000FF"/>
                <w:sz w:val="24"/>
                <w:szCs w:val="24"/>
              </w:rPr>
              <w:t>”</w:t>
            </w:r>
            <w:r>
              <w:rPr>
                <w:rFonts w:hint="default" w:ascii="Times New Roman" w:hAnsi="Times New Roman" w:eastAsia="宋体" w:cs="Times New Roman"/>
                <w:color w:val="0000FF"/>
                <w:sz w:val="24"/>
                <w:szCs w:val="24"/>
              </w:rPr>
              <w:t>中</w:t>
            </w:r>
            <w:r>
              <w:rPr>
                <w:rFonts w:hint="eastAsia" w:ascii="宋体" w:hAnsi="宋体" w:eastAsia="宋体" w:cs="宋体"/>
                <w:color w:val="0000FF"/>
                <w:sz w:val="24"/>
                <w:szCs w:val="24"/>
              </w:rPr>
              <w:t>“</w:t>
            </w:r>
            <w:r>
              <w:rPr>
                <w:rFonts w:hint="eastAsia" w:cs="Times New Roman"/>
                <w:color w:val="0000FF"/>
                <w:sz w:val="24"/>
                <w:szCs w:val="24"/>
                <w:lang w:val="en-US" w:eastAsia="zh-CN"/>
              </w:rPr>
              <w:t>83.</w:t>
            </w:r>
            <w:r>
              <w:rPr>
                <w:rFonts w:hint="eastAsia" w:ascii="Times New Roman" w:hAnsi="Times New Roman" w:eastAsia="宋体" w:cs="Times New Roman"/>
                <w:color w:val="0000FF"/>
                <w:sz w:val="24"/>
                <w:szCs w:val="24"/>
                <w:lang w:val="en-US" w:eastAsia="zh-CN"/>
              </w:rPr>
              <w:t>.</w:t>
            </w:r>
            <w:r>
              <w:rPr>
                <w:rFonts w:hint="eastAsia" w:cs="Times New Roman"/>
                <w:color w:val="0000FF"/>
                <w:sz w:val="24"/>
                <w:szCs w:val="24"/>
                <w:lang w:val="en-US" w:eastAsia="zh-CN"/>
              </w:rPr>
              <w:t>轴承、齿轮和传动部件制造345</w:t>
            </w:r>
            <w:r>
              <w:rPr>
                <w:rFonts w:hint="eastAsia" w:ascii="Times New Roman" w:hAnsi="Times New Roman" w:eastAsia="宋体" w:cs="Times New Roman"/>
                <w:color w:val="0000FF"/>
                <w:sz w:val="24"/>
                <w:szCs w:val="24"/>
                <w:lang w:val="en-US" w:eastAsia="zh-CN"/>
              </w:rPr>
              <w:t>-涉及通用工序简化管理的；五十一、通用工序中111表面处理-其他</w:t>
            </w:r>
            <w:r>
              <w:rPr>
                <w:rFonts w:hint="eastAsia" w:ascii="宋体" w:hAnsi="宋体" w:eastAsia="宋体" w:cs="宋体"/>
                <w:color w:val="0000FF"/>
                <w:sz w:val="24"/>
                <w:szCs w:val="24"/>
              </w:rPr>
              <w:t>”</w:t>
            </w:r>
            <w:r>
              <w:rPr>
                <w:rFonts w:hint="default" w:ascii="Times New Roman" w:hAnsi="Times New Roman" w:eastAsia="宋体" w:cs="Times New Roman"/>
                <w:color w:val="0000FF"/>
                <w:sz w:val="24"/>
                <w:szCs w:val="24"/>
              </w:rPr>
              <w:t>，</w:t>
            </w:r>
            <w:r>
              <w:rPr>
                <w:rFonts w:hint="eastAsia" w:cs="Times New Roman"/>
                <w:b w:val="0"/>
                <w:bCs w:val="0"/>
                <w:color w:val="0000FF"/>
                <w:sz w:val="24"/>
                <w:szCs w:val="24"/>
                <w:lang w:val="en-US" w:eastAsia="zh-CN"/>
              </w:rPr>
              <w:t>建设单位需申请排污许可，实行登记管理，依证排污。</w:t>
            </w:r>
          </w:p>
          <w:p w14:paraId="57F4AA7C">
            <w:pPr>
              <w:keepNext w:val="0"/>
              <w:keepLines w:val="0"/>
              <w:suppressLineNumbers w:val="0"/>
              <w:adjustRightInd w:val="0"/>
              <w:snapToGrid w:val="0"/>
              <w:spacing w:before="0" w:beforeAutospacing="0" w:after="0" w:afterAutospacing="0" w:line="276" w:lineRule="auto"/>
              <w:ind w:left="0" w:right="0"/>
              <w:jc w:val="left"/>
              <w:rPr>
                <w:rFonts w:hint="eastAsia" w:ascii="Times New Roman" w:hAnsi="Times New Roman" w:eastAsia="宋体" w:cs="Times New Roman"/>
                <w:b w:val="0"/>
                <w:bCs w:val="0"/>
                <w:color w:val="0000FF"/>
                <w:sz w:val="24"/>
                <w:szCs w:val="24"/>
                <w:lang w:eastAsia="zh-CN"/>
              </w:rPr>
            </w:pPr>
            <w:r>
              <w:rPr>
                <w:rFonts w:hint="default" w:ascii="Times New Roman" w:hAnsi="Times New Roman" w:eastAsia="宋体" w:cs="Times New Roman"/>
                <w:b w:val="0"/>
                <w:bCs w:val="0"/>
                <w:color w:val="0000FF"/>
                <w:sz w:val="24"/>
                <w:szCs w:val="24"/>
              </w:rPr>
              <w:t>②竣工环境保据验收：根据《建设项目竣工环境保护验收暂行办法》（国环规环评〔2017〕4 号）文件，建设单位作为项目竣工环保验收的责任主体，应当按照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项目配套建设的环保设施经验收合格，方可投入生产或使用。</w:t>
            </w:r>
          </w:p>
          <w:p w14:paraId="0FA257A4">
            <w:pPr>
              <w:keepNext w:val="0"/>
              <w:keepLines w:val="0"/>
              <w:suppressLineNumbers w:val="0"/>
              <w:adjustRightInd w:val="0"/>
              <w:snapToGrid w:val="0"/>
              <w:spacing w:before="0" w:beforeAutospacing="0" w:after="0" w:afterAutospacing="0" w:line="276" w:lineRule="auto"/>
              <w:ind w:left="0" w:right="0"/>
              <w:jc w:val="both"/>
              <w:rPr>
                <w:rFonts w:hint="default" w:ascii="Times New Roman" w:hAnsi="Times New Roman" w:eastAsia="宋体" w:cs="Times New Roman"/>
                <w:b w:val="0"/>
                <w:bCs w:val="0"/>
                <w:color w:val="0000FF"/>
                <w:sz w:val="24"/>
                <w:szCs w:val="24"/>
              </w:rPr>
            </w:pPr>
            <w:r>
              <w:rPr>
                <w:rFonts w:hint="default" w:ascii="Times New Roman" w:hAnsi="Times New Roman" w:eastAsia="宋体" w:cs="Times New Roman"/>
                <w:b w:val="0"/>
                <w:bCs w:val="0"/>
                <w:color w:val="0000FF"/>
                <w:sz w:val="24"/>
                <w:szCs w:val="24"/>
              </w:rPr>
              <w:t>③做好排污口规范化设置，加强环保设施的维护和管理，保证设备正常运行，落实环保资金，以实施治污措施，实现污染物达标排放。</w:t>
            </w:r>
          </w:p>
          <w:p w14:paraId="6DFFFEEF">
            <w:pPr>
              <w:keepNext w:val="0"/>
              <w:keepLines w:val="0"/>
              <w:suppressLineNumbers w:val="0"/>
              <w:adjustRightInd w:val="0"/>
              <w:snapToGrid w:val="0"/>
              <w:spacing w:before="0" w:beforeAutospacing="0" w:after="0" w:afterAutospacing="0" w:line="276" w:lineRule="auto"/>
              <w:ind w:left="0" w:right="0"/>
              <w:jc w:val="both"/>
              <w:rPr>
                <w:rFonts w:hint="default" w:ascii="Times New Roman" w:hAnsi="Times New Roman" w:eastAsia="宋体" w:cs="Times New Roman"/>
                <w:b w:val="0"/>
                <w:bCs w:val="0"/>
                <w:color w:val="0000FF"/>
                <w:sz w:val="24"/>
                <w:szCs w:val="24"/>
              </w:rPr>
            </w:pPr>
            <w:r>
              <w:rPr>
                <w:rFonts w:hint="eastAsia" w:cs="Times New Roman"/>
                <w:b w:val="0"/>
                <w:bCs w:val="0"/>
                <w:color w:val="0000FF"/>
                <w:sz w:val="24"/>
                <w:szCs w:val="24"/>
                <w:lang w:val="en-US" w:eastAsia="zh-CN"/>
              </w:rPr>
              <w:t>④</w:t>
            </w:r>
            <w:r>
              <w:rPr>
                <w:rFonts w:hint="default" w:ascii="Times New Roman" w:hAnsi="Times New Roman" w:eastAsia="宋体" w:cs="Times New Roman"/>
                <w:b w:val="0"/>
                <w:bCs w:val="0"/>
                <w:color w:val="0000FF"/>
                <w:sz w:val="24"/>
                <w:szCs w:val="24"/>
              </w:rPr>
              <w:t>建立健全企业环保规章制度和企业环境管理责任体系。</w:t>
            </w:r>
          </w:p>
          <w:p w14:paraId="3C4DA30B">
            <w:pPr>
              <w:keepNext w:val="0"/>
              <w:keepLines w:val="0"/>
              <w:suppressLineNumbers w:val="0"/>
              <w:adjustRightInd w:val="0"/>
              <w:snapToGrid w:val="0"/>
              <w:spacing w:before="0" w:beforeAutospacing="0" w:after="0" w:afterAutospacing="0" w:line="276" w:lineRule="auto"/>
              <w:ind w:left="0" w:right="0"/>
              <w:jc w:val="both"/>
              <w:rPr>
                <w:rFonts w:hint="default" w:ascii="Times New Roman" w:hAnsi="Times New Roman" w:eastAsia="宋体" w:cs="Times New Roman"/>
                <w:b w:val="0"/>
                <w:bCs w:val="0"/>
                <w:color w:val="0000FF"/>
                <w:sz w:val="24"/>
                <w:szCs w:val="24"/>
              </w:rPr>
            </w:pPr>
            <w:r>
              <w:rPr>
                <w:rFonts w:hint="eastAsia" w:cs="Times New Roman"/>
                <w:b w:val="0"/>
                <w:bCs w:val="0"/>
                <w:color w:val="0000FF"/>
                <w:sz w:val="24"/>
                <w:szCs w:val="24"/>
                <w:lang w:val="en-US" w:eastAsia="zh-CN"/>
              </w:rPr>
              <w:t>⑤</w:t>
            </w:r>
            <w:r>
              <w:rPr>
                <w:rFonts w:hint="default" w:ascii="Times New Roman" w:hAnsi="Times New Roman" w:eastAsia="宋体" w:cs="Times New Roman"/>
                <w:b w:val="0"/>
                <w:bCs w:val="0"/>
                <w:color w:val="0000FF"/>
                <w:sz w:val="24"/>
                <w:szCs w:val="24"/>
              </w:rPr>
              <w:t>建立完善相关台账，记录每日的</w:t>
            </w:r>
            <w:r>
              <w:rPr>
                <w:rFonts w:hint="eastAsia" w:cs="Times New Roman"/>
                <w:b w:val="0"/>
                <w:bCs w:val="0"/>
                <w:color w:val="0000FF"/>
                <w:sz w:val="24"/>
                <w:szCs w:val="24"/>
                <w:lang w:val="en-US" w:eastAsia="zh-CN"/>
              </w:rPr>
              <w:t>废水</w:t>
            </w:r>
            <w:r>
              <w:rPr>
                <w:rFonts w:hint="default" w:ascii="Times New Roman" w:hAnsi="Times New Roman" w:eastAsia="宋体" w:cs="Times New Roman"/>
                <w:b w:val="0"/>
                <w:bCs w:val="0"/>
                <w:color w:val="0000FF"/>
                <w:sz w:val="24"/>
                <w:szCs w:val="24"/>
              </w:rPr>
              <w:t>处理设施运行情况，确保污染物稳定达标排放；制定危险废物管理计划并报环保部门备案，如实记录危险废物贮存、利用处置相关情况。</w:t>
            </w:r>
          </w:p>
          <w:p w14:paraId="6D37DCAB">
            <w:pPr>
              <w:keepNext w:val="0"/>
              <w:keepLines w:val="0"/>
              <w:suppressLineNumbers w:val="0"/>
              <w:adjustRightInd w:val="0"/>
              <w:snapToGrid w:val="0"/>
              <w:spacing w:before="0" w:beforeAutospacing="0" w:after="0" w:afterAutospacing="0" w:line="276" w:lineRule="auto"/>
              <w:ind w:left="0" w:right="0"/>
              <w:jc w:val="both"/>
              <w:rPr>
                <w:rFonts w:hint="eastAsia" w:cs="Times New Roman"/>
                <w:b w:val="0"/>
                <w:bCs w:val="0"/>
                <w:color w:val="0000FF"/>
                <w:sz w:val="24"/>
                <w:szCs w:val="24"/>
                <w:lang w:val="en-US" w:eastAsia="zh-CN"/>
              </w:rPr>
            </w:pPr>
            <w:r>
              <w:rPr>
                <w:rFonts w:hint="eastAsia" w:cs="Times New Roman"/>
                <w:b w:val="0"/>
                <w:bCs w:val="0"/>
                <w:color w:val="0000FF"/>
                <w:sz w:val="24"/>
                <w:szCs w:val="24"/>
                <w:lang w:val="en-US" w:eastAsia="zh-CN"/>
              </w:rPr>
              <w:t>⑥营运期按照环境监测计划要求定期开展环境检测。</w:t>
            </w:r>
          </w:p>
          <w:p w14:paraId="61F22F94">
            <w:pPr>
              <w:pageBreakBefore w:val="0"/>
              <w:kinsoku/>
              <w:overflowPunct/>
              <w:topLinePunct w:val="0"/>
              <w:autoSpaceDE/>
              <w:autoSpaceDN/>
              <w:bidi w:val="0"/>
              <w:adjustRightInd w:val="0"/>
              <w:snapToGrid w:val="0"/>
              <w:spacing w:line="276" w:lineRule="auto"/>
              <w:ind w:firstLine="0" w:firstLineChars="0"/>
              <w:jc w:val="both"/>
              <w:rPr>
                <w:rFonts w:hint="default" w:ascii="Times New Roman" w:hAnsi="Times New Roman" w:eastAsia="宋体" w:cs="Times New Roman"/>
                <w:color w:val="auto"/>
                <w:sz w:val="24"/>
                <w:szCs w:val="24"/>
                <w:lang w:val="en-US" w:eastAsia="zh-CN"/>
              </w:rPr>
            </w:pPr>
            <w:r>
              <w:rPr>
                <w:rFonts w:hint="eastAsia" w:cs="Times New Roman"/>
                <w:b w:val="0"/>
                <w:bCs w:val="0"/>
                <w:color w:val="0000FF"/>
                <w:sz w:val="24"/>
                <w:szCs w:val="24"/>
                <w:lang w:val="en-US" w:eastAsia="zh-CN"/>
              </w:rPr>
              <w:t>⑦</w:t>
            </w:r>
            <w:r>
              <w:rPr>
                <w:rFonts w:hint="default" w:ascii="Times New Roman" w:hAnsi="Times New Roman" w:eastAsia="宋体" w:cs="Times New Roman"/>
                <w:b w:val="0"/>
                <w:bCs w:val="0"/>
                <w:color w:val="0000FF"/>
                <w:sz w:val="24"/>
                <w:szCs w:val="24"/>
              </w:rPr>
              <w:t>落实日常环境管理工作。</w:t>
            </w:r>
          </w:p>
        </w:tc>
      </w:tr>
    </w:tbl>
    <w:p w14:paraId="1187DA96">
      <w:pPr>
        <w:pStyle w:val="29"/>
        <w:jc w:val="center"/>
        <w:outlineLvl w:val="0"/>
        <w:rPr>
          <w:rFonts w:hint="default" w:ascii="Times New Roman" w:hAnsi="Times New Roman" w:eastAsia="宋体" w:cs="Times New Roman"/>
          <w:snapToGrid w:val="0"/>
          <w:color w:val="auto"/>
          <w:sz w:val="30"/>
          <w:szCs w:val="30"/>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F57D23D">
      <w:pPr>
        <w:pStyle w:val="29"/>
        <w:jc w:val="center"/>
        <w:outlineLvl w:val="0"/>
        <w:rPr>
          <w:rFonts w:hint="default" w:ascii="Times New Roman" w:hAnsi="Times New Roman" w:eastAsia="宋体" w:cs="Times New Roman"/>
          <w:b/>
          <w:bCs/>
          <w:snapToGrid w:val="0"/>
          <w:color w:val="auto"/>
          <w:sz w:val="30"/>
          <w:szCs w:val="30"/>
        </w:rPr>
      </w:pPr>
      <w:bookmarkStart w:id="58" w:name="_Toc15892"/>
      <w:bookmarkStart w:id="59" w:name="_Toc5287"/>
      <w:r>
        <w:rPr>
          <w:rFonts w:hint="default" w:ascii="Times New Roman" w:hAnsi="Times New Roman" w:eastAsia="宋体" w:cs="Times New Roman"/>
          <w:b/>
          <w:bCs/>
          <w:snapToGrid w:val="0"/>
          <w:color w:val="auto"/>
          <w:sz w:val="30"/>
          <w:szCs w:val="30"/>
        </w:rPr>
        <w:t>六、结论</w:t>
      </w:r>
      <w:bookmarkEnd w:id="58"/>
      <w:bookmarkEnd w:id="59"/>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1EAA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7BD973FB">
            <w:pPr>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通过对</w:t>
            </w:r>
            <w:r>
              <w:rPr>
                <w:rFonts w:hint="default"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lang w:eastAsia="zh-CN"/>
              </w:rPr>
              <w:t>项目的工程分析、环境影响分析以及环保措施分析后认为，项目运营过程中产生的废气、废水、噪声、固体废物将会给环境带来一些不利影响，在通过加强管理及采取相应的环境保护措施后可以有效地消除或减缓项目建设带来的不利影响，项目建设的环境影响在可接受范围之内。本环评认为在营运期加强环境管理，各种污染物采取各项治理措施后，对周围环境影响较小。</w:t>
            </w:r>
            <w:r>
              <w:rPr>
                <w:rFonts w:hint="eastAsia" w:cs="Times New Roman"/>
                <w:color w:val="auto"/>
                <w:sz w:val="24"/>
                <w:lang w:val="en-US" w:eastAsia="zh-CN"/>
              </w:rPr>
              <w:t>从</w:t>
            </w:r>
            <w:r>
              <w:rPr>
                <w:rFonts w:hint="default" w:ascii="Times New Roman" w:hAnsi="Times New Roman" w:eastAsia="宋体" w:cs="Times New Roman"/>
                <w:color w:val="auto"/>
                <w:sz w:val="24"/>
                <w:lang w:eastAsia="zh-CN"/>
              </w:rPr>
              <w:t>环保角度</w:t>
            </w:r>
            <w:r>
              <w:rPr>
                <w:rFonts w:hint="eastAsia" w:cs="Times New Roman"/>
                <w:color w:val="auto"/>
                <w:sz w:val="24"/>
                <w:lang w:val="en-US" w:eastAsia="zh-CN"/>
              </w:rPr>
              <w:t>分析</w:t>
            </w:r>
            <w:r>
              <w:rPr>
                <w:rFonts w:hint="default" w:ascii="Times New Roman" w:hAnsi="Times New Roman" w:eastAsia="宋体" w:cs="Times New Roman"/>
                <w:color w:val="auto"/>
                <w:sz w:val="24"/>
                <w:lang w:eastAsia="zh-CN"/>
              </w:rPr>
              <w:t>，本项目的实施是可行的。</w:t>
            </w:r>
          </w:p>
        </w:tc>
      </w:tr>
    </w:tbl>
    <w:p w14:paraId="60466D78">
      <w:pPr>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1F00EB8A">
      <w:pPr>
        <w:pStyle w:val="29"/>
        <w:adjustRightInd w:val="0"/>
        <w:snapToGrid w:val="0"/>
        <w:spacing w:before="0" w:beforeAutospacing="0" w:after="0" w:afterAutospacing="0"/>
        <w:outlineLvl w:val="0"/>
        <w:rPr>
          <w:rFonts w:hint="default" w:ascii="黑体" w:hAnsi="黑体" w:eastAsia="黑体"/>
          <w:snapToGrid w:val="0"/>
          <w:color w:val="auto"/>
          <w:sz w:val="32"/>
          <w:szCs w:val="32"/>
          <w:highlight w:val="none"/>
        </w:rPr>
      </w:pPr>
      <w:bookmarkStart w:id="60" w:name="_Toc21051"/>
      <w:bookmarkStart w:id="61" w:name="_Toc26157"/>
      <w:r>
        <w:rPr>
          <w:rFonts w:hint="default" w:ascii="黑体" w:hAnsi="黑体" w:eastAsia="黑体"/>
          <w:snapToGrid w:val="0"/>
          <w:color w:val="auto"/>
          <w:sz w:val="32"/>
          <w:szCs w:val="32"/>
          <w:highlight w:val="none"/>
        </w:rPr>
        <w:t>附表</w:t>
      </w:r>
      <w:bookmarkEnd w:id="60"/>
      <w:bookmarkEnd w:id="61"/>
    </w:p>
    <w:p w14:paraId="37DACB52">
      <w:pPr>
        <w:pStyle w:val="29"/>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9"/>
        <w:rPr>
          <w:rFonts w:hint="default" w:ascii="Times New Roman" w:hAnsi="Times New Roman" w:eastAsia="宋体" w:cs="Times New Roman"/>
          <w:b/>
          <w:bCs/>
          <w:snapToGrid w:val="0"/>
          <w:color w:val="auto"/>
          <w:sz w:val="38"/>
          <w:szCs w:val="38"/>
        </w:rPr>
      </w:pPr>
      <w:r>
        <w:rPr>
          <w:rFonts w:hint="default" w:ascii="Times New Roman" w:hAnsi="Times New Roman" w:eastAsia="宋体" w:cs="Times New Roman"/>
          <w:b/>
          <w:bCs/>
          <w:snapToGrid w:val="0"/>
          <w:color w:val="auto"/>
          <w:sz w:val="38"/>
          <w:szCs w:val="38"/>
        </w:rPr>
        <w:t>建设项目污染物排放量汇总表</w:t>
      </w:r>
    </w:p>
    <w:tbl>
      <w:tblPr>
        <w:tblStyle w:val="33"/>
        <w:tblW w:w="139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2120"/>
        <w:gridCol w:w="1606"/>
        <w:gridCol w:w="1144"/>
        <w:gridCol w:w="1724"/>
        <w:gridCol w:w="1580"/>
        <w:gridCol w:w="1328"/>
        <w:gridCol w:w="1675"/>
        <w:gridCol w:w="1599"/>
      </w:tblGrid>
      <w:tr w14:paraId="3CFB08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tcBorders>
              <w:tl2br w:val="single" w:color="auto" w:sz="4" w:space="0"/>
            </w:tcBorders>
            <w:noWrap w:val="0"/>
            <w:tcMar>
              <w:left w:w="28" w:type="dxa"/>
              <w:right w:w="28" w:type="dxa"/>
            </w:tcMar>
            <w:vAlign w:val="center"/>
          </w:tcPr>
          <w:p w14:paraId="3488F3F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项目</w:t>
            </w:r>
          </w:p>
          <w:p w14:paraId="5F72745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分类</w:t>
            </w:r>
          </w:p>
        </w:tc>
        <w:tc>
          <w:tcPr>
            <w:tcW w:w="2120" w:type="dxa"/>
            <w:noWrap w:val="0"/>
            <w:tcMar>
              <w:left w:w="28" w:type="dxa"/>
              <w:right w:w="28" w:type="dxa"/>
            </w:tcMar>
            <w:vAlign w:val="center"/>
          </w:tcPr>
          <w:p w14:paraId="583AD5D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污染物名称</w:t>
            </w:r>
          </w:p>
        </w:tc>
        <w:tc>
          <w:tcPr>
            <w:tcW w:w="1606" w:type="dxa"/>
            <w:noWrap w:val="0"/>
            <w:tcMar>
              <w:left w:w="28" w:type="dxa"/>
              <w:right w:w="28" w:type="dxa"/>
            </w:tcMar>
            <w:vAlign w:val="center"/>
          </w:tcPr>
          <w:p w14:paraId="48A9894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D41CA0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①</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144" w:type="dxa"/>
            <w:noWrap w:val="0"/>
            <w:tcMar>
              <w:left w:w="28" w:type="dxa"/>
              <w:right w:w="28" w:type="dxa"/>
            </w:tcMar>
            <w:vAlign w:val="center"/>
          </w:tcPr>
          <w:p w14:paraId="7A68390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E48379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许可排放量</w:t>
            </w:r>
          </w:p>
          <w:p w14:paraId="6CD365A8">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snapToGrid w:val="0"/>
                <w:color w:val="auto"/>
                <w:spacing w:val="-6"/>
                <w:kern w:val="21"/>
                <w:sz w:val="21"/>
                <w:szCs w:val="21"/>
                <w:highlight w:val="none"/>
                <w:lang w:val="en-US" w:eastAsia="zh-CN" w:bidi="ar-SA"/>
              </w:rPr>
              <w:t>②</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724" w:type="dxa"/>
            <w:noWrap w:val="0"/>
            <w:tcMar>
              <w:left w:w="28" w:type="dxa"/>
              <w:right w:w="28" w:type="dxa"/>
            </w:tcMar>
            <w:vAlign w:val="center"/>
          </w:tcPr>
          <w:p w14:paraId="4118CD5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在建工程</w:t>
            </w:r>
          </w:p>
          <w:p w14:paraId="568B22B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③</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580" w:type="dxa"/>
            <w:noWrap w:val="0"/>
            <w:tcMar>
              <w:left w:w="28" w:type="dxa"/>
              <w:right w:w="28" w:type="dxa"/>
            </w:tcMar>
            <w:vAlign w:val="center"/>
          </w:tcPr>
          <w:p w14:paraId="4A860CE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本项目</w:t>
            </w:r>
          </w:p>
          <w:p w14:paraId="7ADDE7B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④</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328" w:type="dxa"/>
            <w:noWrap w:val="0"/>
            <w:tcMar>
              <w:left w:w="28" w:type="dxa"/>
              <w:right w:w="28" w:type="dxa"/>
            </w:tcMar>
            <w:vAlign w:val="center"/>
          </w:tcPr>
          <w:p w14:paraId="528F09A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以新带老削减量</w:t>
            </w:r>
          </w:p>
          <w:p w14:paraId="6EE7E6D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（新建项目不填）</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⑤</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675" w:type="dxa"/>
            <w:noWrap w:val="0"/>
            <w:tcMar>
              <w:left w:w="28" w:type="dxa"/>
              <w:right w:w="28" w:type="dxa"/>
            </w:tcMar>
            <w:vAlign w:val="center"/>
          </w:tcPr>
          <w:p w14:paraId="52035CA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本项目建成后</w:t>
            </w:r>
          </w:p>
          <w:p w14:paraId="732EBD2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全厂排放量（固体废物产生量）</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⑥</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599" w:type="dxa"/>
            <w:noWrap w:val="0"/>
            <w:tcMar>
              <w:left w:w="28" w:type="dxa"/>
              <w:right w:w="28" w:type="dxa"/>
            </w:tcMar>
            <w:vAlign w:val="center"/>
          </w:tcPr>
          <w:p w14:paraId="05B2508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变化量</w:t>
            </w:r>
          </w:p>
          <w:p w14:paraId="4612735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⑦</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r>
      <w:tr w14:paraId="3328C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6136017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废气</w:t>
            </w:r>
          </w:p>
        </w:tc>
        <w:tc>
          <w:tcPr>
            <w:tcW w:w="2120" w:type="dxa"/>
            <w:shd w:val="clear" w:color="auto" w:fill="auto"/>
            <w:noWrap w:val="0"/>
            <w:vAlign w:val="center"/>
          </w:tcPr>
          <w:p w14:paraId="01A591D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二甲苯</w:t>
            </w:r>
          </w:p>
        </w:tc>
        <w:tc>
          <w:tcPr>
            <w:tcW w:w="1606" w:type="dxa"/>
            <w:shd w:val="clear" w:color="auto" w:fill="auto"/>
            <w:noWrap w:val="0"/>
            <w:vAlign w:val="center"/>
          </w:tcPr>
          <w:p w14:paraId="49904C2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p>
        </w:tc>
        <w:tc>
          <w:tcPr>
            <w:tcW w:w="1144" w:type="dxa"/>
            <w:shd w:val="clear" w:color="auto" w:fill="auto"/>
            <w:noWrap w:val="0"/>
            <w:vAlign w:val="center"/>
          </w:tcPr>
          <w:p w14:paraId="7C5999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15D019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2A5E19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328" w:type="dxa"/>
            <w:shd w:val="clear" w:color="auto" w:fill="auto"/>
            <w:noWrap w:val="0"/>
            <w:vAlign w:val="center"/>
          </w:tcPr>
          <w:p w14:paraId="71A3360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079851C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599" w:type="dxa"/>
            <w:shd w:val="clear" w:color="auto" w:fill="auto"/>
            <w:noWrap w:val="0"/>
            <w:vAlign w:val="center"/>
          </w:tcPr>
          <w:p w14:paraId="60A4D5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+0.052</w:t>
            </w:r>
            <w:r>
              <w:rPr>
                <w:rFonts w:hint="default" w:ascii="Times New Roman" w:hAnsi="Times New Roman" w:eastAsia="宋体" w:cs="Times New Roman"/>
                <w:i w:val="0"/>
                <w:iCs w:val="0"/>
                <w:color w:val="auto"/>
                <w:kern w:val="0"/>
                <w:sz w:val="21"/>
                <w:szCs w:val="21"/>
                <w:highlight w:val="none"/>
                <w:u w:val="none"/>
                <w:lang w:val="en-US" w:eastAsia="zh-CN" w:bidi="ar"/>
              </w:rPr>
              <w:t>t/a</w:t>
            </w:r>
          </w:p>
        </w:tc>
      </w:tr>
      <w:tr w14:paraId="5108C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18FE01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3F4223D5">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606" w:type="dxa"/>
            <w:shd w:val="clear" w:color="auto" w:fill="auto"/>
            <w:noWrap w:val="0"/>
            <w:vAlign w:val="center"/>
          </w:tcPr>
          <w:p w14:paraId="6E488C5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p>
        </w:tc>
        <w:tc>
          <w:tcPr>
            <w:tcW w:w="1144" w:type="dxa"/>
            <w:shd w:val="clear" w:color="auto" w:fill="auto"/>
            <w:noWrap w:val="0"/>
            <w:vAlign w:val="center"/>
          </w:tcPr>
          <w:p w14:paraId="6E5DE6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5671F0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18CFC9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328" w:type="dxa"/>
            <w:shd w:val="clear" w:color="auto" w:fill="auto"/>
            <w:noWrap w:val="0"/>
            <w:vAlign w:val="center"/>
          </w:tcPr>
          <w:p w14:paraId="25F8818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45ACEB1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599" w:type="dxa"/>
            <w:shd w:val="clear" w:color="auto" w:fill="auto"/>
            <w:noWrap w:val="0"/>
            <w:vAlign w:val="center"/>
          </w:tcPr>
          <w:p w14:paraId="155039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0.288</w:t>
            </w:r>
            <w:r>
              <w:rPr>
                <w:rFonts w:hint="default" w:ascii="Times New Roman" w:hAnsi="Times New Roman" w:eastAsia="宋体" w:cs="Times New Roman"/>
                <w:i w:val="0"/>
                <w:iCs w:val="0"/>
                <w:color w:val="auto"/>
                <w:kern w:val="0"/>
                <w:sz w:val="21"/>
                <w:szCs w:val="21"/>
                <w:highlight w:val="none"/>
                <w:u w:val="none"/>
                <w:lang w:val="en-US" w:eastAsia="zh-CN" w:bidi="ar"/>
              </w:rPr>
              <w:t>t/a</w:t>
            </w:r>
          </w:p>
        </w:tc>
      </w:tr>
      <w:tr w14:paraId="62667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D3954F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53C35DFD">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606" w:type="dxa"/>
            <w:shd w:val="clear" w:color="auto" w:fill="auto"/>
            <w:noWrap w:val="0"/>
            <w:vAlign w:val="center"/>
          </w:tcPr>
          <w:p w14:paraId="5D9CCB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144" w:type="dxa"/>
            <w:shd w:val="clear" w:color="auto" w:fill="auto"/>
            <w:noWrap w:val="0"/>
            <w:vAlign w:val="center"/>
          </w:tcPr>
          <w:p w14:paraId="328F8D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157F24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13A49B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328" w:type="dxa"/>
            <w:shd w:val="clear" w:color="auto" w:fill="auto"/>
            <w:noWrap w:val="0"/>
            <w:vAlign w:val="center"/>
          </w:tcPr>
          <w:p w14:paraId="3C0195A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454F04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599" w:type="dxa"/>
            <w:shd w:val="clear" w:color="auto" w:fill="auto"/>
            <w:noWrap w:val="0"/>
            <w:vAlign w:val="center"/>
          </w:tcPr>
          <w:p w14:paraId="39788F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1C080F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81CEC3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3195F219">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1606" w:type="dxa"/>
            <w:shd w:val="clear" w:color="auto" w:fill="auto"/>
            <w:noWrap w:val="0"/>
            <w:vAlign w:val="center"/>
          </w:tcPr>
          <w:p w14:paraId="595BDB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0.0509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488D62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647AD1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72AA20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0.0198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76AF5A2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0311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675" w:type="dxa"/>
            <w:shd w:val="clear" w:color="auto" w:fill="auto"/>
            <w:noWrap w:val="0"/>
            <w:vAlign w:val="center"/>
          </w:tcPr>
          <w:p w14:paraId="367917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0.0198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666824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0311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584D5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107DA57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废水</w:t>
            </w:r>
          </w:p>
        </w:tc>
        <w:tc>
          <w:tcPr>
            <w:tcW w:w="2120" w:type="dxa"/>
            <w:shd w:val="clear" w:color="auto" w:fill="auto"/>
            <w:noWrap w:val="0"/>
            <w:vAlign w:val="center"/>
          </w:tcPr>
          <w:p w14:paraId="2BC7C41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1606" w:type="dxa"/>
            <w:shd w:val="clear" w:color="auto" w:fill="auto"/>
            <w:noWrap w:val="0"/>
            <w:vAlign w:val="center"/>
          </w:tcPr>
          <w:p w14:paraId="6F9F50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1A5746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724" w:type="dxa"/>
            <w:shd w:val="clear" w:color="auto" w:fill="auto"/>
            <w:noWrap w:val="0"/>
            <w:vAlign w:val="center"/>
          </w:tcPr>
          <w:p w14:paraId="7BD55C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1A34BA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0.939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794D96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0.861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675" w:type="dxa"/>
            <w:shd w:val="clear" w:color="auto" w:fill="auto"/>
            <w:noWrap w:val="0"/>
            <w:vAlign w:val="center"/>
          </w:tcPr>
          <w:p w14:paraId="0C0DDF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0.939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43A12E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cs="Times New Roman"/>
                <w:i w:val="0"/>
                <w:iCs w:val="0"/>
                <w:color w:val="auto"/>
                <w:kern w:val="0"/>
                <w:sz w:val="21"/>
                <w:szCs w:val="21"/>
                <w:highlight w:val="none"/>
                <w:u w:val="none"/>
                <w:lang w:val="en-US" w:eastAsia="zh-CN" w:bidi="ar"/>
              </w:rPr>
              <w:t>0.861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4807B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477A36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5B7F68F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1606" w:type="dxa"/>
            <w:shd w:val="clear" w:color="auto" w:fill="auto"/>
            <w:noWrap w:val="0"/>
            <w:vAlign w:val="center"/>
          </w:tcPr>
          <w:p w14:paraId="0AC335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4E5FDA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724" w:type="dxa"/>
            <w:shd w:val="clear" w:color="auto" w:fill="auto"/>
            <w:noWrap w:val="0"/>
            <w:vAlign w:val="center"/>
          </w:tcPr>
          <w:p w14:paraId="3CCEEB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64C5CD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41AF32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675" w:type="dxa"/>
            <w:shd w:val="clear" w:color="auto" w:fill="auto"/>
            <w:noWrap w:val="0"/>
            <w:vAlign w:val="center"/>
          </w:tcPr>
          <w:p w14:paraId="187862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03E967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cs="Times New Roman"/>
                <w:i w:val="0"/>
                <w:iCs w:val="0"/>
                <w:color w:val="auto"/>
                <w:kern w:val="0"/>
                <w:sz w:val="21"/>
                <w:szCs w:val="21"/>
                <w:highlight w:val="none"/>
                <w:u w:val="none"/>
                <w:lang w:val="en-US" w:eastAsia="zh-CN" w:bidi="ar"/>
              </w:rPr>
              <w:t>0.132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DE61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4DB5868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6BBDA60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2120" w:type="dxa"/>
            <w:shd w:val="clear" w:color="auto" w:fill="auto"/>
            <w:noWrap w:val="0"/>
            <w:vAlign w:val="center"/>
          </w:tcPr>
          <w:p w14:paraId="2D9D8576">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沉降金属粉尘</w:t>
            </w:r>
          </w:p>
        </w:tc>
        <w:tc>
          <w:tcPr>
            <w:tcW w:w="1606" w:type="dxa"/>
            <w:shd w:val="clear" w:color="auto" w:fill="auto"/>
            <w:noWrap w:val="0"/>
            <w:vAlign w:val="center"/>
          </w:tcPr>
          <w:p w14:paraId="53C4C74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2.9t/a</w:t>
            </w:r>
          </w:p>
        </w:tc>
        <w:tc>
          <w:tcPr>
            <w:tcW w:w="1144" w:type="dxa"/>
            <w:shd w:val="clear" w:color="auto" w:fill="auto"/>
            <w:noWrap w:val="0"/>
            <w:vAlign w:val="center"/>
          </w:tcPr>
          <w:p w14:paraId="138FE4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298427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1CB0DD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1C5D6999">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5DE5D4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1D73CC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5ABE8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FE60B0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11576E06">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废边角料</w:t>
            </w:r>
          </w:p>
        </w:tc>
        <w:tc>
          <w:tcPr>
            <w:tcW w:w="1606" w:type="dxa"/>
            <w:shd w:val="clear" w:color="auto" w:fill="auto"/>
            <w:noWrap w:val="0"/>
            <w:vAlign w:val="center"/>
          </w:tcPr>
          <w:p w14:paraId="4517CE3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1144" w:type="dxa"/>
            <w:shd w:val="clear" w:color="auto" w:fill="auto"/>
            <w:noWrap w:val="0"/>
            <w:vAlign w:val="center"/>
          </w:tcPr>
          <w:p w14:paraId="741BA6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6289DA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521D89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70643B9B">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13F2CD8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050D1C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+10.3t/a</w:t>
            </w:r>
          </w:p>
        </w:tc>
      </w:tr>
      <w:tr w14:paraId="316D1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7CCFBB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514D8273">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1606" w:type="dxa"/>
            <w:shd w:val="clear" w:color="auto" w:fill="auto"/>
            <w:noWrap w:val="0"/>
            <w:vAlign w:val="center"/>
          </w:tcPr>
          <w:p w14:paraId="403B6F8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1144" w:type="dxa"/>
            <w:shd w:val="clear" w:color="auto" w:fill="auto"/>
            <w:noWrap w:val="0"/>
            <w:vAlign w:val="center"/>
          </w:tcPr>
          <w:p w14:paraId="7DA3B9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669B52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722979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27393E2A">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675" w:type="dxa"/>
            <w:shd w:val="clear" w:color="auto" w:fill="auto"/>
            <w:noWrap w:val="0"/>
            <w:vAlign w:val="center"/>
          </w:tcPr>
          <w:p w14:paraId="16547C5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607EE5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76E92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D2A677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shd w:val="clear" w:color="auto" w:fill="auto"/>
            <w:noWrap w:val="0"/>
            <w:vAlign w:val="center"/>
          </w:tcPr>
          <w:p w14:paraId="489F305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1606" w:type="dxa"/>
            <w:shd w:val="clear" w:color="auto" w:fill="auto"/>
            <w:noWrap w:val="0"/>
            <w:vAlign w:val="center"/>
          </w:tcPr>
          <w:p w14:paraId="5DFBFD6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0BC429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0898CC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76F208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108BA8F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20095C9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368579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eastAsia"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5A94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7FF9DAD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危险废物</w:t>
            </w:r>
          </w:p>
        </w:tc>
        <w:tc>
          <w:tcPr>
            <w:tcW w:w="2120" w:type="dxa"/>
            <w:shd w:val="clear" w:color="auto" w:fill="auto"/>
            <w:noWrap w:val="0"/>
            <w:vAlign w:val="center"/>
          </w:tcPr>
          <w:p w14:paraId="1E7D16D8">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油泥</w:t>
            </w:r>
          </w:p>
        </w:tc>
        <w:tc>
          <w:tcPr>
            <w:tcW w:w="1606" w:type="dxa"/>
            <w:shd w:val="clear" w:color="auto" w:fill="auto"/>
            <w:noWrap w:val="0"/>
            <w:vAlign w:val="center"/>
          </w:tcPr>
          <w:p w14:paraId="4CCD945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62AE3D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6CAB0A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01DE71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726CF842">
            <w:pPr>
              <w:jc w:val="center"/>
              <w:rPr>
                <w:rFonts w:hint="default" w:ascii="Times New Roman" w:hAnsi="Times New Roman" w:eastAsia="宋体" w:cs="Times New Roman"/>
                <w:color w:val="auto"/>
                <w:kern w:val="2"/>
                <w:sz w:val="21"/>
                <w:szCs w:val="21"/>
                <w:highlight w:val="none"/>
                <w:lang w:val="en-US" w:eastAsia="zh-CN" w:bidi="ar-SA"/>
              </w:rPr>
            </w:pPr>
          </w:p>
        </w:tc>
        <w:tc>
          <w:tcPr>
            <w:tcW w:w="1675" w:type="dxa"/>
            <w:shd w:val="clear" w:color="auto" w:fill="auto"/>
            <w:noWrap w:val="0"/>
            <w:vAlign w:val="center"/>
          </w:tcPr>
          <w:p w14:paraId="69042CC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4C994A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350816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3F8B830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shd w:val="clear" w:color="auto" w:fill="auto"/>
            <w:noWrap w:val="0"/>
            <w:vAlign w:val="center"/>
          </w:tcPr>
          <w:p w14:paraId="6770F736">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废切削液</w:t>
            </w:r>
          </w:p>
        </w:tc>
        <w:tc>
          <w:tcPr>
            <w:tcW w:w="1606" w:type="dxa"/>
            <w:shd w:val="clear" w:color="auto" w:fill="auto"/>
            <w:noWrap w:val="0"/>
            <w:vAlign w:val="center"/>
          </w:tcPr>
          <w:p w14:paraId="0F5B85A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4.0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7461ED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30A749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6150F0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1BF8C29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6FCD572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710798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420D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6C3A8C7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shd w:val="clear" w:color="auto" w:fill="auto"/>
            <w:noWrap w:val="0"/>
            <w:vAlign w:val="center"/>
          </w:tcPr>
          <w:p w14:paraId="74EC9718">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废机油</w:t>
            </w:r>
          </w:p>
        </w:tc>
        <w:tc>
          <w:tcPr>
            <w:tcW w:w="1606" w:type="dxa"/>
            <w:shd w:val="clear" w:color="auto" w:fill="auto"/>
            <w:noWrap w:val="0"/>
            <w:vAlign w:val="center"/>
          </w:tcPr>
          <w:p w14:paraId="17E625C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2.4</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shd w:val="clear" w:color="auto" w:fill="auto"/>
            <w:noWrap w:val="0"/>
            <w:vAlign w:val="center"/>
          </w:tcPr>
          <w:p w14:paraId="635E62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0ABF21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5D5AF1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448ACB61">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76846A3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7D0272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2E09A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D853C6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shd w:val="clear" w:color="auto" w:fill="auto"/>
            <w:noWrap w:val="0"/>
            <w:vAlign w:val="center"/>
          </w:tcPr>
          <w:p w14:paraId="66E1A64B">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废机油桶</w:t>
            </w:r>
          </w:p>
        </w:tc>
        <w:tc>
          <w:tcPr>
            <w:tcW w:w="1606" w:type="dxa"/>
            <w:shd w:val="clear" w:color="auto" w:fill="auto"/>
            <w:noWrap w:val="0"/>
            <w:vAlign w:val="center"/>
          </w:tcPr>
          <w:p w14:paraId="2CE6DFA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1144" w:type="dxa"/>
            <w:shd w:val="clear" w:color="auto" w:fill="auto"/>
            <w:noWrap w:val="0"/>
            <w:vAlign w:val="center"/>
          </w:tcPr>
          <w:p w14:paraId="0DE604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0B9664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4DBC45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shd w:val="clear" w:color="auto" w:fill="auto"/>
            <w:noWrap w:val="0"/>
            <w:vAlign w:val="center"/>
          </w:tcPr>
          <w:p w14:paraId="19C8BF98">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06CD093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32B050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3D98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200EB3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shd w:val="clear" w:color="auto" w:fill="auto"/>
            <w:noWrap w:val="0"/>
            <w:vAlign w:val="center"/>
          </w:tcPr>
          <w:p w14:paraId="1E76F918">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其它废包装桶</w:t>
            </w:r>
          </w:p>
        </w:tc>
        <w:tc>
          <w:tcPr>
            <w:tcW w:w="1606" w:type="dxa"/>
            <w:shd w:val="clear" w:color="auto" w:fill="auto"/>
            <w:noWrap w:val="0"/>
            <w:vAlign w:val="center"/>
          </w:tcPr>
          <w:p w14:paraId="35D8251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1144" w:type="dxa"/>
            <w:shd w:val="clear" w:color="auto" w:fill="auto"/>
            <w:noWrap w:val="0"/>
            <w:vAlign w:val="center"/>
          </w:tcPr>
          <w:p w14:paraId="0BF199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7A101C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3317F2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0" w:type="auto"/>
            <w:shd w:val="clear" w:color="auto" w:fill="auto"/>
            <w:noWrap w:val="0"/>
            <w:vAlign w:val="center"/>
          </w:tcPr>
          <w:p w14:paraId="6FAEB298">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56DE5FA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115563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0.128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8B727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2CD1902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shd w:val="clear" w:color="auto" w:fill="auto"/>
            <w:noWrap w:val="0"/>
            <w:vAlign w:val="center"/>
          </w:tcPr>
          <w:p w14:paraId="197964B6">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漆渣</w:t>
            </w:r>
          </w:p>
        </w:tc>
        <w:tc>
          <w:tcPr>
            <w:tcW w:w="1606" w:type="dxa"/>
            <w:shd w:val="clear" w:color="auto" w:fill="auto"/>
            <w:noWrap w:val="0"/>
            <w:vAlign w:val="center"/>
          </w:tcPr>
          <w:p w14:paraId="03D5058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p>
        </w:tc>
        <w:tc>
          <w:tcPr>
            <w:tcW w:w="1144" w:type="dxa"/>
            <w:shd w:val="clear" w:color="auto" w:fill="auto"/>
            <w:noWrap w:val="0"/>
            <w:vAlign w:val="center"/>
          </w:tcPr>
          <w:p w14:paraId="6E6F0F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24" w:type="dxa"/>
            <w:shd w:val="clear" w:color="auto" w:fill="auto"/>
            <w:noWrap w:val="0"/>
            <w:vAlign w:val="center"/>
          </w:tcPr>
          <w:p w14:paraId="36B0C1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580" w:type="dxa"/>
            <w:shd w:val="clear" w:color="auto" w:fill="auto"/>
            <w:noWrap w:val="0"/>
            <w:vAlign w:val="center"/>
          </w:tcPr>
          <w:p w14:paraId="175508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0" w:type="auto"/>
            <w:shd w:val="clear" w:color="auto" w:fill="auto"/>
            <w:noWrap w:val="0"/>
            <w:vAlign w:val="center"/>
          </w:tcPr>
          <w:p w14:paraId="62EFFCCA">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1675" w:type="dxa"/>
            <w:shd w:val="clear" w:color="auto" w:fill="auto"/>
            <w:noWrap w:val="0"/>
            <w:vAlign w:val="center"/>
          </w:tcPr>
          <w:p w14:paraId="23A110C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shd w:val="clear" w:color="auto" w:fill="auto"/>
            <w:noWrap w:val="0"/>
            <w:vAlign w:val="center"/>
          </w:tcPr>
          <w:p w14:paraId="77F702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0D2F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tcPr>
          <w:p w14:paraId="7F44102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shd w:val="clear" w:color="auto" w:fill="auto"/>
            <w:vAlign w:val="center"/>
          </w:tcPr>
          <w:p w14:paraId="04D753D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i w:val="0"/>
                <w:iCs w:val="0"/>
                <w:color w:val="auto"/>
                <w:kern w:val="0"/>
                <w:sz w:val="21"/>
                <w:szCs w:val="21"/>
                <w:u w:val="none"/>
                <w:lang w:val="en-US" w:eastAsia="zh-CN" w:bidi="ar"/>
              </w:rPr>
              <w:t>废活性炭</w:t>
            </w:r>
          </w:p>
        </w:tc>
        <w:tc>
          <w:tcPr>
            <w:tcW w:w="0" w:type="auto"/>
            <w:shd w:val="clear" w:color="auto" w:fill="auto"/>
            <w:vAlign w:val="center"/>
          </w:tcPr>
          <w:p w14:paraId="59C126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0" w:type="auto"/>
            <w:shd w:val="clear" w:color="auto" w:fill="auto"/>
            <w:vAlign w:val="center"/>
          </w:tcPr>
          <w:p w14:paraId="6CFD59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0" w:type="auto"/>
            <w:shd w:val="clear" w:color="auto" w:fill="auto"/>
            <w:vAlign w:val="center"/>
          </w:tcPr>
          <w:p w14:paraId="062914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0" w:type="auto"/>
            <w:shd w:val="clear" w:color="auto" w:fill="auto"/>
            <w:vAlign w:val="center"/>
          </w:tcPr>
          <w:p w14:paraId="29DAD7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0" w:type="auto"/>
            <w:shd w:val="clear" w:color="auto" w:fill="auto"/>
            <w:vAlign w:val="center"/>
          </w:tcPr>
          <w:p w14:paraId="1FE032DA">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0" w:type="auto"/>
            <w:shd w:val="clear" w:color="auto" w:fill="auto"/>
            <w:vAlign w:val="center"/>
          </w:tcPr>
          <w:p w14:paraId="1A1B36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0" w:type="auto"/>
            <w:shd w:val="clear" w:color="auto" w:fill="auto"/>
            <w:vAlign w:val="center"/>
          </w:tcPr>
          <w:p w14:paraId="1EA60E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1.731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AE6C2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tcPr>
          <w:p w14:paraId="492FA07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shd w:val="clear" w:color="auto" w:fill="auto"/>
            <w:vAlign w:val="center"/>
          </w:tcPr>
          <w:p w14:paraId="75970E17">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超声波介质用水</w:t>
            </w:r>
          </w:p>
        </w:tc>
        <w:tc>
          <w:tcPr>
            <w:tcW w:w="0" w:type="auto"/>
            <w:shd w:val="clear" w:color="auto" w:fill="auto"/>
            <w:vAlign w:val="center"/>
          </w:tcPr>
          <w:p w14:paraId="286702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20t/a</w:t>
            </w:r>
          </w:p>
        </w:tc>
        <w:tc>
          <w:tcPr>
            <w:tcW w:w="0" w:type="auto"/>
            <w:shd w:val="clear" w:color="auto" w:fill="auto"/>
            <w:vAlign w:val="center"/>
          </w:tcPr>
          <w:p w14:paraId="7D2E7D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0" w:type="auto"/>
            <w:shd w:val="clear" w:color="auto" w:fill="auto"/>
            <w:vAlign w:val="center"/>
          </w:tcPr>
          <w:p w14:paraId="6DA90C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0" w:type="auto"/>
            <w:shd w:val="clear" w:color="auto" w:fill="auto"/>
            <w:vAlign w:val="center"/>
          </w:tcPr>
          <w:p w14:paraId="0D2CB1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0" w:type="auto"/>
            <w:shd w:val="clear" w:color="auto" w:fill="auto"/>
            <w:vAlign w:val="center"/>
          </w:tcPr>
          <w:p w14:paraId="3C51B43E">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0" w:type="auto"/>
            <w:shd w:val="clear" w:color="auto" w:fill="auto"/>
            <w:vAlign w:val="center"/>
          </w:tcPr>
          <w:p w14:paraId="495CE4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w:t>
            </w:r>
          </w:p>
        </w:tc>
        <w:tc>
          <w:tcPr>
            <w:tcW w:w="0" w:type="auto"/>
            <w:shd w:val="clear" w:color="auto" w:fill="auto"/>
            <w:vAlign w:val="center"/>
          </w:tcPr>
          <w:p w14:paraId="3379A8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t>20t/a</w:t>
            </w:r>
          </w:p>
        </w:tc>
      </w:tr>
    </w:tbl>
    <w:p w14:paraId="53B2C626">
      <w:pPr>
        <w:pStyle w:val="67"/>
        <w:spacing w:before="192" w:beforeLines="80" w:after="24"/>
        <w:jc w:val="left"/>
        <w:rPr>
          <w:rFonts w:hint="default" w:ascii="Times New Roman" w:hAnsi="Times New Roman" w:eastAsia="宋体" w:cs="Times New Roman"/>
          <w:snapToGrid w:val="0"/>
          <w:color w:val="auto"/>
          <w:spacing w:val="-6"/>
          <w:kern w:val="21"/>
          <w:sz w:val="21"/>
          <w:szCs w:val="22"/>
        </w:rPr>
      </w:pPr>
      <w:r>
        <w:rPr>
          <w:rFonts w:hint="default" w:ascii="Times New Roman" w:hAnsi="Times New Roman" w:eastAsia="宋体" w:cs="Times New Roman"/>
          <w:snapToGrid w:val="0"/>
          <w:color w:val="auto"/>
          <w:kern w:val="21"/>
          <w:sz w:val="21"/>
          <w:szCs w:val="22"/>
        </w:rPr>
        <w:t>注：</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3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③</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4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④</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5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⑤</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7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⑦</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p>
    <w:p w14:paraId="515D3C78">
      <w:pPr>
        <w:rPr>
          <w:color w:val="auto"/>
        </w:rPr>
      </w:pPr>
    </w:p>
    <w:sectPr>
      <w:footerReference r:id="rId7"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8"/>
    <w:family w:val="decorative"/>
    <w:pitch w:val="default"/>
    <w:sig w:usb0="00000000" w:usb1="00000000" w:usb2="00000009" w:usb3="00000000" w:csb0="400001FF" w:csb1="FFFF0000"/>
  </w:font>
  <w:font w:name="宋体">
    <w:altName w:val="方正书宋_GBK"/>
    <w:panose1 w:val="02010600030101010101"/>
    <w:charset w:val="81"/>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康简宋">
    <w:altName w:val="方正书宋_GBK"/>
    <w:panose1 w:val="00000000000000000000"/>
    <w:charset w:val="86"/>
    <w:family w:val="modern"/>
    <w:pitch w:val="default"/>
    <w:sig w:usb0="00000000" w:usb1="00000000" w:usb2="00000010" w:usb3="00000000" w:csb0="00040000" w:csb1="00000000"/>
  </w:font>
  <w:font w:name="Arial Unicode MS">
    <w:altName w:val="DejaVu Sans"/>
    <w:panose1 w:val="020B0604020202020204"/>
    <w:charset w:val="86"/>
    <w:family w:val="auto"/>
    <w:pitch w:val="default"/>
    <w:sig w:usb0="00000000" w:usb1="00000000" w:usb2="0000003F" w:usb3="00000000" w:csb0="603F01FF" w:csb1="FFFF0000"/>
  </w:font>
  <w:font w:name="MingLiU">
    <w:altName w:val="方正书宋_GBK"/>
    <w:panose1 w:val="02020509000000000000"/>
    <w:charset w:val="88"/>
    <w:family w:val="auto"/>
    <w:pitch w:val="default"/>
    <w:sig w:usb0="00000000" w:usb1="00000000" w:usb2="00000016" w:usb3="00000000" w:csb0="00100001" w:csb1="00000000"/>
  </w:font>
  <w:font w:name="Century Gothic">
    <w:altName w:val="FreeSans"/>
    <w:panose1 w:val="020B0502020202020204"/>
    <w:charset w:val="00"/>
    <w:family w:val="swiss"/>
    <w:pitch w:val="default"/>
    <w:sig w:usb0="00000000" w:usb1="00000000" w:usb2="00000000" w:usb3="00000000" w:csb0="2000009F" w:csb1="DFD70000"/>
  </w:font>
  <w:font w:name="FreeSans">
    <w:panose1 w:val="020B0504020202020204"/>
    <w:charset w:val="00"/>
    <w:family w:val="auto"/>
    <w:pitch w:val="default"/>
    <w:sig w:usb0="E4839EFF" w:usb1="4600FDFF" w:usb2="000030A0" w:usb3="00000584" w:csb0="600001BF" w:csb1="DFF70000"/>
  </w:font>
  <w:font w:name="LiHei Pro">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Helvetica">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ECF83">
    <w:pPr>
      <w:pStyle w:val="2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591CF">
    <w:pPr>
      <w:pStyle w:val="23"/>
      <w:framePr w:wrap="around" w:vAnchor="text" w:hAnchor="margin" w:xAlign="center" w:y="1"/>
      <w:rPr>
        <w:rStyle w:val="37"/>
      </w:rPr>
    </w:pPr>
    <w:r>
      <w:fldChar w:fldCharType="begin"/>
    </w:r>
    <w:r>
      <w:rPr>
        <w:rStyle w:val="37"/>
      </w:rPr>
      <w:instrText xml:space="preserve">PAGE  </w:instrText>
    </w:r>
    <w:r>
      <w:fldChar w:fldCharType="end"/>
    </w:r>
  </w:p>
  <w:p w14:paraId="17BCD2E3">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53AC5">
    <w:pPr>
      <w:pStyle w:val="2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5525D">
    <w:pPr>
      <w:pStyle w:val="2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posOffset>2761615</wp:posOffset>
              </wp:positionH>
              <wp:positionV relativeFrom="paragraph">
                <wp:posOffset>4445</wp:posOffset>
              </wp:positionV>
              <wp:extent cx="201295" cy="1828800"/>
              <wp:effectExtent l="0" t="0" r="0" b="0"/>
              <wp:wrapNone/>
              <wp:docPr id="21" name="文本框 2049"/>
              <wp:cNvGraphicFramePr/>
              <a:graphic xmlns:a="http://schemas.openxmlformats.org/drawingml/2006/main">
                <a:graphicData uri="http://schemas.microsoft.com/office/word/2010/wordprocessingShape">
                  <wps:wsp>
                    <wps:cNvSpPr txBox="1"/>
                    <wps:spPr>
                      <a:xfrm>
                        <a:off x="0" y="0"/>
                        <a:ext cx="201295" cy="1828800"/>
                      </a:xfrm>
                      <a:prstGeom prst="rect">
                        <a:avLst/>
                      </a:prstGeom>
                      <a:noFill/>
                      <a:ln>
                        <a:noFill/>
                      </a:ln>
                    </wps:spPr>
                    <wps:txbx>
                      <w:txbxContent>
                        <w:p w14:paraId="420CDB8E">
                          <w:pPr>
                            <w:pStyle w:val="23"/>
                          </w:pPr>
                          <w:r>
                            <w:fldChar w:fldCharType="begin"/>
                          </w:r>
                          <w:r>
                            <w:instrText xml:space="preserve"> PAGE  \* MERGEFORMAT </w:instrText>
                          </w:r>
                          <w:r>
                            <w:fldChar w:fldCharType="separate"/>
                          </w:r>
                          <w:r>
                            <w:t>4</w:t>
                          </w:r>
                          <w:r>
                            <w:fldChar w:fldCharType="end"/>
                          </w:r>
                        </w:p>
                      </w:txbxContent>
                    </wps:txbx>
                    <wps:bodyPr vert="horz" wrap="square" lIns="0" tIns="0" rIns="0" bIns="0" anchor="t" anchorCtr="0" upright="0">
                      <a:spAutoFit/>
                    </wps:bodyPr>
                  </wps:wsp>
                </a:graphicData>
              </a:graphic>
            </wp:anchor>
          </w:drawing>
        </mc:Choice>
        <mc:Fallback>
          <w:pict>
            <v:shape id="文本框 2049" o:spid="_x0000_s1026" o:spt="202" type="#_x0000_t202" style="position:absolute;left:0pt;margin-left:217.45pt;margin-top:0.35pt;height:144pt;width:15.85pt;mso-position-horizontal-relative:margin;z-index:251659264;mso-width-relative:page;mso-height-relative:page;" filled="f" stroked="f" coordsize="21600,21600" o:gfxdata="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tp/PNYA&#10;AAAIAQAADwAAAAAAAAABACAAAAAiAAAAZHJzL2Rvd25yZXYueG1sUEsBAhQAFAAAAAgAh07iQOJn&#10;4SXoAQAAwwMAAA4AAAAAAAAAAQAgAAAAJQEAAGRycy9lMm9Eb2MueG1sUEsFBgAAAAAGAAYAWQEA&#10;AH8FAAAAAA==&#10;">
              <v:fill on="f" focussize="0,0"/>
              <v:stroke on="f"/>
              <v:imagedata o:title=""/>
              <o:lock v:ext="edit" aspectratio="f"/>
              <v:textbox inset="0mm,0mm,0mm,0mm" style="mso-fit-shape-to-text:t;">
                <w:txbxContent>
                  <w:p w14:paraId="420CDB8E">
                    <w:pPr>
                      <w:pStyle w:val="2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9AA55">
    <w:pPr>
      <w:pStyle w:val="2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D45330">
                          <w:pPr>
                            <w:pStyle w:val="23"/>
                          </w:pPr>
                          <w:r>
                            <w:fldChar w:fldCharType="begin"/>
                          </w:r>
                          <w:r>
                            <w:instrText xml:space="preserve"> PAGE  \* MERGEFORMAT </w:instrText>
                          </w:r>
                          <w:r>
                            <w:fldChar w:fldCharType="separate"/>
                          </w:r>
                          <w:r>
                            <w:t>41</w:t>
                          </w:r>
                          <w:r>
                            <w:fldChar w:fldCharType="end"/>
                          </w:r>
                        </w:p>
                      </w:txbxContent>
                    </wps:txbx>
                    <wps:bodyPr vert="horz" wrap="none" lIns="0" tIns="0" rIns="0" bIns="0" anchor="t" anchorCtr="0" upright="0">
                      <a:spAutoFit/>
                    </wps:bodyPr>
                  </wps:wsp>
                </a:graphicData>
              </a:graphic>
            </wp:anchor>
          </w:drawing>
        </mc:Choice>
        <mc:Fallback>
          <w:pict>
            <v:shape id="文本框 205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fgiJP4QEAAMIDAAAOAAAA&#10;AAAAAAEAIAAAAB4BAABkcnMvZTJvRG9jLnhtbFBLBQYAAAAABgAGAFkBAABxBQAAAAA=&#10;">
              <v:fill on="f" focussize="0,0"/>
              <v:stroke on="f"/>
              <v:imagedata o:title=""/>
              <o:lock v:ext="edit" aspectratio="f"/>
              <v:textbox inset="0mm,0mm,0mm,0mm" style="mso-fit-shape-to-text:t;">
                <w:txbxContent>
                  <w:p w14:paraId="37D45330">
                    <w:pPr>
                      <w:pStyle w:val="2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6E4512"/>
    <w:multiLevelType w:val="singleLevel"/>
    <w:tmpl w:val="9D6E4512"/>
    <w:lvl w:ilvl="0" w:tentative="0">
      <w:start w:val="1"/>
      <w:numFmt w:val="decimal"/>
      <w:suff w:val="nothing"/>
      <w:lvlText w:val="表1-%1　"/>
      <w:lvlJc w:val="center"/>
      <w:pPr>
        <w:tabs>
          <w:tab w:val="left" w:pos="0"/>
        </w:tabs>
        <w:ind w:left="0" w:firstLine="0"/>
      </w:pPr>
      <w:rPr>
        <w:rFonts w:hint="default" w:ascii="Times New Roman" w:hAnsi="Times New Roman" w:cs="Times New Roman"/>
        <w:b/>
        <w:color w:val="auto"/>
        <w:sz w:val="21"/>
        <w:szCs w:val="21"/>
      </w:rPr>
    </w:lvl>
  </w:abstractNum>
  <w:abstractNum w:abstractNumId="1">
    <w:nsid w:val="C3C47125"/>
    <w:multiLevelType w:val="multilevel"/>
    <w:tmpl w:val="C3C47125"/>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170"/>
      <w:isLgl/>
      <w:suff w:val="space"/>
      <w:lvlText w:val="表%1-%6"/>
      <w:lvlJc w:val="center"/>
      <w:pPr>
        <w:tabs>
          <w:tab w:val="left" w:pos="0"/>
        </w:tabs>
        <w:ind w:left="0" w:firstLine="0"/>
      </w:pPr>
      <w:rPr>
        <w:rFonts w:hint="eastAsia" w:ascii="宋体" w:hAnsi="宋体" w:eastAsia="宋体" w:cs="宋体"/>
        <w:b/>
        <w:bCs w:val="0"/>
        <w:i w:val="0"/>
        <w:iCs w:val="0"/>
        <w:caps w:val="0"/>
        <w:smallCaps w:val="0"/>
        <w:strike w:val="0"/>
        <w:dstrike w:val="0"/>
        <w:vanish w:val="0"/>
        <w:color w:val="000000"/>
        <w:spacing w:val="0"/>
        <w:position w:val="0"/>
        <w:sz w:val="24"/>
        <w:szCs w:val="24"/>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2">
    <w:nsid w:val="D6D6FDFB"/>
    <w:multiLevelType w:val="singleLevel"/>
    <w:tmpl w:val="D6D6FDFB"/>
    <w:lvl w:ilvl="0" w:tentative="0">
      <w:start w:val="3"/>
      <w:numFmt w:val="decimal"/>
      <w:suff w:val="nothing"/>
      <w:lvlText w:val="（%1）"/>
      <w:lvlJc w:val="left"/>
    </w:lvl>
  </w:abstractNum>
  <w:abstractNum w:abstractNumId="3">
    <w:nsid w:val="15F9F958"/>
    <w:multiLevelType w:val="singleLevel"/>
    <w:tmpl w:val="15F9F958"/>
    <w:lvl w:ilvl="0" w:tentative="0">
      <w:start w:val="1"/>
      <w:numFmt w:val="decimal"/>
      <w:pStyle w:val="173"/>
      <w:suff w:val="nothing"/>
      <w:lvlText w:val="表2-%1"/>
      <w:lvlJc w:val="left"/>
      <w:pPr>
        <w:ind w:left="0" w:firstLine="403"/>
      </w:pPr>
      <w:rPr>
        <w:rFonts w:hint="default" w:ascii="Times New Roman" w:hAnsi="Times New Roman" w:cs="Times New Roman"/>
        <w:b/>
        <w:bCs/>
      </w:rPr>
    </w:lvl>
  </w:abstractNum>
  <w:abstractNum w:abstractNumId="4">
    <w:nsid w:val="1EAF2166"/>
    <w:multiLevelType w:val="singleLevel"/>
    <w:tmpl w:val="1EAF2166"/>
    <w:lvl w:ilvl="0" w:tentative="0">
      <w:start w:val="2"/>
      <w:numFmt w:val="decimal"/>
      <w:suff w:val="nothing"/>
      <w:lvlText w:val="（%1）"/>
      <w:lvlJc w:val="left"/>
    </w:lvl>
  </w:abstractNum>
  <w:abstractNum w:abstractNumId="5">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35"/>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4CF636C8"/>
    <w:multiLevelType w:val="singleLevel"/>
    <w:tmpl w:val="4CF636C8"/>
    <w:lvl w:ilvl="0" w:tentative="0">
      <w:start w:val="3"/>
      <w:numFmt w:val="decimal"/>
      <w:suff w:val="nothing"/>
      <w:lvlText w:val="%1、"/>
      <w:lvlJc w:val="left"/>
    </w:lvl>
  </w:abstractNum>
  <w:abstractNum w:abstractNumId="7">
    <w:nsid w:val="644D3847"/>
    <w:multiLevelType w:val="multilevel"/>
    <w:tmpl w:val="644D3847"/>
    <w:lvl w:ilvl="0" w:tentative="0">
      <w:start w:val="1"/>
      <w:numFmt w:val="none"/>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b w:val="0"/>
      </w:rPr>
    </w:lvl>
    <w:lvl w:ilvl="3" w:tentative="0">
      <w:start w:val="1"/>
      <w:numFmt w:val="decimal"/>
      <w:suff w:val="space"/>
      <w:lvlText w:val="%3.%4"/>
      <w:lvlJc w:val="left"/>
      <w:pPr>
        <w:ind w:left="0" w:firstLine="0"/>
      </w:pPr>
      <w:rPr>
        <w:rFonts w:hint="eastAsia"/>
      </w:rPr>
    </w:lvl>
    <w:lvl w:ilvl="4" w:tentative="0">
      <w:start w:val="1"/>
      <w:numFmt w:val="decimal"/>
      <w:suff w:val="space"/>
      <w:lvlText w:val="%3.%4.%5"/>
      <w:lvlJc w:val="left"/>
      <w:pPr>
        <w:ind w:left="0" w:firstLine="0"/>
      </w:pPr>
      <w:rPr>
        <w:rFonts w:hint="eastAsia"/>
      </w:rPr>
    </w:lvl>
    <w:lvl w:ilvl="5" w:tentative="0">
      <w:start w:val="1"/>
      <w:numFmt w:val="decimal"/>
      <w:lvlRestart w:val="0"/>
      <w:pStyle w:val="154"/>
      <w:suff w:val="space"/>
      <w:lvlText w:val="表%6"/>
      <w:lvlJc w:val="center"/>
      <w:pPr>
        <w:ind w:left="0" w:firstLine="0"/>
      </w:pPr>
      <w:rPr>
        <w:rFonts w:hint="eastAsia"/>
        <w:b w:val="0"/>
        <w:sz w:val="22"/>
        <w:szCs w:val="22"/>
      </w:rPr>
    </w:lvl>
    <w:lvl w:ilvl="6" w:tentative="0">
      <w:start w:val="1"/>
      <w:numFmt w:val="decimal"/>
      <w:lvlRestart w:val="0"/>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8">
    <w:nsid w:val="77841463"/>
    <w:multiLevelType w:val="singleLevel"/>
    <w:tmpl w:val="77841463"/>
    <w:lvl w:ilvl="0" w:tentative="0">
      <w:start w:val="1"/>
      <w:numFmt w:val="decimal"/>
      <w:suff w:val="nothing"/>
      <w:lvlText w:val="表2-%1　"/>
      <w:lvlJc w:val="center"/>
      <w:pPr>
        <w:tabs>
          <w:tab w:val="left" w:pos="0"/>
        </w:tabs>
        <w:ind w:left="0" w:firstLine="0"/>
      </w:pPr>
      <w:rPr>
        <w:rFonts w:hint="default" w:ascii="Times New Roman" w:hAnsi="Times New Roman" w:cs="宋体"/>
        <w:b/>
        <w:sz w:val="21"/>
        <w:szCs w:val="21"/>
      </w:rPr>
    </w:lvl>
  </w:abstractNum>
  <w:abstractNum w:abstractNumId="9">
    <w:nsid w:val="7DD88DD8"/>
    <w:multiLevelType w:val="singleLevel"/>
    <w:tmpl w:val="7DD88DD8"/>
    <w:lvl w:ilvl="0" w:tentative="0">
      <w:start w:val="1"/>
      <w:numFmt w:val="upperLetter"/>
      <w:suff w:val="nothing"/>
      <w:lvlText w:val="%1、"/>
      <w:lvlJc w:val="left"/>
    </w:lvl>
  </w:abstractNum>
  <w:num w:numId="1">
    <w:abstractNumId w:val="5"/>
  </w:num>
  <w:num w:numId="2">
    <w:abstractNumId w:val="7"/>
  </w:num>
  <w:num w:numId="3">
    <w:abstractNumId w:val="1"/>
  </w:num>
  <w:num w:numId="4">
    <w:abstractNumId w:val="3"/>
  </w:num>
  <w:num w:numId="5">
    <w:abstractNumId w:val="0"/>
  </w:num>
  <w:num w:numId="6">
    <w:abstractNumId w:val="2"/>
  </w:num>
  <w:num w:numId="7">
    <w:abstractNumId w:val="8"/>
  </w:num>
  <w:num w:numId="8">
    <w:abstractNumId w:val="9"/>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ZDI0NWMyZDFmZmUwMjJlMGY3MjM0ZTk4ODM3ZWEifQ=="/>
  </w:docVars>
  <w:rsids>
    <w:rsidRoot w:val="00A14947"/>
    <w:rsid w:val="000060B3"/>
    <w:rsid w:val="0004364B"/>
    <w:rsid w:val="00061B1F"/>
    <w:rsid w:val="000733C4"/>
    <w:rsid w:val="00074783"/>
    <w:rsid w:val="0008070B"/>
    <w:rsid w:val="000810AC"/>
    <w:rsid w:val="00081A02"/>
    <w:rsid w:val="00082231"/>
    <w:rsid w:val="00083B49"/>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1632"/>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3677F"/>
    <w:rsid w:val="00452738"/>
    <w:rsid w:val="00456091"/>
    <w:rsid w:val="00466321"/>
    <w:rsid w:val="00484B9B"/>
    <w:rsid w:val="004855F6"/>
    <w:rsid w:val="0048661E"/>
    <w:rsid w:val="00494670"/>
    <w:rsid w:val="004A3823"/>
    <w:rsid w:val="004C42BF"/>
    <w:rsid w:val="004E6946"/>
    <w:rsid w:val="004F1AD8"/>
    <w:rsid w:val="005039CB"/>
    <w:rsid w:val="0050558F"/>
    <w:rsid w:val="00506286"/>
    <w:rsid w:val="00510813"/>
    <w:rsid w:val="00511990"/>
    <w:rsid w:val="00511DE0"/>
    <w:rsid w:val="00514870"/>
    <w:rsid w:val="00514B9B"/>
    <w:rsid w:val="00517F02"/>
    <w:rsid w:val="00521154"/>
    <w:rsid w:val="00524303"/>
    <w:rsid w:val="005258A2"/>
    <w:rsid w:val="005401AE"/>
    <w:rsid w:val="00542E07"/>
    <w:rsid w:val="00545424"/>
    <w:rsid w:val="00554A7B"/>
    <w:rsid w:val="0055572C"/>
    <w:rsid w:val="0056106A"/>
    <w:rsid w:val="00566EBF"/>
    <w:rsid w:val="005720AE"/>
    <w:rsid w:val="00594D77"/>
    <w:rsid w:val="005969E4"/>
    <w:rsid w:val="005A06B7"/>
    <w:rsid w:val="005A1759"/>
    <w:rsid w:val="005A3114"/>
    <w:rsid w:val="005A3BFA"/>
    <w:rsid w:val="005A68A7"/>
    <w:rsid w:val="005C4D2E"/>
    <w:rsid w:val="005D1959"/>
    <w:rsid w:val="005D2854"/>
    <w:rsid w:val="005D36AB"/>
    <w:rsid w:val="0060308A"/>
    <w:rsid w:val="00617CC3"/>
    <w:rsid w:val="006377A6"/>
    <w:rsid w:val="00637A3D"/>
    <w:rsid w:val="006411EF"/>
    <w:rsid w:val="00660270"/>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1667"/>
    <w:rsid w:val="006E607E"/>
    <w:rsid w:val="00706C5D"/>
    <w:rsid w:val="0071534D"/>
    <w:rsid w:val="00732708"/>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7F65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6C9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3FB8"/>
    <w:rsid w:val="00976328"/>
    <w:rsid w:val="0097680D"/>
    <w:rsid w:val="00982438"/>
    <w:rsid w:val="0098404C"/>
    <w:rsid w:val="00985283"/>
    <w:rsid w:val="009928FC"/>
    <w:rsid w:val="00995992"/>
    <w:rsid w:val="009A03E5"/>
    <w:rsid w:val="009A0F3B"/>
    <w:rsid w:val="009A1BB4"/>
    <w:rsid w:val="009A2628"/>
    <w:rsid w:val="009A3200"/>
    <w:rsid w:val="009B0897"/>
    <w:rsid w:val="009B0B7A"/>
    <w:rsid w:val="009B2E67"/>
    <w:rsid w:val="009B7BD9"/>
    <w:rsid w:val="009C674E"/>
    <w:rsid w:val="009C7DD5"/>
    <w:rsid w:val="009D7452"/>
    <w:rsid w:val="009E227D"/>
    <w:rsid w:val="009E5019"/>
    <w:rsid w:val="00A04F1B"/>
    <w:rsid w:val="00A0501B"/>
    <w:rsid w:val="00A14947"/>
    <w:rsid w:val="00A32A83"/>
    <w:rsid w:val="00A368DB"/>
    <w:rsid w:val="00A423AA"/>
    <w:rsid w:val="00A53EC6"/>
    <w:rsid w:val="00A55C0F"/>
    <w:rsid w:val="00A8713F"/>
    <w:rsid w:val="00A90BA1"/>
    <w:rsid w:val="00A92D1E"/>
    <w:rsid w:val="00A97A9A"/>
    <w:rsid w:val="00AA0671"/>
    <w:rsid w:val="00AA2531"/>
    <w:rsid w:val="00AB1E09"/>
    <w:rsid w:val="00AB5330"/>
    <w:rsid w:val="00AB7747"/>
    <w:rsid w:val="00AC14CE"/>
    <w:rsid w:val="00AC2A56"/>
    <w:rsid w:val="00AD055E"/>
    <w:rsid w:val="00AD47A7"/>
    <w:rsid w:val="00AE4C71"/>
    <w:rsid w:val="00AF0CBF"/>
    <w:rsid w:val="00AF257F"/>
    <w:rsid w:val="00AF33CF"/>
    <w:rsid w:val="00AF4D50"/>
    <w:rsid w:val="00AF6179"/>
    <w:rsid w:val="00B1295A"/>
    <w:rsid w:val="00B20A45"/>
    <w:rsid w:val="00B22C5C"/>
    <w:rsid w:val="00B24F30"/>
    <w:rsid w:val="00B31ABF"/>
    <w:rsid w:val="00B33BE3"/>
    <w:rsid w:val="00B53B5D"/>
    <w:rsid w:val="00B5701C"/>
    <w:rsid w:val="00B6055E"/>
    <w:rsid w:val="00B6317D"/>
    <w:rsid w:val="00B7723F"/>
    <w:rsid w:val="00B80534"/>
    <w:rsid w:val="00B8433C"/>
    <w:rsid w:val="00B87491"/>
    <w:rsid w:val="00BA23FF"/>
    <w:rsid w:val="00BA29E9"/>
    <w:rsid w:val="00BA7142"/>
    <w:rsid w:val="00BA78A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648F5"/>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490"/>
    <w:rsid w:val="00E2656A"/>
    <w:rsid w:val="00E412D0"/>
    <w:rsid w:val="00E56322"/>
    <w:rsid w:val="00E60982"/>
    <w:rsid w:val="00E62C62"/>
    <w:rsid w:val="00E654C1"/>
    <w:rsid w:val="00E65D97"/>
    <w:rsid w:val="00E72A5A"/>
    <w:rsid w:val="00E73354"/>
    <w:rsid w:val="00E9242D"/>
    <w:rsid w:val="00E932A6"/>
    <w:rsid w:val="00EB5255"/>
    <w:rsid w:val="00EB5C47"/>
    <w:rsid w:val="00ED0639"/>
    <w:rsid w:val="00EF4755"/>
    <w:rsid w:val="00EF7135"/>
    <w:rsid w:val="00F027DB"/>
    <w:rsid w:val="00F06254"/>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41A5"/>
    <w:rsid w:val="00FD54DB"/>
    <w:rsid w:val="00FD619F"/>
    <w:rsid w:val="01111801"/>
    <w:rsid w:val="01213826"/>
    <w:rsid w:val="01290F7E"/>
    <w:rsid w:val="01373638"/>
    <w:rsid w:val="013E125C"/>
    <w:rsid w:val="01413841"/>
    <w:rsid w:val="014640DC"/>
    <w:rsid w:val="015D1E09"/>
    <w:rsid w:val="01614419"/>
    <w:rsid w:val="01684768"/>
    <w:rsid w:val="01713421"/>
    <w:rsid w:val="01791910"/>
    <w:rsid w:val="018649FB"/>
    <w:rsid w:val="01882A13"/>
    <w:rsid w:val="018E4FD4"/>
    <w:rsid w:val="01BA4E38"/>
    <w:rsid w:val="01BC43AD"/>
    <w:rsid w:val="01BD6F36"/>
    <w:rsid w:val="01C22A6A"/>
    <w:rsid w:val="01C94F44"/>
    <w:rsid w:val="01CB7913"/>
    <w:rsid w:val="01E6013F"/>
    <w:rsid w:val="01EC5C3E"/>
    <w:rsid w:val="02083B6E"/>
    <w:rsid w:val="02116EFB"/>
    <w:rsid w:val="0213606F"/>
    <w:rsid w:val="023D5C7D"/>
    <w:rsid w:val="024D5488"/>
    <w:rsid w:val="02583491"/>
    <w:rsid w:val="02627E86"/>
    <w:rsid w:val="02697903"/>
    <w:rsid w:val="0274798C"/>
    <w:rsid w:val="02755C49"/>
    <w:rsid w:val="028F6C1D"/>
    <w:rsid w:val="02900CBF"/>
    <w:rsid w:val="029415C6"/>
    <w:rsid w:val="02A6051F"/>
    <w:rsid w:val="02A92245"/>
    <w:rsid w:val="02AC0DC5"/>
    <w:rsid w:val="02C10BEA"/>
    <w:rsid w:val="02C41947"/>
    <w:rsid w:val="02C569A3"/>
    <w:rsid w:val="02D633E0"/>
    <w:rsid w:val="02DB435B"/>
    <w:rsid w:val="02E854AD"/>
    <w:rsid w:val="02E9726C"/>
    <w:rsid w:val="02EA7981"/>
    <w:rsid w:val="02ED698C"/>
    <w:rsid w:val="02F51B09"/>
    <w:rsid w:val="02F759E5"/>
    <w:rsid w:val="02F96569"/>
    <w:rsid w:val="02FC3EAA"/>
    <w:rsid w:val="030836E6"/>
    <w:rsid w:val="030B183D"/>
    <w:rsid w:val="03185448"/>
    <w:rsid w:val="031F66AC"/>
    <w:rsid w:val="032F5C6D"/>
    <w:rsid w:val="03357125"/>
    <w:rsid w:val="033919D5"/>
    <w:rsid w:val="034F00EB"/>
    <w:rsid w:val="035D5786"/>
    <w:rsid w:val="036543CB"/>
    <w:rsid w:val="03680E57"/>
    <w:rsid w:val="036B4AE3"/>
    <w:rsid w:val="036F4F62"/>
    <w:rsid w:val="03803A21"/>
    <w:rsid w:val="039849B2"/>
    <w:rsid w:val="039E565E"/>
    <w:rsid w:val="039F2754"/>
    <w:rsid w:val="03AC0D8C"/>
    <w:rsid w:val="03AE0784"/>
    <w:rsid w:val="03B804CE"/>
    <w:rsid w:val="03C0752D"/>
    <w:rsid w:val="03CC0F75"/>
    <w:rsid w:val="03E93F73"/>
    <w:rsid w:val="03EA7B21"/>
    <w:rsid w:val="03FE56D4"/>
    <w:rsid w:val="04096F7B"/>
    <w:rsid w:val="041558AD"/>
    <w:rsid w:val="041967D7"/>
    <w:rsid w:val="04211420"/>
    <w:rsid w:val="042A6DFC"/>
    <w:rsid w:val="042B25A6"/>
    <w:rsid w:val="04421A69"/>
    <w:rsid w:val="04545D1C"/>
    <w:rsid w:val="0461744B"/>
    <w:rsid w:val="046F076E"/>
    <w:rsid w:val="048209F9"/>
    <w:rsid w:val="048A0569"/>
    <w:rsid w:val="0494445C"/>
    <w:rsid w:val="04971EDB"/>
    <w:rsid w:val="04A3502D"/>
    <w:rsid w:val="04A8162B"/>
    <w:rsid w:val="04AC0E72"/>
    <w:rsid w:val="04AD7664"/>
    <w:rsid w:val="04AE62C3"/>
    <w:rsid w:val="04B27A60"/>
    <w:rsid w:val="04B678C9"/>
    <w:rsid w:val="04B73624"/>
    <w:rsid w:val="04B86587"/>
    <w:rsid w:val="04BD6406"/>
    <w:rsid w:val="04BD75B1"/>
    <w:rsid w:val="04C9566C"/>
    <w:rsid w:val="04D0147D"/>
    <w:rsid w:val="04D16033"/>
    <w:rsid w:val="04D17A7B"/>
    <w:rsid w:val="04D51B97"/>
    <w:rsid w:val="04D756EB"/>
    <w:rsid w:val="04EC17B8"/>
    <w:rsid w:val="04EE7947"/>
    <w:rsid w:val="04F274F3"/>
    <w:rsid w:val="04FA068B"/>
    <w:rsid w:val="04FA745E"/>
    <w:rsid w:val="050977E4"/>
    <w:rsid w:val="05144CB9"/>
    <w:rsid w:val="05170C7F"/>
    <w:rsid w:val="05180F86"/>
    <w:rsid w:val="052810FA"/>
    <w:rsid w:val="05376D3B"/>
    <w:rsid w:val="0538648D"/>
    <w:rsid w:val="053A089A"/>
    <w:rsid w:val="05446D9B"/>
    <w:rsid w:val="054E2A73"/>
    <w:rsid w:val="0551713B"/>
    <w:rsid w:val="05847B5D"/>
    <w:rsid w:val="05896951"/>
    <w:rsid w:val="058E57C1"/>
    <w:rsid w:val="05A112C8"/>
    <w:rsid w:val="05B10A96"/>
    <w:rsid w:val="05CE2EDC"/>
    <w:rsid w:val="05D00153"/>
    <w:rsid w:val="05D7131F"/>
    <w:rsid w:val="05DF411E"/>
    <w:rsid w:val="05E05F6E"/>
    <w:rsid w:val="05EB561F"/>
    <w:rsid w:val="05F83EAE"/>
    <w:rsid w:val="06007F0A"/>
    <w:rsid w:val="06054EA6"/>
    <w:rsid w:val="060964DE"/>
    <w:rsid w:val="060F0E2C"/>
    <w:rsid w:val="060F5667"/>
    <w:rsid w:val="061D0ABC"/>
    <w:rsid w:val="061F1E6F"/>
    <w:rsid w:val="06283F63"/>
    <w:rsid w:val="062A26A5"/>
    <w:rsid w:val="062E084C"/>
    <w:rsid w:val="062F78A2"/>
    <w:rsid w:val="063E7D85"/>
    <w:rsid w:val="063F3680"/>
    <w:rsid w:val="0646366C"/>
    <w:rsid w:val="06550DD5"/>
    <w:rsid w:val="06564D7B"/>
    <w:rsid w:val="065B5977"/>
    <w:rsid w:val="065F74AD"/>
    <w:rsid w:val="06627215"/>
    <w:rsid w:val="066C6189"/>
    <w:rsid w:val="06823015"/>
    <w:rsid w:val="06853C15"/>
    <w:rsid w:val="068C0AB3"/>
    <w:rsid w:val="06B27ED0"/>
    <w:rsid w:val="06B326A3"/>
    <w:rsid w:val="06B62CBE"/>
    <w:rsid w:val="06BB4119"/>
    <w:rsid w:val="06C61153"/>
    <w:rsid w:val="06CD1A08"/>
    <w:rsid w:val="06D0593B"/>
    <w:rsid w:val="06D87FFE"/>
    <w:rsid w:val="06E72E78"/>
    <w:rsid w:val="06E91326"/>
    <w:rsid w:val="06F51416"/>
    <w:rsid w:val="07085638"/>
    <w:rsid w:val="07101314"/>
    <w:rsid w:val="07113084"/>
    <w:rsid w:val="07181C42"/>
    <w:rsid w:val="071E722E"/>
    <w:rsid w:val="07293586"/>
    <w:rsid w:val="07295285"/>
    <w:rsid w:val="072B3722"/>
    <w:rsid w:val="07421FBF"/>
    <w:rsid w:val="074E2B29"/>
    <w:rsid w:val="074E4180"/>
    <w:rsid w:val="075E75DE"/>
    <w:rsid w:val="07636392"/>
    <w:rsid w:val="0765096C"/>
    <w:rsid w:val="0765391A"/>
    <w:rsid w:val="076D15CF"/>
    <w:rsid w:val="076E09E9"/>
    <w:rsid w:val="07770C56"/>
    <w:rsid w:val="079734C7"/>
    <w:rsid w:val="0797528B"/>
    <w:rsid w:val="07A0168E"/>
    <w:rsid w:val="07B705DC"/>
    <w:rsid w:val="07C8420F"/>
    <w:rsid w:val="07CA7210"/>
    <w:rsid w:val="07CD1D7B"/>
    <w:rsid w:val="07EB5CA9"/>
    <w:rsid w:val="07F03C04"/>
    <w:rsid w:val="07F24E89"/>
    <w:rsid w:val="08052A6A"/>
    <w:rsid w:val="080F19F4"/>
    <w:rsid w:val="081F7A29"/>
    <w:rsid w:val="08277F57"/>
    <w:rsid w:val="083B1121"/>
    <w:rsid w:val="084719A7"/>
    <w:rsid w:val="0852733F"/>
    <w:rsid w:val="086700D5"/>
    <w:rsid w:val="086C6D3C"/>
    <w:rsid w:val="086F5BF8"/>
    <w:rsid w:val="08724858"/>
    <w:rsid w:val="08727F59"/>
    <w:rsid w:val="087E15BA"/>
    <w:rsid w:val="08835ACC"/>
    <w:rsid w:val="088D3761"/>
    <w:rsid w:val="089332B7"/>
    <w:rsid w:val="08AB11BB"/>
    <w:rsid w:val="08AB6853"/>
    <w:rsid w:val="08AE61F8"/>
    <w:rsid w:val="08BB1CE8"/>
    <w:rsid w:val="08C21DBC"/>
    <w:rsid w:val="08C44981"/>
    <w:rsid w:val="08CC67B1"/>
    <w:rsid w:val="08E32387"/>
    <w:rsid w:val="08ED6AC9"/>
    <w:rsid w:val="09010376"/>
    <w:rsid w:val="09057E1A"/>
    <w:rsid w:val="09083910"/>
    <w:rsid w:val="0911148D"/>
    <w:rsid w:val="092217DD"/>
    <w:rsid w:val="09374E21"/>
    <w:rsid w:val="093A7294"/>
    <w:rsid w:val="095040B0"/>
    <w:rsid w:val="0951052A"/>
    <w:rsid w:val="09564402"/>
    <w:rsid w:val="095C6D5F"/>
    <w:rsid w:val="09600DC2"/>
    <w:rsid w:val="096158EC"/>
    <w:rsid w:val="097950BE"/>
    <w:rsid w:val="097B0A74"/>
    <w:rsid w:val="097B5D8D"/>
    <w:rsid w:val="097F3761"/>
    <w:rsid w:val="09813616"/>
    <w:rsid w:val="098E751F"/>
    <w:rsid w:val="0991657F"/>
    <w:rsid w:val="09A17B0B"/>
    <w:rsid w:val="09A65439"/>
    <w:rsid w:val="09AF5109"/>
    <w:rsid w:val="09B56767"/>
    <w:rsid w:val="09B57B2D"/>
    <w:rsid w:val="09B71227"/>
    <w:rsid w:val="09BD1797"/>
    <w:rsid w:val="09D86E70"/>
    <w:rsid w:val="09E00AFC"/>
    <w:rsid w:val="09E22625"/>
    <w:rsid w:val="09EB437E"/>
    <w:rsid w:val="09F217FD"/>
    <w:rsid w:val="0A066B16"/>
    <w:rsid w:val="0A162D74"/>
    <w:rsid w:val="0A1C549C"/>
    <w:rsid w:val="0A21128E"/>
    <w:rsid w:val="0A263993"/>
    <w:rsid w:val="0A271DCF"/>
    <w:rsid w:val="0A2B2319"/>
    <w:rsid w:val="0A2D3AC2"/>
    <w:rsid w:val="0A39505B"/>
    <w:rsid w:val="0A3A5874"/>
    <w:rsid w:val="0A4E523D"/>
    <w:rsid w:val="0A524FB1"/>
    <w:rsid w:val="0A624C80"/>
    <w:rsid w:val="0A6A759B"/>
    <w:rsid w:val="0A6C08DC"/>
    <w:rsid w:val="0A700476"/>
    <w:rsid w:val="0A700BAD"/>
    <w:rsid w:val="0A712BE4"/>
    <w:rsid w:val="0A817D3E"/>
    <w:rsid w:val="0A83710C"/>
    <w:rsid w:val="0A882E02"/>
    <w:rsid w:val="0A8D4EBC"/>
    <w:rsid w:val="0A8D7A51"/>
    <w:rsid w:val="0A8F55E4"/>
    <w:rsid w:val="0A9A5EAC"/>
    <w:rsid w:val="0A9C1711"/>
    <w:rsid w:val="0A9F27CD"/>
    <w:rsid w:val="0AA10AB1"/>
    <w:rsid w:val="0AA36327"/>
    <w:rsid w:val="0AA41BAD"/>
    <w:rsid w:val="0AA479FE"/>
    <w:rsid w:val="0AA755DF"/>
    <w:rsid w:val="0AB93C3C"/>
    <w:rsid w:val="0AC072A2"/>
    <w:rsid w:val="0AC23898"/>
    <w:rsid w:val="0AC67C91"/>
    <w:rsid w:val="0ACA4794"/>
    <w:rsid w:val="0ACA5ADE"/>
    <w:rsid w:val="0AD17C20"/>
    <w:rsid w:val="0AD9521F"/>
    <w:rsid w:val="0AD97A97"/>
    <w:rsid w:val="0AE76999"/>
    <w:rsid w:val="0AE87216"/>
    <w:rsid w:val="0AEA1189"/>
    <w:rsid w:val="0AF91BB6"/>
    <w:rsid w:val="0B030E15"/>
    <w:rsid w:val="0B097619"/>
    <w:rsid w:val="0B105907"/>
    <w:rsid w:val="0B120D44"/>
    <w:rsid w:val="0B1D5B16"/>
    <w:rsid w:val="0B223B50"/>
    <w:rsid w:val="0B2F72BC"/>
    <w:rsid w:val="0B3779E9"/>
    <w:rsid w:val="0B482E17"/>
    <w:rsid w:val="0B567602"/>
    <w:rsid w:val="0B65202A"/>
    <w:rsid w:val="0B71045A"/>
    <w:rsid w:val="0B746164"/>
    <w:rsid w:val="0B776EC0"/>
    <w:rsid w:val="0B7D1F76"/>
    <w:rsid w:val="0B815372"/>
    <w:rsid w:val="0B8F073B"/>
    <w:rsid w:val="0B937A65"/>
    <w:rsid w:val="0B950174"/>
    <w:rsid w:val="0B96251C"/>
    <w:rsid w:val="0BB70CEC"/>
    <w:rsid w:val="0BBD3117"/>
    <w:rsid w:val="0BBE177E"/>
    <w:rsid w:val="0BC164D2"/>
    <w:rsid w:val="0BC32E46"/>
    <w:rsid w:val="0BC7309B"/>
    <w:rsid w:val="0BD27BF6"/>
    <w:rsid w:val="0BE275A8"/>
    <w:rsid w:val="0BE65E4D"/>
    <w:rsid w:val="0BEE20FF"/>
    <w:rsid w:val="0BF132BF"/>
    <w:rsid w:val="0C061687"/>
    <w:rsid w:val="0C0A6A6A"/>
    <w:rsid w:val="0C0B797B"/>
    <w:rsid w:val="0C134A76"/>
    <w:rsid w:val="0C1C1DCA"/>
    <w:rsid w:val="0C215FE7"/>
    <w:rsid w:val="0C23289D"/>
    <w:rsid w:val="0C32798F"/>
    <w:rsid w:val="0C3503FF"/>
    <w:rsid w:val="0C3B3C7D"/>
    <w:rsid w:val="0C477D29"/>
    <w:rsid w:val="0C564CDA"/>
    <w:rsid w:val="0C5F72AF"/>
    <w:rsid w:val="0C6A08C4"/>
    <w:rsid w:val="0C85008B"/>
    <w:rsid w:val="0C9547CC"/>
    <w:rsid w:val="0C9C6A36"/>
    <w:rsid w:val="0CA13A39"/>
    <w:rsid w:val="0CA32F97"/>
    <w:rsid w:val="0CA916DE"/>
    <w:rsid w:val="0CAB2EAE"/>
    <w:rsid w:val="0CAC29D8"/>
    <w:rsid w:val="0CB139BE"/>
    <w:rsid w:val="0CCE7CF3"/>
    <w:rsid w:val="0CD111D7"/>
    <w:rsid w:val="0CE011E7"/>
    <w:rsid w:val="0CE069C5"/>
    <w:rsid w:val="0CE57B55"/>
    <w:rsid w:val="0CEA7FE7"/>
    <w:rsid w:val="0CEC36D4"/>
    <w:rsid w:val="0CEC763A"/>
    <w:rsid w:val="0CEE2FD0"/>
    <w:rsid w:val="0CF93B72"/>
    <w:rsid w:val="0D0410D8"/>
    <w:rsid w:val="0D1739E4"/>
    <w:rsid w:val="0D1C6FA3"/>
    <w:rsid w:val="0D1C7E32"/>
    <w:rsid w:val="0D3C090A"/>
    <w:rsid w:val="0D4E2AD2"/>
    <w:rsid w:val="0D58420A"/>
    <w:rsid w:val="0D5D4B3A"/>
    <w:rsid w:val="0D621C7D"/>
    <w:rsid w:val="0D65728F"/>
    <w:rsid w:val="0D815169"/>
    <w:rsid w:val="0D872355"/>
    <w:rsid w:val="0D935DA9"/>
    <w:rsid w:val="0D9F625A"/>
    <w:rsid w:val="0DAB4DB3"/>
    <w:rsid w:val="0DAB5AFE"/>
    <w:rsid w:val="0DAF1818"/>
    <w:rsid w:val="0DAF26BF"/>
    <w:rsid w:val="0DBE6E74"/>
    <w:rsid w:val="0DD40279"/>
    <w:rsid w:val="0DDA1A7E"/>
    <w:rsid w:val="0DE16873"/>
    <w:rsid w:val="0DE533CB"/>
    <w:rsid w:val="0DE60710"/>
    <w:rsid w:val="0DED32BB"/>
    <w:rsid w:val="0DF66981"/>
    <w:rsid w:val="0DFC7A6B"/>
    <w:rsid w:val="0E08296F"/>
    <w:rsid w:val="0E0950DF"/>
    <w:rsid w:val="0E0A6348"/>
    <w:rsid w:val="0E106210"/>
    <w:rsid w:val="0E245572"/>
    <w:rsid w:val="0E2666FA"/>
    <w:rsid w:val="0E2F6200"/>
    <w:rsid w:val="0E484F74"/>
    <w:rsid w:val="0E52700A"/>
    <w:rsid w:val="0E565E4D"/>
    <w:rsid w:val="0E5C5EAE"/>
    <w:rsid w:val="0E617EEF"/>
    <w:rsid w:val="0E673F09"/>
    <w:rsid w:val="0E6C73CA"/>
    <w:rsid w:val="0E6D1B4C"/>
    <w:rsid w:val="0E73034D"/>
    <w:rsid w:val="0E7C3C71"/>
    <w:rsid w:val="0E845DBA"/>
    <w:rsid w:val="0E8F26DC"/>
    <w:rsid w:val="0EB1434D"/>
    <w:rsid w:val="0EBA5D41"/>
    <w:rsid w:val="0EC131D2"/>
    <w:rsid w:val="0EC16688"/>
    <w:rsid w:val="0EC91B2F"/>
    <w:rsid w:val="0ECF2B6F"/>
    <w:rsid w:val="0ECF52F5"/>
    <w:rsid w:val="0ED46516"/>
    <w:rsid w:val="0EE06F16"/>
    <w:rsid w:val="0EEF1835"/>
    <w:rsid w:val="0EF425D6"/>
    <w:rsid w:val="0EF426A8"/>
    <w:rsid w:val="0EF45E39"/>
    <w:rsid w:val="0F020D46"/>
    <w:rsid w:val="0F037FFE"/>
    <w:rsid w:val="0F042F61"/>
    <w:rsid w:val="0F0A7DAF"/>
    <w:rsid w:val="0F13775A"/>
    <w:rsid w:val="0F1B4FFF"/>
    <w:rsid w:val="0F267025"/>
    <w:rsid w:val="0F2B473B"/>
    <w:rsid w:val="0F3558E1"/>
    <w:rsid w:val="0F371BF1"/>
    <w:rsid w:val="0F404D10"/>
    <w:rsid w:val="0F462DE3"/>
    <w:rsid w:val="0F4F5D15"/>
    <w:rsid w:val="0F532288"/>
    <w:rsid w:val="0F574C8B"/>
    <w:rsid w:val="0F5E3F33"/>
    <w:rsid w:val="0F5F45FE"/>
    <w:rsid w:val="0F704352"/>
    <w:rsid w:val="0F7635AC"/>
    <w:rsid w:val="0F7846C5"/>
    <w:rsid w:val="0F86124B"/>
    <w:rsid w:val="0F9A112B"/>
    <w:rsid w:val="0FA72DC9"/>
    <w:rsid w:val="0FAB57E9"/>
    <w:rsid w:val="0FB65EEB"/>
    <w:rsid w:val="0FB71F81"/>
    <w:rsid w:val="0FD00632"/>
    <w:rsid w:val="0FD03A98"/>
    <w:rsid w:val="0FD117A2"/>
    <w:rsid w:val="0FD64C44"/>
    <w:rsid w:val="0FD957D7"/>
    <w:rsid w:val="0FE90900"/>
    <w:rsid w:val="0FF0060E"/>
    <w:rsid w:val="0FFB09EE"/>
    <w:rsid w:val="100150C0"/>
    <w:rsid w:val="100A25DC"/>
    <w:rsid w:val="100E1879"/>
    <w:rsid w:val="101A62D4"/>
    <w:rsid w:val="102C0DA2"/>
    <w:rsid w:val="10323A0D"/>
    <w:rsid w:val="10355EF4"/>
    <w:rsid w:val="10385F1E"/>
    <w:rsid w:val="1040756F"/>
    <w:rsid w:val="10427A63"/>
    <w:rsid w:val="10551CA7"/>
    <w:rsid w:val="105864BC"/>
    <w:rsid w:val="10590DFB"/>
    <w:rsid w:val="105D02FA"/>
    <w:rsid w:val="105F1E9E"/>
    <w:rsid w:val="106D2F64"/>
    <w:rsid w:val="10733487"/>
    <w:rsid w:val="109961DD"/>
    <w:rsid w:val="109C387D"/>
    <w:rsid w:val="109C7533"/>
    <w:rsid w:val="10A3203C"/>
    <w:rsid w:val="10A604F8"/>
    <w:rsid w:val="10AA3600"/>
    <w:rsid w:val="10AB2AA8"/>
    <w:rsid w:val="10AB38B5"/>
    <w:rsid w:val="10B169D0"/>
    <w:rsid w:val="10B16DA8"/>
    <w:rsid w:val="10B332B2"/>
    <w:rsid w:val="10B63710"/>
    <w:rsid w:val="10BC2A74"/>
    <w:rsid w:val="10C20BDE"/>
    <w:rsid w:val="10C4570C"/>
    <w:rsid w:val="10CD5B52"/>
    <w:rsid w:val="10CD66A1"/>
    <w:rsid w:val="10D426BF"/>
    <w:rsid w:val="10E20A01"/>
    <w:rsid w:val="10E3659E"/>
    <w:rsid w:val="10F06FD4"/>
    <w:rsid w:val="10F10820"/>
    <w:rsid w:val="10FD16D0"/>
    <w:rsid w:val="11060153"/>
    <w:rsid w:val="110C12EC"/>
    <w:rsid w:val="111C2F7A"/>
    <w:rsid w:val="112B4CE5"/>
    <w:rsid w:val="11371822"/>
    <w:rsid w:val="114476BF"/>
    <w:rsid w:val="11531DA7"/>
    <w:rsid w:val="115776E5"/>
    <w:rsid w:val="11595733"/>
    <w:rsid w:val="115B6517"/>
    <w:rsid w:val="11665CA1"/>
    <w:rsid w:val="117C534B"/>
    <w:rsid w:val="117F5DCE"/>
    <w:rsid w:val="118041A1"/>
    <w:rsid w:val="11A46370"/>
    <w:rsid w:val="11BC375E"/>
    <w:rsid w:val="11CA23D9"/>
    <w:rsid w:val="11CF6FF8"/>
    <w:rsid w:val="11DF4EA2"/>
    <w:rsid w:val="11F50B3F"/>
    <w:rsid w:val="11F940D4"/>
    <w:rsid w:val="11FF505D"/>
    <w:rsid w:val="12007C79"/>
    <w:rsid w:val="12011292"/>
    <w:rsid w:val="12042B30"/>
    <w:rsid w:val="120B37DD"/>
    <w:rsid w:val="120F2230"/>
    <w:rsid w:val="12124674"/>
    <w:rsid w:val="12350842"/>
    <w:rsid w:val="12394E45"/>
    <w:rsid w:val="124362CF"/>
    <w:rsid w:val="124E3C83"/>
    <w:rsid w:val="125A1748"/>
    <w:rsid w:val="126243A4"/>
    <w:rsid w:val="126569DB"/>
    <w:rsid w:val="12736825"/>
    <w:rsid w:val="1275594E"/>
    <w:rsid w:val="12771289"/>
    <w:rsid w:val="12776785"/>
    <w:rsid w:val="127A53FE"/>
    <w:rsid w:val="127B79F8"/>
    <w:rsid w:val="128310AA"/>
    <w:rsid w:val="128D0D77"/>
    <w:rsid w:val="12934A15"/>
    <w:rsid w:val="129715AC"/>
    <w:rsid w:val="12AE7382"/>
    <w:rsid w:val="12B856E9"/>
    <w:rsid w:val="12C6244A"/>
    <w:rsid w:val="12F469D9"/>
    <w:rsid w:val="12F6691D"/>
    <w:rsid w:val="12F73F17"/>
    <w:rsid w:val="12F76776"/>
    <w:rsid w:val="12F8030B"/>
    <w:rsid w:val="13141499"/>
    <w:rsid w:val="13342029"/>
    <w:rsid w:val="13345B3E"/>
    <w:rsid w:val="134E11B8"/>
    <w:rsid w:val="136062F0"/>
    <w:rsid w:val="136374B1"/>
    <w:rsid w:val="137D4216"/>
    <w:rsid w:val="1383502F"/>
    <w:rsid w:val="13877D4D"/>
    <w:rsid w:val="13951726"/>
    <w:rsid w:val="13954124"/>
    <w:rsid w:val="139C6B7F"/>
    <w:rsid w:val="13A065DB"/>
    <w:rsid w:val="13A40008"/>
    <w:rsid w:val="13B80D50"/>
    <w:rsid w:val="13CF315F"/>
    <w:rsid w:val="13CF62C5"/>
    <w:rsid w:val="13DA70CB"/>
    <w:rsid w:val="13E203F3"/>
    <w:rsid w:val="13E81727"/>
    <w:rsid w:val="13F40020"/>
    <w:rsid w:val="13F44FEF"/>
    <w:rsid w:val="13F9220F"/>
    <w:rsid w:val="140D1DA1"/>
    <w:rsid w:val="14132261"/>
    <w:rsid w:val="142A3ECA"/>
    <w:rsid w:val="14311415"/>
    <w:rsid w:val="143345CB"/>
    <w:rsid w:val="143644F8"/>
    <w:rsid w:val="14396509"/>
    <w:rsid w:val="144A2B7A"/>
    <w:rsid w:val="146768E8"/>
    <w:rsid w:val="14697492"/>
    <w:rsid w:val="146F6184"/>
    <w:rsid w:val="14723386"/>
    <w:rsid w:val="147E6DE4"/>
    <w:rsid w:val="14815C47"/>
    <w:rsid w:val="148F0494"/>
    <w:rsid w:val="14986909"/>
    <w:rsid w:val="149A4BBD"/>
    <w:rsid w:val="14A1608D"/>
    <w:rsid w:val="14A53BA2"/>
    <w:rsid w:val="14A56349"/>
    <w:rsid w:val="14AA2E46"/>
    <w:rsid w:val="14B74BD9"/>
    <w:rsid w:val="14BC6C99"/>
    <w:rsid w:val="14C462B9"/>
    <w:rsid w:val="14C57350"/>
    <w:rsid w:val="14C72396"/>
    <w:rsid w:val="14D869A1"/>
    <w:rsid w:val="14DC46A1"/>
    <w:rsid w:val="14DD2C3C"/>
    <w:rsid w:val="14EB0512"/>
    <w:rsid w:val="14EF3F6B"/>
    <w:rsid w:val="14F443E8"/>
    <w:rsid w:val="14F93367"/>
    <w:rsid w:val="14FF1F87"/>
    <w:rsid w:val="15005DA7"/>
    <w:rsid w:val="15057F9A"/>
    <w:rsid w:val="15090560"/>
    <w:rsid w:val="150D4346"/>
    <w:rsid w:val="150E0F6D"/>
    <w:rsid w:val="150E5968"/>
    <w:rsid w:val="151F5F60"/>
    <w:rsid w:val="152D6842"/>
    <w:rsid w:val="153122BC"/>
    <w:rsid w:val="153F7638"/>
    <w:rsid w:val="15481E95"/>
    <w:rsid w:val="154D2E31"/>
    <w:rsid w:val="15570305"/>
    <w:rsid w:val="155A2E2E"/>
    <w:rsid w:val="1560149B"/>
    <w:rsid w:val="15603214"/>
    <w:rsid w:val="156B46EA"/>
    <w:rsid w:val="157344F6"/>
    <w:rsid w:val="158146EC"/>
    <w:rsid w:val="15862B5F"/>
    <w:rsid w:val="15882CF2"/>
    <w:rsid w:val="158E1378"/>
    <w:rsid w:val="159111AF"/>
    <w:rsid w:val="159E515C"/>
    <w:rsid w:val="15AB00EB"/>
    <w:rsid w:val="15C27FD0"/>
    <w:rsid w:val="15CB2E5C"/>
    <w:rsid w:val="15D35D63"/>
    <w:rsid w:val="15E11B06"/>
    <w:rsid w:val="15E37F2A"/>
    <w:rsid w:val="15E729C1"/>
    <w:rsid w:val="15ED68C0"/>
    <w:rsid w:val="15F40F3E"/>
    <w:rsid w:val="16087E1D"/>
    <w:rsid w:val="16163175"/>
    <w:rsid w:val="161D20DA"/>
    <w:rsid w:val="1628742A"/>
    <w:rsid w:val="1636150A"/>
    <w:rsid w:val="16402818"/>
    <w:rsid w:val="164A0A15"/>
    <w:rsid w:val="1652230F"/>
    <w:rsid w:val="168546F9"/>
    <w:rsid w:val="16871E75"/>
    <w:rsid w:val="16876568"/>
    <w:rsid w:val="168E5D13"/>
    <w:rsid w:val="16900942"/>
    <w:rsid w:val="169F29C0"/>
    <w:rsid w:val="16B363AB"/>
    <w:rsid w:val="16BB593C"/>
    <w:rsid w:val="16BE6539"/>
    <w:rsid w:val="16D27459"/>
    <w:rsid w:val="16D62D08"/>
    <w:rsid w:val="16E77929"/>
    <w:rsid w:val="16ED4AC9"/>
    <w:rsid w:val="16EF0253"/>
    <w:rsid w:val="16F04C88"/>
    <w:rsid w:val="16F073F8"/>
    <w:rsid w:val="16F40618"/>
    <w:rsid w:val="16F47617"/>
    <w:rsid w:val="16FB779D"/>
    <w:rsid w:val="17012CAE"/>
    <w:rsid w:val="171463EC"/>
    <w:rsid w:val="17171570"/>
    <w:rsid w:val="171E1FB2"/>
    <w:rsid w:val="17293217"/>
    <w:rsid w:val="17382892"/>
    <w:rsid w:val="173D4F61"/>
    <w:rsid w:val="174859A4"/>
    <w:rsid w:val="175A2F49"/>
    <w:rsid w:val="17701D14"/>
    <w:rsid w:val="17735226"/>
    <w:rsid w:val="177469AA"/>
    <w:rsid w:val="17795D6E"/>
    <w:rsid w:val="177C3147"/>
    <w:rsid w:val="1780303B"/>
    <w:rsid w:val="17873C05"/>
    <w:rsid w:val="178F6C97"/>
    <w:rsid w:val="17A31135"/>
    <w:rsid w:val="17A45368"/>
    <w:rsid w:val="17BE38F0"/>
    <w:rsid w:val="17C45CFC"/>
    <w:rsid w:val="17CD2ECC"/>
    <w:rsid w:val="17D17D9B"/>
    <w:rsid w:val="17D32963"/>
    <w:rsid w:val="17DE79EE"/>
    <w:rsid w:val="17EC6540"/>
    <w:rsid w:val="17FE4808"/>
    <w:rsid w:val="18047318"/>
    <w:rsid w:val="180A6551"/>
    <w:rsid w:val="182A619E"/>
    <w:rsid w:val="18427A01"/>
    <w:rsid w:val="18500E80"/>
    <w:rsid w:val="1850541B"/>
    <w:rsid w:val="18597D0C"/>
    <w:rsid w:val="185C53DA"/>
    <w:rsid w:val="18620DF1"/>
    <w:rsid w:val="187C6987"/>
    <w:rsid w:val="187E2A36"/>
    <w:rsid w:val="187E6790"/>
    <w:rsid w:val="189C4577"/>
    <w:rsid w:val="189F624C"/>
    <w:rsid w:val="18A65368"/>
    <w:rsid w:val="18A94A1A"/>
    <w:rsid w:val="18AC2047"/>
    <w:rsid w:val="18C13988"/>
    <w:rsid w:val="18C15C1F"/>
    <w:rsid w:val="18D458AF"/>
    <w:rsid w:val="18D61F50"/>
    <w:rsid w:val="18F260A3"/>
    <w:rsid w:val="19042D4B"/>
    <w:rsid w:val="191072D9"/>
    <w:rsid w:val="191C088E"/>
    <w:rsid w:val="19200545"/>
    <w:rsid w:val="192166BD"/>
    <w:rsid w:val="192619F9"/>
    <w:rsid w:val="192A221F"/>
    <w:rsid w:val="192A3C11"/>
    <w:rsid w:val="193E6414"/>
    <w:rsid w:val="196D30D5"/>
    <w:rsid w:val="19792F70"/>
    <w:rsid w:val="197E6E17"/>
    <w:rsid w:val="19894C16"/>
    <w:rsid w:val="198A488C"/>
    <w:rsid w:val="198F382D"/>
    <w:rsid w:val="198F501D"/>
    <w:rsid w:val="199D2CCB"/>
    <w:rsid w:val="19B149ED"/>
    <w:rsid w:val="19B72D05"/>
    <w:rsid w:val="19C90356"/>
    <w:rsid w:val="19C928C3"/>
    <w:rsid w:val="19D46316"/>
    <w:rsid w:val="19DD0824"/>
    <w:rsid w:val="19E84BB7"/>
    <w:rsid w:val="19E954EB"/>
    <w:rsid w:val="1A0B0259"/>
    <w:rsid w:val="1A0E431E"/>
    <w:rsid w:val="1A116C49"/>
    <w:rsid w:val="1A1C66C0"/>
    <w:rsid w:val="1A2A09AC"/>
    <w:rsid w:val="1A307E16"/>
    <w:rsid w:val="1A3723D0"/>
    <w:rsid w:val="1A3C4A63"/>
    <w:rsid w:val="1A42393B"/>
    <w:rsid w:val="1A4B1C44"/>
    <w:rsid w:val="1A4B50F2"/>
    <w:rsid w:val="1A4D71DF"/>
    <w:rsid w:val="1A540F1A"/>
    <w:rsid w:val="1A611C1D"/>
    <w:rsid w:val="1A6A07C8"/>
    <w:rsid w:val="1A7731AD"/>
    <w:rsid w:val="1A8924F5"/>
    <w:rsid w:val="1A8B5D6B"/>
    <w:rsid w:val="1A8E251D"/>
    <w:rsid w:val="1AAD45DE"/>
    <w:rsid w:val="1AB26EEE"/>
    <w:rsid w:val="1AC11F63"/>
    <w:rsid w:val="1AC25B08"/>
    <w:rsid w:val="1ACB5691"/>
    <w:rsid w:val="1AFF7D5C"/>
    <w:rsid w:val="1B046F80"/>
    <w:rsid w:val="1B0724A2"/>
    <w:rsid w:val="1B0966F3"/>
    <w:rsid w:val="1B282C98"/>
    <w:rsid w:val="1B3267B5"/>
    <w:rsid w:val="1B40161D"/>
    <w:rsid w:val="1B436630"/>
    <w:rsid w:val="1B441859"/>
    <w:rsid w:val="1B4B17D0"/>
    <w:rsid w:val="1B4B662B"/>
    <w:rsid w:val="1B4C1B51"/>
    <w:rsid w:val="1B4E5BE7"/>
    <w:rsid w:val="1B5025D5"/>
    <w:rsid w:val="1B6606B1"/>
    <w:rsid w:val="1B71452E"/>
    <w:rsid w:val="1B76262B"/>
    <w:rsid w:val="1B767922"/>
    <w:rsid w:val="1B841F9C"/>
    <w:rsid w:val="1B8532CB"/>
    <w:rsid w:val="1B99355B"/>
    <w:rsid w:val="1BA54BBB"/>
    <w:rsid w:val="1BAB1CF4"/>
    <w:rsid w:val="1BBD5DA1"/>
    <w:rsid w:val="1BC218BC"/>
    <w:rsid w:val="1BC3668F"/>
    <w:rsid w:val="1BC577D4"/>
    <w:rsid w:val="1BCA3AE8"/>
    <w:rsid w:val="1BD357DB"/>
    <w:rsid w:val="1BD85A4A"/>
    <w:rsid w:val="1BDD0647"/>
    <w:rsid w:val="1BDE0422"/>
    <w:rsid w:val="1BE82EEE"/>
    <w:rsid w:val="1BEB0EC3"/>
    <w:rsid w:val="1BF21D20"/>
    <w:rsid w:val="1C000731"/>
    <w:rsid w:val="1C0972CE"/>
    <w:rsid w:val="1C164054"/>
    <w:rsid w:val="1C2C498A"/>
    <w:rsid w:val="1C2D7591"/>
    <w:rsid w:val="1C35495A"/>
    <w:rsid w:val="1C3F372D"/>
    <w:rsid w:val="1C4F0784"/>
    <w:rsid w:val="1C562341"/>
    <w:rsid w:val="1C5B3C94"/>
    <w:rsid w:val="1C5C3297"/>
    <w:rsid w:val="1C5E7925"/>
    <w:rsid w:val="1C5F43F4"/>
    <w:rsid w:val="1C8A720F"/>
    <w:rsid w:val="1C976DD8"/>
    <w:rsid w:val="1C9E3347"/>
    <w:rsid w:val="1CA67B15"/>
    <w:rsid w:val="1CAC0B36"/>
    <w:rsid w:val="1CB00416"/>
    <w:rsid w:val="1CB2219C"/>
    <w:rsid w:val="1CB95B2D"/>
    <w:rsid w:val="1CBC5E39"/>
    <w:rsid w:val="1CCE4D7F"/>
    <w:rsid w:val="1CF17DF1"/>
    <w:rsid w:val="1CF859F0"/>
    <w:rsid w:val="1CFD070F"/>
    <w:rsid w:val="1D044916"/>
    <w:rsid w:val="1D045B51"/>
    <w:rsid w:val="1D0C4D3C"/>
    <w:rsid w:val="1D110AF5"/>
    <w:rsid w:val="1D255E55"/>
    <w:rsid w:val="1D40726E"/>
    <w:rsid w:val="1D450F0F"/>
    <w:rsid w:val="1D4674EB"/>
    <w:rsid w:val="1D501B1F"/>
    <w:rsid w:val="1D530E18"/>
    <w:rsid w:val="1D540896"/>
    <w:rsid w:val="1D5B6B5B"/>
    <w:rsid w:val="1D5C3464"/>
    <w:rsid w:val="1D5F6196"/>
    <w:rsid w:val="1D6132A5"/>
    <w:rsid w:val="1D6E2EAA"/>
    <w:rsid w:val="1D7A5F14"/>
    <w:rsid w:val="1D85110A"/>
    <w:rsid w:val="1D8669BC"/>
    <w:rsid w:val="1D8E56D5"/>
    <w:rsid w:val="1DA10F7D"/>
    <w:rsid w:val="1DB2612A"/>
    <w:rsid w:val="1DC755CC"/>
    <w:rsid w:val="1DCF50CD"/>
    <w:rsid w:val="1DD03D8E"/>
    <w:rsid w:val="1DD537CC"/>
    <w:rsid w:val="1DE70451"/>
    <w:rsid w:val="1DFB7A00"/>
    <w:rsid w:val="1DFC3371"/>
    <w:rsid w:val="1E0610BA"/>
    <w:rsid w:val="1E201ABA"/>
    <w:rsid w:val="1E2D2514"/>
    <w:rsid w:val="1E2F3219"/>
    <w:rsid w:val="1E30063E"/>
    <w:rsid w:val="1E316FA8"/>
    <w:rsid w:val="1E31783F"/>
    <w:rsid w:val="1E3B5B2B"/>
    <w:rsid w:val="1E3C122A"/>
    <w:rsid w:val="1E4C5975"/>
    <w:rsid w:val="1E5350E0"/>
    <w:rsid w:val="1E5A1A7D"/>
    <w:rsid w:val="1E66499E"/>
    <w:rsid w:val="1E700A96"/>
    <w:rsid w:val="1E7A43DA"/>
    <w:rsid w:val="1E8219AC"/>
    <w:rsid w:val="1E8A0A57"/>
    <w:rsid w:val="1E8C242B"/>
    <w:rsid w:val="1E902A21"/>
    <w:rsid w:val="1E9A4B02"/>
    <w:rsid w:val="1E9A4C87"/>
    <w:rsid w:val="1E9B0CC0"/>
    <w:rsid w:val="1EA56A87"/>
    <w:rsid w:val="1EA948D9"/>
    <w:rsid w:val="1EAF4327"/>
    <w:rsid w:val="1ECA2A70"/>
    <w:rsid w:val="1EDE2D24"/>
    <w:rsid w:val="1EEE7824"/>
    <w:rsid w:val="1EF64AA7"/>
    <w:rsid w:val="1EFC68AB"/>
    <w:rsid w:val="1F000D3C"/>
    <w:rsid w:val="1F030649"/>
    <w:rsid w:val="1F071EB1"/>
    <w:rsid w:val="1F2A0802"/>
    <w:rsid w:val="1F3003F0"/>
    <w:rsid w:val="1F365C14"/>
    <w:rsid w:val="1F371858"/>
    <w:rsid w:val="1F3B17A4"/>
    <w:rsid w:val="1F444AA3"/>
    <w:rsid w:val="1F4A2C61"/>
    <w:rsid w:val="1F5160A0"/>
    <w:rsid w:val="1F534769"/>
    <w:rsid w:val="1F5648C6"/>
    <w:rsid w:val="1F5A3BBE"/>
    <w:rsid w:val="1F9D444D"/>
    <w:rsid w:val="1FA830C0"/>
    <w:rsid w:val="1FAF3CD8"/>
    <w:rsid w:val="1FB93A53"/>
    <w:rsid w:val="1FBF796E"/>
    <w:rsid w:val="1FC50859"/>
    <w:rsid w:val="1FD768BD"/>
    <w:rsid w:val="1FE7539E"/>
    <w:rsid w:val="1FE85338"/>
    <w:rsid w:val="1FF266D9"/>
    <w:rsid w:val="1FF50C6C"/>
    <w:rsid w:val="1FF63FC9"/>
    <w:rsid w:val="200B56AA"/>
    <w:rsid w:val="201027E4"/>
    <w:rsid w:val="20142D4B"/>
    <w:rsid w:val="20212A51"/>
    <w:rsid w:val="202B2633"/>
    <w:rsid w:val="20377635"/>
    <w:rsid w:val="203A5653"/>
    <w:rsid w:val="203B11E6"/>
    <w:rsid w:val="204213F3"/>
    <w:rsid w:val="20582E9D"/>
    <w:rsid w:val="20671BE0"/>
    <w:rsid w:val="20740F5F"/>
    <w:rsid w:val="208D23E2"/>
    <w:rsid w:val="208E4638"/>
    <w:rsid w:val="208F1E39"/>
    <w:rsid w:val="20921E2E"/>
    <w:rsid w:val="20963CB8"/>
    <w:rsid w:val="209F49CA"/>
    <w:rsid w:val="20A81A1B"/>
    <w:rsid w:val="20AA185C"/>
    <w:rsid w:val="20B07FB6"/>
    <w:rsid w:val="20B646FB"/>
    <w:rsid w:val="20BB3444"/>
    <w:rsid w:val="20BC61F4"/>
    <w:rsid w:val="20BE7C7B"/>
    <w:rsid w:val="20C12EC5"/>
    <w:rsid w:val="20C91B14"/>
    <w:rsid w:val="20D13637"/>
    <w:rsid w:val="20EA1F62"/>
    <w:rsid w:val="20F36B91"/>
    <w:rsid w:val="20FD29AF"/>
    <w:rsid w:val="21102F6B"/>
    <w:rsid w:val="21166671"/>
    <w:rsid w:val="212A1E87"/>
    <w:rsid w:val="212A5D7E"/>
    <w:rsid w:val="21387CF4"/>
    <w:rsid w:val="213B74B1"/>
    <w:rsid w:val="21487CF7"/>
    <w:rsid w:val="214E04CE"/>
    <w:rsid w:val="21534951"/>
    <w:rsid w:val="215A2310"/>
    <w:rsid w:val="21635AC5"/>
    <w:rsid w:val="21661111"/>
    <w:rsid w:val="21662978"/>
    <w:rsid w:val="216D0203"/>
    <w:rsid w:val="21717D35"/>
    <w:rsid w:val="21750DF3"/>
    <w:rsid w:val="217C0970"/>
    <w:rsid w:val="21820222"/>
    <w:rsid w:val="21887C5C"/>
    <w:rsid w:val="21892528"/>
    <w:rsid w:val="21935C0A"/>
    <w:rsid w:val="219B01C6"/>
    <w:rsid w:val="21A71675"/>
    <w:rsid w:val="21A76633"/>
    <w:rsid w:val="21A93A72"/>
    <w:rsid w:val="21B31E7D"/>
    <w:rsid w:val="21B824D2"/>
    <w:rsid w:val="21BD306C"/>
    <w:rsid w:val="21C14E05"/>
    <w:rsid w:val="21C269B2"/>
    <w:rsid w:val="21DA00CF"/>
    <w:rsid w:val="21DC101E"/>
    <w:rsid w:val="21DE318A"/>
    <w:rsid w:val="21EF5B80"/>
    <w:rsid w:val="21F370FB"/>
    <w:rsid w:val="21F4496F"/>
    <w:rsid w:val="220D6CE5"/>
    <w:rsid w:val="22151649"/>
    <w:rsid w:val="221B063A"/>
    <w:rsid w:val="221C50A5"/>
    <w:rsid w:val="221E1709"/>
    <w:rsid w:val="22220A5D"/>
    <w:rsid w:val="2241018F"/>
    <w:rsid w:val="22477EA7"/>
    <w:rsid w:val="2256335D"/>
    <w:rsid w:val="22576990"/>
    <w:rsid w:val="225A30A5"/>
    <w:rsid w:val="225D0F33"/>
    <w:rsid w:val="225F08AB"/>
    <w:rsid w:val="227C4DBE"/>
    <w:rsid w:val="227D3C06"/>
    <w:rsid w:val="228068E1"/>
    <w:rsid w:val="228221D1"/>
    <w:rsid w:val="229878BE"/>
    <w:rsid w:val="229E25A5"/>
    <w:rsid w:val="229F3A00"/>
    <w:rsid w:val="22A021E2"/>
    <w:rsid w:val="22B23712"/>
    <w:rsid w:val="22B97967"/>
    <w:rsid w:val="22B97C4E"/>
    <w:rsid w:val="22C3296A"/>
    <w:rsid w:val="22E50020"/>
    <w:rsid w:val="22EC6356"/>
    <w:rsid w:val="22F47480"/>
    <w:rsid w:val="22F84D6E"/>
    <w:rsid w:val="22FA5C19"/>
    <w:rsid w:val="23152E9C"/>
    <w:rsid w:val="2318004D"/>
    <w:rsid w:val="23232DB5"/>
    <w:rsid w:val="233A0AA7"/>
    <w:rsid w:val="236905A5"/>
    <w:rsid w:val="236B0C61"/>
    <w:rsid w:val="237A6E73"/>
    <w:rsid w:val="238622A0"/>
    <w:rsid w:val="23913300"/>
    <w:rsid w:val="239612F3"/>
    <w:rsid w:val="23973DCD"/>
    <w:rsid w:val="239A75E7"/>
    <w:rsid w:val="23AC70E5"/>
    <w:rsid w:val="23B812F6"/>
    <w:rsid w:val="23BD0ED4"/>
    <w:rsid w:val="23C7285F"/>
    <w:rsid w:val="23D033B6"/>
    <w:rsid w:val="23D27417"/>
    <w:rsid w:val="23DE1C48"/>
    <w:rsid w:val="23DF134A"/>
    <w:rsid w:val="23F13E30"/>
    <w:rsid w:val="23F32719"/>
    <w:rsid w:val="240210CD"/>
    <w:rsid w:val="240A2666"/>
    <w:rsid w:val="240E6741"/>
    <w:rsid w:val="241778CE"/>
    <w:rsid w:val="241B59DB"/>
    <w:rsid w:val="24235C16"/>
    <w:rsid w:val="24282DAE"/>
    <w:rsid w:val="242A5E68"/>
    <w:rsid w:val="2433212B"/>
    <w:rsid w:val="24381196"/>
    <w:rsid w:val="244071E6"/>
    <w:rsid w:val="24416189"/>
    <w:rsid w:val="2445076E"/>
    <w:rsid w:val="245623CD"/>
    <w:rsid w:val="24566135"/>
    <w:rsid w:val="245825DE"/>
    <w:rsid w:val="246B7BA6"/>
    <w:rsid w:val="247362CD"/>
    <w:rsid w:val="24831576"/>
    <w:rsid w:val="248C4776"/>
    <w:rsid w:val="24A531E8"/>
    <w:rsid w:val="24AD1796"/>
    <w:rsid w:val="24BA7F43"/>
    <w:rsid w:val="24BF09F7"/>
    <w:rsid w:val="24C050A6"/>
    <w:rsid w:val="24C968BE"/>
    <w:rsid w:val="24D2419B"/>
    <w:rsid w:val="24E91B1D"/>
    <w:rsid w:val="24EB2372"/>
    <w:rsid w:val="24EB4412"/>
    <w:rsid w:val="24F106AB"/>
    <w:rsid w:val="24F45A9C"/>
    <w:rsid w:val="24F9229C"/>
    <w:rsid w:val="24FC2C9C"/>
    <w:rsid w:val="24FE77F3"/>
    <w:rsid w:val="25193EB8"/>
    <w:rsid w:val="251A2B4A"/>
    <w:rsid w:val="252D53FE"/>
    <w:rsid w:val="25320648"/>
    <w:rsid w:val="254656B6"/>
    <w:rsid w:val="25477A4D"/>
    <w:rsid w:val="254A5E9F"/>
    <w:rsid w:val="255C164F"/>
    <w:rsid w:val="256F5C20"/>
    <w:rsid w:val="258A35DB"/>
    <w:rsid w:val="25902C01"/>
    <w:rsid w:val="25B72B78"/>
    <w:rsid w:val="25C7686C"/>
    <w:rsid w:val="25D31498"/>
    <w:rsid w:val="25D84A59"/>
    <w:rsid w:val="25DC2EFE"/>
    <w:rsid w:val="25EC2D81"/>
    <w:rsid w:val="25F30FFE"/>
    <w:rsid w:val="25F857B1"/>
    <w:rsid w:val="25FD24C9"/>
    <w:rsid w:val="26133D5A"/>
    <w:rsid w:val="2616026C"/>
    <w:rsid w:val="262A1F68"/>
    <w:rsid w:val="26315C13"/>
    <w:rsid w:val="26604EC4"/>
    <w:rsid w:val="266B3CBC"/>
    <w:rsid w:val="267036F1"/>
    <w:rsid w:val="26786C4A"/>
    <w:rsid w:val="267E20CB"/>
    <w:rsid w:val="26834641"/>
    <w:rsid w:val="26845A8B"/>
    <w:rsid w:val="26920BFA"/>
    <w:rsid w:val="2696638B"/>
    <w:rsid w:val="269C2414"/>
    <w:rsid w:val="269D1613"/>
    <w:rsid w:val="26A22B0C"/>
    <w:rsid w:val="26B20955"/>
    <w:rsid w:val="26B27841"/>
    <w:rsid w:val="26B72725"/>
    <w:rsid w:val="26BC36B6"/>
    <w:rsid w:val="26BE70E3"/>
    <w:rsid w:val="26C911A5"/>
    <w:rsid w:val="26CC7C82"/>
    <w:rsid w:val="26CD28A8"/>
    <w:rsid w:val="26CF054A"/>
    <w:rsid w:val="26F617CC"/>
    <w:rsid w:val="26F84502"/>
    <w:rsid w:val="26FA75F0"/>
    <w:rsid w:val="26FA7F5F"/>
    <w:rsid w:val="2706105F"/>
    <w:rsid w:val="270A69E3"/>
    <w:rsid w:val="271067A9"/>
    <w:rsid w:val="27132C26"/>
    <w:rsid w:val="27141F6E"/>
    <w:rsid w:val="271615B7"/>
    <w:rsid w:val="271D5631"/>
    <w:rsid w:val="27220408"/>
    <w:rsid w:val="272E2F7E"/>
    <w:rsid w:val="272F4CFD"/>
    <w:rsid w:val="273745A7"/>
    <w:rsid w:val="27404151"/>
    <w:rsid w:val="274273F4"/>
    <w:rsid w:val="27471E63"/>
    <w:rsid w:val="27595274"/>
    <w:rsid w:val="275D3A64"/>
    <w:rsid w:val="27632D96"/>
    <w:rsid w:val="277057A2"/>
    <w:rsid w:val="27796555"/>
    <w:rsid w:val="277976C4"/>
    <w:rsid w:val="27824A34"/>
    <w:rsid w:val="278B57CE"/>
    <w:rsid w:val="278F777C"/>
    <w:rsid w:val="27984D81"/>
    <w:rsid w:val="27992FAE"/>
    <w:rsid w:val="27AF1AC7"/>
    <w:rsid w:val="27BB0525"/>
    <w:rsid w:val="27C71D03"/>
    <w:rsid w:val="27CE22F0"/>
    <w:rsid w:val="27CE6E7A"/>
    <w:rsid w:val="27D56FF1"/>
    <w:rsid w:val="27F84EB1"/>
    <w:rsid w:val="27FC5D8B"/>
    <w:rsid w:val="28043145"/>
    <w:rsid w:val="280B2251"/>
    <w:rsid w:val="281D0D7A"/>
    <w:rsid w:val="281F423C"/>
    <w:rsid w:val="28237451"/>
    <w:rsid w:val="282717A0"/>
    <w:rsid w:val="282A5461"/>
    <w:rsid w:val="282C72C9"/>
    <w:rsid w:val="283E3DAE"/>
    <w:rsid w:val="283F0189"/>
    <w:rsid w:val="28565E67"/>
    <w:rsid w:val="28585637"/>
    <w:rsid w:val="285D2D4B"/>
    <w:rsid w:val="2872440F"/>
    <w:rsid w:val="287E0040"/>
    <w:rsid w:val="28812CD5"/>
    <w:rsid w:val="2896616C"/>
    <w:rsid w:val="289B2DC5"/>
    <w:rsid w:val="289C413C"/>
    <w:rsid w:val="28A320E2"/>
    <w:rsid w:val="28B24AEB"/>
    <w:rsid w:val="28B43034"/>
    <w:rsid w:val="28BF5EFC"/>
    <w:rsid w:val="28CE6B57"/>
    <w:rsid w:val="28D20CCC"/>
    <w:rsid w:val="28D92608"/>
    <w:rsid w:val="28E83C18"/>
    <w:rsid w:val="28F54FC9"/>
    <w:rsid w:val="28FB3492"/>
    <w:rsid w:val="29024B0A"/>
    <w:rsid w:val="29143826"/>
    <w:rsid w:val="2914407B"/>
    <w:rsid w:val="291A2054"/>
    <w:rsid w:val="29206EB8"/>
    <w:rsid w:val="29543ED0"/>
    <w:rsid w:val="29591D74"/>
    <w:rsid w:val="29595666"/>
    <w:rsid w:val="29613771"/>
    <w:rsid w:val="296A7483"/>
    <w:rsid w:val="296C746C"/>
    <w:rsid w:val="29723E92"/>
    <w:rsid w:val="29802616"/>
    <w:rsid w:val="29874881"/>
    <w:rsid w:val="299C5AE8"/>
    <w:rsid w:val="29A45020"/>
    <w:rsid w:val="29AC0FCF"/>
    <w:rsid w:val="29AF0CD6"/>
    <w:rsid w:val="29B27474"/>
    <w:rsid w:val="29B55D87"/>
    <w:rsid w:val="29B64C00"/>
    <w:rsid w:val="29BD2149"/>
    <w:rsid w:val="29C8776E"/>
    <w:rsid w:val="29C92429"/>
    <w:rsid w:val="29DA054A"/>
    <w:rsid w:val="29DD6908"/>
    <w:rsid w:val="29E325E0"/>
    <w:rsid w:val="29E41608"/>
    <w:rsid w:val="29EC33D7"/>
    <w:rsid w:val="2A0C2A72"/>
    <w:rsid w:val="2A106766"/>
    <w:rsid w:val="2A1372FD"/>
    <w:rsid w:val="2A160791"/>
    <w:rsid w:val="2A171FB4"/>
    <w:rsid w:val="2A1F6F74"/>
    <w:rsid w:val="2A2666F2"/>
    <w:rsid w:val="2A2D7E2D"/>
    <w:rsid w:val="2A3B1337"/>
    <w:rsid w:val="2A452503"/>
    <w:rsid w:val="2A4673D3"/>
    <w:rsid w:val="2A573CED"/>
    <w:rsid w:val="2A5C7E9A"/>
    <w:rsid w:val="2A61266A"/>
    <w:rsid w:val="2A7073EF"/>
    <w:rsid w:val="2A97662E"/>
    <w:rsid w:val="2AA25D91"/>
    <w:rsid w:val="2AA55D3D"/>
    <w:rsid w:val="2AAA704A"/>
    <w:rsid w:val="2AB00920"/>
    <w:rsid w:val="2AB515FF"/>
    <w:rsid w:val="2AC04168"/>
    <w:rsid w:val="2AE13EFE"/>
    <w:rsid w:val="2AE70E41"/>
    <w:rsid w:val="2B071F28"/>
    <w:rsid w:val="2B0B261A"/>
    <w:rsid w:val="2B125E66"/>
    <w:rsid w:val="2B14664C"/>
    <w:rsid w:val="2B1D6F79"/>
    <w:rsid w:val="2B3967F7"/>
    <w:rsid w:val="2B4F7232"/>
    <w:rsid w:val="2B504FC6"/>
    <w:rsid w:val="2B5630A4"/>
    <w:rsid w:val="2B577D1D"/>
    <w:rsid w:val="2B626238"/>
    <w:rsid w:val="2B6C7C6C"/>
    <w:rsid w:val="2B710514"/>
    <w:rsid w:val="2B7D286C"/>
    <w:rsid w:val="2B7D66FA"/>
    <w:rsid w:val="2B83326A"/>
    <w:rsid w:val="2B91598A"/>
    <w:rsid w:val="2B9920E3"/>
    <w:rsid w:val="2BA936A8"/>
    <w:rsid w:val="2BBB02AC"/>
    <w:rsid w:val="2BD25580"/>
    <w:rsid w:val="2BF42A52"/>
    <w:rsid w:val="2BF67536"/>
    <w:rsid w:val="2BF87063"/>
    <w:rsid w:val="2BFC3C9D"/>
    <w:rsid w:val="2C0D37B7"/>
    <w:rsid w:val="2C315A5A"/>
    <w:rsid w:val="2C456E2F"/>
    <w:rsid w:val="2C4B1C25"/>
    <w:rsid w:val="2C633404"/>
    <w:rsid w:val="2C6B229C"/>
    <w:rsid w:val="2C6D5BF2"/>
    <w:rsid w:val="2C774E6F"/>
    <w:rsid w:val="2C7F752B"/>
    <w:rsid w:val="2C8D32AA"/>
    <w:rsid w:val="2C9F1939"/>
    <w:rsid w:val="2CA61A69"/>
    <w:rsid w:val="2CA86B3D"/>
    <w:rsid w:val="2CAD0EAE"/>
    <w:rsid w:val="2CC92615"/>
    <w:rsid w:val="2CCC5419"/>
    <w:rsid w:val="2CDC672B"/>
    <w:rsid w:val="2CE62599"/>
    <w:rsid w:val="2CEB52E9"/>
    <w:rsid w:val="2CFF137C"/>
    <w:rsid w:val="2D0517A1"/>
    <w:rsid w:val="2D0559AE"/>
    <w:rsid w:val="2D1452E9"/>
    <w:rsid w:val="2D221977"/>
    <w:rsid w:val="2D283F8A"/>
    <w:rsid w:val="2D2859AB"/>
    <w:rsid w:val="2D2D5CAA"/>
    <w:rsid w:val="2D362C6C"/>
    <w:rsid w:val="2D3E1F7A"/>
    <w:rsid w:val="2D5306F0"/>
    <w:rsid w:val="2D5D1396"/>
    <w:rsid w:val="2D626446"/>
    <w:rsid w:val="2D991E6D"/>
    <w:rsid w:val="2D9C2353"/>
    <w:rsid w:val="2D9E56F5"/>
    <w:rsid w:val="2D9F200C"/>
    <w:rsid w:val="2DA63188"/>
    <w:rsid w:val="2DB42494"/>
    <w:rsid w:val="2DB458E8"/>
    <w:rsid w:val="2DC21DC5"/>
    <w:rsid w:val="2DC30385"/>
    <w:rsid w:val="2DCB5298"/>
    <w:rsid w:val="2DCE561C"/>
    <w:rsid w:val="2E026527"/>
    <w:rsid w:val="2E035256"/>
    <w:rsid w:val="2E1D187F"/>
    <w:rsid w:val="2E1D3151"/>
    <w:rsid w:val="2E277E7A"/>
    <w:rsid w:val="2E307AF1"/>
    <w:rsid w:val="2E390B99"/>
    <w:rsid w:val="2E3B46E2"/>
    <w:rsid w:val="2E5A140D"/>
    <w:rsid w:val="2E667F96"/>
    <w:rsid w:val="2E683703"/>
    <w:rsid w:val="2E6D4B86"/>
    <w:rsid w:val="2E763AC9"/>
    <w:rsid w:val="2E764ED8"/>
    <w:rsid w:val="2E7D4571"/>
    <w:rsid w:val="2E8226AB"/>
    <w:rsid w:val="2E837BD7"/>
    <w:rsid w:val="2E940352"/>
    <w:rsid w:val="2E950C43"/>
    <w:rsid w:val="2E951288"/>
    <w:rsid w:val="2E9D3123"/>
    <w:rsid w:val="2EA55E4F"/>
    <w:rsid w:val="2EBB0772"/>
    <w:rsid w:val="2EBD258D"/>
    <w:rsid w:val="2ECE2D8A"/>
    <w:rsid w:val="2EDC7180"/>
    <w:rsid w:val="2EF674C5"/>
    <w:rsid w:val="2F0A6143"/>
    <w:rsid w:val="2F1A6268"/>
    <w:rsid w:val="2F1C78EC"/>
    <w:rsid w:val="2F2935DC"/>
    <w:rsid w:val="2F3305C7"/>
    <w:rsid w:val="2F3C05D8"/>
    <w:rsid w:val="2F4438C8"/>
    <w:rsid w:val="2F697267"/>
    <w:rsid w:val="2F6F7D2B"/>
    <w:rsid w:val="2F767FFC"/>
    <w:rsid w:val="2F7D3419"/>
    <w:rsid w:val="2F7E119A"/>
    <w:rsid w:val="2F8B4FF8"/>
    <w:rsid w:val="2FA15C02"/>
    <w:rsid w:val="2FA54A0C"/>
    <w:rsid w:val="2FB402A0"/>
    <w:rsid w:val="2FBA50C8"/>
    <w:rsid w:val="2FC76E72"/>
    <w:rsid w:val="2FCD61A7"/>
    <w:rsid w:val="2FD065E6"/>
    <w:rsid w:val="2FD52EA4"/>
    <w:rsid w:val="2FD96870"/>
    <w:rsid w:val="2FE4532F"/>
    <w:rsid w:val="2FEC2B4C"/>
    <w:rsid w:val="2FEF0EC7"/>
    <w:rsid w:val="301F02D2"/>
    <w:rsid w:val="30261285"/>
    <w:rsid w:val="30261293"/>
    <w:rsid w:val="30287447"/>
    <w:rsid w:val="30297EDA"/>
    <w:rsid w:val="30380A4B"/>
    <w:rsid w:val="30425EAA"/>
    <w:rsid w:val="304308C8"/>
    <w:rsid w:val="3043457C"/>
    <w:rsid w:val="30490EB7"/>
    <w:rsid w:val="30524BCF"/>
    <w:rsid w:val="30580BC9"/>
    <w:rsid w:val="30603367"/>
    <w:rsid w:val="306147F7"/>
    <w:rsid w:val="30865078"/>
    <w:rsid w:val="309061AB"/>
    <w:rsid w:val="309D30DC"/>
    <w:rsid w:val="30B20F03"/>
    <w:rsid w:val="30BF5483"/>
    <w:rsid w:val="30CB14BA"/>
    <w:rsid w:val="30CF010F"/>
    <w:rsid w:val="30D27E19"/>
    <w:rsid w:val="30F26644"/>
    <w:rsid w:val="30F73D99"/>
    <w:rsid w:val="30F76BA0"/>
    <w:rsid w:val="30F82EC7"/>
    <w:rsid w:val="3104519B"/>
    <w:rsid w:val="311232B3"/>
    <w:rsid w:val="31186D98"/>
    <w:rsid w:val="311E2ED7"/>
    <w:rsid w:val="311F5A9F"/>
    <w:rsid w:val="312008EF"/>
    <w:rsid w:val="31327262"/>
    <w:rsid w:val="313E03D1"/>
    <w:rsid w:val="315619EE"/>
    <w:rsid w:val="315C449C"/>
    <w:rsid w:val="3164172B"/>
    <w:rsid w:val="31665737"/>
    <w:rsid w:val="31791AD6"/>
    <w:rsid w:val="318200EF"/>
    <w:rsid w:val="31863416"/>
    <w:rsid w:val="319149B8"/>
    <w:rsid w:val="319739E0"/>
    <w:rsid w:val="319E0CB1"/>
    <w:rsid w:val="31A6415D"/>
    <w:rsid w:val="31B82709"/>
    <w:rsid w:val="31D01C84"/>
    <w:rsid w:val="31D05482"/>
    <w:rsid w:val="31DA0546"/>
    <w:rsid w:val="31DB3455"/>
    <w:rsid w:val="31E04D14"/>
    <w:rsid w:val="31E51DEC"/>
    <w:rsid w:val="31F931D4"/>
    <w:rsid w:val="31FD5F2E"/>
    <w:rsid w:val="320E097D"/>
    <w:rsid w:val="320F2E42"/>
    <w:rsid w:val="321E1241"/>
    <w:rsid w:val="322375E9"/>
    <w:rsid w:val="3235023E"/>
    <w:rsid w:val="32391589"/>
    <w:rsid w:val="32400B34"/>
    <w:rsid w:val="3242046E"/>
    <w:rsid w:val="324E4148"/>
    <w:rsid w:val="32517D41"/>
    <w:rsid w:val="32523A15"/>
    <w:rsid w:val="325543FA"/>
    <w:rsid w:val="325925CC"/>
    <w:rsid w:val="32636A22"/>
    <w:rsid w:val="32643BB3"/>
    <w:rsid w:val="326467A2"/>
    <w:rsid w:val="32793B57"/>
    <w:rsid w:val="32824CDA"/>
    <w:rsid w:val="32931788"/>
    <w:rsid w:val="32933F66"/>
    <w:rsid w:val="32936C96"/>
    <w:rsid w:val="329E6876"/>
    <w:rsid w:val="32A358B1"/>
    <w:rsid w:val="32BA0BCB"/>
    <w:rsid w:val="32BB591E"/>
    <w:rsid w:val="32C04049"/>
    <w:rsid w:val="32C95236"/>
    <w:rsid w:val="32CD36DC"/>
    <w:rsid w:val="32CE0992"/>
    <w:rsid w:val="32DB5133"/>
    <w:rsid w:val="32E219F9"/>
    <w:rsid w:val="32E27F28"/>
    <w:rsid w:val="32FC1FA8"/>
    <w:rsid w:val="33134097"/>
    <w:rsid w:val="331535C2"/>
    <w:rsid w:val="331D600F"/>
    <w:rsid w:val="332C6E95"/>
    <w:rsid w:val="332D12C9"/>
    <w:rsid w:val="333015F2"/>
    <w:rsid w:val="33316126"/>
    <w:rsid w:val="333B3387"/>
    <w:rsid w:val="334762CB"/>
    <w:rsid w:val="334B03E0"/>
    <w:rsid w:val="334B6320"/>
    <w:rsid w:val="335B079C"/>
    <w:rsid w:val="33677F67"/>
    <w:rsid w:val="336A7B09"/>
    <w:rsid w:val="337612A9"/>
    <w:rsid w:val="33776620"/>
    <w:rsid w:val="337978AB"/>
    <w:rsid w:val="337F21F6"/>
    <w:rsid w:val="33810301"/>
    <w:rsid w:val="33813B89"/>
    <w:rsid w:val="33B3766C"/>
    <w:rsid w:val="33B7569C"/>
    <w:rsid w:val="33BC6D80"/>
    <w:rsid w:val="33BD3D6A"/>
    <w:rsid w:val="33D77E68"/>
    <w:rsid w:val="33D934D4"/>
    <w:rsid w:val="33E96032"/>
    <w:rsid w:val="33EA5724"/>
    <w:rsid w:val="33F66E3E"/>
    <w:rsid w:val="33FB1944"/>
    <w:rsid w:val="33FE2F6A"/>
    <w:rsid w:val="340E07E5"/>
    <w:rsid w:val="34140696"/>
    <w:rsid w:val="341B6826"/>
    <w:rsid w:val="34235BF7"/>
    <w:rsid w:val="34245A4A"/>
    <w:rsid w:val="34282BAC"/>
    <w:rsid w:val="34390358"/>
    <w:rsid w:val="34414A34"/>
    <w:rsid w:val="34535CBC"/>
    <w:rsid w:val="345D2BFA"/>
    <w:rsid w:val="346E115F"/>
    <w:rsid w:val="3470083B"/>
    <w:rsid w:val="348A120E"/>
    <w:rsid w:val="34933471"/>
    <w:rsid w:val="349A6A82"/>
    <w:rsid w:val="349D2F9C"/>
    <w:rsid w:val="34A30DA0"/>
    <w:rsid w:val="34C04B85"/>
    <w:rsid w:val="34C208FD"/>
    <w:rsid w:val="34C66462"/>
    <w:rsid w:val="34D12E92"/>
    <w:rsid w:val="34D210E9"/>
    <w:rsid w:val="34DB32CC"/>
    <w:rsid w:val="34DF7821"/>
    <w:rsid w:val="34E17974"/>
    <w:rsid w:val="34E270BE"/>
    <w:rsid w:val="34EB1226"/>
    <w:rsid w:val="34EE63EB"/>
    <w:rsid w:val="34F22DD9"/>
    <w:rsid w:val="350A4B64"/>
    <w:rsid w:val="350C5C16"/>
    <w:rsid w:val="350E769E"/>
    <w:rsid w:val="35191C89"/>
    <w:rsid w:val="35192648"/>
    <w:rsid w:val="3522023B"/>
    <w:rsid w:val="3522139B"/>
    <w:rsid w:val="35352D89"/>
    <w:rsid w:val="353F446F"/>
    <w:rsid w:val="35460C2E"/>
    <w:rsid w:val="354A7874"/>
    <w:rsid w:val="355B1D15"/>
    <w:rsid w:val="35633C30"/>
    <w:rsid w:val="356F4E8B"/>
    <w:rsid w:val="357858BD"/>
    <w:rsid w:val="357D64B6"/>
    <w:rsid w:val="358C5FA8"/>
    <w:rsid w:val="35A045BE"/>
    <w:rsid w:val="35AA1526"/>
    <w:rsid w:val="35B91122"/>
    <w:rsid w:val="35C15DF1"/>
    <w:rsid w:val="35D47460"/>
    <w:rsid w:val="35DC07E5"/>
    <w:rsid w:val="35DD68E7"/>
    <w:rsid w:val="35E623C9"/>
    <w:rsid w:val="35E743FA"/>
    <w:rsid w:val="35EF6C9F"/>
    <w:rsid w:val="35F12F68"/>
    <w:rsid w:val="35F20FF5"/>
    <w:rsid w:val="35F563D6"/>
    <w:rsid w:val="36074A7F"/>
    <w:rsid w:val="360A2F7C"/>
    <w:rsid w:val="362E5823"/>
    <w:rsid w:val="36444AC2"/>
    <w:rsid w:val="364F5093"/>
    <w:rsid w:val="36515E65"/>
    <w:rsid w:val="365E6403"/>
    <w:rsid w:val="366B1632"/>
    <w:rsid w:val="366C7750"/>
    <w:rsid w:val="366D5F0F"/>
    <w:rsid w:val="36721EAF"/>
    <w:rsid w:val="3673600E"/>
    <w:rsid w:val="367A3C30"/>
    <w:rsid w:val="36923549"/>
    <w:rsid w:val="36A433D1"/>
    <w:rsid w:val="36AD060C"/>
    <w:rsid w:val="36B75FBF"/>
    <w:rsid w:val="36BD0C45"/>
    <w:rsid w:val="36C209D3"/>
    <w:rsid w:val="36D5659F"/>
    <w:rsid w:val="36DC59D8"/>
    <w:rsid w:val="36E07D41"/>
    <w:rsid w:val="36F6488E"/>
    <w:rsid w:val="36FB6AED"/>
    <w:rsid w:val="37030298"/>
    <w:rsid w:val="37162131"/>
    <w:rsid w:val="371C7992"/>
    <w:rsid w:val="372E4281"/>
    <w:rsid w:val="37387B46"/>
    <w:rsid w:val="374E1E16"/>
    <w:rsid w:val="375502EE"/>
    <w:rsid w:val="375C316C"/>
    <w:rsid w:val="376900EA"/>
    <w:rsid w:val="376F6A7A"/>
    <w:rsid w:val="3776791C"/>
    <w:rsid w:val="37810A42"/>
    <w:rsid w:val="3788107B"/>
    <w:rsid w:val="379E56D6"/>
    <w:rsid w:val="37A16506"/>
    <w:rsid w:val="37A55E9A"/>
    <w:rsid w:val="37AA2BDB"/>
    <w:rsid w:val="37B0680F"/>
    <w:rsid w:val="37B57329"/>
    <w:rsid w:val="37B84CF6"/>
    <w:rsid w:val="37BE7901"/>
    <w:rsid w:val="37C51186"/>
    <w:rsid w:val="37C51302"/>
    <w:rsid w:val="37CD436F"/>
    <w:rsid w:val="37DE4095"/>
    <w:rsid w:val="37E00298"/>
    <w:rsid w:val="37F5452D"/>
    <w:rsid w:val="38061B1B"/>
    <w:rsid w:val="380C122B"/>
    <w:rsid w:val="381273B1"/>
    <w:rsid w:val="38161052"/>
    <w:rsid w:val="381C0D78"/>
    <w:rsid w:val="3827329A"/>
    <w:rsid w:val="38494CA3"/>
    <w:rsid w:val="384B6F4A"/>
    <w:rsid w:val="385929E6"/>
    <w:rsid w:val="38607582"/>
    <w:rsid w:val="38672332"/>
    <w:rsid w:val="386960A5"/>
    <w:rsid w:val="387172F5"/>
    <w:rsid w:val="38884EB4"/>
    <w:rsid w:val="388E013B"/>
    <w:rsid w:val="38920F87"/>
    <w:rsid w:val="38993FF8"/>
    <w:rsid w:val="389B3FEF"/>
    <w:rsid w:val="389B6184"/>
    <w:rsid w:val="38A67E03"/>
    <w:rsid w:val="38A85BDE"/>
    <w:rsid w:val="38B22A36"/>
    <w:rsid w:val="38B302F9"/>
    <w:rsid w:val="38B355A9"/>
    <w:rsid w:val="38B841F3"/>
    <w:rsid w:val="38BF67F4"/>
    <w:rsid w:val="38F12CD3"/>
    <w:rsid w:val="38F166B6"/>
    <w:rsid w:val="38F55D98"/>
    <w:rsid w:val="38F85B44"/>
    <w:rsid w:val="38F94775"/>
    <w:rsid w:val="390F20DE"/>
    <w:rsid w:val="391E6D1F"/>
    <w:rsid w:val="39244328"/>
    <w:rsid w:val="392971ED"/>
    <w:rsid w:val="39325651"/>
    <w:rsid w:val="393D5304"/>
    <w:rsid w:val="3945314C"/>
    <w:rsid w:val="3949409C"/>
    <w:rsid w:val="39532E53"/>
    <w:rsid w:val="39655C46"/>
    <w:rsid w:val="396B6612"/>
    <w:rsid w:val="396D1532"/>
    <w:rsid w:val="397E471B"/>
    <w:rsid w:val="398F3BBD"/>
    <w:rsid w:val="3991089E"/>
    <w:rsid w:val="39962F1F"/>
    <w:rsid w:val="39A20B18"/>
    <w:rsid w:val="39C00299"/>
    <w:rsid w:val="39C25737"/>
    <w:rsid w:val="39CE6D5A"/>
    <w:rsid w:val="39D311CF"/>
    <w:rsid w:val="39D54BBA"/>
    <w:rsid w:val="39E6198E"/>
    <w:rsid w:val="39EB46D1"/>
    <w:rsid w:val="39F72E11"/>
    <w:rsid w:val="3A087F35"/>
    <w:rsid w:val="3A1872C2"/>
    <w:rsid w:val="3A36334B"/>
    <w:rsid w:val="3A3C4CAD"/>
    <w:rsid w:val="3A4765DC"/>
    <w:rsid w:val="3A5426B5"/>
    <w:rsid w:val="3A543763"/>
    <w:rsid w:val="3A567D0D"/>
    <w:rsid w:val="3A5A3559"/>
    <w:rsid w:val="3A5E0654"/>
    <w:rsid w:val="3A5F086E"/>
    <w:rsid w:val="3A63335F"/>
    <w:rsid w:val="3A6D130B"/>
    <w:rsid w:val="3A7F6128"/>
    <w:rsid w:val="3A844D66"/>
    <w:rsid w:val="3A872856"/>
    <w:rsid w:val="3A8B64E3"/>
    <w:rsid w:val="3AA34D2C"/>
    <w:rsid w:val="3AAA7455"/>
    <w:rsid w:val="3AAD1707"/>
    <w:rsid w:val="3AB23550"/>
    <w:rsid w:val="3AB85FC8"/>
    <w:rsid w:val="3AB91D1B"/>
    <w:rsid w:val="3AB9759B"/>
    <w:rsid w:val="3AC30C8D"/>
    <w:rsid w:val="3AC371FD"/>
    <w:rsid w:val="3AC85477"/>
    <w:rsid w:val="3ADA645D"/>
    <w:rsid w:val="3ADC7E0E"/>
    <w:rsid w:val="3AF65F29"/>
    <w:rsid w:val="3B071D45"/>
    <w:rsid w:val="3B1E77A1"/>
    <w:rsid w:val="3B2A6728"/>
    <w:rsid w:val="3B2D71BB"/>
    <w:rsid w:val="3B2F4BA1"/>
    <w:rsid w:val="3B3763D1"/>
    <w:rsid w:val="3B405019"/>
    <w:rsid w:val="3B4437F2"/>
    <w:rsid w:val="3B550B5B"/>
    <w:rsid w:val="3B5C4C42"/>
    <w:rsid w:val="3B62296A"/>
    <w:rsid w:val="3B7056FD"/>
    <w:rsid w:val="3B752EEB"/>
    <w:rsid w:val="3B7F5280"/>
    <w:rsid w:val="3B804502"/>
    <w:rsid w:val="3B87291F"/>
    <w:rsid w:val="3B873123"/>
    <w:rsid w:val="3B880BE3"/>
    <w:rsid w:val="3B8E6CDC"/>
    <w:rsid w:val="3B9D52E8"/>
    <w:rsid w:val="3BC07EFB"/>
    <w:rsid w:val="3BD331F2"/>
    <w:rsid w:val="3BDA6A84"/>
    <w:rsid w:val="3BDB4AD5"/>
    <w:rsid w:val="3BF33AFC"/>
    <w:rsid w:val="3BFD43D3"/>
    <w:rsid w:val="3BFF512B"/>
    <w:rsid w:val="3C0356AC"/>
    <w:rsid w:val="3C0F339D"/>
    <w:rsid w:val="3C197332"/>
    <w:rsid w:val="3C2B66DB"/>
    <w:rsid w:val="3C2F6E1E"/>
    <w:rsid w:val="3C4F64BA"/>
    <w:rsid w:val="3C564BA9"/>
    <w:rsid w:val="3C571C05"/>
    <w:rsid w:val="3C77021F"/>
    <w:rsid w:val="3C794981"/>
    <w:rsid w:val="3C8314D0"/>
    <w:rsid w:val="3C874720"/>
    <w:rsid w:val="3C8E5FEB"/>
    <w:rsid w:val="3C9B3F0D"/>
    <w:rsid w:val="3C9D45B5"/>
    <w:rsid w:val="3CA72E02"/>
    <w:rsid w:val="3CA80C07"/>
    <w:rsid w:val="3CAA06C2"/>
    <w:rsid w:val="3CAC6444"/>
    <w:rsid w:val="3CB21B06"/>
    <w:rsid w:val="3CB26A6B"/>
    <w:rsid w:val="3CBF4E5C"/>
    <w:rsid w:val="3CDA245A"/>
    <w:rsid w:val="3CE533DA"/>
    <w:rsid w:val="3CF35955"/>
    <w:rsid w:val="3D104172"/>
    <w:rsid w:val="3D136199"/>
    <w:rsid w:val="3D150830"/>
    <w:rsid w:val="3D1E06B7"/>
    <w:rsid w:val="3D211A40"/>
    <w:rsid w:val="3D237130"/>
    <w:rsid w:val="3D2A0A71"/>
    <w:rsid w:val="3D4A3AA6"/>
    <w:rsid w:val="3D58585B"/>
    <w:rsid w:val="3D5D5666"/>
    <w:rsid w:val="3D5F5431"/>
    <w:rsid w:val="3D654BFB"/>
    <w:rsid w:val="3D680E42"/>
    <w:rsid w:val="3D743AAC"/>
    <w:rsid w:val="3D7A2AA7"/>
    <w:rsid w:val="3D7D17F0"/>
    <w:rsid w:val="3D976BD1"/>
    <w:rsid w:val="3DA53248"/>
    <w:rsid w:val="3DA834ED"/>
    <w:rsid w:val="3DA94A06"/>
    <w:rsid w:val="3DAE0FDB"/>
    <w:rsid w:val="3DCC24A5"/>
    <w:rsid w:val="3DD30E80"/>
    <w:rsid w:val="3DD32FC5"/>
    <w:rsid w:val="3DDD3FB6"/>
    <w:rsid w:val="3DE35340"/>
    <w:rsid w:val="3DEB6B4D"/>
    <w:rsid w:val="3DEB73B3"/>
    <w:rsid w:val="3DF8497A"/>
    <w:rsid w:val="3DFF0210"/>
    <w:rsid w:val="3E0914D8"/>
    <w:rsid w:val="3E0C2615"/>
    <w:rsid w:val="3E0C637A"/>
    <w:rsid w:val="3E137DB6"/>
    <w:rsid w:val="3E167001"/>
    <w:rsid w:val="3E1D39DC"/>
    <w:rsid w:val="3E23065E"/>
    <w:rsid w:val="3E327E71"/>
    <w:rsid w:val="3E3F4431"/>
    <w:rsid w:val="3E4810F2"/>
    <w:rsid w:val="3E521171"/>
    <w:rsid w:val="3E540144"/>
    <w:rsid w:val="3E5C58C0"/>
    <w:rsid w:val="3E6560E4"/>
    <w:rsid w:val="3E663D50"/>
    <w:rsid w:val="3E6772E7"/>
    <w:rsid w:val="3E6B1841"/>
    <w:rsid w:val="3E6C1E03"/>
    <w:rsid w:val="3E720E13"/>
    <w:rsid w:val="3E811382"/>
    <w:rsid w:val="3E895D15"/>
    <w:rsid w:val="3E903D63"/>
    <w:rsid w:val="3E962C89"/>
    <w:rsid w:val="3EA0370B"/>
    <w:rsid w:val="3EBD4814"/>
    <w:rsid w:val="3EC42180"/>
    <w:rsid w:val="3EC5564C"/>
    <w:rsid w:val="3ECB4852"/>
    <w:rsid w:val="3ED15608"/>
    <w:rsid w:val="3EDA0523"/>
    <w:rsid w:val="3EDA2F72"/>
    <w:rsid w:val="3EF7710B"/>
    <w:rsid w:val="3EF977EB"/>
    <w:rsid w:val="3EFD1FB7"/>
    <w:rsid w:val="3EFD6E66"/>
    <w:rsid w:val="3F1A38CA"/>
    <w:rsid w:val="3F2663DB"/>
    <w:rsid w:val="3F2D761B"/>
    <w:rsid w:val="3F3505AB"/>
    <w:rsid w:val="3F3B26DB"/>
    <w:rsid w:val="3F3B4F66"/>
    <w:rsid w:val="3F4868EE"/>
    <w:rsid w:val="3F551DEF"/>
    <w:rsid w:val="3F5D7549"/>
    <w:rsid w:val="3F6409EC"/>
    <w:rsid w:val="3F655449"/>
    <w:rsid w:val="3F750EF0"/>
    <w:rsid w:val="3F884169"/>
    <w:rsid w:val="3F920A8A"/>
    <w:rsid w:val="3F930B21"/>
    <w:rsid w:val="3F9E6F30"/>
    <w:rsid w:val="3FA24A39"/>
    <w:rsid w:val="3FAC5287"/>
    <w:rsid w:val="3FB22B06"/>
    <w:rsid w:val="3FC145FC"/>
    <w:rsid w:val="3FC73349"/>
    <w:rsid w:val="3FDE741F"/>
    <w:rsid w:val="3FE21E53"/>
    <w:rsid w:val="3FEA63C3"/>
    <w:rsid w:val="3FF14AE5"/>
    <w:rsid w:val="3FF83425"/>
    <w:rsid w:val="400058DC"/>
    <w:rsid w:val="4002230D"/>
    <w:rsid w:val="40041061"/>
    <w:rsid w:val="40100CBC"/>
    <w:rsid w:val="40150545"/>
    <w:rsid w:val="40217F44"/>
    <w:rsid w:val="40324205"/>
    <w:rsid w:val="403E41E0"/>
    <w:rsid w:val="404B163B"/>
    <w:rsid w:val="404F07F6"/>
    <w:rsid w:val="4050500F"/>
    <w:rsid w:val="405F3644"/>
    <w:rsid w:val="407816AF"/>
    <w:rsid w:val="407A6407"/>
    <w:rsid w:val="407A71AF"/>
    <w:rsid w:val="40800BCA"/>
    <w:rsid w:val="408050D3"/>
    <w:rsid w:val="4081055C"/>
    <w:rsid w:val="408112AB"/>
    <w:rsid w:val="409937B5"/>
    <w:rsid w:val="409E1B3E"/>
    <w:rsid w:val="40A82AB4"/>
    <w:rsid w:val="40AC3EF0"/>
    <w:rsid w:val="40B82BB4"/>
    <w:rsid w:val="40C9461A"/>
    <w:rsid w:val="40D4536A"/>
    <w:rsid w:val="40E23621"/>
    <w:rsid w:val="40EC1042"/>
    <w:rsid w:val="410156FD"/>
    <w:rsid w:val="4105229D"/>
    <w:rsid w:val="410636DD"/>
    <w:rsid w:val="41215BFD"/>
    <w:rsid w:val="41270C51"/>
    <w:rsid w:val="414839D0"/>
    <w:rsid w:val="414C6238"/>
    <w:rsid w:val="414E679C"/>
    <w:rsid w:val="41532CB7"/>
    <w:rsid w:val="41612E9F"/>
    <w:rsid w:val="4168778C"/>
    <w:rsid w:val="416E4739"/>
    <w:rsid w:val="41706924"/>
    <w:rsid w:val="4172782E"/>
    <w:rsid w:val="417B2A30"/>
    <w:rsid w:val="417C38AE"/>
    <w:rsid w:val="418C2076"/>
    <w:rsid w:val="41945FEF"/>
    <w:rsid w:val="4196234C"/>
    <w:rsid w:val="419D28C4"/>
    <w:rsid w:val="41AC6D94"/>
    <w:rsid w:val="41AC7CAE"/>
    <w:rsid w:val="41BB312E"/>
    <w:rsid w:val="41BD546D"/>
    <w:rsid w:val="41C120C2"/>
    <w:rsid w:val="41CD24E4"/>
    <w:rsid w:val="41CE268F"/>
    <w:rsid w:val="41D953CF"/>
    <w:rsid w:val="41DD1278"/>
    <w:rsid w:val="41F228EE"/>
    <w:rsid w:val="4200449D"/>
    <w:rsid w:val="4203516A"/>
    <w:rsid w:val="42044BCC"/>
    <w:rsid w:val="420E4720"/>
    <w:rsid w:val="4226321D"/>
    <w:rsid w:val="422832AF"/>
    <w:rsid w:val="422D07D9"/>
    <w:rsid w:val="42330295"/>
    <w:rsid w:val="42354CD7"/>
    <w:rsid w:val="423A3BCC"/>
    <w:rsid w:val="423F2C2D"/>
    <w:rsid w:val="423F7F11"/>
    <w:rsid w:val="424E3F88"/>
    <w:rsid w:val="424E57D2"/>
    <w:rsid w:val="42591393"/>
    <w:rsid w:val="426001D1"/>
    <w:rsid w:val="42651073"/>
    <w:rsid w:val="42652475"/>
    <w:rsid w:val="427C033D"/>
    <w:rsid w:val="427F75CB"/>
    <w:rsid w:val="42846BD1"/>
    <w:rsid w:val="42847623"/>
    <w:rsid w:val="428B6E56"/>
    <w:rsid w:val="42972733"/>
    <w:rsid w:val="42AD52B2"/>
    <w:rsid w:val="42B26C49"/>
    <w:rsid w:val="42B97A2B"/>
    <w:rsid w:val="42BA10A6"/>
    <w:rsid w:val="42D41B9B"/>
    <w:rsid w:val="42D53F17"/>
    <w:rsid w:val="42E65066"/>
    <w:rsid w:val="430F11B1"/>
    <w:rsid w:val="431E6B3E"/>
    <w:rsid w:val="43356E2B"/>
    <w:rsid w:val="433A0EF5"/>
    <w:rsid w:val="433A6FE6"/>
    <w:rsid w:val="433C58A7"/>
    <w:rsid w:val="433F2182"/>
    <w:rsid w:val="43416F42"/>
    <w:rsid w:val="43421755"/>
    <w:rsid w:val="43480868"/>
    <w:rsid w:val="4350713C"/>
    <w:rsid w:val="43520885"/>
    <w:rsid w:val="435F2B64"/>
    <w:rsid w:val="43637EF8"/>
    <w:rsid w:val="436653E0"/>
    <w:rsid w:val="436A4CC7"/>
    <w:rsid w:val="436F0D68"/>
    <w:rsid w:val="437234EE"/>
    <w:rsid w:val="43782F85"/>
    <w:rsid w:val="438375A4"/>
    <w:rsid w:val="438E149F"/>
    <w:rsid w:val="439858F9"/>
    <w:rsid w:val="439C0B0E"/>
    <w:rsid w:val="43A810FB"/>
    <w:rsid w:val="43A9548A"/>
    <w:rsid w:val="43AE4585"/>
    <w:rsid w:val="43B709CE"/>
    <w:rsid w:val="43BB4B46"/>
    <w:rsid w:val="43BC2106"/>
    <w:rsid w:val="43C4431A"/>
    <w:rsid w:val="43CB4F3C"/>
    <w:rsid w:val="43CD6976"/>
    <w:rsid w:val="43D154CC"/>
    <w:rsid w:val="43D17B3B"/>
    <w:rsid w:val="43E06F12"/>
    <w:rsid w:val="43EF4705"/>
    <w:rsid w:val="43F1774C"/>
    <w:rsid w:val="43F959BD"/>
    <w:rsid w:val="440465A8"/>
    <w:rsid w:val="440A655F"/>
    <w:rsid w:val="441251BD"/>
    <w:rsid w:val="441D16AC"/>
    <w:rsid w:val="441E13E8"/>
    <w:rsid w:val="442333EF"/>
    <w:rsid w:val="44352E99"/>
    <w:rsid w:val="443D21F6"/>
    <w:rsid w:val="448149A6"/>
    <w:rsid w:val="44881AA4"/>
    <w:rsid w:val="44897B2A"/>
    <w:rsid w:val="448C1871"/>
    <w:rsid w:val="449C7488"/>
    <w:rsid w:val="44B951CC"/>
    <w:rsid w:val="44C73978"/>
    <w:rsid w:val="44CD14E0"/>
    <w:rsid w:val="44D75B7E"/>
    <w:rsid w:val="44D97784"/>
    <w:rsid w:val="44E336B8"/>
    <w:rsid w:val="44EA4CDE"/>
    <w:rsid w:val="44F20B0B"/>
    <w:rsid w:val="4504286C"/>
    <w:rsid w:val="45056687"/>
    <w:rsid w:val="450B3BFA"/>
    <w:rsid w:val="45103800"/>
    <w:rsid w:val="45133D84"/>
    <w:rsid w:val="45143FD2"/>
    <w:rsid w:val="45171A99"/>
    <w:rsid w:val="451F222F"/>
    <w:rsid w:val="45243C3F"/>
    <w:rsid w:val="45261690"/>
    <w:rsid w:val="452E5F4C"/>
    <w:rsid w:val="45390A41"/>
    <w:rsid w:val="45503BC2"/>
    <w:rsid w:val="45515F71"/>
    <w:rsid w:val="4553279F"/>
    <w:rsid w:val="455A50B2"/>
    <w:rsid w:val="455B2126"/>
    <w:rsid w:val="455F19FD"/>
    <w:rsid w:val="45612018"/>
    <w:rsid w:val="456379B2"/>
    <w:rsid w:val="458946E9"/>
    <w:rsid w:val="459347FC"/>
    <w:rsid w:val="45A27A70"/>
    <w:rsid w:val="45A47C0E"/>
    <w:rsid w:val="45A50A50"/>
    <w:rsid w:val="45B53DED"/>
    <w:rsid w:val="45BB73CE"/>
    <w:rsid w:val="45BC30D5"/>
    <w:rsid w:val="45C17523"/>
    <w:rsid w:val="45C24552"/>
    <w:rsid w:val="45C84634"/>
    <w:rsid w:val="45DE788E"/>
    <w:rsid w:val="45EA7984"/>
    <w:rsid w:val="45F5740E"/>
    <w:rsid w:val="46070F1D"/>
    <w:rsid w:val="4608159A"/>
    <w:rsid w:val="461A2060"/>
    <w:rsid w:val="461A6C74"/>
    <w:rsid w:val="463F7BFA"/>
    <w:rsid w:val="46414C11"/>
    <w:rsid w:val="4642328C"/>
    <w:rsid w:val="46425A17"/>
    <w:rsid w:val="46571159"/>
    <w:rsid w:val="46577FD6"/>
    <w:rsid w:val="46592743"/>
    <w:rsid w:val="46645F2F"/>
    <w:rsid w:val="466A47D6"/>
    <w:rsid w:val="46761EE9"/>
    <w:rsid w:val="46850981"/>
    <w:rsid w:val="4686221D"/>
    <w:rsid w:val="46890B88"/>
    <w:rsid w:val="46952713"/>
    <w:rsid w:val="4699566E"/>
    <w:rsid w:val="469C3BF7"/>
    <w:rsid w:val="469C6FC4"/>
    <w:rsid w:val="46AC206D"/>
    <w:rsid w:val="46AE157B"/>
    <w:rsid w:val="46B02EE7"/>
    <w:rsid w:val="46C06477"/>
    <w:rsid w:val="46C15391"/>
    <w:rsid w:val="46CA059B"/>
    <w:rsid w:val="46D842C4"/>
    <w:rsid w:val="46D85D2A"/>
    <w:rsid w:val="46D955A7"/>
    <w:rsid w:val="46E36459"/>
    <w:rsid w:val="46E47D94"/>
    <w:rsid w:val="46E74B95"/>
    <w:rsid w:val="46E91D19"/>
    <w:rsid w:val="46EF71DC"/>
    <w:rsid w:val="47094169"/>
    <w:rsid w:val="470B2B4D"/>
    <w:rsid w:val="47114E6B"/>
    <w:rsid w:val="47133957"/>
    <w:rsid w:val="471A1ED2"/>
    <w:rsid w:val="471C5478"/>
    <w:rsid w:val="47354F5E"/>
    <w:rsid w:val="473D649A"/>
    <w:rsid w:val="47411B55"/>
    <w:rsid w:val="4746600C"/>
    <w:rsid w:val="474731A8"/>
    <w:rsid w:val="475732E2"/>
    <w:rsid w:val="475D7910"/>
    <w:rsid w:val="475E02E4"/>
    <w:rsid w:val="476111FF"/>
    <w:rsid w:val="47681C1D"/>
    <w:rsid w:val="476D5E0D"/>
    <w:rsid w:val="4770519C"/>
    <w:rsid w:val="477738A5"/>
    <w:rsid w:val="477912EF"/>
    <w:rsid w:val="477B5E1C"/>
    <w:rsid w:val="478A17F5"/>
    <w:rsid w:val="478D08F6"/>
    <w:rsid w:val="4790503E"/>
    <w:rsid w:val="47905ED7"/>
    <w:rsid w:val="47970E11"/>
    <w:rsid w:val="47983EF9"/>
    <w:rsid w:val="47A07E0C"/>
    <w:rsid w:val="47CD7DB1"/>
    <w:rsid w:val="47CF53B3"/>
    <w:rsid w:val="47D40889"/>
    <w:rsid w:val="47D5062C"/>
    <w:rsid w:val="47DB7311"/>
    <w:rsid w:val="47E95694"/>
    <w:rsid w:val="47EE32D9"/>
    <w:rsid w:val="47EF3DCB"/>
    <w:rsid w:val="47F31F44"/>
    <w:rsid w:val="480C0E7A"/>
    <w:rsid w:val="482B1709"/>
    <w:rsid w:val="482C3695"/>
    <w:rsid w:val="484A4127"/>
    <w:rsid w:val="484F7866"/>
    <w:rsid w:val="48544D13"/>
    <w:rsid w:val="485F2411"/>
    <w:rsid w:val="486C3642"/>
    <w:rsid w:val="4870272E"/>
    <w:rsid w:val="487B579E"/>
    <w:rsid w:val="488030CF"/>
    <w:rsid w:val="48823E5F"/>
    <w:rsid w:val="48841ECE"/>
    <w:rsid w:val="48857ED5"/>
    <w:rsid w:val="48862CC1"/>
    <w:rsid w:val="488C6711"/>
    <w:rsid w:val="48930205"/>
    <w:rsid w:val="489F35CB"/>
    <w:rsid w:val="48A73C3A"/>
    <w:rsid w:val="48AE0586"/>
    <w:rsid w:val="48B34982"/>
    <w:rsid w:val="48B34BEE"/>
    <w:rsid w:val="48D36195"/>
    <w:rsid w:val="48D62533"/>
    <w:rsid w:val="48D853F9"/>
    <w:rsid w:val="48D93C61"/>
    <w:rsid w:val="48DA2321"/>
    <w:rsid w:val="48DE78B4"/>
    <w:rsid w:val="48F363F5"/>
    <w:rsid w:val="48FF6DA3"/>
    <w:rsid w:val="491000A4"/>
    <w:rsid w:val="491151DA"/>
    <w:rsid w:val="492112AD"/>
    <w:rsid w:val="492D2E8F"/>
    <w:rsid w:val="493D1461"/>
    <w:rsid w:val="49425710"/>
    <w:rsid w:val="4944739B"/>
    <w:rsid w:val="49453D1F"/>
    <w:rsid w:val="495042D1"/>
    <w:rsid w:val="49552F8C"/>
    <w:rsid w:val="495B07EF"/>
    <w:rsid w:val="49621A93"/>
    <w:rsid w:val="49633D3A"/>
    <w:rsid w:val="496B5B85"/>
    <w:rsid w:val="496E279F"/>
    <w:rsid w:val="49751532"/>
    <w:rsid w:val="497578A9"/>
    <w:rsid w:val="49776247"/>
    <w:rsid w:val="497C4652"/>
    <w:rsid w:val="498758D7"/>
    <w:rsid w:val="498C2FB4"/>
    <w:rsid w:val="49900BCD"/>
    <w:rsid w:val="49A168DB"/>
    <w:rsid w:val="49B274AE"/>
    <w:rsid w:val="49B56686"/>
    <w:rsid w:val="49C35BCB"/>
    <w:rsid w:val="49CE597B"/>
    <w:rsid w:val="49CF1508"/>
    <w:rsid w:val="49CF1EA3"/>
    <w:rsid w:val="49D03EEB"/>
    <w:rsid w:val="49DA3EBF"/>
    <w:rsid w:val="49DC7715"/>
    <w:rsid w:val="49E24A27"/>
    <w:rsid w:val="49E4196A"/>
    <w:rsid w:val="49F20BCD"/>
    <w:rsid w:val="49F46881"/>
    <w:rsid w:val="4A023139"/>
    <w:rsid w:val="4A0475AE"/>
    <w:rsid w:val="4A0A3EA8"/>
    <w:rsid w:val="4A144AAB"/>
    <w:rsid w:val="4A160E6A"/>
    <w:rsid w:val="4A19794F"/>
    <w:rsid w:val="4A2112F9"/>
    <w:rsid w:val="4A241C3D"/>
    <w:rsid w:val="4A361B06"/>
    <w:rsid w:val="4A3D35C6"/>
    <w:rsid w:val="4A44564A"/>
    <w:rsid w:val="4A4715FB"/>
    <w:rsid w:val="4A481F19"/>
    <w:rsid w:val="4A557BD2"/>
    <w:rsid w:val="4A604D4B"/>
    <w:rsid w:val="4A665E6C"/>
    <w:rsid w:val="4A6C6EE9"/>
    <w:rsid w:val="4A7B576F"/>
    <w:rsid w:val="4A7F1A7C"/>
    <w:rsid w:val="4A8B7356"/>
    <w:rsid w:val="4A9657A2"/>
    <w:rsid w:val="4AB86FA0"/>
    <w:rsid w:val="4AB9081B"/>
    <w:rsid w:val="4ABD23C4"/>
    <w:rsid w:val="4ADF11E6"/>
    <w:rsid w:val="4AE762CE"/>
    <w:rsid w:val="4AF025F5"/>
    <w:rsid w:val="4AF561A9"/>
    <w:rsid w:val="4B1C3590"/>
    <w:rsid w:val="4B290495"/>
    <w:rsid w:val="4B2F26AF"/>
    <w:rsid w:val="4B335928"/>
    <w:rsid w:val="4B3C0B9A"/>
    <w:rsid w:val="4B415C9E"/>
    <w:rsid w:val="4B497147"/>
    <w:rsid w:val="4B557EE8"/>
    <w:rsid w:val="4B5B6864"/>
    <w:rsid w:val="4B5F25AA"/>
    <w:rsid w:val="4B764BCB"/>
    <w:rsid w:val="4B796072"/>
    <w:rsid w:val="4B7A02A7"/>
    <w:rsid w:val="4BA8324F"/>
    <w:rsid w:val="4BA84529"/>
    <w:rsid w:val="4BAA24EB"/>
    <w:rsid w:val="4BC964FC"/>
    <w:rsid w:val="4BD0670C"/>
    <w:rsid w:val="4BD714C8"/>
    <w:rsid w:val="4BDC79A4"/>
    <w:rsid w:val="4BE122CB"/>
    <w:rsid w:val="4BE241E6"/>
    <w:rsid w:val="4BF36F7A"/>
    <w:rsid w:val="4BF73535"/>
    <w:rsid w:val="4BF83930"/>
    <w:rsid w:val="4C125943"/>
    <w:rsid w:val="4C1A4486"/>
    <w:rsid w:val="4C1D5281"/>
    <w:rsid w:val="4C1E560B"/>
    <w:rsid w:val="4C272CA8"/>
    <w:rsid w:val="4C2F2434"/>
    <w:rsid w:val="4C3A22B0"/>
    <w:rsid w:val="4C442DD3"/>
    <w:rsid w:val="4C497D69"/>
    <w:rsid w:val="4C4A0649"/>
    <w:rsid w:val="4C5D7FE9"/>
    <w:rsid w:val="4C633501"/>
    <w:rsid w:val="4C6A4082"/>
    <w:rsid w:val="4C7435E1"/>
    <w:rsid w:val="4C7E5ECA"/>
    <w:rsid w:val="4C876AA5"/>
    <w:rsid w:val="4C925133"/>
    <w:rsid w:val="4C990A7E"/>
    <w:rsid w:val="4C9F0B46"/>
    <w:rsid w:val="4CC83957"/>
    <w:rsid w:val="4CC9001C"/>
    <w:rsid w:val="4CEE1F12"/>
    <w:rsid w:val="4CF75CD3"/>
    <w:rsid w:val="4CF9549E"/>
    <w:rsid w:val="4CF96FFB"/>
    <w:rsid w:val="4CFC6295"/>
    <w:rsid w:val="4D0E00FB"/>
    <w:rsid w:val="4D176606"/>
    <w:rsid w:val="4D176D32"/>
    <w:rsid w:val="4D1B33CA"/>
    <w:rsid w:val="4D1E4035"/>
    <w:rsid w:val="4D1F1100"/>
    <w:rsid w:val="4D232425"/>
    <w:rsid w:val="4D30671C"/>
    <w:rsid w:val="4D326A27"/>
    <w:rsid w:val="4D3320F9"/>
    <w:rsid w:val="4D585FC3"/>
    <w:rsid w:val="4D5D4AFF"/>
    <w:rsid w:val="4D652180"/>
    <w:rsid w:val="4D84454E"/>
    <w:rsid w:val="4D8B485E"/>
    <w:rsid w:val="4DA87ED0"/>
    <w:rsid w:val="4DAC4D1B"/>
    <w:rsid w:val="4DB831F6"/>
    <w:rsid w:val="4DC1631A"/>
    <w:rsid w:val="4DC3174D"/>
    <w:rsid w:val="4DC67BC3"/>
    <w:rsid w:val="4DE715DC"/>
    <w:rsid w:val="4DE93092"/>
    <w:rsid w:val="4DEB1870"/>
    <w:rsid w:val="4DEC1CA2"/>
    <w:rsid w:val="4DEC4FB0"/>
    <w:rsid w:val="4DED549B"/>
    <w:rsid w:val="4DF83BCE"/>
    <w:rsid w:val="4E03286C"/>
    <w:rsid w:val="4E075D8A"/>
    <w:rsid w:val="4E247CD4"/>
    <w:rsid w:val="4E2F7265"/>
    <w:rsid w:val="4E353A96"/>
    <w:rsid w:val="4E3B0B03"/>
    <w:rsid w:val="4E447380"/>
    <w:rsid w:val="4E537628"/>
    <w:rsid w:val="4E591B75"/>
    <w:rsid w:val="4E611250"/>
    <w:rsid w:val="4E656EA8"/>
    <w:rsid w:val="4E6A3B0E"/>
    <w:rsid w:val="4E6B0196"/>
    <w:rsid w:val="4E720846"/>
    <w:rsid w:val="4E8359CF"/>
    <w:rsid w:val="4E870D64"/>
    <w:rsid w:val="4EA8558E"/>
    <w:rsid w:val="4EAC00B7"/>
    <w:rsid w:val="4EB0687E"/>
    <w:rsid w:val="4EB72629"/>
    <w:rsid w:val="4EC00FAD"/>
    <w:rsid w:val="4EC57483"/>
    <w:rsid w:val="4ED34485"/>
    <w:rsid w:val="4ED459B3"/>
    <w:rsid w:val="4ED63BBA"/>
    <w:rsid w:val="4ED65188"/>
    <w:rsid w:val="4EF11D74"/>
    <w:rsid w:val="4EF179BD"/>
    <w:rsid w:val="4EF55CE5"/>
    <w:rsid w:val="4EF73005"/>
    <w:rsid w:val="4F0E4161"/>
    <w:rsid w:val="4F300638"/>
    <w:rsid w:val="4F325D1D"/>
    <w:rsid w:val="4F3D62F1"/>
    <w:rsid w:val="4F456C08"/>
    <w:rsid w:val="4F507214"/>
    <w:rsid w:val="4F5A7C58"/>
    <w:rsid w:val="4F5B4046"/>
    <w:rsid w:val="4F69568A"/>
    <w:rsid w:val="4F764366"/>
    <w:rsid w:val="4F7B4353"/>
    <w:rsid w:val="4F7C4006"/>
    <w:rsid w:val="4F7C51A5"/>
    <w:rsid w:val="4F826617"/>
    <w:rsid w:val="4F83765E"/>
    <w:rsid w:val="4F8A7576"/>
    <w:rsid w:val="4F8D2770"/>
    <w:rsid w:val="4F8E0CD3"/>
    <w:rsid w:val="4F9843DC"/>
    <w:rsid w:val="4FA15887"/>
    <w:rsid w:val="4FA30CE9"/>
    <w:rsid w:val="4FB055CF"/>
    <w:rsid w:val="4FB10657"/>
    <w:rsid w:val="4FB45549"/>
    <w:rsid w:val="4FB57F0F"/>
    <w:rsid w:val="4FC12384"/>
    <w:rsid w:val="4FC275AB"/>
    <w:rsid w:val="4FC61745"/>
    <w:rsid w:val="4FC62A8C"/>
    <w:rsid w:val="4FDA31AB"/>
    <w:rsid w:val="4FE20F0D"/>
    <w:rsid w:val="4FE51552"/>
    <w:rsid w:val="4FFB5146"/>
    <w:rsid w:val="50055E16"/>
    <w:rsid w:val="500E33A5"/>
    <w:rsid w:val="5015367D"/>
    <w:rsid w:val="501B5D03"/>
    <w:rsid w:val="50295BA3"/>
    <w:rsid w:val="503A4777"/>
    <w:rsid w:val="503E2AAD"/>
    <w:rsid w:val="50504C4B"/>
    <w:rsid w:val="50506AED"/>
    <w:rsid w:val="505B5CFA"/>
    <w:rsid w:val="50615016"/>
    <w:rsid w:val="506517D4"/>
    <w:rsid w:val="506A5717"/>
    <w:rsid w:val="50741636"/>
    <w:rsid w:val="50786F66"/>
    <w:rsid w:val="507E1600"/>
    <w:rsid w:val="508441CC"/>
    <w:rsid w:val="50963C24"/>
    <w:rsid w:val="509C6E7C"/>
    <w:rsid w:val="50A913F7"/>
    <w:rsid w:val="50B62DBF"/>
    <w:rsid w:val="50BC224C"/>
    <w:rsid w:val="50D13B4F"/>
    <w:rsid w:val="50D53BC2"/>
    <w:rsid w:val="50EA6DB9"/>
    <w:rsid w:val="50EF5DFA"/>
    <w:rsid w:val="50FD215D"/>
    <w:rsid w:val="51005E0F"/>
    <w:rsid w:val="51113BC7"/>
    <w:rsid w:val="51150821"/>
    <w:rsid w:val="511A616C"/>
    <w:rsid w:val="51380A61"/>
    <w:rsid w:val="514F0AAB"/>
    <w:rsid w:val="515054B5"/>
    <w:rsid w:val="515D67D8"/>
    <w:rsid w:val="5162104E"/>
    <w:rsid w:val="51672356"/>
    <w:rsid w:val="51686C11"/>
    <w:rsid w:val="51696BC1"/>
    <w:rsid w:val="51754054"/>
    <w:rsid w:val="51772BC5"/>
    <w:rsid w:val="517A09CC"/>
    <w:rsid w:val="517A288C"/>
    <w:rsid w:val="518A4489"/>
    <w:rsid w:val="518D1770"/>
    <w:rsid w:val="51907BDA"/>
    <w:rsid w:val="51935DB4"/>
    <w:rsid w:val="519A23EC"/>
    <w:rsid w:val="519A258E"/>
    <w:rsid w:val="51A705A4"/>
    <w:rsid w:val="51AA3E5A"/>
    <w:rsid w:val="51AA5679"/>
    <w:rsid w:val="51B970AE"/>
    <w:rsid w:val="51D205FF"/>
    <w:rsid w:val="51D443D7"/>
    <w:rsid w:val="51E23F34"/>
    <w:rsid w:val="51F71CB4"/>
    <w:rsid w:val="52000723"/>
    <w:rsid w:val="520E4BA3"/>
    <w:rsid w:val="520F083C"/>
    <w:rsid w:val="52107D79"/>
    <w:rsid w:val="52181704"/>
    <w:rsid w:val="521B6B60"/>
    <w:rsid w:val="521E2457"/>
    <w:rsid w:val="522037C5"/>
    <w:rsid w:val="52203FB6"/>
    <w:rsid w:val="52225B87"/>
    <w:rsid w:val="52441BFE"/>
    <w:rsid w:val="52467E77"/>
    <w:rsid w:val="52565ED4"/>
    <w:rsid w:val="525944A7"/>
    <w:rsid w:val="525E7F5D"/>
    <w:rsid w:val="52610273"/>
    <w:rsid w:val="52637D86"/>
    <w:rsid w:val="526D205A"/>
    <w:rsid w:val="526F21A4"/>
    <w:rsid w:val="5270473B"/>
    <w:rsid w:val="527146B2"/>
    <w:rsid w:val="52760F48"/>
    <w:rsid w:val="527E3452"/>
    <w:rsid w:val="528B703A"/>
    <w:rsid w:val="528C4FD4"/>
    <w:rsid w:val="528C5CAA"/>
    <w:rsid w:val="52995422"/>
    <w:rsid w:val="529A4444"/>
    <w:rsid w:val="529C3FEF"/>
    <w:rsid w:val="529C7BA7"/>
    <w:rsid w:val="52AF1410"/>
    <w:rsid w:val="52B770FA"/>
    <w:rsid w:val="52F641A3"/>
    <w:rsid w:val="530B7465"/>
    <w:rsid w:val="530F422A"/>
    <w:rsid w:val="53211D20"/>
    <w:rsid w:val="53223123"/>
    <w:rsid w:val="533243C3"/>
    <w:rsid w:val="533252E0"/>
    <w:rsid w:val="533A4B08"/>
    <w:rsid w:val="533D4863"/>
    <w:rsid w:val="535B6CDA"/>
    <w:rsid w:val="535D0382"/>
    <w:rsid w:val="53676FDB"/>
    <w:rsid w:val="536D1690"/>
    <w:rsid w:val="537973E4"/>
    <w:rsid w:val="537A6974"/>
    <w:rsid w:val="538709E1"/>
    <w:rsid w:val="5390238A"/>
    <w:rsid w:val="539935A3"/>
    <w:rsid w:val="53A039CC"/>
    <w:rsid w:val="53A1505A"/>
    <w:rsid w:val="53A940E9"/>
    <w:rsid w:val="53B361DA"/>
    <w:rsid w:val="53B73187"/>
    <w:rsid w:val="53B941E2"/>
    <w:rsid w:val="53C024BC"/>
    <w:rsid w:val="53C101F7"/>
    <w:rsid w:val="53CE29EA"/>
    <w:rsid w:val="53D2686B"/>
    <w:rsid w:val="53D7652A"/>
    <w:rsid w:val="53DB3956"/>
    <w:rsid w:val="53DD6B4E"/>
    <w:rsid w:val="53E06AE2"/>
    <w:rsid w:val="53E25DAE"/>
    <w:rsid w:val="53F265D7"/>
    <w:rsid w:val="53FC518D"/>
    <w:rsid w:val="54011578"/>
    <w:rsid w:val="540216DC"/>
    <w:rsid w:val="5404312C"/>
    <w:rsid w:val="54056695"/>
    <w:rsid w:val="5406019B"/>
    <w:rsid w:val="54063E08"/>
    <w:rsid w:val="54077015"/>
    <w:rsid w:val="540F7879"/>
    <w:rsid w:val="54106B37"/>
    <w:rsid w:val="54127092"/>
    <w:rsid w:val="542A4663"/>
    <w:rsid w:val="543437E8"/>
    <w:rsid w:val="54364518"/>
    <w:rsid w:val="54365518"/>
    <w:rsid w:val="543D5813"/>
    <w:rsid w:val="54401808"/>
    <w:rsid w:val="544B405C"/>
    <w:rsid w:val="544F249F"/>
    <w:rsid w:val="54530C6B"/>
    <w:rsid w:val="545F186C"/>
    <w:rsid w:val="545F56B9"/>
    <w:rsid w:val="545F7A42"/>
    <w:rsid w:val="546B2052"/>
    <w:rsid w:val="547C020E"/>
    <w:rsid w:val="547E113B"/>
    <w:rsid w:val="54A6493F"/>
    <w:rsid w:val="54C44B4E"/>
    <w:rsid w:val="54CD3696"/>
    <w:rsid w:val="54D42A1D"/>
    <w:rsid w:val="54DE4E87"/>
    <w:rsid w:val="54E25078"/>
    <w:rsid w:val="54F73313"/>
    <w:rsid w:val="54F80955"/>
    <w:rsid w:val="54FB5F1A"/>
    <w:rsid w:val="550051A5"/>
    <w:rsid w:val="550E7E39"/>
    <w:rsid w:val="55150937"/>
    <w:rsid w:val="55224906"/>
    <w:rsid w:val="55284354"/>
    <w:rsid w:val="552E3391"/>
    <w:rsid w:val="553074B9"/>
    <w:rsid w:val="553D7814"/>
    <w:rsid w:val="553F1AF7"/>
    <w:rsid w:val="5548777C"/>
    <w:rsid w:val="554C239E"/>
    <w:rsid w:val="555170A7"/>
    <w:rsid w:val="5587536D"/>
    <w:rsid w:val="558B09DF"/>
    <w:rsid w:val="55900780"/>
    <w:rsid w:val="55931FA9"/>
    <w:rsid w:val="559B174B"/>
    <w:rsid w:val="55A21349"/>
    <w:rsid w:val="55B2478A"/>
    <w:rsid w:val="55BA3E68"/>
    <w:rsid w:val="55C71477"/>
    <w:rsid w:val="55CE0CF4"/>
    <w:rsid w:val="55D73502"/>
    <w:rsid w:val="55DA0FE3"/>
    <w:rsid w:val="55E1459C"/>
    <w:rsid w:val="56080C8B"/>
    <w:rsid w:val="5618582E"/>
    <w:rsid w:val="561A0428"/>
    <w:rsid w:val="5627147C"/>
    <w:rsid w:val="564C10F6"/>
    <w:rsid w:val="564F4602"/>
    <w:rsid w:val="565D4368"/>
    <w:rsid w:val="5668146C"/>
    <w:rsid w:val="56704B5F"/>
    <w:rsid w:val="567D341C"/>
    <w:rsid w:val="568264B9"/>
    <w:rsid w:val="568C7F4F"/>
    <w:rsid w:val="568F27B1"/>
    <w:rsid w:val="569C3505"/>
    <w:rsid w:val="56A33C92"/>
    <w:rsid w:val="56B22A9C"/>
    <w:rsid w:val="56DD1497"/>
    <w:rsid w:val="56E23575"/>
    <w:rsid w:val="56E53376"/>
    <w:rsid w:val="56EB4A45"/>
    <w:rsid w:val="56EC3346"/>
    <w:rsid w:val="56FB0010"/>
    <w:rsid w:val="56FF0AB4"/>
    <w:rsid w:val="5704179B"/>
    <w:rsid w:val="570C5CDB"/>
    <w:rsid w:val="570D6DC9"/>
    <w:rsid w:val="57111C6D"/>
    <w:rsid w:val="57143952"/>
    <w:rsid w:val="57145898"/>
    <w:rsid w:val="57164F61"/>
    <w:rsid w:val="571F18C9"/>
    <w:rsid w:val="57220AD7"/>
    <w:rsid w:val="57287C27"/>
    <w:rsid w:val="57424FF9"/>
    <w:rsid w:val="574870DD"/>
    <w:rsid w:val="5748770B"/>
    <w:rsid w:val="57495987"/>
    <w:rsid w:val="576212E6"/>
    <w:rsid w:val="57631674"/>
    <w:rsid w:val="5776215B"/>
    <w:rsid w:val="57772531"/>
    <w:rsid w:val="57903CEB"/>
    <w:rsid w:val="579C711F"/>
    <w:rsid w:val="579E5B42"/>
    <w:rsid w:val="57A001D2"/>
    <w:rsid w:val="57B72A76"/>
    <w:rsid w:val="57BB0089"/>
    <w:rsid w:val="57BC4369"/>
    <w:rsid w:val="57C00874"/>
    <w:rsid w:val="57C3426C"/>
    <w:rsid w:val="57CE1F93"/>
    <w:rsid w:val="57D1466A"/>
    <w:rsid w:val="57D22C02"/>
    <w:rsid w:val="57D82787"/>
    <w:rsid w:val="57D83E10"/>
    <w:rsid w:val="57DA7B88"/>
    <w:rsid w:val="57E22433"/>
    <w:rsid w:val="57E361B8"/>
    <w:rsid w:val="57E504CE"/>
    <w:rsid w:val="57F06B27"/>
    <w:rsid w:val="58006EC2"/>
    <w:rsid w:val="58075EFD"/>
    <w:rsid w:val="580A6A9B"/>
    <w:rsid w:val="58160D87"/>
    <w:rsid w:val="58271DD2"/>
    <w:rsid w:val="585419F4"/>
    <w:rsid w:val="585A1BAE"/>
    <w:rsid w:val="585B3A20"/>
    <w:rsid w:val="586813FF"/>
    <w:rsid w:val="586B07E0"/>
    <w:rsid w:val="58737694"/>
    <w:rsid w:val="58797CA9"/>
    <w:rsid w:val="587A5CE5"/>
    <w:rsid w:val="588743D1"/>
    <w:rsid w:val="5887701A"/>
    <w:rsid w:val="588D15AE"/>
    <w:rsid w:val="588F59D0"/>
    <w:rsid w:val="58942478"/>
    <w:rsid w:val="58950BD1"/>
    <w:rsid w:val="58962633"/>
    <w:rsid w:val="58A60FE0"/>
    <w:rsid w:val="58A83681"/>
    <w:rsid w:val="58AD704A"/>
    <w:rsid w:val="58C02C4F"/>
    <w:rsid w:val="58C76DE5"/>
    <w:rsid w:val="58CD3249"/>
    <w:rsid w:val="58D6606D"/>
    <w:rsid w:val="58DB4D88"/>
    <w:rsid w:val="58E646A7"/>
    <w:rsid w:val="58EF3449"/>
    <w:rsid w:val="58F428AD"/>
    <w:rsid w:val="58FE4518"/>
    <w:rsid w:val="59157870"/>
    <w:rsid w:val="59175B04"/>
    <w:rsid w:val="591968EB"/>
    <w:rsid w:val="591A6D27"/>
    <w:rsid w:val="591C1E0C"/>
    <w:rsid w:val="5927099E"/>
    <w:rsid w:val="59291877"/>
    <w:rsid w:val="59392C21"/>
    <w:rsid w:val="593C6DC1"/>
    <w:rsid w:val="593F3EB7"/>
    <w:rsid w:val="59434295"/>
    <w:rsid w:val="59447989"/>
    <w:rsid w:val="59474C86"/>
    <w:rsid w:val="594E2062"/>
    <w:rsid w:val="59636E4F"/>
    <w:rsid w:val="596642AB"/>
    <w:rsid w:val="596C4FDF"/>
    <w:rsid w:val="597B26CB"/>
    <w:rsid w:val="597C07CB"/>
    <w:rsid w:val="59820E43"/>
    <w:rsid w:val="59825E9A"/>
    <w:rsid w:val="59894FDE"/>
    <w:rsid w:val="599043BD"/>
    <w:rsid w:val="59AD6917"/>
    <w:rsid w:val="59B61C56"/>
    <w:rsid w:val="59B82F14"/>
    <w:rsid w:val="59C0439F"/>
    <w:rsid w:val="59E04589"/>
    <w:rsid w:val="59E059E3"/>
    <w:rsid w:val="59E467C7"/>
    <w:rsid w:val="59EE2599"/>
    <w:rsid w:val="59F85002"/>
    <w:rsid w:val="59FA5898"/>
    <w:rsid w:val="5A1554BF"/>
    <w:rsid w:val="5A213277"/>
    <w:rsid w:val="5A262AAC"/>
    <w:rsid w:val="5A296BA4"/>
    <w:rsid w:val="5A437EDB"/>
    <w:rsid w:val="5A5226E8"/>
    <w:rsid w:val="5A601E9A"/>
    <w:rsid w:val="5A6442F1"/>
    <w:rsid w:val="5A687E7B"/>
    <w:rsid w:val="5A6F051D"/>
    <w:rsid w:val="5A7B5912"/>
    <w:rsid w:val="5A8871A5"/>
    <w:rsid w:val="5A8C4B1F"/>
    <w:rsid w:val="5A93401E"/>
    <w:rsid w:val="5AA36B2A"/>
    <w:rsid w:val="5AB106FD"/>
    <w:rsid w:val="5ABB0B9D"/>
    <w:rsid w:val="5ABC6BC4"/>
    <w:rsid w:val="5ABE2233"/>
    <w:rsid w:val="5ABE3239"/>
    <w:rsid w:val="5ABF601F"/>
    <w:rsid w:val="5AC35900"/>
    <w:rsid w:val="5ACB22A8"/>
    <w:rsid w:val="5ACD185E"/>
    <w:rsid w:val="5AE055F2"/>
    <w:rsid w:val="5AEF7B96"/>
    <w:rsid w:val="5AF11A9A"/>
    <w:rsid w:val="5AF6629C"/>
    <w:rsid w:val="5AFB0113"/>
    <w:rsid w:val="5AFD0AB0"/>
    <w:rsid w:val="5B053826"/>
    <w:rsid w:val="5B274C00"/>
    <w:rsid w:val="5B3137C2"/>
    <w:rsid w:val="5B3475AF"/>
    <w:rsid w:val="5B395BC7"/>
    <w:rsid w:val="5B3C5F80"/>
    <w:rsid w:val="5B472927"/>
    <w:rsid w:val="5B4C6B49"/>
    <w:rsid w:val="5B611934"/>
    <w:rsid w:val="5B677D6B"/>
    <w:rsid w:val="5B6D0D13"/>
    <w:rsid w:val="5B73472B"/>
    <w:rsid w:val="5B7E026C"/>
    <w:rsid w:val="5B8451A6"/>
    <w:rsid w:val="5B853579"/>
    <w:rsid w:val="5B91387D"/>
    <w:rsid w:val="5B923147"/>
    <w:rsid w:val="5B924698"/>
    <w:rsid w:val="5B9326C6"/>
    <w:rsid w:val="5BA34735"/>
    <w:rsid w:val="5BA458DD"/>
    <w:rsid w:val="5BAF63C3"/>
    <w:rsid w:val="5BB2176C"/>
    <w:rsid w:val="5BB92926"/>
    <w:rsid w:val="5BBF673D"/>
    <w:rsid w:val="5BC3249A"/>
    <w:rsid w:val="5BC35888"/>
    <w:rsid w:val="5BDF5D95"/>
    <w:rsid w:val="5BF16957"/>
    <w:rsid w:val="5BF37F73"/>
    <w:rsid w:val="5BFE7528"/>
    <w:rsid w:val="5C0617A2"/>
    <w:rsid w:val="5C0D4CE2"/>
    <w:rsid w:val="5C120900"/>
    <w:rsid w:val="5C124582"/>
    <w:rsid w:val="5C242FE6"/>
    <w:rsid w:val="5C2F11B4"/>
    <w:rsid w:val="5C32387A"/>
    <w:rsid w:val="5C356336"/>
    <w:rsid w:val="5C4E1E16"/>
    <w:rsid w:val="5C577204"/>
    <w:rsid w:val="5C592A1F"/>
    <w:rsid w:val="5C602C24"/>
    <w:rsid w:val="5C6D4CED"/>
    <w:rsid w:val="5C722698"/>
    <w:rsid w:val="5C72405D"/>
    <w:rsid w:val="5C7A36E7"/>
    <w:rsid w:val="5C8473F4"/>
    <w:rsid w:val="5C974F05"/>
    <w:rsid w:val="5C9B567B"/>
    <w:rsid w:val="5CB10BAC"/>
    <w:rsid w:val="5CCB22C6"/>
    <w:rsid w:val="5CE54426"/>
    <w:rsid w:val="5CEE1751"/>
    <w:rsid w:val="5CF313E7"/>
    <w:rsid w:val="5D015BB7"/>
    <w:rsid w:val="5D080CF3"/>
    <w:rsid w:val="5D0F1617"/>
    <w:rsid w:val="5D1B2173"/>
    <w:rsid w:val="5D1B7B11"/>
    <w:rsid w:val="5D1F37A2"/>
    <w:rsid w:val="5D2B71F4"/>
    <w:rsid w:val="5D2F068C"/>
    <w:rsid w:val="5D315792"/>
    <w:rsid w:val="5D3952C2"/>
    <w:rsid w:val="5D3F406D"/>
    <w:rsid w:val="5D3F6BB1"/>
    <w:rsid w:val="5D643F98"/>
    <w:rsid w:val="5D6D6501"/>
    <w:rsid w:val="5D744F2E"/>
    <w:rsid w:val="5D87358F"/>
    <w:rsid w:val="5D8F4F70"/>
    <w:rsid w:val="5D9617AE"/>
    <w:rsid w:val="5D997B9D"/>
    <w:rsid w:val="5D9E64D8"/>
    <w:rsid w:val="5DC50791"/>
    <w:rsid w:val="5DD81C17"/>
    <w:rsid w:val="5DDF4FDF"/>
    <w:rsid w:val="5DE9417D"/>
    <w:rsid w:val="5DF853F4"/>
    <w:rsid w:val="5E0B7A6E"/>
    <w:rsid w:val="5E14761F"/>
    <w:rsid w:val="5E1810CC"/>
    <w:rsid w:val="5E1C5128"/>
    <w:rsid w:val="5E220CA2"/>
    <w:rsid w:val="5E225DE5"/>
    <w:rsid w:val="5E2467F1"/>
    <w:rsid w:val="5E2A541F"/>
    <w:rsid w:val="5E2F14E8"/>
    <w:rsid w:val="5E315370"/>
    <w:rsid w:val="5E371C12"/>
    <w:rsid w:val="5E377D44"/>
    <w:rsid w:val="5E3868AD"/>
    <w:rsid w:val="5E3C387C"/>
    <w:rsid w:val="5E3C3F12"/>
    <w:rsid w:val="5E3D0B25"/>
    <w:rsid w:val="5E465887"/>
    <w:rsid w:val="5E4A2B43"/>
    <w:rsid w:val="5E4A2F3E"/>
    <w:rsid w:val="5E506702"/>
    <w:rsid w:val="5E514BC7"/>
    <w:rsid w:val="5E5341F0"/>
    <w:rsid w:val="5E5350F8"/>
    <w:rsid w:val="5E562239"/>
    <w:rsid w:val="5E592A8D"/>
    <w:rsid w:val="5E5B3A53"/>
    <w:rsid w:val="5E660D75"/>
    <w:rsid w:val="5E6C339F"/>
    <w:rsid w:val="5E766130"/>
    <w:rsid w:val="5E773401"/>
    <w:rsid w:val="5E8A5537"/>
    <w:rsid w:val="5E8D4C3D"/>
    <w:rsid w:val="5E8F49A6"/>
    <w:rsid w:val="5EA37B2C"/>
    <w:rsid w:val="5EAA0904"/>
    <w:rsid w:val="5EAD0F5E"/>
    <w:rsid w:val="5EB17167"/>
    <w:rsid w:val="5EC33135"/>
    <w:rsid w:val="5ECE3EDA"/>
    <w:rsid w:val="5ED0301E"/>
    <w:rsid w:val="5EDA01DF"/>
    <w:rsid w:val="5EEB6158"/>
    <w:rsid w:val="5EEE2855"/>
    <w:rsid w:val="5EF07C91"/>
    <w:rsid w:val="5EF26D28"/>
    <w:rsid w:val="5EF47580"/>
    <w:rsid w:val="5EFB7B27"/>
    <w:rsid w:val="5F014081"/>
    <w:rsid w:val="5F0B72E4"/>
    <w:rsid w:val="5F0C17A6"/>
    <w:rsid w:val="5F1A2B43"/>
    <w:rsid w:val="5F3A224C"/>
    <w:rsid w:val="5F4B4EC7"/>
    <w:rsid w:val="5F4E0FB4"/>
    <w:rsid w:val="5F5942D4"/>
    <w:rsid w:val="5F5A3F38"/>
    <w:rsid w:val="5F5B4545"/>
    <w:rsid w:val="5F5E643F"/>
    <w:rsid w:val="5F5F2E3D"/>
    <w:rsid w:val="5F617DF2"/>
    <w:rsid w:val="5F6D7533"/>
    <w:rsid w:val="5F6E79CF"/>
    <w:rsid w:val="5F7C2494"/>
    <w:rsid w:val="5F845095"/>
    <w:rsid w:val="5F901DF4"/>
    <w:rsid w:val="5F9631C3"/>
    <w:rsid w:val="5F986E18"/>
    <w:rsid w:val="5FA1079F"/>
    <w:rsid w:val="5FA8661D"/>
    <w:rsid w:val="5FAC660D"/>
    <w:rsid w:val="5FB0403A"/>
    <w:rsid w:val="5FB837BB"/>
    <w:rsid w:val="5FBD33D4"/>
    <w:rsid w:val="5FC719D2"/>
    <w:rsid w:val="5FD17AC2"/>
    <w:rsid w:val="5FE27790"/>
    <w:rsid w:val="5FE9335D"/>
    <w:rsid w:val="5FEB0651"/>
    <w:rsid w:val="5FEB75F8"/>
    <w:rsid w:val="5FF102BE"/>
    <w:rsid w:val="5FFF0FBC"/>
    <w:rsid w:val="600209D9"/>
    <w:rsid w:val="6008725C"/>
    <w:rsid w:val="600A6364"/>
    <w:rsid w:val="60187519"/>
    <w:rsid w:val="60194BF3"/>
    <w:rsid w:val="6019689F"/>
    <w:rsid w:val="601D0D72"/>
    <w:rsid w:val="60230EA0"/>
    <w:rsid w:val="602674C8"/>
    <w:rsid w:val="602B233B"/>
    <w:rsid w:val="603A71E2"/>
    <w:rsid w:val="603F2269"/>
    <w:rsid w:val="604618CD"/>
    <w:rsid w:val="604C0534"/>
    <w:rsid w:val="604D1032"/>
    <w:rsid w:val="60537292"/>
    <w:rsid w:val="60666164"/>
    <w:rsid w:val="606F0CC2"/>
    <w:rsid w:val="607063D6"/>
    <w:rsid w:val="60786853"/>
    <w:rsid w:val="607C598E"/>
    <w:rsid w:val="608C2DF2"/>
    <w:rsid w:val="60990E89"/>
    <w:rsid w:val="60A52CFD"/>
    <w:rsid w:val="60A945F5"/>
    <w:rsid w:val="60BE5609"/>
    <w:rsid w:val="60C23BF7"/>
    <w:rsid w:val="60CC405A"/>
    <w:rsid w:val="60CD42BC"/>
    <w:rsid w:val="60DD6FBA"/>
    <w:rsid w:val="60F22DAB"/>
    <w:rsid w:val="60F82A5C"/>
    <w:rsid w:val="610E2650"/>
    <w:rsid w:val="610F5558"/>
    <w:rsid w:val="61104E9F"/>
    <w:rsid w:val="6118527D"/>
    <w:rsid w:val="611E25BA"/>
    <w:rsid w:val="61200A0C"/>
    <w:rsid w:val="6127672F"/>
    <w:rsid w:val="61354518"/>
    <w:rsid w:val="61355374"/>
    <w:rsid w:val="613806A1"/>
    <w:rsid w:val="61442C1D"/>
    <w:rsid w:val="61513026"/>
    <w:rsid w:val="61563631"/>
    <w:rsid w:val="61690628"/>
    <w:rsid w:val="616E7593"/>
    <w:rsid w:val="61717B9D"/>
    <w:rsid w:val="617C5EA6"/>
    <w:rsid w:val="61832410"/>
    <w:rsid w:val="61A13DAA"/>
    <w:rsid w:val="61A21315"/>
    <w:rsid w:val="61AD33F2"/>
    <w:rsid w:val="61AE40A4"/>
    <w:rsid w:val="61BF41BF"/>
    <w:rsid w:val="61CF0BBC"/>
    <w:rsid w:val="61E215D8"/>
    <w:rsid w:val="61E2482F"/>
    <w:rsid w:val="61F377B0"/>
    <w:rsid w:val="61F778B3"/>
    <w:rsid w:val="620D73B9"/>
    <w:rsid w:val="621B3775"/>
    <w:rsid w:val="62211A20"/>
    <w:rsid w:val="62214448"/>
    <w:rsid w:val="622D7DB2"/>
    <w:rsid w:val="6233753D"/>
    <w:rsid w:val="62364782"/>
    <w:rsid w:val="62455D62"/>
    <w:rsid w:val="624F73BE"/>
    <w:rsid w:val="62543C8A"/>
    <w:rsid w:val="62570DF8"/>
    <w:rsid w:val="625C60DE"/>
    <w:rsid w:val="625E6FE8"/>
    <w:rsid w:val="626746E3"/>
    <w:rsid w:val="6275381C"/>
    <w:rsid w:val="628C6E4F"/>
    <w:rsid w:val="6295025A"/>
    <w:rsid w:val="62954DF6"/>
    <w:rsid w:val="62982BB5"/>
    <w:rsid w:val="62AD5BAC"/>
    <w:rsid w:val="62B21065"/>
    <w:rsid w:val="62C3047E"/>
    <w:rsid w:val="62C5778F"/>
    <w:rsid w:val="62CC4D8D"/>
    <w:rsid w:val="62CD2196"/>
    <w:rsid w:val="62CF1C81"/>
    <w:rsid w:val="62F006CE"/>
    <w:rsid w:val="62F45AF2"/>
    <w:rsid w:val="62F82F7B"/>
    <w:rsid w:val="631B00C2"/>
    <w:rsid w:val="631B1054"/>
    <w:rsid w:val="631C7678"/>
    <w:rsid w:val="63242B4D"/>
    <w:rsid w:val="63301C72"/>
    <w:rsid w:val="63334FE5"/>
    <w:rsid w:val="633448F6"/>
    <w:rsid w:val="63536A40"/>
    <w:rsid w:val="63551DF3"/>
    <w:rsid w:val="63621137"/>
    <w:rsid w:val="637F3A8B"/>
    <w:rsid w:val="6394356A"/>
    <w:rsid w:val="63AE3C76"/>
    <w:rsid w:val="63B703A2"/>
    <w:rsid w:val="63BB6CB7"/>
    <w:rsid w:val="63C27D6F"/>
    <w:rsid w:val="63C61B2C"/>
    <w:rsid w:val="63C77D72"/>
    <w:rsid w:val="63D32507"/>
    <w:rsid w:val="63D40BE9"/>
    <w:rsid w:val="63E87FD7"/>
    <w:rsid w:val="63E94740"/>
    <w:rsid w:val="63F454C3"/>
    <w:rsid w:val="64021EC2"/>
    <w:rsid w:val="64102431"/>
    <w:rsid w:val="641263F4"/>
    <w:rsid w:val="6415023F"/>
    <w:rsid w:val="641626C3"/>
    <w:rsid w:val="641A6D59"/>
    <w:rsid w:val="641E1910"/>
    <w:rsid w:val="6423659B"/>
    <w:rsid w:val="642B317F"/>
    <w:rsid w:val="643B2CBC"/>
    <w:rsid w:val="64441CE1"/>
    <w:rsid w:val="64452341"/>
    <w:rsid w:val="644C614C"/>
    <w:rsid w:val="64545F01"/>
    <w:rsid w:val="64550D74"/>
    <w:rsid w:val="645C06A0"/>
    <w:rsid w:val="645D4F79"/>
    <w:rsid w:val="645E1D10"/>
    <w:rsid w:val="646271B0"/>
    <w:rsid w:val="647A0DC4"/>
    <w:rsid w:val="64857B79"/>
    <w:rsid w:val="64862365"/>
    <w:rsid w:val="64971D91"/>
    <w:rsid w:val="64A3242D"/>
    <w:rsid w:val="64A5243A"/>
    <w:rsid w:val="64B41F11"/>
    <w:rsid w:val="64C1579C"/>
    <w:rsid w:val="64C32F47"/>
    <w:rsid w:val="64C77D45"/>
    <w:rsid w:val="64CC2D19"/>
    <w:rsid w:val="64CF659A"/>
    <w:rsid w:val="64D01BC1"/>
    <w:rsid w:val="64D51109"/>
    <w:rsid w:val="64D667B2"/>
    <w:rsid w:val="64E11DB5"/>
    <w:rsid w:val="64E232EE"/>
    <w:rsid w:val="64E536C8"/>
    <w:rsid w:val="64F531DE"/>
    <w:rsid w:val="64F90675"/>
    <w:rsid w:val="64FE6DF7"/>
    <w:rsid w:val="65134E29"/>
    <w:rsid w:val="651412AE"/>
    <w:rsid w:val="65142E5F"/>
    <w:rsid w:val="65154D08"/>
    <w:rsid w:val="6534525A"/>
    <w:rsid w:val="65373578"/>
    <w:rsid w:val="653A4DD5"/>
    <w:rsid w:val="653E70CA"/>
    <w:rsid w:val="65436640"/>
    <w:rsid w:val="654404C8"/>
    <w:rsid w:val="65564C96"/>
    <w:rsid w:val="65693AFA"/>
    <w:rsid w:val="657A22EF"/>
    <w:rsid w:val="657B5F7C"/>
    <w:rsid w:val="658605EC"/>
    <w:rsid w:val="65926587"/>
    <w:rsid w:val="659B5443"/>
    <w:rsid w:val="659C120F"/>
    <w:rsid w:val="659F5F6D"/>
    <w:rsid w:val="65A05E42"/>
    <w:rsid w:val="65A631EF"/>
    <w:rsid w:val="65B5753E"/>
    <w:rsid w:val="65CD2ADA"/>
    <w:rsid w:val="65CE7E54"/>
    <w:rsid w:val="65D94A7B"/>
    <w:rsid w:val="65E50A5B"/>
    <w:rsid w:val="65EF75BF"/>
    <w:rsid w:val="65F47FDA"/>
    <w:rsid w:val="65FB6FBA"/>
    <w:rsid w:val="6603771C"/>
    <w:rsid w:val="66056F9F"/>
    <w:rsid w:val="66144F3D"/>
    <w:rsid w:val="661705AA"/>
    <w:rsid w:val="6625199A"/>
    <w:rsid w:val="663754B0"/>
    <w:rsid w:val="66482375"/>
    <w:rsid w:val="66493D1C"/>
    <w:rsid w:val="664D7086"/>
    <w:rsid w:val="66505C29"/>
    <w:rsid w:val="6652789A"/>
    <w:rsid w:val="66535CD6"/>
    <w:rsid w:val="66553A57"/>
    <w:rsid w:val="665F3CCC"/>
    <w:rsid w:val="667D0AE2"/>
    <w:rsid w:val="66903B63"/>
    <w:rsid w:val="66911D59"/>
    <w:rsid w:val="66925501"/>
    <w:rsid w:val="66947D4E"/>
    <w:rsid w:val="66A43237"/>
    <w:rsid w:val="66BC1B8D"/>
    <w:rsid w:val="66C43787"/>
    <w:rsid w:val="66C55C77"/>
    <w:rsid w:val="66CC0ED8"/>
    <w:rsid w:val="66E24729"/>
    <w:rsid w:val="66F15FFF"/>
    <w:rsid w:val="66F25A17"/>
    <w:rsid w:val="67073D58"/>
    <w:rsid w:val="67080354"/>
    <w:rsid w:val="670939C6"/>
    <w:rsid w:val="670D4785"/>
    <w:rsid w:val="670D50E3"/>
    <w:rsid w:val="67136D1B"/>
    <w:rsid w:val="67187610"/>
    <w:rsid w:val="671D7D5F"/>
    <w:rsid w:val="671F124A"/>
    <w:rsid w:val="67237C22"/>
    <w:rsid w:val="6731289B"/>
    <w:rsid w:val="673E012D"/>
    <w:rsid w:val="674E1C9B"/>
    <w:rsid w:val="677A33C6"/>
    <w:rsid w:val="677E69CE"/>
    <w:rsid w:val="67803B7C"/>
    <w:rsid w:val="679E3950"/>
    <w:rsid w:val="67A3631A"/>
    <w:rsid w:val="67BD778B"/>
    <w:rsid w:val="67D1147F"/>
    <w:rsid w:val="67DA2D35"/>
    <w:rsid w:val="67DE41B6"/>
    <w:rsid w:val="67DE67CF"/>
    <w:rsid w:val="67EF1E8E"/>
    <w:rsid w:val="67EF358B"/>
    <w:rsid w:val="680542C7"/>
    <w:rsid w:val="68091C04"/>
    <w:rsid w:val="68140C89"/>
    <w:rsid w:val="68193DA7"/>
    <w:rsid w:val="681F6961"/>
    <w:rsid w:val="68210F59"/>
    <w:rsid w:val="68240116"/>
    <w:rsid w:val="682424DC"/>
    <w:rsid w:val="68263084"/>
    <w:rsid w:val="682E1112"/>
    <w:rsid w:val="68331601"/>
    <w:rsid w:val="68343E82"/>
    <w:rsid w:val="683926A8"/>
    <w:rsid w:val="683F1756"/>
    <w:rsid w:val="68433D9F"/>
    <w:rsid w:val="685A023D"/>
    <w:rsid w:val="685C4125"/>
    <w:rsid w:val="68610A2F"/>
    <w:rsid w:val="687575AB"/>
    <w:rsid w:val="687F41EB"/>
    <w:rsid w:val="68805514"/>
    <w:rsid w:val="688A4956"/>
    <w:rsid w:val="689F016E"/>
    <w:rsid w:val="68A07E4E"/>
    <w:rsid w:val="68A426C7"/>
    <w:rsid w:val="68B232CF"/>
    <w:rsid w:val="68B46A6F"/>
    <w:rsid w:val="68C50FA7"/>
    <w:rsid w:val="68C63B8D"/>
    <w:rsid w:val="68CA065B"/>
    <w:rsid w:val="68CF1C50"/>
    <w:rsid w:val="68D3275B"/>
    <w:rsid w:val="68D66519"/>
    <w:rsid w:val="68F669DD"/>
    <w:rsid w:val="68FD36D6"/>
    <w:rsid w:val="68FE02F4"/>
    <w:rsid w:val="690F2DC3"/>
    <w:rsid w:val="69174FE5"/>
    <w:rsid w:val="69196036"/>
    <w:rsid w:val="691E06E3"/>
    <w:rsid w:val="693030EA"/>
    <w:rsid w:val="69316E2F"/>
    <w:rsid w:val="69344034"/>
    <w:rsid w:val="69376B0E"/>
    <w:rsid w:val="693818D3"/>
    <w:rsid w:val="693C729D"/>
    <w:rsid w:val="693E5A9D"/>
    <w:rsid w:val="6943016F"/>
    <w:rsid w:val="694E2071"/>
    <w:rsid w:val="69521ACA"/>
    <w:rsid w:val="6954551D"/>
    <w:rsid w:val="695A5A77"/>
    <w:rsid w:val="696C2769"/>
    <w:rsid w:val="697463E4"/>
    <w:rsid w:val="69766163"/>
    <w:rsid w:val="697A3B33"/>
    <w:rsid w:val="697A51D6"/>
    <w:rsid w:val="6983728A"/>
    <w:rsid w:val="69837AB7"/>
    <w:rsid w:val="69841C2E"/>
    <w:rsid w:val="698F190A"/>
    <w:rsid w:val="69A551EE"/>
    <w:rsid w:val="69CD665B"/>
    <w:rsid w:val="69D3232A"/>
    <w:rsid w:val="69D44760"/>
    <w:rsid w:val="69DA7022"/>
    <w:rsid w:val="69DC33C5"/>
    <w:rsid w:val="69F10E5B"/>
    <w:rsid w:val="69F85DC7"/>
    <w:rsid w:val="6A014E78"/>
    <w:rsid w:val="6A01703C"/>
    <w:rsid w:val="6A0200F5"/>
    <w:rsid w:val="6A025C53"/>
    <w:rsid w:val="6A115DD0"/>
    <w:rsid w:val="6A3B17E1"/>
    <w:rsid w:val="6A3B5578"/>
    <w:rsid w:val="6A470F07"/>
    <w:rsid w:val="6A474C87"/>
    <w:rsid w:val="6A520EC7"/>
    <w:rsid w:val="6A5A4F16"/>
    <w:rsid w:val="6A5B7C12"/>
    <w:rsid w:val="6A68271C"/>
    <w:rsid w:val="6A6851EC"/>
    <w:rsid w:val="6A7379C8"/>
    <w:rsid w:val="6A743FEE"/>
    <w:rsid w:val="6A744BD7"/>
    <w:rsid w:val="6A7C478B"/>
    <w:rsid w:val="6A837C0B"/>
    <w:rsid w:val="6A87210F"/>
    <w:rsid w:val="6A8D2533"/>
    <w:rsid w:val="6A935DEF"/>
    <w:rsid w:val="6AA3286B"/>
    <w:rsid w:val="6AB4371D"/>
    <w:rsid w:val="6ABB61A3"/>
    <w:rsid w:val="6AC05688"/>
    <w:rsid w:val="6AC84A55"/>
    <w:rsid w:val="6AC94BEB"/>
    <w:rsid w:val="6AD23698"/>
    <w:rsid w:val="6AD812B8"/>
    <w:rsid w:val="6AF7560C"/>
    <w:rsid w:val="6AF866F2"/>
    <w:rsid w:val="6AF87E20"/>
    <w:rsid w:val="6AFC7282"/>
    <w:rsid w:val="6B114813"/>
    <w:rsid w:val="6B241D4E"/>
    <w:rsid w:val="6B322639"/>
    <w:rsid w:val="6B324983"/>
    <w:rsid w:val="6B345CA4"/>
    <w:rsid w:val="6B3A2C95"/>
    <w:rsid w:val="6B3B475E"/>
    <w:rsid w:val="6B5122CE"/>
    <w:rsid w:val="6B5207B4"/>
    <w:rsid w:val="6B525809"/>
    <w:rsid w:val="6B610CCA"/>
    <w:rsid w:val="6B630959"/>
    <w:rsid w:val="6B6712DB"/>
    <w:rsid w:val="6B7B07C9"/>
    <w:rsid w:val="6B8D5F07"/>
    <w:rsid w:val="6B8F438D"/>
    <w:rsid w:val="6B962AFE"/>
    <w:rsid w:val="6BB24F99"/>
    <w:rsid w:val="6BB467AD"/>
    <w:rsid w:val="6BB915F3"/>
    <w:rsid w:val="6BC02B81"/>
    <w:rsid w:val="6BC36A94"/>
    <w:rsid w:val="6BC405EC"/>
    <w:rsid w:val="6BC4261A"/>
    <w:rsid w:val="6BE17365"/>
    <w:rsid w:val="6BE34728"/>
    <w:rsid w:val="6BED613A"/>
    <w:rsid w:val="6BED66A0"/>
    <w:rsid w:val="6BEE1E92"/>
    <w:rsid w:val="6C0F6D3F"/>
    <w:rsid w:val="6C192D6F"/>
    <w:rsid w:val="6C197C7F"/>
    <w:rsid w:val="6C1B6E74"/>
    <w:rsid w:val="6C2D4839"/>
    <w:rsid w:val="6C350CF1"/>
    <w:rsid w:val="6C396DCC"/>
    <w:rsid w:val="6C465394"/>
    <w:rsid w:val="6C4852F1"/>
    <w:rsid w:val="6C4935C3"/>
    <w:rsid w:val="6C553829"/>
    <w:rsid w:val="6C5564B7"/>
    <w:rsid w:val="6C5A2BED"/>
    <w:rsid w:val="6C636C38"/>
    <w:rsid w:val="6C6F722F"/>
    <w:rsid w:val="6C7506E2"/>
    <w:rsid w:val="6C7C0861"/>
    <w:rsid w:val="6C7C1AC7"/>
    <w:rsid w:val="6C816FCD"/>
    <w:rsid w:val="6C8C1FEF"/>
    <w:rsid w:val="6C936D0E"/>
    <w:rsid w:val="6CA43432"/>
    <w:rsid w:val="6CAF619F"/>
    <w:rsid w:val="6CC5695E"/>
    <w:rsid w:val="6CD017C1"/>
    <w:rsid w:val="6CD56718"/>
    <w:rsid w:val="6CE86C6F"/>
    <w:rsid w:val="6CEA57EE"/>
    <w:rsid w:val="6D002DAD"/>
    <w:rsid w:val="6D2014C0"/>
    <w:rsid w:val="6D3761C2"/>
    <w:rsid w:val="6D3E0380"/>
    <w:rsid w:val="6D3F6BE1"/>
    <w:rsid w:val="6D4E616B"/>
    <w:rsid w:val="6D5125CC"/>
    <w:rsid w:val="6D5419EC"/>
    <w:rsid w:val="6D5F5925"/>
    <w:rsid w:val="6D5F715F"/>
    <w:rsid w:val="6D624DA9"/>
    <w:rsid w:val="6D794901"/>
    <w:rsid w:val="6D7C3527"/>
    <w:rsid w:val="6D7E0B98"/>
    <w:rsid w:val="6D902A73"/>
    <w:rsid w:val="6D926659"/>
    <w:rsid w:val="6D9461B3"/>
    <w:rsid w:val="6D962029"/>
    <w:rsid w:val="6DA20AFB"/>
    <w:rsid w:val="6DA96446"/>
    <w:rsid w:val="6DAD1A2D"/>
    <w:rsid w:val="6DB34098"/>
    <w:rsid w:val="6DB545B6"/>
    <w:rsid w:val="6DB60A34"/>
    <w:rsid w:val="6DB631D4"/>
    <w:rsid w:val="6DC714C1"/>
    <w:rsid w:val="6DC86E0D"/>
    <w:rsid w:val="6DD41AAA"/>
    <w:rsid w:val="6DD922E3"/>
    <w:rsid w:val="6DE02FB4"/>
    <w:rsid w:val="6DE70ED2"/>
    <w:rsid w:val="6DF07ED2"/>
    <w:rsid w:val="6DF11B58"/>
    <w:rsid w:val="6DF7791D"/>
    <w:rsid w:val="6E1416F9"/>
    <w:rsid w:val="6E31292A"/>
    <w:rsid w:val="6E386F5E"/>
    <w:rsid w:val="6E39757E"/>
    <w:rsid w:val="6E477EEE"/>
    <w:rsid w:val="6E4A6937"/>
    <w:rsid w:val="6E514CED"/>
    <w:rsid w:val="6E536565"/>
    <w:rsid w:val="6E576F17"/>
    <w:rsid w:val="6E6659E4"/>
    <w:rsid w:val="6E6A0AF2"/>
    <w:rsid w:val="6E6D32E1"/>
    <w:rsid w:val="6E74699A"/>
    <w:rsid w:val="6E7E7FF0"/>
    <w:rsid w:val="6E961E2E"/>
    <w:rsid w:val="6E973660"/>
    <w:rsid w:val="6E974B3F"/>
    <w:rsid w:val="6E9805D1"/>
    <w:rsid w:val="6EA22437"/>
    <w:rsid w:val="6EB563D5"/>
    <w:rsid w:val="6EBD79D2"/>
    <w:rsid w:val="6EC90721"/>
    <w:rsid w:val="6ED82AA1"/>
    <w:rsid w:val="6ED92677"/>
    <w:rsid w:val="6EDC41D0"/>
    <w:rsid w:val="6EE67218"/>
    <w:rsid w:val="6EEF0EFD"/>
    <w:rsid w:val="6EEF186D"/>
    <w:rsid w:val="6EFB7C93"/>
    <w:rsid w:val="6F0C483F"/>
    <w:rsid w:val="6F144140"/>
    <w:rsid w:val="6F1905D5"/>
    <w:rsid w:val="6F213E9C"/>
    <w:rsid w:val="6F225983"/>
    <w:rsid w:val="6F264687"/>
    <w:rsid w:val="6F2C1D50"/>
    <w:rsid w:val="6F2D5299"/>
    <w:rsid w:val="6F30589F"/>
    <w:rsid w:val="6F407FB2"/>
    <w:rsid w:val="6F4A0F14"/>
    <w:rsid w:val="6F4B2CC1"/>
    <w:rsid w:val="6F4D4C8B"/>
    <w:rsid w:val="6F6D0831"/>
    <w:rsid w:val="6F6D0E8A"/>
    <w:rsid w:val="6F6F176D"/>
    <w:rsid w:val="6F9E6831"/>
    <w:rsid w:val="6FA154B2"/>
    <w:rsid w:val="6FA3645B"/>
    <w:rsid w:val="6FB148FB"/>
    <w:rsid w:val="6FB22BFA"/>
    <w:rsid w:val="6FB42C58"/>
    <w:rsid w:val="6FC840C3"/>
    <w:rsid w:val="6FD43436"/>
    <w:rsid w:val="6FD5366F"/>
    <w:rsid w:val="6FE1275E"/>
    <w:rsid w:val="6FF24D6A"/>
    <w:rsid w:val="6FF6075D"/>
    <w:rsid w:val="6FFA5AE5"/>
    <w:rsid w:val="6FFC5590"/>
    <w:rsid w:val="700F5678"/>
    <w:rsid w:val="7012540B"/>
    <w:rsid w:val="70162092"/>
    <w:rsid w:val="701C21BD"/>
    <w:rsid w:val="702042C2"/>
    <w:rsid w:val="70257661"/>
    <w:rsid w:val="70260BEB"/>
    <w:rsid w:val="702C0D1C"/>
    <w:rsid w:val="70340294"/>
    <w:rsid w:val="703C40F5"/>
    <w:rsid w:val="70466F8C"/>
    <w:rsid w:val="70497BDD"/>
    <w:rsid w:val="704F5E29"/>
    <w:rsid w:val="704F602E"/>
    <w:rsid w:val="70657AC6"/>
    <w:rsid w:val="706B35E7"/>
    <w:rsid w:val="706D1DD0"/>
    <w:rsid w:val="70715C8E"/>
    <w:rsid w:val="707B6C87"/>
    <w:rsid w:val="70854609"/>
    <w:rsid w:val="70856B87"/>
    <w:rsid w:val="708F4976"/>
    <w:rsid w:val="70A15644"/>
    <w:rsid w:val="70AB382E"/>
    <w:rsid w:val="70B03EBB"/>
    <w:rsid w:val="70B43544"/>
    <w:rsid w:val="70D23371"/>
    <w:rsid w:val="70D527EE"/>
    <w:rsid w:val="70E32521"/>
    <w:rsid w:val="70E47350"/>
    <w:rsid w:val="70EA7107"/>
    <w:rsid w:val="70F6250B"/>
    <w:rsid w:val="70FD1358"/>
    <w:rsid w:val="712042E6"/>
    <w:rsid w:val="712D5DB3"/>
    <w:rsid w:val="7141437C"/>
    <w:rsid w:val="715928F8"/>
    <w:rsid w:val="715A3EC3"/>
    <w:rsid w:val="715B5300"/>
    <w:rsid w:val="716B6042"/>
    <w:rsid w:val="71725AAA"/>
    <w:rsid w:val="71801AB8"/>
    <w:rsid w:val="71872942"/>
    <w:rsid w:val="71884B4C"/>
    <w:rsid w:val="718F3AE8"/>
    <w:rsid w:val="71B553FA"/>
    <w:rsid w:val="71B92280"/>
    <w:rsid w:val="71CD5D21"/>
    <w:rsid w:val="71D27F8A"/>
    <w:rsid w:val="71E30EDB"/>
    <w:rsid w:val="71EC518F"/>
    <w:rsid w:val="71ED29B8"/>
    <w:rsid w:val="71F17B50"/>
    <w:rsid w:val="71F400D7"/>
    <w:rsid w:val="72084E9A"/>
    <w:rsid w:val="72141DED"/>
    <w:rsid w:val="72192FFB"/>
    <w:rsid w:val="721D0945"/>
    <w:rsid w:val="72256827"/>
    <w:rsid w:val="722A3079"/>
    <w:rsid w:val="72385CBA"/>
    <w:rsid w:val="723A4F2A"/>
    <w:rsid w:val="723E6F03"/>
    <w:rsid w:val="72411898"/>
    <w:rsid w:val="72425A47"/>
    <w:rsid w:val="72470D08"/>
    <w:rsid w:val="724C51C6"/>
    <w:rsid w:val="72553024"/>
    <w:rsid w:val="725625AC"/>
    <w:rsid w:val="725842BF"/>
    <w:rsid w:val="725F2A0D"/>
    <w:rsid w:val="72616DCA"/>
    <w:rsid w:val="72683127"/>
    <w:rsid w:val="7270309A"/>
    <w:rsid w:val="72703F14"/>
    <w:rsid w:val="72736BE8"/>
    <w:rsid w:val="72834520"/>
    <w:rsid w:val="72842772"/>
    <w:rsid w:val="72925CB2"/>
    <w:rsid w:val="729B1BB8"/>
    <w:rsid w:val="72AC1FE1"/>
    <w:rsid w:val="72AF2E1E"/>
    <w:rsid w:val="72B046F0"/>
    <w:rsid w:val="72B65D45"/>
    <w:rsid w:val="72BD4361"/>
    <w:rsid w:val="72CA527E"/>
    <w:rsid w:val="72CB65F3"/>
    <w:rsid w:val="72CE75E7"/>
    <w:rsid w:val="72D35A08"/>
    <w:rsid w:val="72D57C84"/>
    <w:rsid w:val="72D763B0"/>
    <w:rsid w:val="72DA0196"/>
    <w:rsid w:val="72DE489F"/>
    <w:rsid w:val="72E109D1"/>
    <w:rsid w:val="72EA313F"/>
    <w:rsid w:val="72EC1C6E"/>
    <w:rsid w:val="72EF2B2A"/>
    <w:rsid w:val="72FA7CB9"/>
    <w:rsid w:val="72FC60C7"/>
    <w:rsid w:val="730B6DE7"/>
    <w:rsid w:val="730C5C47"/>
    <w:rsid w:val="73122968"/>
    <w:rsid w:val="73141C57"/>
    <w:rsid w:val="731955B0"/>
    <w:rsid w:val="731F5D5E"/>
    <w:rsid w:val="73316290"/>
    <w:rsid w:val="733D2146"/>
    <w:rsid w:val="73607D61"/>
    <w:rsid w:val="73742F7B"/>
    <w:rsid w:val="738C5E96"/>
    <w:rsid w:val="7392458D"/>
    <w:rsid w:val="73A70B70"/>
    <w:rsid w:val="73B41479"/>
    <w:rsid w:val="73C33A1D"/>
    <w:rsid w:val="73C51AD5"/>
    <w:rsid w:val="73CD7CFC"/>
    <w:rsid w:val="73D35BD9"/>
    <w:rsid w:val="73D7048A"/>
    <w:rsid w:val="73E82BE5"/>
    <w:rsid w:val="73FD04D9"/>
    <w:rsid w:val="74013BB9"/>
    <w:rsid w:val="74024F71"/>
    <w:rsid w:val="7413533B"/>
    <w:rsid w:val="741E793C"/>
    <w:rsid w:val="74396FD9"/>
    <w:rsid w:val="743B722C"/>
    <w:rsid w:val="743F7507"/>
    <w:rsid w:val="7440151A"/>
    <w:rsid w:val="74436C1E"/>
    <w:rsid w:val="74480DAE"/>
    <w:rsid w:val="744D548A"/>
    <w:rsid w:val="745240E9"/>
    <w:rsid w:val="7454731D"/>
    <w:rsid w:val="74574479"/>
    <w:rsid w:val="745E3944"/>
    <w:rsid w:val="7477024F"/>
    <w:rsid w:val="747B28F6"/>
    <w:rsid w:val="747E7A85"/>
    <w:rsid w:val="7480550A"/>
    <w:rsid w:val="74963CCA"/>
    <w:rsid w:val="7497140B"/>
    <w:rsid w:val="74995769"/>
    <w:rsid w:val="749B55B0"/>
    <w:rsid w:val="74A658DF"/>
    <w:rsid w:val="74A8406D"/>
    <w:rsid w:val="74C3119E"/>
    <w:rsid w:val="74C85C16"/>
    <w:rsid w:val="74D36203"/>
    <w:rsid w:val="74D70BCA"/>
    <w:rsid w:val="74E4515E"/>
    <w:rsid w:val="74EB24DA"/>
    <w:rsid w:val="74FE7E2A"/>
    <w:rsid w:val="75045DEC"/>
    <w:rsid w:val="751C09F3"/>
    <w:rsid w:val="752913AF"/>
    <w:rsid w:val="7532674E"/>
    <w:rsid w:val="753451A6"/>
    <w:rsid w:val="753A2304"/>
    <w:rsid w:val="754D6F4C"/>
    <w:rsid w:val="755377D7"/>
    <w:rsid w:val="75580B68"/>
    <w:rsid w:val="756A3BA1"/>
    <w:rsid w:val="757758AD"/>
    <w:rsid w:val="75805735"/>
    <w:rsid w:val="75843300"/>
    <w:rsid w:val="75895E50"/>
    <w:rsid w:val="759400DD"/>
    <w:rsid w:val="759578A1"/>
    <w:rsid w:val="75987DC5"/>
    <w:rsid w:val="759E1D9D"/>
    <w:rsid w:val="75A308F9"/>
    <w:rsid w:val="75BA27A3"/>
    <w:rsid w:val="75BE0ADD"/>
    <w:rsid w:val="75C24BF3"/>
    <w:rsid w:val="75C27EA8"/>
    <w:rsid w:val="75D125B4"/>
    <w:rsid w:val="75DF1EC6"/>
    <w:rsid w:val="75E40BE8"/>
    <w:rsid w:val="75EB2358"/>
    <w:rsid w:val="75F15887"/>
    <w:rsid w:val="76037582"/>
    <w:rsid w:val="7609460E"/>
    <w:rsid w:val="760E2315"/>
    <w:rsid w:val="76143E0D"/>
    <w:rsid w:val="7628295B"/>
    <w:rsid w:val="762C174B"/>
    <w:rsid w:val="76320F8B"/>
    <w:rsid w:val="763365EF"/>
    <w:rsid w:val="76340CF6"/>
    <w:rsid w:val="7635099D"/>
    <w:rsid w:val="76364408"/>
    <w:rsid w:val="763C5112"/>
    <w:rsid w:val="763E3020"/>
    <w:rsid w:val="763E7E20"/>
    <w:rsid w:val="76417DB8"/>
    <w:rsid w:val="764535B7"/>
    <w:rsid w:val="76492DFA"/>
    <w:rsid w:val="764A24C9"/>
    <w:rsid w:val="7660225F"/>
    <w:rsid w:val="766354C4"/>
    <w:rsid w:val="76637782"/>
    <w:rsid w:val="76755D9E"/>
    <w:rsid w:val="768B7A32"/>
    <w:rsid w:val="768F418B"/>
    <w:rsid w:val="7693133E"/>
    <w:rsid w:val="769A4004"/>
    <w:rsid w:val="76A4506F"/>
    <w:rsid w:val="76AF7F0A"/>
    <w:rsid w:val="76B9705F"/>
    <w:rsid w:val="76BF021D"/>
    <w:rsid w:val="76CA4E11"/>
    <w:rsid w:val="76D96A9F"/>
    <w:rsid w:val="76DD2B68"/>
    <w:rsid w:val="76E47CF7"/>
    <w:rsid w:val="76E566AC"/>
    <w:rsid w:val="76E920CF"/>
    <w:rsid w:val="76EC11FE"/>
    <w:rsid w:val="76F94BF4"/>
    <w:rsid w:val="77077BEE"/>
    <w:rsid w:val="770A2C23"/>
    <w:rsid w:val="770D7423"/>
    <w:rsid w:val="77147318"/>
    <w:rsid w:val="77260163"/>
    <w:rsid w:val="77272F1F"/>
    <w:rsid w:val="772738F8"/>
    <w:rsid w:val="772D2B7D"/>
    <w:rsid w:val="773005A8"/>
    <w:rsid w:val="773373DA"/>
    <w:rsid w:val="77396A73"/>
    <w:rsid w:val="774015C2"/>
    <w:rsid w:val="774937B5"/>
    <w:rsid w:val="774B7258"/>
    <w:rsid w:val="77554CDB"/>
    <w:rsid w:val="775B51A1"/>
    <w:rsid w:val="776A6015"/>
    <w:rsid w:val="776D7430"/>
    <w:rsid w:val="77762421"/>
    <w:rsid w:val="77762F45"/>
    <w:rsid w:val="7786162A"/>
    <w:rsid w:val="779C352B"/>
    <w:rsid w:val="77B0754A"/>
    <w:rsid w:val="77B56B1F"/>
    <w:rsid w:val="77B91110"/>
    <w:rsid w:val="77BD2FB4"/>
    <w:rsid w:val="77BE75B9"/>
    <w:rsid w:val="77C11A6E"/>
    <w:rsid w:val="77CF3AB9"/>
    <w:rsid w:val="77D45754"/>
    <w:rsid w:val="77D814F1"/>
    <w:rsid w:val="77DE4B08"/>
    <w:rsid w:val="77E71674"/>
    <w:rsid w:val="77E865D5"/>
    <w:rsid w:val="780F09F4"/>
    <w:rsid w:val="78102E41"/>
    <w:rsid w:val="781A5B43"/>
    <w:rsid w:val="781B44B4"/>
    <w:rsid w:val="782D7408"/>
    <w:rsid w:val="782F312E"/>
    <w:rsid w:val="78436A74"/>
    <w:rsid w:val="78485FF0"/>
    <w:rsid w:val="784F7AF4"/>
    <w:rsid w:val="785A1A2E"/>
    <w:rsid w:val="7873322E"/>
    <w:rsid w:val="78751757"/>
    <w:rsid w:val="78765269"/>
    <w:rsid w:val="78833D69"/>
    <w:rsid w:val="788F1E71"/>
    <w:rsid w:val="78914351"/>
    <w:rsid w:val="789E10DD"/>
    <w:rsid w:val="78A04914"/>
    <w:rsid w:val="78A44C78"/>
    <w:rsid w:val="78A90480"/>
    <w:rsid w:val="78A963C7"/>
    <w:rsid w:val="78AC2B70"/>
    <w:rsid w:val="78AD2DC1"/>
    <w:rsid w:val="78B10D1D"/>
    <w:rsid w:val="78B84D10"/>
    <w:rsid w:val="78BE663E"/>
    <w:rsid w:val="78BE67DE"/>
    <w:rsid w:val="78DA2553"/>
    <w:rsid w:val="78DD0E2E"/>
    <w:rsid w:val="78EA354B"/>
    <w:rsid w:val="78EE3AF6"/>
    <w:rsid w:val="79007522"/>
    <w:rsid w:val="79047604"/>
    <w:rsid w:val="790F7819"/>
    <w:rsid w:val="7916690A"/>
    <w:rsid w:val="7920529A"/>
    <w:rsid w:val="79220A17"/>
    <w:rsid w:val="79273840"/>
    <w:rsid w:val="793420B5"/>
    <w:rsid w:val="79377436"/>
    <w:rsid w:val="794C41BB"/>
    <w:rsid w:val="795517BE"/>
    <w:rsid w:val="79575C2D"/>
    <w:rsid w:val="7959048F"/>
    <w:rsid w:val="795B31E6"/>
    <w:rsid w:val="795C17F9"/>
    <w:rsid w:val="7967609A"/>
    <w:rsid w:val="796C1E2A"/>
    <w:rsid w:val="79703A50"/>
    <w:rsid w:val="79892586"/>
    <w:rsid w:val="79904388"/>
    <w:rsid w:val="79927817"/>
    <w:rsid w:val="799A017C"/>
    <w:rsid w:val="79A51A0B"/>
    <w:rsid w:val="79AC25AE"/>
    <w:rsid w:val="79B40A0B"/>
    <w:rsid w:val="79CC3BE8"/>
    <w:rsid w:val="79D008FA"/>
    <w:rsid w:val="79E2790E"/>
    <w:rsid w:val="79FF06C1"/>
    <w:rsid w:val="7A0271B5"/>
    <w:rsid w:val="7A12765A"/>
    <w:rsid w:val="7A1E7CA1"/>
    <w:rsid w:val="7A2A2846"/>
    <w:rsid w:val="7A364017"/>
    <w:rsid w:val="7A4048FD"/>
    <w:rsid w:val="7A475FF8"/>
    <w:rsid w:val="7A4B1CBE"/>
    <w:rsid w:val="7A536A48"/>
    <w:rsid w:val="7A541E16"/>
    <w:rsid w:val="7A602F81"/>
    <w:rsid w:val="7A603A66"/>
    <w:rsid w:val="7A611BAB"/>
    <w:rsid w:val="7A732E1B"/>
    <w:rsid w:val="7A765096"/>
    <w:rsid w:val="7A7C25EC"/>
    <w:rsid w:val="7A8265E1"/>
    <w:rsid w:val="7A9059C8"/>
    <w:rsid w:val="7A9539AC"/>
    <w:rsid w:val="7A9B6777"/>
    <w:rsid w:val="7A9E2FD1"/>
    <w:rsid w:val="7AA8737F"/>
    <w:rsid w:val="7AAA1BDB"/>
    <w:rsid w:val="7AB56FF5"/>
    <w:rsid w:val="7AB80202"/>
    <w:rsid w:val="7AB97227"/>
    <w:rsid w:val="7AD65E79"/>
    <w:rsid w:val="7AD94854"/>
    <w:rsid w:val="7AE410EF"/>
    <w:rsid w:val="7AE82934"/>
    <w:rsid w:val="7AF6705F"/>
    <w:rsid w:val="7AF80F6C"/>
    <w:rsid w:val="7AFD33B3"/>
    <w:rsid w:val="7B011756"/>
    <w:rsid w:val="7B02475F"/>
    <w:rsid w:val="7B160627"/>
    <w:rsid w:val="7B1B4908"/>
    <w:rsid w:val="7B294C96"/>
    <w:rsid w:val="7B2B0813"/>
    <w:rsid w:val="7B2B606D"/>
    <w:rsid w:val="7B2C5E16"/>
    <w:rsid w:val="7B35520E"/>
    <w:rsid w:val="7B4C1097"/>
    <w:rsid w:val="7B681EAD"/>
    <w:rsid w:val="7B686D42"/>
    <w:rsid w:val="7B6F049B"/>
    <w:rsid w:val="7B7F1A22"/>
    <w:rsid w:val="7B8237F8"/>
    <w:rsid w:val="7B841746"/>
    <w:rsid w:val="7B843A51"/>
    <w:rsid w:val="7B8E18E4"/>
    <w:rsid w:val="7B9F5114"/>
    <w:rsid w:val="7BA14265"/>
    <w:rsid w:val="7BA504D7"/>
    <w:rsid w:val="7BB526AB"/>
    <w:rsid w:val="7BBF106D"/>
    <w:rsid w:val="7BCA6346"/>
    <w:rsid w:val="7BD46274"/>
    <w:rsid w:val="7BD535E3"/>
    <w:rsid w:val="7BDC164F"/>
    <w:rsid w:val="7BE1001F"/>
    <w:rsid w:val="7BE426E6"/>
    <w:rsid w:val="7BFE24C0"/>
    <w:rsid w:val="7BFE6B5E"/>
    <w:rsid w:val="7BFF361A"/>
    <w:rsid w:val="7C082437"/>
    <w:rsid w:val="7C1708B3"/>
    <w:rsid w:val="7C3D05F6"/>
    <w:rsid w:val="7C446E4C"/>
    <w:rsid w:val="7C57091A"/>
    <w:rsid w:val="7C5949BB"/>
    <w:rsid w:val="7C607FF3"/>
    <w:rsid w:val="7C640A33"/>
    <w:rsid w:val="7C641C5C"/>
    <w:rsid w:val="7C683F82"/>
    <w:rsid w:val="7C6C5AC7"/>
    <w:rsid w:val="7C71405D"/>
    <w:rsid w:val="7C727735"/>
    <w:rsid w:val="7C78192D"/>
    <w:rsid w:val="7C873BAA"/>
    <w:rsid w:val="7C8D5BA7"/>
    <w:rsid w:val="7C942035"/>
    <w:rsid w:val="7C942211"/>
    <w:rsid w:val="7C9909BA"/>
    <w:rsid w:val="7C9D33A7"/>
    <w:rsid w:val="7CBE084F"/>
    <w:rsid w:val="7CC6544B"/>
    <w:rsid w:val="7CC72903"/>
    <w:rsid w:val="7CC7589E"/>
    <w:rsid w:val="7CC94705"/>
    <w:rsid w:val="7CE33DA0"/>
    <w:rsid w:val="7CE704CD"/>
    <w:rsid w:val="7CE72C39"/>
    <w:rsid w:val="7CE908B4"/>
    <w:rsid w:val="7CEF3120"/>
    <w:rsid w:val="7CF7550B"/>
    <w:rsid w:val="7D0239FF"/>
    <w:rsid w:val="7D041699"/>
    <w:rsid w:val="7D0722E6"/>
    <w:rsid w:val="7D144061"/>
    <w:rsid w:val="7D150639"/>
    <w:rsid w:val="7D2026AA"/>
    <w:rsid w:val="7D295070"/>
    <w:rsid w:val="7D3353A8"/>
    <w:rsid w:val="7D3577CC"/>
    <w:rsid w:val="7D3A58BC"/>
    <w:rsid w:val="7D3B349F"/>
    <w:rsid w:val="7D3B5B3D"/>
    <w:rsid w:val="7D3D1FB3"/>
    <w:rsid w:val="7D470982"/>
    <w:rsid w:val="7D4C4796"/>
    <w:rsid w:val="7D5E40CD"/>
    <w:rsid w:val="7D720695"/>
    <w:rsid w:val="7D77734A"/>
    <w:rsid w:val="7D77750D"/>
    <w:rsid w:val="7D787377"/>
    <w:rsid w:val="7D7B6C85"/>
    <w:rsid w:val="7D9523D9"/>
    <w:rsid w:val="7DA2340F"/>
    <w:rsid w:val="7DA255D6"/>
    <w:rsid w:val="7DA87BFC"/>
    <w:rsid w:val="7DAD697C"/>
    <w:rsid w:val="7DB42613"/>
    <w:rsid w:val="7DBC2663"/>
    <w:rsid w:val="7DBF295F"/>
    <w:rsid w:val="7DC04604"/>
    <w:rsid w:val="7DC2577F"/>
    <w:rsid w:val="7DC32A83"/>
    <w:rsid w:val="7DC343A9"/>
    <w:rsid w:val="7DC36115"/>
    <w:rsid w:val="7DCC327D"/>
    <w:rsid w:val="7DCD56F2"/>
    <w:rsid w:val="7DD30A52"/>
    <w:rsid w:val="7DEA358E"/>
    <w:rsid w:val="7E0900A7"/>
    <w:rsid w:val="7E0B3D48"/>
    <w:rsid w:val="7E130F21"/>
    <w:rsid w:val="7E1545E3"/>
    <w:rsid w:val="7E154BC6"/>
    <w:rsid w:val="7E2B1419"/>
    <w:rsid w:val="7E3756CE"/>
    <w:rsid w:val="7E4177C0"/>
    <w:rsid w:val="7E583EE7"/>
    <w:rsid w:val="7E6263BA"/>
    <w:rsid w:val="7E7A644B"/>
    <w:rsid w:val="7E7E450C"/>
    <w:rsid w:val="7E807B45"/>
    <w:rsid w:val="7E8B4A57"/>
    <w:rsid w:val="7E933542"/>
    <w:rsid w:val="7E9911E6"/>
    <w:rsid w:val="7EB56F5E"/>
    <w:rsid w:val="7EB60819"/>
    <w:rsid w:val="7EB71864"/>
    <w:rsid w:val="7EBA6DE5"/>
    <w:rsid w:val="7EC30170"/>
    <w:rsid w:val="7EC503D8"/>
    <w:rsid w:val="7ED04C3B"/>
    <w:rsid w:val="7ED85524"/>
    <w:rsid w:val="7EDB3599"/>
    <w:rsid w:val="7EDD2342"/>
    <w:rsid w:val="7EE21835"/>
    <w:rsid w:val="7EE767C9"/>
    <w:rsid w:val="7EF009F6"/>
    <w:rsid w:val="7F001CE7"/>
    <w:rsid w:val="7F014C17"/>
    <w:rsid w:val="7F0C2F67"/>
    <w:rsid w:val="7F0C77A2"/>
    <w:rsid w:val="7F1844A5"/>
    <w:rsid w:val="7F1E6B7F"/>
    <w:rsid w:val="7F452616"/>
    <w:rsid w:val="7F623E3B"/>
    <w:rsid w:val="7F651B34"/>
    <w:rsid w:val="7F700319"/>
    <w:rsid w:val="7F8C3A82"/>
    <w:rsid w:val="7F8F16A2"/>
    <w:rsid w:val="7F9642EA"/>
    <w:rsid w:val="7F965CF9"/>
    <w:rsid w:val="7FA122A9"/>
    <w:rsid w:val="7FA203E5"/>
    <w:rsid w:val="7FA612A8"/>
    <w:rsid w:val="7FB56661"/>
    <w:rsid w:val="7FB922D6"/>
    <w:rsid w:val="7FB96B6D"/>
    <w:rsid w:val="7FC077F3"/>
    <w:rsid w:val="7FE00974"/>
    <w:rsid w:val="7FE47E50"/>
    <w:rsid w:val="7FEC35B0"/>
    <w:rsid w:val="7FF37DFC"/>
    <w:rsid w:val="7FF51C89"/>
    <w:rsid w:val="7FFD493A"/>
    <w:rsid w:val="7FFE13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 w:semiHidden="0" w:name="heading 2" w:locked="1"/>
    <w:lsdException w:qFormat="1" w:unhideWhenUsed="0" w:uiPriority="0" w:semiHidden="0" w:name="heading 3" w:locked="1"/>
    <w:lsdException w:qFormat="1" w:unhideWhenUsed="0" w:uiPriority="0" w:semiHidden="0" w:name="heading 4" w:locked="1"/>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qFormat="1" w:unhideWhenUsed="0" w:uiPriority="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iPriority="99"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qFormat="1" w:unhideWhenUsed="0" w:uiPriority="0" w:semiHidden="0" w:name="Body Text 2" w:locked="1"/>
    <w:lsdException w:unhideWhenUsed="0" w:uiPriority="0" w:semiHidden="0" w:name="Body Text 3" w:locked="1"/>
    <w:lsdException w:qFormat="1" w:uiPriority="99" w:semiHidden="0" w:name="Body Text Indent 2" w:locked="1"/>
    <w:lsdException w:qFormat="1"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156"/>
    <w:autoRedefine/>
    <w:qFormat/>
    <w:locked/>
    <w:uiPriority w:val="9"/>
    <w:pPr>
      <w:keepNext/>
      <w:jc w:val="center"/>
      <w:outlineLvl w:val="1"/>
    </w:pPr>
    <w:rPr>
      <w:kern w:val="0"/>
      <w:sz w:val="24"/>
    </w:rPr>
  </w:style>
  <w:style w:type="paragraph" w:styleId="5">
    <w:name w:val="heading 3"/>
    <w:basedOn w:val="1"/>
    <w:next w:val="1"/>
    <w:autoRedefine/>
    <w:qFormat/>
    <w:locked/>
    <w:uiPriority w:val="0"/>
    <w:pPr>
      <w:keepNext/>
      <w:keepLines/>
      <w:adjustRightInd w:val="0"/>
      <w:snapToGrid w:val="0"/>
      <w:spacing w:line="312" w:lineRule="auto"/>
      <w:textAlignment w:val="baseline"/>
      <w:outlineLvl w:val="2"/>
    </w:pPr>
    <w:rPr>
      <w:b/>
      <w:color w:val="auto"/>
      <w:szCs w:val="22"/>
    </w:rPr>
  </w:style>
  <w:style w:type="paragraph" w:styleId="6">
    <w:name w:val="heading 4"/>
    <w:basedOn w:val="1"/>
    <w:next w:val="7"/>
    <w:autoRedefine/>
    <w:qFormat/>
    <w:locked/>
    <w:uiPriority w:val="0"/>
    <w:pPr>
      <w:keepNext/>
      <w:keepLines/>
      <w:adjustRightInd w:val="0"/>
      <w:snapToGrid w:val="0"/>
      <w:spacing w:beforeLines="0" w:afterLines="0" w:line="312" w:lineRule="auto"/>
      <w:ind w:firstLine="200" w:firstLineChars="200"/>
      <w:jc w:val="center"/>
      <w:outlineLvl w:val="3"/>
    </w:pPr>
    <w:rPr>
      <w:rFonts w:ascii="Times New Roman" w:hAnsi="宋体" w:eastAsia="宋体" w:cs="Times New Roman"/>
      <w:b/>
      <w:bCs/>
      <w:color w:val="auto"/>
      <w:kern w:val="2"/>
      <w:sz w:val="21"/>
      <w:szCs w:val="28"/>
      <w:lang w:val="en-US" w:eastAsia="zh-CN" w:bidi="ar-SA"/>
    </w:rPr>
  </w:style>
  <w:style w:type="paragraph" w:styleId="8">
    <w:name w:val="heading 5"/>
    <w:basedOn w:val="1"/>
    <w:next w:val="1"/>
    <w:unhideWhenUsed/>
    <w:qFormat/>
    <w:locked/>
    <w:uiPriority w:val="0"/>
    <w:pPr>
      <w:outlineLvl w:val="4"/>
    </w:pPr>
    <w:rPr>
      <w:rFonts w:eastAsia="宋体"/>
      <w:sz w:val="18"/>
    </w:rPr>
  </w:style>
  <w:style w:type="character" w:default="1" w:styleId="35">
    <w:name w:val="Default Paragraph Font"/>
    <w:autoRedefine/>
    <w:semiHidden/>
    <w:qFormat/>
    <w:uiPriority w:val="0"/>
  </w:style>
  <w:style w:type="table" w:default="1" w:styleId="3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next w:val="1"/>
    <w:autoRedefine/>
    <w:unhideWhenUsed/>
    <w:qFormat/>
    <w:locked/>
    <w:uiPriority w:val="99"/>
    <w:pPr>
      <w:spacing w:line="254" w:lineRule="auto"/>
      <w:ind w:firstLine="500" w:firstLineChars="200"/>
    </w:pPr>
    <w:rPr>
      <w:sz w:val="25"/>
    </w:rPr>
  </w:style>
  <w:style w:type="paragraph" w:styleId="7">
    <w:name w:val="Normal Indent"/>
    <w:basedOn w:val="1"/>
    <w:next w:val="6"/>
    <w:autoRedefine/>
    <w:unhideWhenUsed/>
    <w:qFormat/>
    <w:locked/>
    <w:uiPriority w:val="0"/>
    <w:pPr>
      <w:ind w:firstLine="420"/>
    </w:pPr>
  </w:style>
  <w:style w:type="paragraph" w:styleId="9">
    <w:name w:val="Note Heading"/>
    <w:basedOn w:val="1"/>
    <w:next w:val="1"/>
    <w:autoRedefine/>
    <w:qFormat/>
    <w:locked/>
    <w:uiPriority w:val="0"/>
    <w:pPr>
      <w:ind w:firstLine="200" w:firstLineChars="200"/>
      <w:jc w:val="center"/>
    </w:pPr>
    <w:rPr>
      <w:rFonts w:ascii="黑体" w:hAnsi="宋体" w:eastAsia="黑体"/>
      <w:szCs w:val="20"/>
    </w:rPr>
  </w:style>
  <w:style w:type="paragraph" w:styleId="10">
    <w:name w:val="caption"/>
    <w:basedOn w:val="1"/>
    <w:next w:val="1"/>
    <w:autoRedefine/>
    <w:qFormat/>
    <w:locked/>
    <w:uiPriority w:val="35"/>
    <w:pPr>
      <w:widowControl w:val="0"/>
      <w:snapToGrid w:val="0"/>
      <w:jc w:val="center"/>
    </w:pPr>
    <w:rPr>
      <w:rFonts w:ascii="华康简宋" w:hAnsi="华康简宋" w:eastAsia="华康简宋" w:cs="Times New Roman"/>
      <w:kern w:val="2"/>
      <w:sz w:val="24"/>
      <w:szCs w:val="20"/>
      <w:lang w:val="en-US" w:eastAsia="zh-CN" w:bidi="ar-SA"/>
    </w:rPr>
  </w:style>
  <w:style w:type="paragraph" w:styleId="11">
    <w:name w:val="annotation text"/>
    <w:basedOn w:val="1"/>
    <w:link w:val="50"/>
    <w:autoRedefine/>
    <w:semiHidden/>
    <w:qFormat/>
    <w:uiPriority w:val="0"/>
    <w:pPr>
      <w:jc w:val="left"/>
    </w:pPr>
    <w:rPr>
      <w:kern w:val="0"/>
      <w:sz w:val="24"/>
      <w:szCs w:val="20"/>
    </w:rPr>
  </w:style>
  <w:style w:type="paragraph" w:styleId="12">
    <w:name w:val="Salutation"/>
    <w:basedOn w:val="1"/>
    <w:next w:val="1"/>
    <w:autoRedefine/>
    <w:unhideWhenUsed/>
    <w:qFormat/>
    <w:locked/>
    <w:uiPriority w:val="99"/>
  </w:style>
  <w:style w:type="paragraph" w:styleId="13">
    <w:name w:val="Body Text"/>
    <w:basedOn w:val="1"/>
    <w:next w:val="1"/>
    <w:link w:val="51"/>
    <w:autoRedefine/>
    <w:qFormat/>
    <w:uiPriority w:val="0"/>
    <w:pPr>
      <w:widowControl/>
      <w:snapToGrid w:val="0"/>
      <w:spacing w:before="60" w:after="160" w:line="259" w:lineRule="auto"/>
      <w:ind w:right="113"/>
    </w:pPr>
    <w:rPr>
      <w:kern w:val="0"/>
      <w:sz w:val="18"/>
      <w:szCs w:val="20"/>
    </w:rPr>
  </w:style>
  <w:style w:type="paragraph" w:styleId="14">
    <w:name w:val="Body Text Indent"/>
    <w:basedOn w:val="1"/>
    <w:next w:val="15"/>
    <w:link w:val="52"/>
    <w:autoRedefine/>
    <w:qFormat/>
    <w:uiPriority w:val="0"/>
    <w:pPr>
      <w:spacing w:after="120"/>
      <w:ind w:left="420" w:leftChars="200"/>
    </w:pPr>
    <w:rPr>
      <w:kern w:val="0"/>
      <w:sz w:val="24"/>
      <w:szCs w:val="20"/>
    </w:rPr>
  </w:style>
  <w:style w:type="paragraph" w:styleId="15">
    <w:name w:val="header"/>
    <w:basedOn w:val="1"/>
    <w:next w:val="16"/>
    <w:link w:val="56"/>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6">
    <w:name w:val="样式5"/>
    <w:basedOn w:val="17"/>
    <w:qFormat/>
    <w:uiPriority w:val="0"/>
    <w:pPr>
      <w:tabs>
        <w:tab w:val="left" w:pos="7380"/>
      </w:tabs>
      <w:spacing w:line="360" w:lineRule="auto"/>
      <w:ind w:firstLine="480"/>
    </w:pPr>
    <w:rPr>
      <w:rFonts w:ascii="宋体" w:hAnsi="宋体"/>
      <w:sz w:val="24"/>
    </w:rPr>
  </w:style>
  <w:style w:type="paragraph" w:customStyle="1" w:styleId="17">
    <w:name w:val="font5"/>
    <w:basedOn w:val="1"/>
    <w:autoRedefine/>
    <w:qFormat/>
    <w:uiPriority w:val="0"/>
    <w:pPr>
      <w:widowControl/>
      <w:spacing w:before="100" w:beforeAutospacing="1" w:after="100" w:afterAutospacing="1" w:line="520" w:lineRule="atLeast"/>
      <w:jc w:val="left"/>
    </w:pPr>
    <w:rPr>
      <w:rFonts w:hint="eastAsia" w:ascii="宋体" w:hAnsi="宋体" w:cs="Arial Unicode MS"/>
      <w:kern w:val="0"/>
      <w:sz w:val="18"/>
      <w:szCs w:val="18"/>
    </w:rPr>
  </w:style>
  <w:style w:type="paragraph" w:styleId="18">
    <w:name w:val="toc 5"/>
    <w:basedOn w:val="1"/>
    <w:next w:val="1"/>
    <w:unhideWhenUsed/>
    <w:qFormat/>
    <w:locked/>
    <w:uiPriority w:val="39"/>
    <w:pPr>
      <w:widowControl w:val="0"/>
      <w:adjustRightInd/>
      <w:snapToGrid/>
      <w:spacing w:line="240" w:lineRule="auto"/>
      <w:ind w:left="1680" w:leftChars="800" w:firstLine="0" w:firstLineChars="0"/>
      <w:jc w:val="both"/>
    </w:pPr>
    <w:rPr>
      <w:rFonts w:ascii="Calibri" w:hAnsi="Calibri"/>
      <w:color w:val="auto"/>
      <w:kern w:val="2"/>
      <w:sz w:val="21"/>
      <w:lang w:bidi="ar-SA"/>
    </w:rPr>
  </w:style>
  <w:style w:type="paragraph" w:styleId="19">
    <w:name w:val="Plain Text"/>
    <w:basedOn w:val="1"/>
    <w:next w:val="7"/>
    <w:autoRedefine/>
    <w:qFormat/>
    <w:locked/>
    <w:uiPriority w:val="0"/>
    <w:rPr>
      <w:rFonts w:ascii="宋体" w:hAnsi="Courier New"/>
      <w:kern w:val="0"/>
      <w:sz w:val="20"/>
      <w:szCs w:val="22"/>
    </w:rPr>
  </w:style>
  <w:style w:type="paragraph" w:styleId="20">
    <w:name w:val="Date"/>
    <w:basedOn w:val="1"/>
    <w:next w:val="1"/>
    <w:link w:val="53"/>
    <w:autoRedefine/>
    <w:qFormat/>
    <w:uiPriority w:val="0"/>
    <w:pPr>
      <w:ind w:left="100" w:leftChars="2500"/>
    </w:pPr>
    <w:rPr>
      <w:kern w:val="0"/>
      <w:sz w:val="24"/>
      <w:szCs w:val="20"/>
    </w:rPr>
  </w:style>
  <w:style w:type="paragraph" w:styleId="21">
    <w:name w:val="List Continue 5"/>
    <w:autoRedefine/>
    <w:unhideWhenUsed/>
    <w:qFormat/>
    <w:locked/>
    <w:uiPriority w:val="99"/>
    <w:pPr>
      <w:widowControl w:val="0"/>
      <w:spacing w:after="120" w:afterLines="0"/>
      <w:ind w:left="2100" w:leftChars="1000"/>
      <w:jc w:val="both"/>
    </w:pPr>
    <w:rPr>
      <w:rFonts w:ascii="Times New Roman" w:hAnsi="Times New Roman" w:eastAsia="宋体" w:cs="Times New Roman"/>
      <w:kern w:val="2"/>
      <w:sz w:val="21"/>
      <w:szCs w:val="24"/>
      <w:lang w:val="en-US" w:eastAsia="zh-CN" w:bidi="ar-SA"/>
    </w:rPr>
  </w:style>
  <w:style w:type="paragraph" w:styleId="22">
    <w:name w:val="Balloon Text"/>
    <w:basedOn w:val="1"/>
    <w:link w:val="54"/>
    <w:autoRedefine/>
    <w:semiHidden/>
    <w:qFormat/>
    <w:uiPriority w:val="0"/>
    <w:rPr>
      <w:kern w:val="0"/>
      <w:sz w:val="18"/>
      <w:szCs w:val="20"/>
    </w:rPr>
  </w:style>
  <w:style w:type="paragraph" w:styleId="23">
    <w:name w:val="footer"/>
    <w:basedOn w:val="1"/>
    <w:next w:val="1"/>
    <w:link w:val="55"/>
    <w:autoRedefine/>
    <w:qFormat/>
    <w:uiPriority w:val="99"/>
    <w:pPr>
      <w:tabs>
        <w:tab w:val="center" w:pos="4153"/>
        <w:tab w:val="right" w:pos="8306"/>
      </w:tabs>
      <w:snapToGrid w:val="0"/>
      <w:jc w:val="left"/>
    </w:pPr>
    <w:rPr>
      <w:kern w:val="0"/>
      <w:sz w:val="18"/>
      <w:szCs w:val="20"/>
    </w:rPr>
  </w:style>
  <w:style w:type="paragraph" w:styleId="24">
    <w:name w:val="envelope return"/>
    <w:autoRedefine/>
    <w:semiHidden/>
    <w:qFormat/>
    <w:locked/>
    <w:uiPriority w:val="0"/>
    <w:pPr>
      <w:widowControl w:val="0"/>
      <w:snapToGrid w:val="0"/>
      <w:jc w:val="both"/>
    </w:pPr>
    <w:rPr>
      <w:rFonts w:ascii="Arial" w:hAnsi="Arial" w:eastAsia="宋体" w:cs="Arial"/>
      <w:kern w:val="2"/>
      <w:sz w:val="21"/>
      <w:szCs w:val="22"/>
      <w:lang w:val="en-US" w:eastAsia="zh-CN" w:bidi="ar-SA"/>
    </w:rPr>
  </w:style>
  <w:style w:type="paragraph" w:styleId="25">
    <w:name w:val="toc 1"/>
    <w:basedOn w:val="1"/>
    <w:next w:val="1"/>
    <w:autoRedefine/>
    <w:qFormat/>
    <w:locked/>
    <w:uiPriority w:val="0"/>
  </w:style>
  <w:style w:type="paragraph" w:styleId="26">
    <w:name w:val="Body Text Indent 3"/>
    <w:autoRedefine/>
    <w:unhideWhenUsed/>
    <w:qFormat/>
    <w:locked/>
    <w:uiPriority w:val="0"/>
    <w:pPr>
      <w:widowControl w:val="0"/>
      <w:snapToGrid w:val="0"/>
      <w:spacing w:line="360" w:lineRule="auto"/>
      <w:ind w:firstLine="540"/>
      <w:jc w:val="both"/>
    </w:pPr>
    <w:rPr>
      <w:rFonts w:ascii="Times New Roman" w:hAnsi="Times New Roman" w:eastAsia="宋体" w:cs="Times New Roman"/>
      <w:kern w:val="2"/>
      <w:sz w:val="25"/>
      <w:lang w:val="en-US" w:eastAsia="zh-CN" w:bidi="ar-SA"/>
    </w:rPr>
  </w:style>
  <w:style w:type="paragraph" w:styleId="27">
    <w:name w:val="Body Text 2"/>
    <w:basedOn w:val="1"/>
    <w:autoRedefine/>
    <w:qFormat/>
    <w:locked/>
    <w:uiPriority w:val="0"/>
    <w:pPr>
      <w:widowControl w:val="0"/>
      <w:spacing w:after="120" w:afterLines="0" w:line="480" w:lineRule="auto"/>
      <w:jc w:val="both"/>
    </w:pPr>
    <w:rPr>
      <w:rFonts w:ascii="Calibri" w:hAnsi="Calibri" w:eastAsia="宋体" w:cs="Times New Roman"/>
      <w:kern w:val="2"/>
      <w:sz w:val="21"/>
      <w:szCs w:val="24"/>
      <w:lang w:val="en-US" w:eastAsia="zh-CN" w:bidi="ar-SA"/>
    </w:rPr>
  </w:style>
  <w:style w:type="paragraph" w:styleId="28">
    <w:name w:val="HTML Preformatted"/>
    <w:basedOn w:val="1"/>
    <w:autoRedefine/>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link w:val="57"/>
    <w:autoRedefine/>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1"/>
    <w:next w:val="11"/>
    <w:link w:val="58"/>
    <w:autoRedefine/>
    <w:semiHidden/>
    <w:qFormat/>
    <w:uiPriority w:val="0"/>
    <w:rPr>
      <w:b/>
      <w:sz w:val="24"/>
      <w:szCs w:val="20"/>
    </w:rPr>
  </w:style>
  <w:style w:type="paragraph" w:styleId="31">
    <w:name w:val="Body Text First Indent"/>
    <w:basedOn w:val="13"/>
    <w:next w:val="1"/>
    <w:autoRedefine/>
    <w:qFormat/>
    <w:locked/>
    <w:uiPriority w:val="0"/>
    <w:pPr>
      <w:widowControl w:val="0"/>
      <w:spacing w:after="120" w:line="240" w:lineRule="auto"/>
      <w:ind w:firstLine="420" w:firstLineChars="100"/>
      <w:jc w:val="both"/>
    </w:pPr>
    <w:rPr>
      <w:rFonts w:ascii="Times New Roman" w:hAnsi="Times New Roman" w:eastAsia="宋体" w:cs="Times New Roman"/>
      <w:kern w:val="2"/>
      <w:sz w:val="21"/>
      <w:szCs w:val="21"/>
      <w:lang w:val="en-US" w:eastAsia="zh-CN" w:bidi="ar-SA"/>
    </w:rPr>
  </w:style>
  <w:style w:type="paragraph" w:styleId="32">
    <w:name w:val="Body Text First Indent 2"/>
    <w:basedOn w:val="14"/>
    <w:next w:val="31"/>
    <w:autoRedefine/>
    <w:qFormat/>
    <w:locked/>
    <w:uiPriority w:val="0"/>
    <w:pPr>
      <w:spacing w:after="120"/>
      <w:ind w:left="420" w:leftChars="200" w:firstLine="420" w:firstLineChars="200"/>
    </w:pPr>
    <w:rPr>
      <w:sz w:val="21"/>
      <w:szCs w:val="24"/>
    </w:rPr>
  </w:style>
  <w:style w:type="table" w:styleId="34">
    <w:name w:val="Table Grid"/>
    <w:basedOn w:val="33"/>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autoRedefine/>
    <w:qFormat/>
    <w:locked/>
    <w:uiPriority w:val="0"/>
    <w:rPr>
      <w:b/>
      <w:bCs/>
    </w:rPr>
  </w:style>
  <w:style w:type="character" w:styleId="37">
    <w:name w:val="page number"/>
    <w:basedOn w:val="35"/>
    <w:autoRedefine/>
    <w:qFormat/>
    <w:locked/>
    <w:uiPriority w:val="0"/>
  </w:style>
  <w:style w:type="character" w:styleId="38">
    <w:name w:val="FollowedHyperlink"/>
    <w:basedOn w:val="35"/>
    <w:autoRedefine/>
    <w:qFormat/>
    <w:locked/>
    <w:uiPriority w:val="0"/>
    <w:rPr>
      <w:color w:val="800080"/>
      <w:u w:val="none"/>
    </w:rPr>
  </w:style>
  <w:style w:type="character" w:styleId="39">
    <w:name w:val="Emphasis"/>
    <w:basedOn w:val="35"/>
    <w:autoRedefine/>
    <w:qFormat/>
    <w:locked/>
    <w:uiPriority w:val="0"/>
  </w:style>
  <w:style w:type="character" w:styleId="40">
    <w:name w:val="Hyperlink"/>
    <w:basedOn w:val="35"/>
    <w:autoRedefine/>
    <w:qFormat/>
    <w:locked/>
    <w:uiPriority w:val="0"/>
    <w:rPr>
      <w:color w:val="0000FF"/>
      <w:u w:val="none"/>
    </w:rPr>
  </w:style>
  <w:style w:type="character" w:styleId="41">
    <w:name w:val="annotation reference"/>
    <w:basedOn w:val="35"/>
    <w:autoRedefine/>
    <w:semiHidden/>
    <w:qFormat/>
    <w:uiPriority w:val="0"/>
    <w:rPr>
      <w:sz w:val="21"/>
    </w:rPr>
  </w:style>
  <w:style w:type="paragraph" w:customStyle="1" w:styleId="42">
    <w:name w:val="Default"/>
    <w:basedOn w:val="43"/>
    <w:next w:val="32"/>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3">
    <w:name w:val="纯文本1"/>
    <w:basedOn w:val="1"/>
    <w:qFormat/>
    <w:uiPriority w:val="0"/>
    <w:pPr>
      <w:adjustRightInd w:val="0"/>
    </w:pPr>
    <w:rPr>
      <w:rFonts w:ascii="宋体" w:hAnsi="Courier New"/>
      <w:szCs w:val="20"/>
    </w:rPr>
  </w:style>
  <w:style w:type="paragraph" w:customStyle="1" w:styleId="44">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5">
    <w:name w:val="正文1"/>
    <w:basedOn w:val="1"/>
    <w:next w:val="1"/>
    <w:autoRedefine/>
    <w:qFormat/>
    <w:uiPriority w:val="0"/>
    <w:pPr>
      <w:spacing w:line="560" w:lineRule="exact"/>
      <w:ind w:firstLine="200" w:firstLineChars="200"/>
    </w:pPr>
    <w:rPr>
      <w:rFonts w:ascii="宋体" w:hAnsi="宋体" w:cs="宋体"/>
      <w:sz w:val="28"/>
      <w:szCs w:val="28"/>
    </w:rPr>
  </w:style>
  <w:style w:type="paragraph" w:customStyle="1" w:styleId="46">
    <w:name w:val="样式 标题 1一级标题 + 段前: 0.5 行 段后: 0.5 行"/>
    <w:basedOn w:val="3"/>
    <w:autoRedefine/>
    <w:qFormat/>
    <w:uiPriority w:val="99"/>
    <w:pPr>
      <w:spacing w:line="320" w:lineRule="exact"/>
      <w:outlineLvl w:val="9"/>
    </w:pPr>
    <w:rPr>
      <w:spacing w:val="-6"/>
      <w:sz w:val="21"/>
      <w:szCs w:val="21"/>
    </w:rPr>
  </w:style>
  <w:style w:type="paragraph" w:customStyle="1" w:styleId="47">
    <w:name w:val="xl27"/>
    <w:autoRedefine/>
    <w:qFormat/>
    <w:uiPriority w:val="0"/>
    <w:pPr>
      <w:widowControl/>
      <w:pBdr>
        <w:left w:val="single" w:color="auto" w:sz="4" w:space="0"/>
        <w:bottom w:val="single" w:color="auto" w:sz="4" w:space="0"/>
        <w:right w:val="single" w:color="auto" w:sz="4" w:space="0"/>
      </w:pBdr>
      <w:spacing w:before="100" w:after="100"/>
      <w:jc w:val="center"/>
    </w:pPr>
    <w:rPr>
      <w:rFonts w:ascii="宋体" w:hAnsi="宋体" w:eastAsia="Calibri" w:cs="Times New Roman"/>
      <w:kern w:val="0"/>
      <w:sz w:val="21"/>
      <w:szCs w:val="20"/>
      <w:lang w:val="en-US" w:eastAsia="zh-CN" w:bidi="ar-SA"/>
    </w:rPr>
  </w:style>
  <w:style w:type="paragraph" w:customStyle="1" w:styleId="48">
    <w:name w:val="Default1"/>
    <w:basedOn w:val="49"/>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character" w:customStyle="1" w:styleId="50">
    <w:name w:val="批注文字 Char"/>
    <w:link w:val="11"/>
    <w:autoRedefine/>
    <w:qFormat/>
    <w:locked/>
    <w:uiPriority w:val="0"/>
    <w:rPr>
      <w:rFonts w:ascii="Times New Roman" w:hAnsi="Times New Roman" w:eastAsia="宋体"/>
      <w:sz w:val="24"/>
    </w:rPr>
  </w:style>
  <w:style w:type="character" w:customStyle="1" w:styleId="51">
    <w:name w:val="正文文本 Char"/>
    <w:link w:val="13"/>
    <w:autoRedefine/>
    <w:qFormat/>
    <w:locked/>
    <w:uiPriority w:val="0"/>
    <w:rPr>
      <w:sz w:val="18"/>
    </w:rPr>
  </w:style>
  <w:style w:type="character" w:customStyle="1" w:styleId="52">
    <w:name w:val="正文文本缩进 Char"/>
    <w:link w:val="14"/>
    <w:autoRedefine/>
    <w:semiHidden/>
    <w:qFormat/>
    <w:locked/>
    <w:uiPriority w:val="0"/>
    <w:rPr>
      <w:rFonts w:ascii="Times New Roman" w:hAnsi="Times New Roman" w:eastAsia="宋体"/>
      <w:sz w:val="24"/>
    </w:rPr>
  </w:style>
  <w:style w:type="character" w:customStyle="1" w:styleId="53">
    <w:name w:val="日期 Char"/>
    <w:link w:val="20"/>
    <w:autoRedefine/>
    <w:qFormat/>
    <w:locked/>
    <w:uiPriority w:val="0"/>
    <w:rPr>
      <w:rFonts w:ascii="Times New Roman" w:hAnsi="Times New Roman" w:eastAsia="宋体"/>
      <w:sz w:val="24"/>
    </w:rPr>
  </w:style>
  <w:style w:type="character" w:customStyle="1" w:styleId="54">
    <w:name w:val="批注框文本 Char"/>
    <w:link w:val="22"/>
    <w:autoRedefine/>
    <w:semiHidden/>
    <w:qFormat/>
    <w:locked/>
    <w:uiPriority w:val="0"/>
    <w:rPr>
      <w:rFonts w:ascii="Times New Roman" w:hAnsi="Times New Roman" w:eastAsia="宋体"/>
      <w:sz w:val="18"/>
    </w:rPr>
  </w:style>
  <w:style w:type="character" w:customStyle="1" w:styleId="55">
    <w:name w:val="页脚 Char"/>
    <w:link w:val="23"/>
    <w:autoRedefine/>
    <w:qFormat/>
    <w:locked/>
    <w:uiPriority w:val="99"/>
    <w:rPr>
      <w:sz w:val="18"/>
    </w:rPr>
  </w:style>
  <w:style w:type="character" w:customStyle="1" w:styleId="56">
    <w:name w:val="页眉 Char"/>
    <w:link w:val="15"/>
    <w:autoRedefine/>
    <w:qFormat/>
    <w:locked/>
    <w:uiPriority w:val="0"/>
    <w:rPr>
      <w:sz w:val="18"/>
    </w:rPr>
  </w:style>
  <w:style w:type="character" w:customStyle="1" w:styleId="57">
    <w:name w:val="普通(网站) Char"/>
    <w:link w:val="29"/>
    <w:autoRedefine/>
    <w:qFormat/>
    <w:locked/>
    <w:uiPriority w:val="0"/>
    <w:rPr>
      <w:rFonts w:ascii="宋体" w:hAnsi="宋体" w:eastAsia="宋体"/>
      <w:sz w:val="24"/>
    </w:rPr>
  </w:style>
  <w:style w:type="character" w:customStyle="1" w:styleId="58">
    <w:name w:val="批注主题 Char"/>
    <w:link w:val="30"/>
    <w:autoRedefine/>
    <w:semiHidden/>
    <w:qFormat/>
    <w:locked/>
    <w:uiPriority w:val="0"/>
    <w:rPr>
      <w:rFonts w:ascii="Times New Roman" w:hAnsi="Times New Roman" w:eastAsia="宋体"/>
      <w:b/>
      <w:kern w:val="2"/>
      <w:sz w:val="24"/>
    </w:rPr>
  </w:style>
  <w:style w:type="paragraph" w:customStyle="1" w:styleId="59">
    <w:name w:val="样式 10 磅"/>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
    <w:name w:val="样式1"/>
    <w:basedOn w:val="61"/>
    <w:autoRedefine/>
    <w:qFormat/>
    <w:uiPriority w:val="0"/>
    <w:pPr>
      <w:jc w:val="center"/>
    </w:pPr>
  </w:style>
  <w:style w:type="paragraph" w:customStyle="1" w:styleId="61">
    <w:name w:val="Table Paragraph"/>
    <w:basedOn w:val="1"/>
    <w:autoRedefine/>
    <w:qFormat/>
    <w:uiPriority w:val="1"/>
    <w:rPr>
      <w:rFonts w:ascii="宋体" w:hAnsi="宋体" w:eastAsia="宋体" w:cs="宋体"/>
      <w:lang w:val="zh-CN" w:eastAsia="zh-CN" w:bidi="zh-CN"/>
    </w:rPr>
  </w:style>
  <w:style w:type="paragraph" w:customStyle="1" w:styleId="62">
    <w:name w:val="样式 标题 2"/>
    <w:next w:val="48"/>
    <w:autoRedefine/>
    <w:qFormat/>
    <w:uiPriority w:val="0"/>
    <w:pPr>
      <w:keepNext/>
      <w:widowControl w:val="0"/>
      <w:spacing w:before="50" w:after="50"/>
      <w:jc w:val="center"/>
      <w:outlineLvl w:val="1"/>
    </w:pPr>
    <w:rPr>
      <w:rFonts w:ascii="Times New Roman" w:hAnsi="Times New Roman" w:eastAsia="宋体" w:cs="Times New Roman"/>
      <w:kern w:val="2"/>
      <w:sz w:val="28"/>
      <w:szCs w:val="28"/>
      <w:lang w:val="en-US" w:eastAsia="zh-CN" w:bidi="ar-SA"/>
    </w:rPr>
  </w:style>
  <w:style w:type="character" w:customStyle="1" w:styleId="63">
    <w:name w:val="正文文本 字符1"/>
    <w:autoRedefine/>
    <w:semiHidden/>
    <w:qFormat/>
    <w:uiPriority w:val="0"/>
    <w:rPr>
      <w:rFonts w:ascii="Times New Roman" w:hAnsi="Times New Roman" w:eastAsia="宋体"/>
      <w:sz w:val="24"/>
    </w:rPr>
  </w:style>
  <w:style w:type="character" w:customStyle="1" w:styleId="64">
    <w:name w:val="批注文字 字符1"/>
    <w:autoRedefine/>
    <w:semiHidden/>
    <w:qFormat/>
    <w:uiPriority w:val="0"/>
    <w:rPr>
      <w:rFonts w:ascii="Times New Roman" w:hAnsi="Times New Roman" w:eastAsia="宋体"/>
      <w:sz w:val="24"/>
    </w:rPr>
  </w:style>
  <w:style w:type="character" w:customStyle="1" w:styleId="65">
    <w:name w:val="font81"/>
    <w:basedOn w:val="35"/>
    <w:autoRedefine/>
    <w:qFormat/>
    <w:uiPriority w:val="0"/>
    <w:rPr>
      <w:rFonts w:hint="eastAsia" w:ascii="宋体" w:hAnsi="宋体" w:eastAsia="宋体" w:cs="宋体"/>
      <w:color w:val="000000"/>
      <w:sz w:val="21"/>
      <w:szCs w:val="21"/>
      <w:u w:val="none"/>
    </w:rPr>
  </w:style>
  <w:style w:type="character" w:customStyle="1" w:styleId="66">
    <w:name w:val="表格 Char"/>
    <w:link w:val="67"/>
    <w:autoRedefine/>
    <w:qFormat/>
    <w:locked/>
    <w:uiPriority w:val="0"/>
    <w:rPr>
      <w:rFonts w:ascii="宋体"/>
      <w:sz w:val="21"/>
    </w:rPr>
  </w:style>
  <w:style w:type="paragraph" w:customStyle="1" w:styleId="67">
    <w:name w:val="表格"/>
    <w:basedOn w:val="68"/>
    <w:next w:val="1"/>
    <w:link w:val="66"/>
    <w:autoRedefine/>
    <w:qFormat/>
    <w:uiPriority w:val="0"/>
    <w:pPr>
      <w:adjustRightInd w:val="0"/>
      <w:snapToGrid w:val="0"/>
      <w:spacing w:beforeLines="10" w:afterLines="10" w:line="259" w:lineRule="auto"/>
      <w:jc w:val="center"/>
    </w:pPr>
    <w:rPr>
      <w:rFonts w:ascii="宋体"/>
      <w:kern w:val="0"/>
      <w:szCs w:val="20"/>
    </w:rPr>
  </w:style>
  <w:style w:type="paragraph" w:customStyle="1" w:styleId="68">
    <w:name w:val="表格内表格正文"/>
    <w:basedOn w:val="69"/>
    <w:autoRedefine/>
    <w:qFormat/>
    <w:uiPriority w:val="0"/>
    <w:pPr>
      <w:spacing w:line="240" w:lineRule="auto"/>
      <w:ind w:firstLine="0"/>
      <w:jc w:val="center"/>
    </w:pPr>
    <w:rPr>
      <w:spacing w:val="0"/>
      <w:sz w:val="21"/>
      <w:szCs w:val="21"/>
      <w:lang w:val="en-US" w:eastAsia="zh-CN"/>
    </w:rPr>
  </w:style>
  <w:style w:type="paragraph" w:customStyle="1" w:styleId="69">
    <w:name w:val="表格内正文"/>
    <w:basedOn w:val="1"/>
    <w:next w:val="70"/>
    <w:autoRedefine/>
    <w:qFormat/>
    <w:uiPriority w:val="0"/>
    <w:pPr>
      <w:spacing w:line="360" w:lineRule="auto"/>
      <w:ind w:firstLine="499"/>
    </w:pPr>
    <w:rPr>
      <w:rFonts w:ascii="宋体" w:hAnsi="宋体"/>
      <w:spacing w:val="4"/>
      <w:kern w:val="18"/>
      <w:sz w:val="24"/>
      <w:szCs w:val="20"/>
    </w:rPr>
  </w:style>
  <w:style w:type="paragraph" w:customStyle="1" w:styleId="70">
    <w:name w:val="A 正文"/>
    <w:next w:val="1"/>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71">
    <w:name w:val="font11"/>
    <w:basedOn w:val="35"/>
    <w:autoRedefine/>
    <w:qFormat/>
    <w:uiPriority w:val="0"/>
    <w:rPr>
      <w:rFonts w:hint="default" w:ascii="Times New Roman" w:hAnsi="Times New Roman" w:cs="Times New Roman"/>
      <w:color w:val="000000"/>
      <w:sz w:val="21"/>
      <w:szCs w:val="21"/>
      <w:u w:val="none"/>
    </w:rPr>
  </w:style>
  <w:style w:type="character" w:customStyle="1" w:styleId="72">
    <w:name w:val="页脚 字符"/>
    <w:basedOn w:val="35"/>
    <w:autoRedefine/>
    <w:qFormat/>
    <w:uiPriority w:val="99"/>
  </w:style>
  <w:style w:type="character" w:customStyle="1" w:styleId="73">
    <w:name w:val="日期 字符"/>
    <w:autoRedefine/>
    <w:semiHidden/>
    <w:qFormat/>
    <w:uiPriority w:val="0"/>
    <w:rPr>
      <w:rFonts w:ascii="Times New Roman" w:hAnsi="Times New Roman" w:eastAsia="宋体"/>
      <w:sz w:val="24"/>
    </w:rPr>
  </w:style>
  <w:style w:type="character" w:customStyle="1" w:styleId="74">
    <w:name w:val="font21"/>
    <w:basedOn w:val="35"/>
    <w:autoRedefine/>
    <w:qFormat/>
    <w:uiPriority w:val="0"/>
    <w:rPr>
      <w:rFonts w:hint="default" w:ascii="Times New Roman" w:hAnsi="Times New Roman" w:cs="Times New Roman"/>
      <w:color w:val="000000"/>
      <w:sz w:val="24"/>
      <w:szCs w:val="24"/>
      <w:u w:val="none"/>
      <w:vertAlign w:val="superscript"/>
    </w:rPr>
  </w:style>
  <w:style w:type="character" w:customStyle="1" w:styleId="75">
    <w:name w:val="Body text + Arial Unicode MS"/>
    <w:autoRedefine/>
    <w:qFormat/>
    <w:uiPriority w:val="0"/>
    <w:rPr>
      <w:rFonts w:ascii="Arial Unicode MS" w:hAnsi="Arial Unicode MS" w:eastAsia="Arial Unicode MS" w:cs="Arial Unicode MS"/>
      <w:color w:val="000000"/>
      <w:spacing w:val="0"/>
      <w:w w:val="100"/>
      <w:kern w:val="0"/>
      <w:position w:val="0"/>
      <w:sz w:val="19"/>
      <w:szCs w:val="19"/>
      <w:lang w:val="en-US"/>
    </w:rPr>
  </w:style>
  <w:style w:type="character" w:customStyle="1" w:styleId="76">
    <w:name w:val="font41"/>
    <w:basedOn w:val="35"/>
    <w:autoRedefine/>
    <w:qFormat/>
    <w:uiPriority w:val="0"/>
    <w:rPr>
      <w:rFonts w:hint="default" w:ascii="Times New Roman" w:hAnsi="Times New Roman" w:cs="Times New Roman"/>
      <w:color w:val="000000"/>
      <w:sz w:val="24"/>
      <w:szCs w:val="24"/>
      <w:u w:val="none"/>
    </w:rPr>
  </w:style>
  <w:style w:type="character" w:customStyle="1" w:styleId="77">
    <w:name w:val="正文文本2"/>
    <w:autoRedefine/>
    <w:qFormat/>
    <w:uiPriority w:val="0"/>
    <w:rPr>
      <w:rFonts w:ascii="MingLiU" w:hAnsi="MingLiU" w:eastAsia="MingLiU" w:cs="MingLiU"/>
      <w:color w:val="000000"/>
      <w:spacing w:val="0"/>
      <w:w w:val="100"/>
      <w:kern w:val="0"/>
      <w:position w:val="0"/>
      <w:sz w:val="19"/>
      <w:szCs w:val="19"/>
      <w:lang w:val="zh-TW"/>
    </w:rPr>
  </w:style>
  <w:style w:type="character" w:customStyle="1" w:styleId="78">
    <w:name w:val="font31"/>
    <w:basedOn w:val="35"/>
    <w:autoRedefine/>
    <w:qFormat/>
    <w:uiPriority w:val="0"/>
    <w:rPr>
      <w:rFonts w:ascii="Arial" w:hAnsi="Arial" w:cs="Arial"/>
      <w:color w:val="000000"/>
      <w:sz w:val="24"/>
      <w:szCs w:val="24"/>
      <w:u w:val="none"/>
    </w:rPr>
  </w:style>
  <w:style w:type="character" w:customStyle="1" w:styleId="79">
    <w:name w:val="bsharetext"/>
    <w:basedOn w:val="35"/>
    <w:autoRedefine/>
    <w:qFormat/>
    <w:uiPriority w:val="0"/>
  </w:style>
  <w:style w:type="character" w:customStyle="1" w:styleId="80">
    <w:name w:val="font51"/>
    <w:basedOn w:val="35"/>
    <w:autoRedefine/>
    <w:qFormat/>
    <w:uiPriority w:val="0"/>
    <w:rPr>
      <w:rFonts w:hint="default" w:ascii="Times New Roman" w:hAnsi="Times New Roman" w:cs="Times New Roman"/>
      <w:color w:val="000000"/>
      <w:sz w:val="21"/>
      <w:szCs w:val="21"/>
      <w:u w:val="none"/>
      <w:vertAlign w:val="subscript"/>
    </w:rPr>
  </w:style>
  <w:style w:type="character" w:customStyle="1" w:styleId="81">
    <w:name w:val="NormalCharacter"/>
    <w:autoRedefine/>
    <w:semiHidden/>
    <w:qFormat/>
    <w:uiPriority w:val="0"/>
    <w:rPr>
      <w:kern w:val="2"/>
      <w:sz w:val="21"/>
      <w:szCs w:val="24"/>
      <w:lang w:val="en-US" w:eastAsia="zh-CN" w:bidi="ar-SA"/>
    </w:rPr>
  </w:style>
  <w:style w:type="character" w:customStyle="1" w:styleId="82">
    <w:name w:val="style391"/>
    <w:autoRedefine/>
    <w:qFormat/>
    <w:uiPriority w:val="0"/>
    <w:rPr>
      <w:sz w:val="21"/>
      <w:szCs w:val="21"/>
    </w:rPr>
  </w:style>
  <w:style w:type="character" w:customStyle="1" w:styleId="83">
    <w:name w:val="font71"/>
    <w:basedOn w:val="35"/>
    <w:autoRedefine/>
    <w:qFormat/>
    <w:uiPriority w:val="0"/>
    <w:rPr>
      <w:rFonts w:hint="default" w:ascii="Times New Roman" w:hAnsi="Times New Roman" w:cs="Times New Roman"/>
      <w:b/>
      <w:color w:val="FF0000"/>
      <w:sz w:val="21"/>
      <w:szCs w:val="21"/>
      <w:u w:val="none"/>
      <w:vertAlign w:val="superscript"/>
    </w:rPr>
  </w:style>
  <w:style w:type="character" w:customStyle="1" w:styleId="84">
    <w:name w:val="font01"/>
    <w:basedOn w:val="35"/>
    <w:autoRedefine/>
    <w:qFormat/>
    <w:uiPriority w:val="0"/>
    <w:rPr>
      <w:rFonts w:hint="default" w:ascii="Times New Roman" w:hAnsi="Times New Roman" w:cs="Times New Roman"/>
      <w:color w:val="000000"/>
      <w:sz w:val="21"/>
      <w:szCs w:val="21"/>
      <w:u w:val="none"/>
    </w:rPr>
  </w:style>
  <w:style w:type="paragraph" w:customStyle="1" w:styleId="85">
    <w:name w:val="正文样式"/>
    <w:autoRedefine/>
    <w:qFormat/>
    <w:uiPriority w:val="0"/>
    <w:pPr>
      <w:widowControl w:val="0"/>
      <w:spacing w:line="360" w:lineRule="auto"/>
      <w:ind w:right="170" w:firstLine="480" w:firstLineChars="200"/>
      <w:jc w:val="both"/>
    </w:pPr>
    <w:rPr>
      <w:rFonts w:ascii="Times New Roman" w:hAnsi="宋体" w:eastAsia="宋体" w:cs="Times New Roman"/>
      <w:kern w:val="2"/>
      <w:sz w:val="24"/>
      <w:szCs w:val="24"/>
      <w:lang w:val="en-US" w:eastAsia="zh-CN" w:bidi="ar-SA"/>
    </w:rPr>
  </w:style>
  <w:style w:type="paragraph" w:customStyle="1" w:styleId="86">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87">
    <w:name w:val="p0"/>
    <w:autoRedefine/>
    <w:qFormat/>
    <w:uiPriority w:val="0"/>
    <w:pPr>
      <w:widowControl/>
      <w:spacing w:line="300" w:lineRule="auto"/>
      <w:ind w:firstLine="200" w:firstLineChars="200"/>
    </w:pPr>
    <w:rPr>
      <w:rFonts w:ascii="Times New Roman" w:hAnsi="Times New Roman" w:eastAsia="宋体" w:cs="Times New Roman"/>
      <w:color w:val="000000"/>
      <w:kern w:val="0"/>
      <w:sz w:val="24"/>
      <w:szCs w:val="21"/>
      <w:lang w:val="en-US" w:eastAsia="zh-CN" w:bidi="ar-SA"/>
    </w:rPr>
  </w:style>
  <w:style w:type="paragraph" w:customStyle="1" w:styleId="88">
    <w:name w:val="0-表格"/>
    <w:autoRedefine/>
    <w:qFormat/>
    <w:uiPriority w:val="0"/>
    <w:pPr>
      <w:widowControl w:val="0"/>
      <w:autoSpaceDE w:val="0"/>
      <w:autoSpaceDN w:val="0"/>
      <w:spacing w:line="480" w:lineRule="exact"/>
      <w:ind w:firstLine="200" w:firstLineChars="200"/>
      <w:jc w:val="center"/>
      <w:textAlignment w:val="auto"/>
    </w:pPr>
    <w:rPr>
      <w:rFonts w:ascii="Times New Roman" w:hAnsi="Times New Roman" w:eastAsia="宋体" w:cs="Times New Roman"/>
      <w:kern w:val="2"/>
      <w:sz w:val="24"/>
      <w:szCs w:val="24"/>
      <w:lang w:val="en-US" w:eastAsia="zh-CN" w:bidi="ar-SA"/>
    </w:rPr>
  </w:style>
  <w:style w:type="paragraph" w:customStyle="1" w:styleId="89">
    <w:name w:val="1正文段落"/>
    <w:autoRedefine/>
    <w:qFormat/>
    <w:uiPriority w:val="0"/>
    <w:pPr>
      <w:widowControl w:val="0"/>
      <w:spacing w:line="360" w:lineRule="auto"/>
      <w:ind w:firstLine="480" w:firstLineChars="200"/>
      <w:jc w:val="left"/>
    </w:pPr>
    <w:rPr>
      <w:rFonts w:ascii="Times New Roman" w:hAnsi="Times New Roman" w:eastAsia="宋体" w:cs="Times New Roman"/>
      <w:snapToGrid w:val="0"/>
      <w:kern w:val="0"/>
      <w:sz w:val="24"/>
      <w:szCs w:val="24"/>
      <w:lang w:val="en-US" w:eastAsia="zh-CN" w:bidi="ar-SA"/>
    </w:rPr>
  </w:style>
  <w:style w:type="paragraph" w:customStyle="1" w:styleId="90">
    <w:name w:val="小标题"/>
    <w:autoRedefine/>
    <w:qFormat/>
    <w:uiPriority w:val="0"/>
    <w:pPr>
      <w:widowControl w:val="0"/>
      <w:adjustRightInd w:val="0"/>
      <w:snapToGrid w:val="0"/>
      <w:spacing w:line="360" w:lineRule="auto"/>
      <w:ind w:firstLine="480" w:firstLineChars="200"/>
      <w:jc w:val="both"/>
    </w:pPr>
    <w:rPr>
      <w:rFonts w:ascii="宋体" w:hAnsi="宋体" w:eastAsia="黑体" w:cs="宋体"/>
      <w:b/>
      <w:kern w:val="21"/>
      <w:sz w:val="24"/>
      <w:szCs w:val="24"/>
      <w:lang w:val="en-US" w:eastAsia="zh-CN" w:bidi="ar-SA"/>
    </w:rPr>
  </w:style>
  <w:style w:type="paragraph" w:customStyle="1" w:styleId="91">
    <w:name w:val="样式 样式 表头 + 段后: 0.5 行1 + 段前: 0.2 行 段后: 0.5 行"/>
    <w:autoRedefine/>
    <w:qFormat/>
    <w:uiPriority w:val="0"/>
    <w:pPr>
      <w:widowControl w:val="0"/>
      <w:ind w:firstLine="422" w:firstLineChars="200"/>
      <w:jc w:val="center"/>
    </w:pPr>
    <w:rPr>
      <w:rFonts w:ascii="Times New Roman" w:hAnsi="Times New Roman" w:eastAsia="宋体" w:cs="宋体"/>
      <w:b/>
      <w:bCs/>
      <w:kern w:val="2"/>
      <w:sz w:val="21"/>
      <w:szCs w:val="21"/>
      <w:lang w:val="en-US" w:eastAsia="zh-CN" w:bidi="ar-SA"/>
    </w:rPr>
  </w:style>
  <w:style w:type="paragraph" w:customStyle="1" w:styleId="92">
    <w:name w:val="表格正文"/>
    <w:basedOn w:val="7"/>
    <w:next w:val="1"/>
    <w:autoRedefine/>
    <w:qFormat/>
    <w:uiPriority w:val="0"/>
    <w:pPr>
      <w:keepNext/>
      <w:keepLines/>
      <w:widowControl w:val="0"/>
      <w:spacing w:before="20" w:beforeLines="0" w:beforeAutospacing="0" w:after="20" w:afterLines="0" w:afterAutospacing="0" w:line="240" w:lineRule="auto"/>
      <w:ind w:firstLine="0" w:firstLineChars="0"/>
      <w:jc w:val="center"/>
      <w:outlineLvl w:val="9"/>
    </w:pPr>
    <w:rPr>
      <w:rFonts w:ascii="Times New Roman" w:hAnsi="Times New Roman" w:eastAsia="宋体" w:cs="Times New Roman"/>
      <w:sz w:val="21"/>
      <w:szCs w:val="21"/>
      <w:lang w:val="en-US" w:eastAsia="zh-CN" w:bidi="ar-SA"/>
    </w:rPr>
  </w:style>
  <w:style w:type="paragraph" w:customStyle="1" w:styleId="93">
    <w:name w:val="表头徐氏"/>
    <w:autoRedefine/>
    <w:semiHidden/>
    <w:qFormat/>
    <w:uiPriority w:val="0"/>
    <w:pPr>
      <w:widowControl w:val="0"/>
      <w:spacing w:before="120" w:beforeLines="50" w:line="360" w:lineRule="auto"/>
      <w:jc w:val="center"/>
    </w:pPr>
    <w:rPr>
      <w:rFonts w:ascii="Times New Roman" w:hAnsi="宋体" w:eastAsia="宋体" w:cs="Times New Roman"/>
      <w:b/>
      <w:kern w:val="0"/>
      <w:sz w:val="24"/>
      <w:szCs w:val="20"/>
      <w:lang w:val="en-US" w:eastAsia="zh-CN" w:bidi="ar-SA"/>
    </w:rPr>
  </w:style>
  <w:style w:type="paragraph" w:customStyle="1" w:styleId="94">
    <w:name w:val="4正文"/>
    <w:autoRedefine/>
    <w:qFormat/>
    <w:uiPriority w:val="0"/>
    <w:pPr>
      <w:spacing w:line="300" w:lineRule="auto"/>
      <w:ind w:firstLine="480" w:firstLineChars="200"/>
    </w:pPr>
    <w:rPr>
      <w:rFonts w:ascii="Times New Roman" w:hAnsi="Times New Roman" w:eastAsia="宋体" w:cs="宋体"/>
      <w:color w:val="000000"/>
      <w:kern w:val="2"/>
      <w:sz w:val="24"/>
      <w:szCs w:val="24"/>
      <w:lang w:val="en-US" w:eastAsia="zh-CN" w:bidi="ar-SA"/>
    </w:rPr>
  </w:style>
  <w:style w:type="paragraph" w:customStyle="1" w:styleId="95">
    <w:name w:val="文本"/>
    <w:autoRedefine/>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96">
    <w:name w:val="BG"/>
    <w:autoRedefine/>
    <w:unhideWhenUsed/>
    <w:qFormat/>
    <w:uiPriority w:val="99"/>
    <w:pPr>
      <w:widowControl w:val="0"/>
      <w:snapToGrid w:val="0"/>
      <w:spacing w:line="240" w:lineRule="auto"/>
      <w:jc w:val="center"/>
    </w:pPr>
    <w:rPr>
      <w:rFonts w:ascii="Times New Roman" w:hAnsi="Times New Roman" w:eastAsia="宋体" w:cs="Times New Roman"/>
      <w:kern w:val="2"/>
      <w:sz w:val="21"/>
      <w:lang w:val="en-US" w:eastAsia="zh-CN" w:bidi="ar-SA"/>
    </w:rPr>
  </w:style>
  <w:style w:type="paragraph" w:customStyle="1" w:styleId="97">
    <w:name w:val="B表内"/>
    <w:autoRedefine/>
    <w:qFormat/>
    <w:uiPriority w:val="0"/>
    <w:pPr>
      <w:spacing w:line="0" w:lineRule="atLeast"/>
      <w:jc w:val="center"/>
    </w:pPr>
    <w:rPr>
      <w:rFonts w:ascii="Times New Roman" w:hAnsi="Times New Roman" w:eastAsia="宋体" w:cs="宋体"/>
      <w:kern w:val="2"/>
      <w:sz w:val="21"/>
      <w:szCs w:val="20"/>
      <w:lang w:val="en-US" w:eastAsia="zh-CN" w:bidi="ar-SA"/>
    </w:rPr>
  </w:style>
  <w:style w:type="paragraph" w:customStyle="1" w:styleId="98">
    <w:name w:val=" Char"/>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99">
    <w:name w:val="表格内容"/>
    <w:next w:val="1"/>
    <w:autoRedefine/>
    <w:qFormat/>
    <w:uiPriority w:val="0"/>
    <w:pPr>
      <w:widowControl w:val="0"/>
      <w:jc w:val="center"/>
    </w:pPr>
    <w:rPr>
      <w:rFonts w:hint="eastAsia" w:ascii="Times New Roman" w:hAnsi="Times New Roman" w:eastAsia="宋体" w:cs="Times New Roman"/>
      <w:kern w:val="2"/>
      <w:sz w:val="21"/>
      <w:szCs w:val="21"/>
      <w:lang w:val="en-US" w:eastAsia="zh-CN" w:bidi="ar-SA"/>
    </w:rPr>
  </w:style>
  <w:style w:type="paragraph" w:customStyle="1" w:styleId="100">
    <w:name w:val="D正文"/>
    <w:basedOn w:val="101"/>
    <w:autoRedefine/>
    <w:qFormat/>
    <w:uiPriority w:val="0"/>
    <w:pPr>
      <w:widowControl/>
      <w:spacing w:line="360" w:lineRule="auto"/>
      <w:ind w:firstLine="480" w:firstLineChars="200"/>
      <w:jc w:val="both"/>
    </w:pPr>
    <w:rPr>
      <w:rFonts w:hint="eastAsia" w:ascii="Times New Roman" w:hAnsi="Times New Roman" w:eastAsia="宋体" w:cs="Times New Roman"/>
      <w:kern w:val="0"/>
      <w:sz w:val="24"/>
      <w:szCs w:val="24"/>
      <w:lang w:val="en-US" w:eastAsia="en-US" w:bidi="en-US"/>
    </w:rPr>
  </w:style>
  <w:style w:type="paragraph" w:customStyle="1" w:styleId="101">
    <w:name w:val="正文对的"/>
    <w:autoRedefine/>
    <w:qFormat/>
    <w:uiPriority w:val="0"/>
    <w:pPr>
      <w:widowControl/>
      <w:spacing w:line="360" w:lineRule="auto"/>
      <w:ind w:firstLine="480"/>
      <w:jc w:val="left"/>
    </w:pPr>
    <w:rPr>
      <w:rFonts w:hint="eastAsia" w:ascii="Times New Roman" w:hAnsi="Times New Roman" w:eastAsia="宋体" w:cs="宋体"/>
      <w:kern w:val="2"/>
      <w:sz w:val="24"/>
      <w:szCs w:val="24"/>
      <w:lang w:val="en-US" w:eastAsia="en-US" w:bidi="en-US"/>
    </w:rPr>
  </w:style>
  <w:style w:type="paragraph" w:customStyle="1" w:styleId="102">
    <w:name w:val="正文(首行缩进)"/>
    <w:autoRedefine/>
    <w:qFormat/>
    <w:uiPriority w:val="0"/>
    <w:pPr>
      <w:widowControl w:val="0"/>
      <w:spacing w:line="360" w:lineRule="auto"/>
      <w:ind w:firstLine="480" w:firstLineChars="200"/>
      <w:jc w:val="both"/>
    </w:pPr>
    <w:rPr>
      <w:rFonts w:ascii="Times New Roman" w:hAnsi="Times New Roman" w:eastAsia="宋体" w:cs="Times New Roman"/>
      <w:snapToGrid w:val="0"/>
      <w:color w:val="000000"/>
      <w:kern w:val="0"/>
      <w:sz w:val="24"/>
      <w:szCs w:val="21"/>
      <w:lang w:val="en-US" w:eastAsia="zh-CN" w:bidi="ar-SA"/>
    </w:rPr>
  </w:style>
  <w:style w:type="paragraph" w:customStyle="1" w:styleId="103">
    <w:name w:val="!正文"/>
    <w:autoRedefine/>
    <w:qFormat/>
    <w:uiPriority w:val="0"/>
    <w:pPr>
      <w:widowControl w:val="0"/>
      <w:ind w:firstLine="480"/>
      <w:jc w:val="both"/>
    </w:pPr>
    <w:rPr>
      <w:rFonts w:ascii="Times New Roman" w:hAnsi="Times New Roman" w:eastAsia="宋体" w:cs="Times New Roman"/>
      <w:kern w:val="2"/>
      <w:sz w:val="21"/>
      <w:szCs w:val="24"/>
      <w:lang w:val="en-US" w:eastAsia="zh-CN" w:bidi="ar-SA"/>
    </w:rPr>
  </w:style>
  <w:style w:type="paragraph" w:customStyle="1" w:styleId="104">
    <w:name w:val="样式 小四 行距: 1.5 倍行距"/>
    <w:autoRedefine/>
    <w:qFormat/>
    <w:uiPriority w:val="0"/>
    <w:pPr>
      <w:widowControl w:val="0"/>
      <w:ind w:firstLine="480" w:firstLineChars="200"/>
      <w:jc w:val="both"/>
    </w:pPr>
    <w:rPr>
      <w:rFonts w:ascii="Calibri" w:hAnsi="Calibri" w:eastAsia="宋体" w:cs="宋体"/>
      <w:kern w:val="2"/>
      <w:sz w:val="21"/>
      <w:szCs w:val="24"/>
      <w:lang w:val="en-US" w:eastAsia="zh-CN" w:bidi="ar-SA"/>
    </w:rPr>
  </w:style>
  <w:style w:type="paragraph" w:customStyle="1" w:styleId="105">
    <w:name w:val="R22表格"/>
    <w:autoRedefine/>
    <w:qFormat/>
    <w:uiPriority w:val="0"/>
    <w:pPr>
      <w:widowControl w:val="0"/>
      <w:autoSpaceDE w:val="0"/>
      <w:autoSpaceDN w:val="0"/>
      <w:spacing w:line="360" w:lineRule="exact"/>
      <w:jc w:val="center"/>
      <w:textAlignment w:val="auto"/>
    </w:pPr>
    <w:rPr>
      <w:rFonts w:ascii="Times New Roman" w:hAnsi="Times New Roman" w:eastAsia="宋体" w:cs="Times New Roman"/>
      <w:color w:val="000000"/>
      <w:kern w:val="2"/>
      <w:sz w:val="21"/>
      <w:szCs w:val="21"/>
      <w:lang w:val="en-US" w:eastAsia="zh-CN" w:bidi="ar-SA"/>
    </w:rPr>
  </w:style>
  <w:style w:type="paragraph" w:customStyle="1" w:styleId="106">
    <w:name w:val="正文文本5"/>
    <w:autoRedefine/>
    <w:qFormat/>
    <w:uiPriority w:val="0"/>
    <w:pPr>
      <w:widowControl w:val="0"/>
      <w:shd w:val="clear" w:color="auto" w:fill="FFFFFF"/>
      <w:spacing w:after="960" w:line="0" w:lineRule="atLeast"/>
      <w:ind w:firstLine="0" w:firstLineChars="0"/>
      <w:jc w:val="center"/>
    </w:pPr>
    <w:rPr>
      <w:rFonts w:ascii="MingLiU" w:hAnsi="MingLiU" w:eastAsia="MingLiU" w:cs="MingLiU"/>
      <w:kern w:val="0"/>
      <w:sz w:val="19"/>
      <w:szCs w:val="19"/>
      <w:lang w:val="en-US" w:eastAsia="zh-CN" w:bidi="ar-SA"/>
    </w:rPr>
  </w:style>
  <w:style w:type="paragraph" w:customStyle="1" w:styleId="107">
    <w:name w:val="B正文"/>
    <w:autoRedefine/>
    <w:qFormat/>
    <w:uiPriority w:val="0"/>
    <w:pPr>
      <w:widowControl w:val="0"/>
      <w:spacing w:line="360" w:lineRule="auto"/>
      <w:ind w:firstLine="200" w:firstLineChars="200"/>
      <w:jc w:val="both"/>
    </w:pPr>
    <w:rPr>
      <w:rFonts w:ascii="Times New Roman" w:hAnsi="Times New Roman" w:eastAsia="宋体" w:cs="Times New Roman"/>
      <w:kern w:val="0"/>
      <w:sz w:val="24"/>
      <w:szCs w:val="24"/>
      <w:lang w:val="en-US" w:eastAsia="zh-CN" w:bidi="ar-SA"/>
    </w:rPr>
  </w:style>
  <w:style w:type="paragraph" w:customStyle="1" w:styleId="108">
    <w:name w:val="表中文字"/>
    <w:basedOn w:val="1"/>
    <w:autoRedefine/>
    <w:qFormat/>
    <w:uiPriority w:val="0"/>
    <w:pPr>
      <w:jc w:val="center"/>
    </w:pPr>
    <w:rPr>
      <w:rFonts w:ascii="宋体"/>
      <w:spacing w:val="4"/>
      <w:w w:val="90"/>
      <w:sz w:val="24"/>
      <w:szCs w:val="24"/>
    </w:rPr>
  </w:style>
  <w:style w:type="paragraph" w:customStyle="1" w:styleId="109">
    <w:name w:val="表头"/>
    <w:next w:val="1"/>
    <w:autoRedefine/>
    <w:qFormat/>
    <w:uiPriority w:val="0"/>
    <w:pPr>
      <w:adjustRightInd w:val="0"/>
      <w:snapToGrid w:val="0"/>
      <w:spacing w:beforeLines="90" w:afterLines="40" w:line="300" w:lineRule="auto"/>
      <w:ind w:firstLine="200" w:firstLineChars="200"/>
      <w:jc w:val="center"/>
    </w:pPr>
    <w:rPr>
      <w:rFonts w:ascii="Times New Roman" w:hAnsi="宋体" w:eastAsia="黑体" w:cs="Times New Roman"/>
      <w:color w:val="auto"/>
      <w:kern w:val="2"/>
      <w:sz w:val="24"/>
      <w:szCs w:val="24"/>
      <w:lang w:val="en-US" w:eastAsia="zh-CN" w:bidi="ar-SA"/>
    </w:rPr>
  </w:style>
  <w:style w:type="paragraph" w:customStyle="1" w:styleId="110">
    <w:name w:val="Heading 6"/>
    <w:autoRedefine/>
    <w:qFormat/>
    <w:uiPriority w:val="1"/>
    <w:pPr>
      <w:widowControl w:val="0"/>
      <w:autoSpaceDE w:val="0"/>
      <w:autoSpaceDN w:val="0"/>
      <w:spacing w:before="3"/>
      <w:ind w:left="728"/>
      <w:jc w:val="left"/>
      <w:outlineLvl w:val="6"/>
    </w:pPr>
    <w:rPr>
      <w:rFonts w:ascii="宋体" w:hAnsi="宋体" w:eastAsia="宋体" w:cs="宋体"/>
      <w:b/>
      <w:bCs/>
      <w:kern w:val="0"/>
      <w:sz w:val="24"/>
      <w:szCs w:val="24"/>
      <w:lang w:val="zh-CN" w:eastAsia="zh-CN" w:bidi="zh-CN"/>
    </w:rPr>
  </w:style>
  <w:style w:type="paragraph" w:customStyle="1" w:styleId="111">
    <w:name w:val="样式 文本正文 + 首行缩进:  2 字符3"/>
    <w:autoRedefine/>
    <w:qFormat/>
    <w:uiPriority w:val="0"/>
    <w:pPr>
      <w:autoSpaceDE w:val="0"/>
      <w:autoSpaceDN w:val="0"/>
      <w:adjustRightInd w:val="0"/>
      <w:spacing w:line="360" w:lineRule="auto"/>
      <w:ind w:firstLine="496" w:firstLineChars="200"/>
      <w:textAlignment w:val="baseline"/>
    </w:pPr>
    <w:rPr>
      <w:rFonts w:ascii="宋体" w:hAnsi="宋体" w:eastAsia="宋体" w:cs="宋体"/>
      <w:snapToGrid w:val="0"/>
      <w:color w:val="000000"/>
      <w:kern w:val="21"/>
      <w:sz w:val="24"/>
      <w:szCs w:val="22"/>
      <w:lang w:val="en-US" w:eastAsia="zh-CN" w:bidi="ar-SA"/>
    </w:rPr>
  </w:style>
  <w:style w:type="paragraph" w:customStyle="1" w:styleId="112">
    <w:name w:val="正文小四"/>
    <w:autoRedefine/>
    <w:qFormat/>
    <w:uiPriority w:val="0"/>
    <w:pPr>
      <w:widowControl w:val="0"/>
      <w:spacing w:line="360" w:lineRule="auto"/>
      <w:ind w:firstLine="360" w:firstLineChars="150"/>
      <w:jc w:val="left"/>
    </w:pPr>
    <w:rPr>
      <w:rFonts w:ascii="Times New Roman" w:hAnsi="Times New Roman" w:eastAsia="Century Gothic" w:cs="Times New Roman"/>
      <w:kern w:val="2"/>
      <w:sz w:val="24"/>
      <w:szCs w:val="20"/>
      <w:lang w:val="en-US" w:eastAsia="zh-CN" w:bidi="ar-SA"/>
    </w:rPr>
  </w:style>
  <w:style w:type="paragraph" w:customStyle="1" w:styleId="113">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4">
    <w:name w:val="段落1"/>
    <w:autoRedefine/>
    <w:qFormat/>
    <w:uiPriority w:val="0"/>
    <w:pPr>
      <w:widowControl/>
      <w:tabs>
        <w:tab w:val="left" w:pos="180"/>
        <w:tab w:val="left" w:pos="3420"/>
        <w:tab w:val="left" w:pos="4140"/>
        <w:tab w:val="left" w:pos="5580"/>
      </w:tabs>
      <w:spacing w:line="360" w:lineRule="auto"/>
      <w:ind w:firstLine="480" w:firstLineChars="200"/>
      <w:jc w:val="both"/>
    </w:pPr>
    <w:rPr>
      <w:rFonts w:ascii="Calibri" w:hAnsi="Calibri" w:eastAsia="宋体" w:cs="Times New Roman"/>
      <w:kern w:val="0"/>
      <w:sz w:val="24"/>
      <w:szCs w:val="24"/>
      <w:lang w:val="en-US" w:eastAsia="zh-CN" w:bidi="ar-SA"/>
    </w:rPr>
  </w:style>
  <w:style w:type="paragraph" w:customStyle="1" w:styleId="115">
    <w:name w:val="样式 样式 样式 首行缩进:  2 字符 + 居中 + 行距: 固定值 17 磅"/>
    <w:autoRedefine/>
    <w:qFormat/>
    <w:uiPriority w:val="0"/>
    <w:pPr>
      <w:widowControl w:val="0"/>
      <w:snapToGrid w:val="0"/>
      <w:spacing w:line="340" w:lineRule="exact"/>
      <w:ind w:firstLine="200" w:firstLineChars="200"/>
      <w:jc w:val="center"/>
      <w:textAlignment w:val="auto"/>
    </w:pPr>
    <w:rPr>
      <w:rFonts w:ascii="LiHei Pro" w:hAnsi="Calibri" w:eastAsia="宋体" w:cs="宋体"/>
      <w:color w:val="000000"/>
      <w:kern w:val="2"/>
      <w:sz w:val="24"/>
      <w:szCs w:val="24"/>
      <w:lang w:val="en-US" w:eastAsia="zh-CN" w:bidi="ar-SA"/>
    </w:rPr>
  </w:style>
  <w:style w:type="paragraph" w:customStyle="1" w:styleId="116">
    <w:name w:val=" Char Char Char Char Char Char Char Char Char Char Char Char Char Char Char Char"/>
    <w:basedOn w:val="1"/>
    <w:autoRedefine/>
    <w:qFormat/>
    <w:uiPriority w:val="0"/>
    <w:rPr>
      <w:sz w:val="24"/>
    </w:rPr>
  </w:style>
  <w:style w:type="paragraph" w:customStyle="1" w:styleId="117">
    <w:name w:val="正文文本 (2)1"/>
    <w:autoRedefine/>
    <w:qFormat/>
    <w:uiPriority w:val="0"/>
    <w:pPr>
      <w:widowControl w:val="0"/>
      <w:shd w:val="clear" w:color="auto" w:fill="FFFFFF"/>
      <w:spacing w:before="540" w:line="466" w:lineRule="exact"/>
      <w:ind w:hanging="260"/>
      <w:jc w:val="both"/>
    </w:pPr>
    <w:rPr>
      <w:rFonts w:ascii="宋体" w:hAnsi="宋体" w:eastAsia="宋体" w:cs="宋体"/>
      <w:kern w:val="2"/>
      <w:sz w:val="22"/>
      <w:szCs w:val="22"/>
      <w:lang w:val="en-US" w:eastAsia="zh-CN" w:bidi="ar-SA"/>
    </w:rPr>
  </w:style>
  <w:style w:type="paragraph" w:customStyle="1" w:styleId="118">
    <w:name w:val="1"/>
    <w:next w:val="14"/>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19">
    <w:name w:val="江锂报告书正文"/>
    <w:autoRedefine/>
    <w:qFormat/>
    <w:uiPriority w:val="0"/>
    <w:pPr>
      <w:widowControl w:val="0"/>
      <w:spacing w:line="360" w:lineRule="auto"/>
      <w:ind w:firstLine="480" w:firstLineChars="200"/>
      <w:jc w:val="both"/>
    </w:pPr>
    <w:rPr>
      <w:rFonts w:ascii="Times New Roman" w:hAnsi="Times New Roman" w:eastAsia="宋体" w:cs="Times New Roman"/>
      <w:color w:val="000000"/>
      <w:kern w:val="0"/>
      <w:sz w:val="24"/>
      <w:szCs w:val="24"/>
      <w:lang w:val="en-US" w:eastAsia="zh-CN" w:bidi="ar-SA"/>
    </w:rPr>
  </w:style>
  <w:style w:type="paragraph" w:customStyle="1" w:styleId="120">
    <w:name w:val="+"/>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21">
    <w:name w:val="六表内容"/>
    <w:autoRedefine/>
    <w:qFormat/>
    <w:uiPriority w:val="0"/>
    <w:pPr>
      <w:spacing w:line="340" w:lineRule="exact"/>
      <w:ind w:firstLine="200" w:firstLineChars="200"/>
      <w:jc w:val="center"/>
    </w:pPr>
    <w:rPr>
      <w:rFonts w:ascii="Calibri" w:hAnsi="Calibri" w:eastAsia="宋体" w:cs="Times New Roman"/>
      <w:color w:val="000000"/>
      <w:kern w:val="2"/>
      <w:sz w:val="24"/>
      <w:szCs w:val="21"/>
      <w:lang w:val="en-US" w:eastAsia="zh-CN" w:bidi="ar-SA"/>
    </w:rPr>
  </w:style>
  <w:style w:type="paragraph" w:customStyle="1" w:styleId="122">
    <w:name w:val="图表标题"/>
    <w:autoRedefine/>
    <w:qFormat/>
    <w:uiPriority w:val="0"/>
    <w:pPr>
      <w:widowControl w:val="0"/>
      <w:spacing w:before="50" w:beforeLines="50" w:line="240" w:lineRule="auto"/>
      <w:ind w:firstLine="0" w:firstLineChars="0"/>
      <w:jc w:val="center"/>
    </w:pPr>
    <w:rPr>
      <w:rFonts w:ascii="Times New Roman" w:hAnsi="Times New Roman" w:eastAsia="宋体" w:cs="Times New Roman"/>
      <w:b/>
      <w:bCs/>
      <w:sz w:val="21"/>
      <w:szCs w:val="21"/>
      <w:lang w:val="en-US" w:eastAsia="zh-CN" w:bidi="ar-SA"/>
    </w:rPr>
  </w:style>
  <w:style w:type="table" w:customStyle="1" w:styleId="123">
    <w:name w:val="Table Normal"/>
    <w:autoRedefine/>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24">
    <w:name w:val=" Char1"/>
    <w:autoRedefine/>
    <w:qFormat/>
    <w:uiPriority w:val="0"/>
    <w:pPr>
      <w:widowControl w:val="0"/>
      <w:spacing w:line="360" w:lineRule="auto"/>
      <w:ind w:firstLine="200" w:firstLineChars="200"/>
      <w:jc w:val="both"/>
    </w:pPr>
    <w:rPr>
      <w:rFonts w:ascii="Calibri" w:hAnsi="Calibri" w:eastAsia="宋体" w:cs="Times New Roman"/>
      <w:kern w:val="2"/>
      <w:sz w:val="21"/>
      <w:szCs w:val="24"/>
      <w:lang w:val="en-US" w:eastAsia="zh-CN" w:bidi="ar-SA"/>
    </w:rPr>
  </w:style>
  <w:style w:type="paragraph" w:customStyle="1" w:styleId="125">
    <w:name w:val="标题4"/>
    <w:next w:val="69"/>
    <w:autoRedefine/>
    <w:qFormat/>
    <w:uiPriority w:val="0"/>
    <w:pPr>
      <w:widowControl w:val="0"/>
      <w:autoSpaceDE/>
      <w:autoSpaceDN/>
      <w:spacing w:before="0" w:after="0" w:line="360" w:lineRule="auto"/>
      <w:ind w:left="496" w:firstLine="0"/>
      <w:jc w:val="both"/>
    </w:pPr>
    <w:rPr>
      <w:rFonts w:ascii="宋体" w:hAnsi="Times New Roman" w:eastAsia="Calibri" w:cs="Times New Roman"/>
      <w:kern w:val="2"/>
      <w:sz w:val="24"/>
      <w:szCs w:val="24"/>
      <w:lang w:val="en-US" w:eastAsia="zh-CN" w:bidi="ar-SA"/>
    </w:rPr>
  </w:style>
  <w:style w:type="paragraph" w:customStyle="1" w:styleId="126">
    <w:name w:val="表格文字"/>
    <w:autoRedefine/>
    <w:qFormat/>
    <w:uiPriority w:val="0"/>
    <w:pPr>
      <w:widowControl w:val="0"/>
      <w:tabs>
        <w:tab w:val="left" w:pos="-2848"/>
      </w:tabs>
      <w:spacing w:before="40" w:after="40" w:line="240" w:lineRule="atLeast"/>
      <w:jc w:val="center"/>
    </w:pPr>
    <w:rPr>
      <w:rFonts w:ascii="Calibri" w:hAnsi="Calibri" w:eastAsia="Calibri" w:cs="Times New Roman"/>
      <w:kern w:val="2"/>
      <w:position w:val="-10"/>
      <w:sz w:val="21"/>
      <w:szCs w:val="20"/>
      <w:lang w:val="en-US" w:eastAsia="zh-CN" w:bidi="ar-SA"/>
    </w:rPr>
  </w:style>
  <w:style w:type="character" w:customStyle="1" w:styleId="127">
    <w:name w:val="qred"/>
    <w:basedOn w:val="35"/>
    <w:autoRedefine/>
    <w:qFormat/>
    <w:uiPriority w:val="0"/>
    <w:rPr>
      <w:color w:val="D84C4D"/>
    </w:rPr>
  </w:style>
  <w:style w:type="character" w:customStyle="1" w:styleId="128">
    <w:name w:val="wx-space"/>
    <w:basedOn w:val="35"/>
    <w:autoRedefine/>
    <w:qFormat/>
    <w:uiPriority w:val="0"/>
  </w:style>
  <w:style w:type="character" w:customStyle="1" w:styleId="129">
    <w:name w:val="wx-space1"/>
    <w:basedOn w:val="35"/>
    <w:autoRedefine/>
    <w:qFormat/>
    <w:uiPriority w:val="0"/>
  </w:style>
  <w:style w:type="character" w:customStyle="1" w:styleId="130">
    <w:name w:val="hover49"/>
    <w:basedOn w:val="35"/>
    <w:autoRedefine/>
    <w:qFormat/>
    <w:uiPriority w:val="0"/>
    <w:rPr>
      <w:color w:val="000000"/>
      <w:shd w:val="clear" w:color="auto" w:fill="FFFFFF"/>
    </w:rPr>
  </w:style>
  <w:style w:type="character" w:customStyle="1" w:styleId="131">
    <w:name w:val="hover48"/>
    <w:basedOn w:val="35"/>
    <w:autoRedefine/>
    <w:qFormat/>
    <w:uiPriority w:val="0"/>
    <w:rPr>
      <w:b/>
      <w:bCs/>
      <w:color w:val="0090D3"/>
    </w:rPr>
  </w:style>
  <w:style w:type="paragraph" w:styleId="132">
    <w:name w:val="List Paragraph"/>
    <w:basedOn w:val="1"/>
    <w:autoRedefine/>
    <w:qFormat/>
    <w:uiPriority w:val="34"/>
    <w:pPr>
      <w:ind w:firstLine="420" w:firstLineChars="200"/>
    </w:pPr>
  </w:style>
  <w:style w:type="table" w:customStyle="1" w:styleId="133">
    <w:name w:val="网格型1"/>
    <w:autoRedefine/>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4">
    <w:name w:val="二级无"/>
    <w:basedOn w:val="135"/>
    <w:autoRedefine/>
    <w:qFormat/>
    <w:uiPriority w:val="0"/>
    <w:pPr>
      <w:spacing w:before="0" w:beforeLines="0" w:after="0" w:afterLines="0"/>
    </w:pPr>
    <w:rPr>
      <w:rFonts w:ascii="宋体" w:eastAsia="宋体"/>
    </w:rPr>
  </w:style>
  <w:style w:type="paragraph" w:customStyle="1" w:styleId="135">
    <w:name w:val="二级条标题"/>
    <w:basedOn w:val="136"/>
    <w:next w:val="138"/>
    <w:autoRedefine/>
    <w:qFormat/>
    <w:uiPriority w:val="0"/>
    <w:pPr>
      <w:numPr>
        <w:ilvl w:val="2"/>
        <w:numId w:val="1"/>
      </w:numPr>
      <w:spacing w:before="50" w:after="50"/>
      <w:outlineLvl w:val="3"/>
    </w:pPr>
  </w:style>
  <w:style w:type="paragraph" w:customStyle="1" w:styleId="136">
    <w:name w:val="一级条标题"/>
    <w:basedOn w:val="137"/>
    <w:next w:val="138"/>
    <w:autoRedefine/>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37">
    <w:name w:val="章标题"/>
    <w:next w:val="138"/>
    <w:autoRedefine/>
    <w:qFormat/>
    <w:uiPriority w:val="0"/>
    <w:pPr>
      <w:spacing w:before="156" w:beforeLines="50" w:after="156" w:afterLines="50"/>
      <w:jc w:val="both"/>
      <w:outlineLvl w:val="1"/>
    </w:pPr>
    <w:rPr>
      <w:rFonts w:ascii="黑体" w:hAnsi="Times New Roman" w:eastAsia="黑体" w:cs="Times New Roman"/>
      <w:sz w:val="21"/>
      <w:szCs w:val="22"/>
      <w:lang w:val="en-US" w:eastAsia="zh-CN" w:bidi="ar-SA"/>
    </w:rPr>
  </w:style>
  <w:style w:type="paragraph" w:customStyle="1" w:styleId="138">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39">
    <w:name w:val="00000000000000000000000"/>
    <w:basedOn w:val="1"/>
    <w:autoRedefine/>
    <w:qFormat/>
    <w:uiPriority w:val="0"/>
    <w:pPr>
      <w:spacing w:line="360" w:lineRule="auto"/>
      <w:ind w:firstLine="480" w:firstLineChars="200"/>
    </w:pPr>
    <w:rPr>
      <w:snapToGrid w:val="0"/>
      <w:sz w:val="24"/>
    </w:rPr>
  </w:style>
  <w:style w:type="paragraph" w:customStyle="1" w:styleId="140">
    <w:name w:val="正文首行缩进2个字 Char"/>
    <w:basedOn w:val="1"/>
    <w:autoRedefine/>
    <w:qFormat/>
    <w:uiPriority w:val="0"/>
    <w:pPr>
      <w:ind w:firstLine="480" w:firstLineChars="200"/>
    </w:pPr>
    <w:rPr>
      <w:rFonts w:eastAsia="楷体"/>
      <w:sz w:val="24"/>
    </w:rPr>
  </w:style>
  <w:style w:type="paragraph" w:customStyle="1" w:styleId="141">
    <w:name w:val="正文01"/>
    <w:basedOn w:val="1"/>
    <w:autoRedefine/>
    <w:qFormat/>
    <w:uiPriority w:val="0"/>
    <w:pPr>
      <w:spacing w:before="60" w:line="460" w:lineRule="exact"/>
      <w:ind w:firstLine="200" w:firstLineChars="200"/>
    </w:pPr>
    <w:rPr>
      <w:bCs/>
      <w:sz w:val="24"/>
    </w:rPr>
  </w:style>
  <w:style w:type="paragraph" w:customStyle="1" w:styleId="142">
    <w:name w:val="表题"/>
    <w:basedOn w:val="1"/>
    <w:autoRedefine/>
    <w:qFormat/>
    <w:uiPriority w:val="0"/>
    <w:pPr>
      <w:tabs>
        <w:tab w:val="right" w:pos="0"/>
      </w:tabs>
      <w:adjustRightInd w:val="0"/>
      <w:snapToGrid w:val="0"/>
      <w:jc w:val="center"/>
    </w:pPr>
    <w:rPr>
      <w:rFonts w:ascii="宋体" w:hAnsi="宋体"/>
      <w:b/>
      <w:spacing w:val="12"/>
      <w:sz w:val="24"/>
    </w:rPr>
  </w:style>
  <w:style w:type="paragraph" w:customStyle="1" w:styleId="143">
    <w:name w:val="表文字"/>
    <w:autoRedefine/>
    <w:qFormat/>
    <w:uiPriority w:val="99"/>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eastAsia="宋体" w:cs="Times New Roman"/>
      <w:snapToGrid w:val="0"/>
      <w:color w:val="000000"/>
      <w:sz w:val="21"/>
      <w:szCs w:val="9"/>
      <w:lang w:val="en-US" w:eastAsia="zh-CN" w:bidi="ar-SA"/>
    </w:rPr>
  </w:style>
  <w:style w:type="paragraph" w:customStyle="1" w:styleId="144">
    <w:name w:val="A0正文（JMC）"/>
    <w:basedOn w:val="1"/>
    <w:autoRedefine/>
    <w:qFormat/>
    <w:uiPriority w:val="0"/>
    <w:pPr>
      <w:spacing w:line="360" w:lineRule="auto"/>
      <w:ind w:firstLine="200" w:firstLineChars="200"/>
    </w:pPr>
    <w:rPr>
      <w:rFonts w:cs="宋体"/>
      <w:sz w:val="24"/>
      <w:szCs w:val="20"/>
      <w:lang w:val="zh-CN"/>
    </w:rPr>
  </w:style>
  <w:style w:type="paragraph" w:customStyle="1" w:styleId="145">
    <w:name w:val="表格名称"/>
    <w:basedOn w:val="1"/>
    <w:next w:val="1"/>
    <w:autoRedefine/>
    <w:qFormat/>
    <w:uiPriority w:val="0"/>
    <w:pPr>
      <w:keepNext/>
      <w:keepLines/>
      <w:widowControl/>
      <w:tabs>
        <w:tab w:val="left" w:pos="993"/>
        <w:tab w:val="center" w:pos="4112"/>
      </w:tabs>
      <w:topLinePunct/>
      <w:autoSpaceDE w:val="0"/>
      <w:autoSpaceDN w:val="0"/>
      <w:adjustRightInd w:val="0"/>
      <w:spacing w:before="156" w:beforeLines="50" w:line="360" w:lineRule="auto"/>
      <w:jc w:val="left"/>
      <w:outlineLvl w:val="8"/>
    </w:pPr>
    <w:rPr>
      <w:rFonts w:eastAsia="楷体_GB2312"/>
      <w:sz w:val="24"/>
    </w:rPr>
  </w:style>
  <w:style w:type="paragraph" w:customStyle="1" w:styleId="146">
    <w:name w:val="正文 首行缩进:  2 字符"/>
    <w:basedOn w:val="1"/>
    <w:autoRedefine/>
    <w:qFormat/>
    <w:uiPriority w:val="0"/>
    <w:pPr>
      <w:spacing w:line="240" w:lineRule="auto"/>
      <w:ind w:firstLine="579"/>
    </w:pPr>
    <w:rPr>
      <w:rFonts w:cs="宋体"/>
    </w:rPr>
  </w:style>
  <w:style w:type="paragraph" w:customStyle="1" w:styleId="147">
    <w:name w:val="li 表头文字"/>
    <w:autoRedefine/>
    <w:qFormat/>
    <w:uiPriority w:val="0"/>
    <w:pPr>
      <w:spacing w:line="460" w:lineRule="exact"/>
      <w:jc w:val="center"/>
    </w:pPr>
    <w:rPr>
      <w:rFonts w:ascii="Times New Roman" w:hAnsi="Times New Roman" w:eastAsia="宋体" w:cs="Times New Roman"/>
      <w:b/>
      <w:spacing w:val="4"/>
      <w:kern w:val="2"/>
      <w:sz w:val="21"/>
      <w:szCs w:val="21"/>
      <w:lang w:val="en-US" w:eastAsia="zh-CN" w:bidi="ar-SA"/>
    </w:rPr>
  </w:style>
  <w:style w:type="paragraph" w:customStyle="1" w:styleId="148">
    <w:name w:val="图表名"/>
    <w:basedOn w:val="1"/>
    <w:autoRedefine/>
    <w:qFormat/>
    <w:uiPriority w:val="0"/>
    <w:pPr>
      <w:widowControl/>
      <w:shd w:val="clear" w:color="auto" w:fill="FFFFFF"/>
      <w:adjustRightInd w:val="0"/>
      <w:snapToGrid w:val="0"/>
      <w:jc w:val="center"/>
    </w:pPr>
    <w:rPr>
      <w:b/>
      <w:kern w:val="0"/>
      <w:sz w:val="24"/>
      <w:lang w:val="zh-CN"/>
    </w:rPr>
  </w:style>
  <w:style w:type="table" w:customStyle="1" w:styleId="149">
    <w:name w:val="表格主题1"/>
    <w:basedOn w:val="33"/>
    <w:autoRedefine/>
    <w:qFormat/>
    <w:uiPriority w:val="0"/>
    <w:pPr>
      <w:widowControl w:val="0"/>
      <w:spacing w:line="360" w:lineRule="auto"/>
      <w:ind w:firstLine="200" w:firstLineChars="200"/>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150">
    <w:name w:val="QQ表格"/>
    <w:next w:val="31"/>
    <w:autoRedefine/>
    <w:qFormat/>
    <w:uiPriority w:val="0"/>
    <w:pPr>
      <w:jc w:val="center"/>
    </w:pPr>
    <w:rPr>
      <w:rFonts w:ascii="Times New Roman" w:hAnsi="Times New Roman" w:eastAsia="宋体" w:cs="Times New Roman"/>
      <w:sz w:val="21"/>
      <w:szCs w:val="24"/>
      <w:lang w:val="en-US" w:eastAsia="zh-CN" w:bidi="ar-SA"/>
    </w:rPr>
  </w:style>
  <w:style w:type="paragraph" w:customStyle="1" w:styleId="151">
    <w:name w:val="QQ正文"/>
    <w:basedOn w:val="1"/>
    <w:autoRedefine/>
    <w:qFormat/>
    <w:uiPriority w:val="0"/>
    <w:pPr>
      <w:spacing w:line="360" w:lineRule="auto"/>
      <w:ind w:firstLine="480" w:firstLineChars="200"/>
    </w:pPr>
    <w:rPr>
      <w:szCs w:val="22"/>
    </w:rPr>
  </w:style>
  <w:style w:type="paragraph" w:customStyle="1" w:styleId="152">
    <w:name w:val="表正文"/>
    <w:basedOn w:val="1"/>
    <w:link w:val="153"/>
    <w:autoRedefine/>
    <w:qFormat/>
    <w:uiPriority w:val="0"/>
    <w:pPr>
      <w:spacing w:line="360" w:lineRule="auto"/>
      <w:ind w:firstLine="200" w:firstLineChars="200"/>
    </w:pPr>
    <w:rPr>
      <w:sz w:val="24"/>
      <w:szCs w:val="22"/>
    </w:rPr>
  </w:style>
  <w:style w:type="character" w:customStyle="1" w:styleId="153">
    <w:name w:val="表正文 字符"/>
    <w:link w:val="152"/>
    <w:autoRedefine/>
    <w:qFormat/>
    <w:uiPriority w:val="0"/>
    <w:rPr>
      <w:sz w:val="24"/>
      <w:szCs w:val="22"/>
    </w:rPr>
  </w:style>
  <w:style w:type="paragraph" w:customStyle="1" w:styleId="154">
    <w:name w:val="【】表头"/>
    <w:basedOn w:val="1"/>
    <w:qFormat/>
    <w:uiPriority w:val="0"/>
    <w:pPr>
      <w:numPr>
        <w:ilvl w:val="5"/>
        <w:numId w:val="2"/>
      </w:numPr>
      <w:spacing w:beforeLines="50" w:line="240" w:lineRule="atLeast"/>
      <w:jc w:val="center"/>
      <w:outlineLvl w:val="5"/>
    </w:pPr>
    <w:rPr>
      <w:rFonts w:eastAsia="黑体" w:cs="宋体"/>
      <w:sz w:val="22"/>
      <w:szCs w:val="20"/>
    </w:rPr>
  </w:style>
  <w:style w:type="paragraph" w:customStyle="1" w:styleId="155">
    <w:name w:val="表2内容"/>
    <w:basedOn w:val="1"/>
    <w:qFormat/>
    <w:uiPriority w:val="0"/>
    <w:pPr>
      <w:snapToGrid w:val="0"/>
      <w:spacing w:before="34" w:line="240" w:lineRule="exact"/>
      <w:jc w:val="center"/>
    </w:pPr>
    <w:rPr>
      <w:rFonts w:ascii="Times New Roman" w:hAnsi="Times New Roman" w:eastAsia="宋体"/>
    </w:rPr>
  </w:style>
  <w:style w:type="character" w:customStyle="1" w:styleId="156">
    <w:name w:val="标题 2 Char"/>
    <w:basedOn w:val="35"/>
    <w:link w:val="4"/>
    <w:qFormat/>
    <w:uiPriority w:val="0"/>
    <w:rPr>
      <w:kern w:val="0"/>
      <w:sz w:val="24"/>
    </w:rPr>
  </w:style>
  <w:style w:type="paragraph" w:customStyle="1" w:styleId="157">
    <w:name w:val="表格标题"/>
    <w:basedOn w:val="1"/>
    <w:qFormat/>
    <w:uiPriority w:val="0"/>
    <w:pPr>
      <w:jc w:val="center"/>
    </w:pPr>
    <w:rPr>
      <w:rFonts w:eastAsia="黑体"/>
      <w:b/>
      <w:kern w:val="0"/>
      <w:sz w:val="24"/>
      <w:szCs w:val="20"/>
    </w:rPr>
  </w:style>
  <w:style w:type="paragraph" w:customStyle="1" w:styleId="158">
    <w:name w:val="D表内1磅"/>
    <w:basedOn w:val="159"/>
    <w:qFormat/>
    <w:uiPriority w:val="0"/>
    <w:pPr>
      <w:widowControl w:val="0"/>
      <w:tabs>
        <w:tab w:val="left" w:pos="1322"/>
        <w:tab w:val="center" w:pos="4635"/>
      </w:tabs>
      <w:spacing w:before="20" w:after="20"/>
      <w:jc w:val="center"/>
    </w:pPr>
    <w:rPr>
      <w:szCs w:val="21"/>
    </w:rPr>
  </w:style>
  <w:style w:type="paragraph" w:customStyle="1" w:styleId="159">
    <w:name w:val="D表内0磅"/>
    <w:basedOn w:val="160"/>
    <w:qFormat/>
    <w:uiPriority w:val="0"/>
    <w:pPr>
      <w:adjustRightInd/>
      <w:jc w:val="center"/>
      <w:textAlignment w:val="auto"/>
    </w:pPr>
    <w:rPr>
      <w:rFonts w:ascii="仿宋_GB2312"/>
      <w:spacing w:val="4"/>
      <w:kern w:val="2"/>
      <w:szCs w:val="21"/>
    </w:rPr>
  </w:style>
  <w:style w:type="paragraph" w:customStyle="1" w:styleId="160">
    <w:name w:val="D表内"/>
    <w:basedOn w:val="161"/>
    <w:qFormat/>
    <w:uiPriority w:val="0"/>
    <w:pPr>
      <w:spacing w:before="40" w:after="40" w:line="240" w:lineRule="auto"/>
      <w:ind w:firstLine="0" w:firstLineChars="0"/>
      <w:jc w:val="center"/>
    </w:pPr>
    <w:rPr>
      <w:rFonts w:cs="Times New Roman"/>
      <w:kern w:val="2"/>
      <w:sz w:val="21"/>
      <w:szCs w:val="21"/>
      <w:lang w:eastAsia="zh-CN"/>
    </w:rPr>
  </w:style>
  <w:style w:type="paragraph" w:customStyle="1" w:styleId="161">
    <w:name w:val="图表"/>
    <w:basedOn w:val="162"/>
    <w:semiHidden/>
    <w:qFormat/>
    <w:uiPriority w:val="0"/>
    <w:pPr>
      <w:spacing w:before="120" w:after="120"/>
      <w:jc w:val="center"/>
    </w:pPr>
    <w:rPr>
      <w:szCs w:val="21"/>
    </w:rPr>
  </w:style>
  <w:style w:type="paragraph" w:customStyle="1" w:styleId="162">
    <w:name w:val="表头样式1"/>
    <w:basedOn w:val="1"/>
    <w:qFormat/>
    <w:uiPriority w:val="0"/>
    <w:pPr>
      <w:spacing w:after="80" w:afterLines="0" w:line="480" w:lineRule="atLeast"/>
      <w:jc w:val="center"/>
    </w:pPr>
    <w:rPr>
      <w:rFonts w:eastAsia="黑体"/>
      <w:b/>
      <w:sz w:val="24"/>
      <w:szCs w:val="20"/>
    </w:rPr>
  </w:style>
  <w:style w:type="paragraph" w:customStyle="1" w:styleId="163">
    <w:name w:val="07F表格文字"/>
    <w:basedOn w:val="164"/>
    <w:next w:val="164"/>
    <w:qFormat/>
    <w:uiPriority w:val="0"/>
    <w:pPr>
      <w:jc w:val="center"/>
    </w:pPr>
    <w:rPr>
      <w:rFonts w:eastAsia="宋体"/>
    </w:rPr>
  </w:style>
  <w:style w:type="paragraph" w:customStyle="1" w:styleId="164">
    <w:name w:val="08F表格批注"/>
    <w:basedOn w:val="1"/>
    <w:next w:val="1"/>
    <w:qFormat/>
    <w:uiPriority w:val="0"/>
    <w:pPr>
      <w:jc w:val="left"/>
    </w:pPr>
    <w:rPr>
      <w:rFonts w:ascii="Times New Roman" w:hAnsi="Times New Roman" w:eastAsia="宋体"/>
      <w:szCs w:val="21"/>
    </w:rPr>
  </w:style>
  <w:style w:type="paragraph" w:customStyle="1" w:styleId="165">
    <w:name w:val="表格内文本-居中"/>
    <w:basedOn w:val="1"/>
    <w:qFormat/>
    <w:uiPriority w:val="0"/>
    <w:pPr>
      <w:spacing w:line="360" w:lineRule="exact"/>
      <w:ind w:firstLine="0" w:firstLineChars="0"/>
      <w:jc w:val="center"/>
    </w:pPr>
    <w:rPr>
      <w:sz w:val="21"/>
    </w:rPr>
  </w:style>
  <w:style w:type="paragraph" w:customStyle="1" w:styleId="166">
    <w:name w:val="Table Text"/>
    <w:basedOn w:val="1"/>
    <w:semiHidden/>
    <w:qFormat/>
    <w:uiPriority w:val="0"/>
    <w:rPr>
      <w:rFonts w:ascii="宋体" w:hAnsi="宋体" w:cs="宋体"/>
      <w:sz w:val="22"/>
      <w:szCs w:val="22"/>
      <w:lang w:eastAsia="en-US"/>
    </w:rPr>
  </w:style>
  <w:style w:type="paragraph" w:customStyle="1" w:styleId="167">
    <w:name w:val="05F凡式正文"/>
    <w:basedOn w:val="1"/>
    <w:qFormat/>
    <w:uiPriority w:val="0"/>
    <w:pPr>
      <w:spacing w:line="360" w:lineRule="auto"/>
      <w:ind w:firstLine="720" w:firstLineChars="200"/>
    </w:pPr>
    <w:rPr>
      <w:kern w:val="0"/>
      <w:sz w:val="24"/>
      <w:szCs w:val="20"/>
    </w:rPr>
  </w:style>
  <w:style w:type="paragraph" w:customStyle="1" w:styleId="168">
    <w:name w:val="表--居中"/>
    <w:basedOn w:val="1"/>
    <w:next w:val="1"/>
    <w:qFormat/>
    <w:uiPriority w:val="0"/>
    <w:pPr>
      <w:tabs>
        <w:tab w:val="left" w:pos="0"/>
      </w:tabs>
      <w:jc w:val="center"/>
    </w:pPr>
    <w:rPr>
      <w:rFonts w:hint="eastAsia"/>
    </w:rPr>
  </w:style>
  <w:style w:type="paragraph" w:customStyle="1" w:styleId="169">
    <w:name w:val="德正正文"/>
    <w:basedOn w:val="1"/>
    <w:next w:val="1"/>
    <w:qFormat/>
    <w:uiPriority w:val="0"/>
    <w:pPr>
      <w:widowControl w:val="0"/>
      <w:snapToGrid w:val="0"/>
      <w:spacing w:line="360" w:lineRule="auto"/>
      <w:ind w:firstLine="482"/>
    </w:pPr>
    <w:rPr>
      <w:rFonts w:ascii="Times New Roman" w:hAnsi="Times New Roman"/>
      <w:sz w:val="24"/>
    </w:rPr>
  </w:style>
  <w:style w:type="paragraph" w:customStyle="1" w:styleId="170">
    <w:name w:val="表格自动编号"/>
    <w:basedOn w:val="1"/>
    <w:qFormat/>
    <w:uiPriority w:val="0"/>
    <w:pPr>
      <w:numPr>
        <w:ilvl w:val="5"/>
        <w:numId w:val="3"/>
      </w:numPr>
      <w:jc w:val="center"/>
    </w:pPr>
    <w:rPr>
      <w:rFonts w:ascii="Times New Roman" w:hAnsi="Times New Roman" w:eastAsia="宋体"/>
      <w:b/>
      <w:sz w:val="24"/>
    </w:rPr>
  </w:style>
  <w:style w:type="paragraph" w:customStyle="1" w:styleId="171">
    <w:name w:val="德正表格"/>
    <w:basedOn w:val="1"/>
    <w:qFormat/>
    <w:uiPriority w:val="0"/>
    <w:pPr>
      <w:adjustRightInd w:val="0"/>
      <w:snapToGrid w:val="0"/>
      <w:jc w:val="center"/>
    </w:pPr>
    <w:rPr>
      <w:rFonts w:ascii="Times New Roman" w:hAnsi="Times New Roman" w:eastAsia="宋体"/>
    </w:rPr>
  </w:style>
  <w:style w:type="paragraph" w:customStyle="1" w:styleId="172">
    <w:name w:val="报告1"/>
    <w:basedOn w:val="1"/>
    <w:qFormat/>
    <w:uiPriority w:val="0"/>
    <w:pPr>
      <w:adjustRightInd w:val="0"/>
      <w:spacing w:line="360" w:lineRule="auto"/>
      <w:ind w:firstLine="505"/>
      <w:textAlignment w:val="baseline"/>
    </w:pPr>
    <w:rPr>
      <w:kern w:val="0"/>
      <w:sz w:val="24"/>
    </w:rPr>
  </w:style>
  <w:style w:type="paragraph" w:customStyle="1" w:styleId="173">
    <w:name w:val="样式7"/>
    <w:basedOn w:val="157"/>
    <w:qFormat/>
    <w:uiPriority w:val="0"/>
    <w:pPr>
      <w:numPr>
        <w:ilvl w:val="0"/>
        <w:numId w:val="4"/>
      </w:numPr>
      <w:ind w:firstLine="0"/>
    </w:pPr>
    <w:rPr>
      <w:rFonts w:ascii="Times New Roman" w:hAnsi="Times New Roman" w:eastAsia="宋体"/>
    </w:rPr>
  </w:style>
  <w:style w:type="paragraph" w:customStyle="1" w:styleId="174">
    <w:name w:val="表格文字1"/>
    <w:basedOn w:val="1"/>
    <w:qFormat/>
    <w:uiPriority w:val="0"/>
    <w:pPr>
      <w:adjustRightInd w:val="0"/>
      <w:spacing w:before="120" w:line="360" w:lineRule="auto"/>
      <w:ind w:left="113"/>
      <w:textAlignment w:val="baseline"/>
    </w:pPr>
    <w:rPr>
      <w:rFonts w:ascii="宋体"/>
      <w:kern w:val="0"/>
      <w:sz w:val="24"/>
      <w:szCs w:val="20"/>
    </w:rPr>
  </w:style>
  <w:style w:type="paragraph" w:customStyle="1" w:styleId="175">
    <w:name w:val="标题1.1"/>
    <w:basedOn w:val="1"/>
    <w:qFormat/>
    <w:uiPriority w:val="0"/>
    <w:pPr>
      <w:adjustRightInd w:val="0"/>
      <w:snapToGrid w:val="0"/>
      <w:spacing w:line="360" w:lineRule="auto"/>
    </w:pPr>
    <w:rPr>
      <w:rFonts w:ascii="Times New Roman" w:hAnsi="Times New Roman" w:eastAsia="黑体" w:cs="Times New Roman"/>
      <w:bCs/>
      <w:color w:val="000000"/>
      <w:sz w:val="24"/>
    </w:rPr>
  </w:style>
  <w:style w:type="paragraph" w:customStyle="1" w:styleId="176">
    <w:name w:val="列出段落1"/>
    <w:basedOn w:val="1"/>
    <w:qFormat/>
    <w:uiPriority w:val="34"/>
    <w:pPr>
      <w:ind w:firstLine="420" w:firstLineChars="200"/>
    </w:pPr>
    <w:rPr>
      <w:rFonts w:ascii="Calibri" w:hAnsi="Calibri"/>
      <w:szCs w:val="20"/>
    </w:rPr>
  </w:style>
  <w:style w:type="paragraph" w:customStyle="1" w:styleId="177">
    <w:name w:val="正本文字"/>
    <w:basedOn w:val="1"/>
    <w:qFormat/>
    <w:uiPriority w:val="0"/>
    <w:pPr>
      <w:adjustRightInd w:val="0"/>
      <w:snapToGrid w:val="0"/>
      <w:spacing w:line="360" w:lineRule="auto"/>
      <w:ind w:firstLine="883" w:firstLineChars="200"/>
    </w:pPr>
    <w:rPr>
      <w:kern w:val="18"/>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footer" Target="footer2.xml"/><Relationship Id="rId39" Type="http://schemas.openxmlformats.org/officeDocument/2006/relationships/image" Target="media/image22.png"/><Relationship Id="rId38" Type="http://schemas.openxmlformats.org/officeDocument/2006/relationships/image" Target="media/image21.png"/><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jpe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er" Target="footer1.xml"/><Relationship Id="rId29" Type="http://schemas.openxmlformats.org/officeDocument/2006/relationships/image" Target="media/image12.wmf"/><Relationship Id="rId28" Type="http://schemas.openxmlformats.org/officeDocument/2006/relationships/oleObject" Target="embeddings/oleObject9.bin"/><Relationship Id="rId27" Type="http://schemas.openxmlformats.org/officeDocument/2006/relationships/image" Target="media/image11.wmf"/><Relationship Id="rId26" Type="http://schemas.openxmlformats.org/officeDocument/2006/relationships/oleObject" Target="embeddings/oleObject8.bin"/><Relationship Id="rId25" Type="http://schemas.openxmlformats.org/officeDocument/2006/relationships/image" Target="media/image10.wmf"/><Relationship Id="rId24" Type="http://schemas.openxmlformats.org/officeDocument/2006/relationships/oleObject" Target="embeddings/oleObject7.bin"/><Relationship Id="rId23" Type="http://schemas.openxmlformats.org/officeDocument/2006/relationships/image" Target="media/image9.wmf"/><Relationship Id="rId22" Type="http://schemas.openxmlformats.org/officeDocument/2006/relationships/oleObject" Target="embeddings/oleObject6.bin"/><Relationship Id="rId21" Type="http://schemas.openxmlformats.org/officeDocument/2006/relationships/image" Target="media/image8.png"/><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6.png"/><Relationship Id="rId17" Type="http://schemas.openxmlformats.org/officeDocument/2006/relationships/image" Target="media/image5.emf"/><Relationship Id="rId16" Type="http://schemas.openxmlformats.org/officeDocument/2006/relationships/oleObject" Target="embeddings/oleObject4.bin"/><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png"/><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hw/C:\home\hw\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115</Pages>
  <Words>59175</Words>
  <Characters>68346</Characters>
  <Lines>13</Lines>
  <Paragraphs>3</Paragraphs>
  <TotalTime>61</TotalTime>
  <ScaleCrop>false</ScaleCrop>
  <LinksUpToDate>false</LinksUpToDate>
  <CharactersWithSpaces>72095</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2020-12-24T17:29:00Z</dcterms:created>
  <dc:creator>lhj</dc:creator>
  <cp:lastModifiedBy>hw</cp:lastModifiedBy>
  <cp:lastPrinted>2023-03-21T17:25:00Z</cp:lastPrinted>
  <dcterms:modified xsi:type="dcterms:W3CDTF">2026-03-09T17:06:59Z</dcterms:modified>
  <dc:title>附件2 </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8DD7DBAB03394828BE64F9B96A71B5E8_13</vt:lpwstr>
  </property>
  <property fmtid="{D5CDD505-2E9C-101B-9397-08002B2CF9AE}" pid="4" name="KSOTemplateDocerSaveRecord">
    <vt:lpwstr>eyJoZGlkIjoiMjA1NWVkZDNlNjViMDkwNTJmNGIyMzNiOTJhNDRjMjciLCJ1c2VySWQiOiI0MzgzNDk3MjUifQ==</vt:lpwstr>
  </property>
</Properties>
</file>